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1C05" w14:textId="418133F8" w:rsidR="004D15A9" w:rsidRPr="007861C0" w:rsidRDefault="00B93CD2" w:rsidP="00315B52">
      <w:pPr>
        <w:spacing w:after="0" w:line="240" w:lineRule="auto"/>
        <w:jc w:val="center"/>
        <w:rPr>
          <w:rFonts w:ascii="Times New Roman" w:eastAsia="Times New Roman" w:hAnsi="Times New Roman" w:cs="Times New Roman"/>
          <w:b/>
          <w:bCs/>
          <w:color w:val="000000" w:themeColor="text1"/>
          <w:sz w:val="24"/>
          <w:szCs w:val="24"/>
          <w:lang w:eastAsia="lv-LV"/>
        </w:rPr>
      </w:pPr>
      <w:r w:rsidRPr="007861C0">
        <w:rPr>
          <w:rFonts w:ascii="Times New Roman" w:eastAsia="Times New Roman" w:hAnsi="Times New Roman" w:cs="Times New Roman"/>
          <w:b/>
          <w:bCs/>
          <w:color w:val="000000" w:themeColor="text1"/>
          <w:sz w:val="24"/>
          <w:szCs w:val="24"/>
          <w:lang w:eastAsia="lv-LV"/>
        </w:rPr>
        <w:t xml:space="preserve">Likumprojekta </w:t>
      </w:r>
      <w:r w:rsidR="004B7E74">
        <w:rPr>
          <w:rFonts w:ascii="Times New Roman" w:eastAsia="Times New Roman" w:hAnsi="Times New Roman" w:cs="Times New Roman"/>
          <w:b/>
          <w:bCs/>
          <w:color w:val="000000" w:themeColor="text1"/>
          <w:sz w:val="24"/>
          <w:szCs w:val="24"/>
          <w:lang w:eastAsia="lv-LV"/>
        </w:rPr>
        <w:t>"</w:t>
      </w:r>
      <w:r w:rsidRPr="007861C0">
        <w:rPr>
          <w:rFonts w:ascii="Times New Roman" w:eastAsia="Times New Roman" w:hAnsi="Times New Roman" w:cs="Times New Roman"/>
          <w:b/>
          <w:bCs/>
          <w:color w:val="000000" w:themeColor="text1"/>
          <w:sz w:val="24"/>
          <w:szCs w:val="24"/>
          <w:lang w:eastAsia="lv-LV"/>
        </w:rPr>
        <w:t>Grozījumi Maksātnespējas likumā</w:t>
      </w:r>
      <w:r w:rsidR="004B7E74">
        <w:rPr>
          <w:rFonts w:ascii="Times New Roman" w:eastAsia="Times New Roman" w:hAnsi="Times New Roman" w:cs="Times New Roman"/>
          <w:b/>
          <w:bCs/>
          <w:color w:val="000000" w:themeColor="text1"/>
          <w:sz w:val="24"/>
          <w:szCs w:val="24"/>
          <w:lang w:eastAsia="lv-LV"/>
        </w:rPr>
        <w:t>"</w:t>
      </w:r>
      <w:r w:rsidR="004D15A9" w:rsidRPr="007861C0">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14:paraId="30B2D744" w14:textId="4D1AC419" w:rsidR="00DA596D" w:rsidRDefault="00DA596D"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p w14:paraId="16E1C0A3" w14:textId="77777777" w:rsidR="00210312" w:rsidRDefault="00210312"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861C0" w:rsidRPr="007861C0" w14:paraId="091FB9D5"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F91176" w14:textId="77777777" w:rsidR="004D15A9" w:rsidRPr="007861C0"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7861C0">
              <w:rPr>
                <w:rFonts w:ascii="Times New Roman" w:eastAsia="Times New Roman" w:hAnsi="Times New Roman" w:cs="Times New Roman"/>
                <w:b/>
                <w:bCs/>
                <w:color w:val="000000" w:themeColor="text1"/>
                <w:sz w:val="24"/>
                <w:szCs w:val="24"/>
                <w:lang w:eastAsia="lv-LV"/>
              </w:rPr>
              <w:t>I. Tiesību akta projekta izstrādes nepieciešamība</w:t>
            </w:r>
          </w:p>
        </w:tc>
      </w:tr>
      <w:tr w:rsidR="007861C0" w:rsidRPr="007861C0" w14:paraId="4B01BFC3"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128CB51" w14:textId="77777777" w:rsidR="004D15A9" w:rsidRPr="007861C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861C0">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50C98F9" w14:textId="77777777" w:rsidR="004D15A9" w:rsidRPr="007861C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861C0">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F556B4A" w14:textId="5C13F5A4" w:rsidR="004D15A9" w:rsidRPr="007861C0" w:rsidRDefault="00B93CD2" w:rsidP="00B93CD2">
            <w:pPr>
              <w:spacing w:after="0" w:line="240" w:lineRule="auto"/>
              <w:jc w:val="both"/>
              <w:rPr>
                <w:rFonts w:ascii="Times New Roman" w:eastAsia="Times New Roman" w:hAnsi="Times New Roman" w:cs="Times New Roman"/>
                <w:color w:val="000000" w:themeColor="text1"/>
                <w:sz w:val="24"/>
                <w:szCs w:val="24"/>
                <w:lang w:eastAsia="lv-LV"/>
              </w:rPr>
            </w:pPr>
            <w:r w:rsidRPr="007861C0">
              <w:rPr>
                <w:rFonts w:ascii="Times New Roman" w:eastAsia="Times New Roman" w:hAnsi="Times New Roman" w:cs="Times New Roman"/>
                <w:color w:val="000000" w:themeColor="text1"/>
                <w:sz w:val="24"/>
                <w:szCs w:val="24"/>
                <w:lang w:eastAsia="lv-LV"/>
              </w:rPr>
              <w:t xml:space="preserve">Likumprojekts </w:t>
            </w:r>
            <w:r w:rsidR="004B7E74">
              <w:rPr>
                <w:rFonts w:ascii="Times New Roman" w:eastAsia="Times New Roman" w:hAnsi="Times New Roman" w:cs="Times New Roman"/>
                <w:color w:val="000000" w:themeColor="text1"/>
                <w:sz w:val="24"/>
                <w:szCs w:val="24"/>
                <w:lang w:eastAsia="lv-LV"/>
              </w:rPr>
              <w:t>"</w:t>
            </w:r>
            <w:r w:rsidRPr="007861C0">
              <w:rPr>
                <w:rFonts w:ascii="Times New Roman" w:eastAsia="Times New Roman" w:hAnsi="Times New Roman" w:cs="Times New Roman"/>
                <w:color w:val="000000" w:themeColor="text1"/>
                <w:sz w:val="24"/>
                <w:szCs w:val="24"/>
                <w:lang w:eastAsia="lv-LV"/>
              </w:rPr>
              <w:t>Grozījumi Maksātnespējas likumā</w:t>
            </w:r>
            <w:r w:rsidR="004B7E74">
              <w:rPr>
                <w:rFonts w:ascii="Times New Roman" w:eastAsia="Times New Roman" w:hAnsi="Times New Roman" w:cs="Times New Roman"/>
                <w:color w:val="000000" w:themeColor="text1"/>
                <w:sz w:val="24"/>
                <w:szCs w:val="24"/>
                <w:lang w:eastAsia="lv-LV"/>
              </w:rPr>
              <w:t>"</w:t>
            </w:r>
            <w:r w:rsidRPr="007861C0">
              <w:rPr>
                <w:rFonts w:ascii="Times New Roman" w:eastAsia="Times New Roman" w:hAnsi="Times New Roman" w:cs="Times New Roman"/>
                <w:color w:val="000000" w:themeColor="text1"/>
                <w:sz w:val="24"/>
                <w:szCs w:val="24"/>
                <w:lang w:eastAsia="lv-LV"/>
              </w:rPr>
              <w:t xml:space="preserve"> (turpmāk – likumprojekts) izstrādāts, pamatojoties uz Ministru kabineta 2014. gada 22. aprīļa sēdes protokola Nr. 24 26. § 2. un 3. punktu par nozaru administratīvo pārkāpumu kodifikācijas ieviešanas sistēmu, kā arī </w:t>
            </w:r>
            <w:r w:rsidR="00551E47">
              <w:rPr>
                <w:rFonts w:ascii="Times New Roman" w:eastAsia="Times New Roman" w:hAnsi="Times New Roman" w:cs="Times New Roman"/>
                <w:color w:val="000000" w:themeColor="text1"/>
                <w:sz w:val="24"/>
                <w:szCs w:val="24"/>
                <w:lang w:eastAsia="lv-LV"/>
              </w:rPr>
              <w:t xml:space="preserve">ar </w:t>
            </w:r>
            <w:r w:rsidRPr="007861C0">
              <w:rPr>
                <w:rFonts w:ascii="Times New Roman" w:eastAsia="Times New Roman" w:hAnsi="Times New Roman" w:cs="Times New Roman"/>
                <w:color w:val="000000" w:themeColor="text1"/>
                <w:sz w:val="24"/>
                <w:szCs w:val="24"/>
                <w:lang w:eastAsia="lv-LV"/>
              </w:rPr>
              <w:t>Ministru kabineta 2016. gada 21. septembr</w:t>
            </w:r>
            <w:r w:rsidR="00551E47">
              <w:rPr>
                <w:rFonts w:ascii="Times New Roman" w:eastAsia="Times New Roman" w:hAnsi="Times New Roman" w:cs="Times New Roman"/>
                <w:color w:val="000000" w:themeColor="text1"/>
                <w:sz w:val="24"/>
                <w:szCs w:val="24"/>
                <w:lang w:eastAsia="lv-LV"/>
              </w:rPr>
              <w:t>a rīkojumu Nr. 527</w:t>
            </w:r>
            <w:r w:rsidRPr="007861C0">
              <w:rPr>
                <w:rFonts w:ascii="Times New Roman" w:eastAsia="Times New Roman" w:hAnsi="Times New Roman" w:cs="Times New Roman"/>
                <w:color w:val="000000" w:themeColor="text1"/>
                <w:sz w:val="24"/>
                <w:szCs w:val="24"/>
                <w:lang w:eastAsia="lv-LV"/>
              </w:rPr>
              <w:t xml:space="preserve"> apstiprināto Maksātnespējas politikas attīstības pamatnostādņu 2016.-2020. gadam īstenošanas plāna 2.10.1. pasākumu </w:t>
            </w:r>
            <w:r w:rsidR="004B7E74">
              <w:rPr>
                <w:rFonts w:ascii="Times New Roman" w:eastAsia="Times New Roman" w:hAnsi="Times New Roman" w:cs="Times New Roman"/>
                <w:color w:val="000000" w:themeColor="text1"/>
                <w:sz w:val="24"/>
                <w:szCs w:val="24"/>
                <w:lang w:eastAsia="lv-LV"/>
              </w:rPr>
              <w:t>"</w:t>
            </w:r>
            <w:r w:rsidRPr="007861C0">
              <w:rPr>
                <w:rFonts w:ascii="Times New Roman" w:eastAsia="Times New Roman" w:hAnsi="Times New Roman" w:cs="Times New Roman"/>
                <w:color w:val="000000" w:themeColor="text1"/>
                <w:sz w:val="24"/>
                <w:szCs w:val="24"/>
                <w:lang w:eastAsia="lv-LV"/>
              </w:rPr>
              <w:t>Pārskatīt kārtību, kādā izskata strīdus par tiesībām kreditoru prasījumu atzīšanas procesā</w:t>
            </w:r>
            <w:r w:rsidR="004B7E74">
              <w:rPr>
                <w:rFonts w:ascii="Times New Roman" w:eastAsia="Times New Roman" w:hAnsi="Times New Roman" w:cs="Times New Roman"/>
                <w:color w:val="000000" w:themeColor="text1"/>
                <w:sz w:val="24"/>
                <w:szCs w:val="24"/>
                <w:lang w:eastAsia="lv-LV"/>
              </w:rPr>
              <w:t>"</w:t>
            </w:r>
            <w:r w:rsidR="00A670DE">
              <w:rPr>
                <w:rFonts w:ascii="Times New Roman" w:eastAsia="Times New Roman" w:hAnsi="Times New Roman" w:cs="Times New Roman"/>
                <w:color w:val="000000" w:themeColor="text1"/>
                <w:sz w:val="24"/>
                <w:szCs w:val="24"/>
                <w:lang w:eastAsia="lv-LV"/>
              </w:rPr>
              <w:t xml:space="preserve"> un 2.2.1. pasākumu </w:t>
            </w:r>
            <w:r w:rsidR="004B7E74">
              <w:rPr>
                <w:rFonts w:ascii="Times New Roman" w:eastAsia="Times New Roman" w:hAnsi="Times New Roman" w:cs="Times New Roman"/>
                <w:color w:val="000000" w:themeColor="text1"/>
                <w:sz w:val="24"/>
                <w:szCs w:val="24"/>
                <w:lang w:eastAsia="lv-LV"/>
              </w:rPr>
              <w:t>"</w:t>
            </w:r>
            <w:r w:rsidR="00327B2F">
              <w:rPr>
                <w:rFonts w:ascii="Times New Roman" w:eastAsia="Times New Roman" w:hAnsi="Times New Roman" w:cs="Times New Roman"/>
                <w:color w:val="000000" w:themeColor="text1"/>
                <w:sz w:val="24"/>
                <w:szCs w:val="24"/>
                <w:lang w:eastAsia="lv-LV"/>
              </w:rPr>
              <w:t xml:space="preserve">Veikt grozījumus </w:t>
            </w:r>
            <w:r w:rsidR="00B85035">
              <w:rPr>
                <w:rFonts w:ascii="Times New Roman" w:eastAsia="Times New Roman" w:hAnsi="Times New Roman" w:cs="Times New Roman"/>
                <w:color w:val="000000" w:themeColor="text1"/>
                <w:sz w:val="24"/>
                <w:szCs w:val="24"/>
                <w:lang w:eastAsia="lv-LV"/>
              </w:rPr>
              <w:t>Latvijas Administratīvo pārkāpumu kodeksā</w:t>
            </w:r>
            <w:r w:rsidR="00327B2F">
              <w:rPr>
                <w:rFonts w:ascii="Times New Roman" w:eastAsia="Times New Roman" w:hAnsi="Times New Roman" w:cs="Times New Roman"/>
                <w:color w:val="000000" w:themeColor="text1"/>
                <w:sz w:val="24"/>
                <w:szCs w:val="24"/>
                <w:lang w:eastAsia="lv-LV"/>
              </w:rPr>
              <w:t xml:space="preserve">, nododot administratīvās sodīšanas funkciju par maksātnespējas procesa pieteikuma neiesniegšanu </w:t>
            </w:r>
            <w:r w:rsidR="00B85035">
              <w:rPr>
                <w:rFonts w:ascii="Times New Roman" w:eastAsia="Times New Roman" w:hAnsi="Times New Roman" w:cs="Times New Roman"/>
                <w:color w:val="000000" w:themeColor="text1"/>
                <w:sz w:val="24"/>
                <w:szCs w:val="24"/>
                <w:lang w:eastAsia="lv-LV"/>
              </w:rPr>
              <w:t>Maksātnespējas administrācijai</w:t>
            </w:r>
            <w:r w:rsidR="004B7E74">
              <w:rPr>
                <w:rFonts w:ascii="Times New Roman" w:eastAsia="Times New Roman" w:hAnsi="Times New Roman" w:cs="Times New Roman"/>
                <w:color w:val="000000" w:themeColor="text1"/>
                <w:sz w:val="24"/>
                <w:szCs w:val="24"/>
                <w:lang w:eastAsia="lv-LV"/>
              </w:rPr>
              <w:t>"</w:t>
            </w:r>
            <w:r w:rsidRPr="007861C0">
              <w:rPr>
                <w:rFonts w:ascii="Times New Roman" w:eastAsia="Times New Roman" w:hAnsi="Times New Roman" w:cs="Times New Roman"/>
                <w:color w:val="000000" w:themeColor="text1"/>
                <w:sz w:val="24"/>
                <w:szCs w:val="24"/>
                <w:lang w:eastAsia="lv-LV"/>
              </w:rPr>
              <w:t>.</w:t>
            </w:r>
          </w:p>
        </w:tc>
      </w:tr>
      <w:tr w:rsidR="00CF058A" w:rsidRPr="00CF058A" w14:paraId="5EAA08DD"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D26796D" w14:textId="41EDEBB7" w:rsidR="007929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2.</w:t>
            </w:r>
          </w:p>
          <w:p w14:paraId="4F8BAA0B" w14:textId="77777777" w:rsidR="00792980" w:rsidRPr="00792980" w:rsidRDefault="00792980" w:rsidP="00792980">
            <w:pPr>
              <w:rPr>
                <w:rFonts w:ascii="Times New Roman" w:eastAsia="Times New Roman" w:hAnsi="Times New Roman" w:cs="Times New Roman"/>
                <w:sz w:val="24"/>
                <w:szCs w:val="24"/>
                <w:lang w:eastAsia="lv-LV"/>
              </w:rPr>
            </w:pPr>
          </w:p>
          <w:p w14:paraId="7D44A29C" w14:textId="77777777" w:rsidR="00792980" w:rsidRPr="00792980" w:rsidRDefault="00792980" w:rsidP="00792980">
            <w:pPr>
              <w:rPr>
                <w:rFonts w:ascii="Times New Roman" w:eastAsia="Times New Roman" w:hAnsi="Times New Roman" w:cs="Times New Roman"/>
                <w:sz w:val="24"/>
                <w:szCs w:val="24"/>
                <w:lang w:eastAsia="lv-LV"/>
              </w:rPr>
            </w:pPr>
          </w:p>
          <w:p w14:paraId="41116155" w14:textId="77777777" w:rsidR="00792980" w:rsidRPr="00792980" w:rsidRDefault="00792980" w:rsidP="00792980">
            <w:pPr>
              <w:rPr>
                <w:rFonts w:ascii="Times New Roman" w:eastAsia="Times New Roman" w:hAnsi="Times New Roman" w:cs="Times New Roman"/>
                <w:sz w:val="24"/>
                <w:szCs w:val="24"/>
                <w:lang w:eastAsia="lv-LV"/>
              </w:rPr>
            </w:pPr>
          </w:p>
          <w:p w14:paraId="0B169EB7" w14:textId="77777777" w:rsidR="00792980" w:rsidRPr="00792980" w:rsidRDefault="00792980" w:rsidP="00792980">
            <w:pPr>
              <w:rPr>
                <w:rFonts w:ascii="Times New Roman" w:eastAsia="Times New Roman" w:hAnsi="Times New Roman" w:cs="Times New Roman"/>
                <w:sz w:val="24"/>
                <w:szCs w:val="24"/>
                <w:lang w:eastAsia="lv-LV"/>
              </w:rPr>
            </w:pPr>
          </w:p>
          <w:p w14:paraId="38CF2245" w14:textId="77777777" w:rsidR="00792980" w:rsidRPr="00792980" w:rsidRDefault="00792980" w:rsidP="00792980">
            <w:pPr>
              <w:rPr>
                <w:rFonts w:ascii="Times New Roman" w:eastAsia="Times New Roman" w:hAnsi="Times New Roman" w:cs="Times New Roman"/>
                <w:sz w:val="24"/>
                <w:szCs w:val="24"/>
                <w:lang w:eastAsia="lv-LV"/>
              </w:rPr>
            </w:pPr>
          </w:p>
          <w:p w14:paraId="45DCD5F5" w14:textId="77777777" w:rsidR="00792980" w:rsidRPr="00792980" w:rsidRDefault="00792980" w:rsidP="00792980">
            <w:pPr>
              <w:rPr>
                <w:rFonts w:ascii="Times New Roman" w:eastAsia="Times New Roman" w:hAnsi="Times New Roman" w:cs="Times New Roman"/>
                <w:sz w:val="24"/>
                <w:szCs w:val="24"/>
                <w:lang w:eastAsia="lv-LV"/>
              </w:rPr>
            </w:pPr>
          </w:p>
          <w:p w14:paraId="25B442D5" w14:textId="77777777" w:rsidR="00792980" w:rsidRPr="00792980" w:rsidRDefault="00792980" w:rsidP="00792980">
            <w:pPr>
              <w:rPr>
                <w:rFonts w:ascii="Times New Roman" w:eastAsia="Times New Roman" w:hAnsi="Times New Roman" w:cs="Times New Roman"/>
                <w:sz w:val="24"/>
                <w:szCs w:val="24"/>
                <w:lang w:eastAsia="lv-LV"/>
              </w:rPr>
            </w:pPr>
          </w:p>
          <w:p w14:paraId="0B34EBE7" w14:textId="77777777" w:rsidR="00792980" w:rsidRPr="00792980" w:rsidRDefault="00792980" w:rsidP="00792980">
            <w:pPr>
              <w:rPr>
                <w:rFonts w:ascii="Times New Roman" w:eastAsia="Times New Roman" w:hAnsi="Times New Roman" w:cs="Times New Roman"/>
                <w:sz w:val="24"/>
                <w:szCs w:val="24"/>
                <w:lang w:eastAsia="lv-LV"/>
              </w:rPr>
            </w:pPr>
          </w:p>
          <w:p w14:paraId="327AFA17" w14:textId="77777777" w:rsidR="00792980" w:rsidRPr="00792980" w:rsidRDefault="00792980" w:rsidP="00792980">
            <w:pPr>
              <w:rPr>
                <w:rFonts w:ascii="Times New Roman" w:eastAsia="Times New Roman" w:hAnsi="Times New Roman" w:cs="Times New Roman"/>
                <w:sz w:val="24"/>
                <w:szCs w:val="24"/>
                <w:lang w:eastAsia="lv-LV"/>
              </w:rPr>
            </w:pPr>
          </w:p>
          <w:p w14:paraId="4E9BF382" w14:textId="77777777" w:rsidR="00792980" w:rsidRPr="00792980" w:rsidRDefault="00792980" w:rsidP="00792980">
            <w:pPr>
              <w:rPr>
                <w:rFonts w:ascii="Times New Roman" w:eastAsia="Times New Roman" w:hAnsi="Times New Roman" w:cs="Times New Roman"/>
                <w:sz w:val="24"/>
                <w:szCs w:val="24"/>
                <w:lang w:eastAsia="lv-LV"/>
              </w:rPr>
            </w:pPr>
          </w:p>
          <w:p w14:paraId="6A958639" w14:textId="77777777" w:rsidR="00792980" w:rsidRPr="00792980" w:rsidRDefault="00792980" w:rsidP="00792980">
            <w:pPr>
              <w:rPr>
                <w:rFonts w:ascii="Times New Roman" w:eastAsia="Times New Roman" w:hAnsi="Times New Roman" w:cs="Times New Roman"/>
                <w:sz w:val="24"/>
                <w:szCs w:val="24"/>
                <w:lang w:eastAsia="lv-LV"/>
              </w:rPr>
            </w:pPr>
          </w:p>
          <w:p w14:paraId="31B6559C" w14:textId="77777777" w:rsidR="00792980" w:rsidRPr="00792980" w:rsidRDefault="00792980" w:rsidP="00792980">
            <w:pPr>
              <w:rPr>
                <w:rFonts w:ascii="Times New Roman" w:eastAsia="Times New Roman" w:hAnsi="Times New Roman" w:cs="Times New Roman"/>
                <w:sz w:val="24"/>
                <w:szCs w:val="24"/>
                <w:lang w:eastAsia="lv-LV"/>
              </w:rPr>
            </w:pPr>
          </w:p>
          <w:p w14:paraId="682B3E1F" w14:textId="77777777" w:rsidR="00792980" w:rsidRPr="00792980" w:rsidRDefault="00792980" w:rsidP="00792980">
            <w:pPr>
              <w:rPr>
                <w:rFonts w:ascii="Times New Roman" w:eastAsia="Times New Roman" w:hAnsi="Times New Roman" w:cs="Times New Roman"/>
                <w:sz w:val="24"/>
                <w:szCs w:val="24"/>
                <w:lang w:eastAsia="lv-LV"/>
              </w:rPr>
            </w:pPr>
          </w:p>
          <w:p w14:paraId="052A23A7" w14:textId="77777777" w:rsidR="00792980" w:rsidRPr="00792980" w:rsidRDefault="00792980" w:rsidP="00792980">
            <w:pPr>
              <w:rPr>
                <w:rFonts w:ascii="Times New Roman" w:eastAsia="Times New Roman" w:hAnsi="Times New Roman" w:cs="Times New Roman"/>
                <w:sz w:val="24"/>
                <w:szCs w:val="24"/>
                <w:lang w:eastAsia="lv-LV"/>
              </w:rPr>
            </w:pPr>
          </w:p>
          <w:p w14:paraId="568EFE49" w14:textId="77777777" w:rsidR="00792980" w:rsidRPr="00792980" w:rsidRDefault="00792980" w:rsidP="00792980">
            <w:pPr>
              <w:rPr>
                <w:rFonts w:ascii="Times New Roman" w:eastAsia="Times New Roman" w:hAnsi="Times New Roman" w:cs="Times New Roman"/>
                <w:sz w:val="24"/>
                <w:szCs w:val="24"/>
                <w:lang w:eastAsia="lv-LV"/>
              </w:rPr>
            </w:pPr>
          </w:p>
          <w:p w14:paraId="5F78AF0F" w14:textId="3CA66575" w:rsidR="004D15A9" w:rsidRPr="00792980" w:rsidRDefault="004D15A9" w:rsidP="00792980">
            <w:pPr>
              <w:rPr>
                <w:rFonts w:ascii="Times New Roman" w:eastAsia="Times New Roman" w:hAnsi="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14:paraId="680D1F6A" w14:textId="3C16310C" w:rsidR="004811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48623748" w14:textId="77777777" w:rsidR="004811BA" w:rsidRPr="004D78D2" w:rsidRDefault="004811BA" w:rsidP="004D78D2">
            <w:pPr>
              <w:rPr>
                <w:rFonts w:ascii="Times New Roman" w:eastAsia="Times New Roman" w:hAnsi="Times New Roman" w:cs="Times New Roman"/>
                <w:sz w:val="24"/>
                <w:szCs w:val="24"/>
                <w:lang w:eastAsia="lv-LV"/>
              </w:rPr>
            </w:pPr>
          </w:p>
          <w:p w14:paraId="5496DB1C" w14:textId="77777777" w:rsidR="004811BA" w:rsidRPr="004D78D2" w:rsidRDefault="004811BA" w:rsidP="004D78D2">
            <w:pPr>
              <w:rPr>
                <w:rFonts w:ascii="Times New Roman" w:eastAsia="Times New Roman" w:hAnsi="Times New Roman" w:cs="Times New Roman"/>
                <w:sz w:val="24"/>
                <w:szCs w:val="24"/>
                <w:lang w:eastAsia="lv-LV"/>
              </w:rPr>
            </w:pPr>
          </w:p>
          <w:p w14:paraId="2ABF6A61" w14:textId="77777777" w:rsidR="004811BA" w:rsidRPr="004D78D2" w:rsidRDefault="004811BA" w:rsidP="004D78D2">
            <w:pPr>
              <w:rPr>
                <w:rFonts w:ascii="Times New Roman" w:eastAsia="Times New Roman" w:hAnsi="Times New Roman" w:cs="Times New Roman"/>
                <w:sz w:val="24"/>
                <w:szCs w:val="24"/>
                <w:lang w:eastAsia="lv-LV"/>
              </w:rPr>
            </w:pPr>
          </w:p>
          <w:p w14:paraId="7A07DB8A" w14:textId="77777777" w:rsidR="004811BA" w:rsidRPr="004D78D2" w:rsidRDefault="004811BA" w:rsidP="004D78D2">
            <w:pPr>
              <w:rPr>
                <w:rFonts w:ascii="Times New Roman" w:eastAsia="Times New Roman" w:hAnsi="Times New Roman" w:cs="Times New Roman"/>
                <w:sz w:val="24"/>
                <w:szCs w:val="24"/>
                <w:lang w:eastAsia="lv-LV"/>
              </w:rPr>
            </w:pPr>
          </w:p>
          <w:p w14:paraId="797F4CEA" w14:textId="77777777" w:rsidR="004811BA" w:rsidRPr="004D78D2" w:rsidRDefault="004811BA" w:rsidP="004D78D2">
            <w:pPr>
              <w:rPr>
                <w:rFonts w:ascii="Times New Roman" w:eastAsia="Times New Roman" w:hAnsi="Times New Roman" w:cs="Times New Roman"/>
                <w:sz w:val="24"/>
                <w:szCs w:val="24"/>
                <w:lang w:eastAsia="lv-LV"/>
              </w:rPr>
            </w:pPr>
          </w:p>
          <w:p w14:paraId="32116316" w14:textId="77777777" w:rsidR="004811BA" w:rsidRPr="004D78D2" w:rsidRDefault="004811BA" w:rsidP="004D78D2">
            <w:pPr>
              <w:rPr>
                <w:rFonts w:ascii="Times New Roman" w:eastAsia="Times New Roman" w:hAnsi="Times New Roman" w:cs="Times New Roman"/>
                <w:sz w:val="24"/>
                <w:szCs w:val="24"/>
                <w:lang w:eastAsia="lv-LV"/>
              </w:rPr>
            </w:pPr>
          </w:p>
          <w:p w14:paraId="57A2106C" w14:textId="77777777" w:rsidR="004811BA" w:rsidRPr="004D78D2" w:rsidRDefault="004811BA" w:rsidP="004D78D2">
            <w:pPr>
              <w:rPr>
                <w:rFonts w:ascii="Times New Roman" w:eastAsia="Times New Roman" w:hAnsi="Times New Roman" w:cs="Times New Roman"/>
                <w:sz w:val="24"/>
                <w:szCs w:val="24"/>
                <w:lang w:eastAsia="lv-LV"/>
              </w:rPr>
            </w:pPr>
          </w:p>
          <w:p w14:paraId="28A45834" w14:textId="77777777" w:rsidR="004811BA" w:rsidRPr="004D78D2" w:rsidRDefault="004811BA" w:rsidP="004D78D2">
            <w:pPr>
              <w:rPr>
                <w:rFonts w:ascii="Times New Roman" w:eastAsia="Times New Roman" w:hAnsi="Times New Roman" w:cs="Times New Roman"/>
                <w:sz w:val="24"/>
                <w:szCs w:val="24"/>
                <w:lang w:eastAsia="lv-LV"/>
              </w:rPr>
            </w:pPr>
          </w:p>
          <w:p w14:paraId="673E0C66" w14:textId="77777777" w:rsidR="004811BA" w:rsidRPr="004D78D2" w:rsidRDefault="004811BA" w:rsidP="004D78D2">
            <w:pPr>
              <w:rPr>
                <w:rFonts w:ascii="Times New Roman" w:eastAsia="Times New Roman" w:hAnsi="Times New Roman" w:cs="Times New Roman"/>
                <w:sz w:val="24"/>
                <w:szCs w:val="24"/>
                <w:lang w:eastAsia="lv-LV"/>
              </w:rPr>
            </w:pPr>
          </w:p>
          <w:p w14:paraId="75B61576" w14:textId="77777777" w:rsidR="004811BA" w:rsidRPr="004D78D2" w:rsidRDefault="004811BA" w:rsidP="004D78D2">
            <w:pPr>
              <w:rPr>
                <w:rFonts w:ascii="Times New Roman" w:eastAsia="Times New Roman" w:hAnsi="Times New Roman" w:cs="Times New Roman"/>
                <w:sz w:val="24"/>
                <w:szCs w:val="24"/>
                <w:lang w:eastAsia="lv-LV"/>
              </w:rPr>
            </w:pPr>
          </w:p>
          <w:p w14:paraId="06EE9C91" w14:textId="77777777" w:rsidR="004811BA" w:rsidRPr="004D78D2" w:rsidRDefault="004811BA" w:rsidP="004D78D2">
            <w:pPr>
              <w:rPr>
                <w:rFonts w:ascii="Times New Roman" w:eastAsia="Times New Roman" w:hAnsi="Times New Roman" w:cs="Times New Roman"/>
                <w:sz w:val="24"/>
                <w:szCs w:val="24"/>
                <w:lang w:eastAsia="lv-LV"/>
              </w:rPr>
            </w:pPr>
          </w:p>
          <w:p w14:paraId="11AF38DE" w14:textId="77777777" w:rsidR="004811BA" w:rsidRPr="004D78D2" w:rsidRDefault="004811BA" w:rsidP="004D78D2">
            <w:pPr>
              <w:rPr>
                <w:rFonts w:ascii="Times New Roman" w:eastAsia="Times New Roman" w:hAnsi="Times New Roman" w:cs="Times New Roman"/>
                <w:sz w:val="24"/>
                <w:szCs w:val="24"/>
                <w:lang w:eastAsia="lv-LV"/>
              </w:rPr>
            </w:pPr>
          </w:p>
          <w:p w14:paraId="57796B06" w14:textId="77777777" w:rsidR="004811BA" w:rsidRPr="004D78D2" w:rsidRDefault="004811BA" w:rsidP="00005E11">
            <w:pPr>
              <w:ind w:firstLine="720"/>
              <w:rPr>
                <w:rFonts w:ascii="Times New Roman" w:eastAsia="Times New Roman" w:hAnsi="Times New Roman" w:cs="Times New Roman"/>
                <w:sz w:val="24"/>
                <w:szCs w:val="24"/>
                <w:lang w:eastAsia="lv-LV"/>
              </w:rPr>
            </w:pPr>
          </w:p>
          <w:p w14:paraId="23DFD1F6" w14:textId="77777777" w:rsidR="004811BA" w:rsidRPr="004D78D2" w:rsidRDefault="004811BA" w:rsidP="0058530C">
            <w:pPr>
              <w:ind w:firstLine="720"/>
              <w:rPr>
                <w:rFonts w:ascii="Times New Roman" w:eastAsia="Times New Roman" w:hAnsi="Times New Roman" w:cs="Times New Roman"/>
                <w:sz w:val="24"/>
                <w:szCs w:val="24"/>
                <w:lang w:eastAsia="lv-LV"/>
              </w:rPr>
            </w:pPr>
          </w:p>
          <w:p w14:paraId="3059E4D6" w14:textId="77777777" w:rsidR="004811BA" w:rsidRPr="004D78D2" w:rsidRDefault="004811BA" w:rsidP="004D78D2">
            <w:pPr>
              <w:rPr>
                <w:rFonts w:ascii="Times New Roman" w:eastAsia="Times New Roman" w:hAnsi="Times New Roman" w:cs="Times New Roman"/>
                <w:sz w:val="24"/>
                <w:szCs w:val="24"/>
                <w:lang w:eastAsia="lv-LV"/>
              </w:rPr>
            </w:pPr>
          </w:p>
          <w:p w14:paraId="3A645D05" w14:textId="0567745D" w:rsidR="006D17B9" w:rsidRDefault="004811BA" w:rsidP="004D78D2">
            <w:pPr>
              <w:tabs>
                <w:tab w:val="left" w:pos="912"/>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64801F3E" w14:textId="77777777" w:rsidR="006D17B9" w:rsidRPr="006D17B9" w:rsidRDefault="006D17B9" w:rsidP="006D17B9">
            <w:pPr>
              <w:rPr>
                <w:rFonts w:ascii="Times New Roman" w:eastAsia="Times New Roman" w:hAnsi="Times New Roman" w:cs="Times New Roman"/>
                <w:sz w:val="24"/>
                <w:szCs w:val="24"/>
                <w:lang w:eastAsia="lv-LV"/>
              </w:rPr>
            </w:pPr>
          </w:p>
          <w:p w14:paraId="61710D79" w14:textId="77777777" w:rsidR="006D17B9" w:rsidRPr="006D17B9" w:rsidRDefault="006D17B9" w:rsidP="006D17B9">
            <w:pPr>
              <w:rPr>
                <w:rFonts w:ascii="Times New Roman" w:eastAsia="Times New Roman" w:hAnsi="Times New Roman" w:cs="Times New Roman"/>
                <w:sz w:val="24"/>
                <w:szCs w:val="24"/>
                <w:lang w:eastAsia="lv-LV"/>
              </w:rPr>
            </w:pPr>
          </w:p>
          <w:p w14:paraId="3DEA7B2A" w14:textId="77777777" w:rsidR="006D17B9" w:rsidRPr="006D17B9" w:rsidRDefault="006D17B9" w:rsidP="006D17B9">
            <w:pPr>
              <w:rPr>
                <w:rFonts w:ascii="Times New Roman" w:eastAsia="Times New Roman" w:hAnsi="Times New Roman" w:cs="Times New Roman"/>
                <w:sz w:val="24"/>
                <w:szCs w:val="24"/>
                <w:lang w:eastAsia="lv-LV"/>
              </w:rPr>
            </w:pPr>
          </w:p>
          <w:p w14:paraId="4702398A" w14:textId="77777777" w:rsidR="006D17B9" w:rsidRPr="006D17B9" w:rsidRDefault="006D17B9" w:rsidP="006D17B9">
            <w:pPr>
              <w:rPr>
                <w:rFonts w:ascii="Times New Roman" w:eastAsia="Times New Roman" w:hAnsi="Times New Roman" w:cs="Times New Roman"/>
                <w:sz w:val="24"/>
                <w:szCs w:val="24"/>
                <w:lang w:eastAsia="lv-LV"/>
              </w:rPr>
            </w:pPr>
          </w:p>
          <w:p w14:paraId="5C075096" w14:textId="77777777" w:rsidR="006D17B9" w:rsidRPr="006D17B9" w:rsidRDefault="006D17B9" w:rsidP="006D17B9">
            <w:pPr>
              <w:rPr>
                <w:rFonts w:ascii="Times New Roman" w:eastAsia="Times New Roman" w:hAnsi="Times New Roman" w:cs="Times New Roman"/>
                <w:sz w:val="24"/>
                <w:szCs w:val="24"/>
                <w:lang w:eastAsia="lv-LV"/>
              </w:rPr>
            </w:pPr>
          </w:p>
          <w:p w14:paraId="0D60009D" w14:textId="77777777" w:rsidR="006D17B9" w:rsidRPr="006D17B9" w:rsidRDefault="006D17B9" w:rsidP="006D17B9">
            <w:pPr>
              <w:rPr>
                <w:rFonts w:ascii="Times New Roman" w:eastAsia="Times New Roman" w:hAnsi="Times New Roman" w:cs="Times New Roman"/>
                <w:sz w:val="24"/>
                <w:szCs w:val="24"/>
                <w:lang w:eastAsia="lv-LV"/>
              </w:rPr>
            </w:pPr>
          </w:p>
          <w:p w14:paraId="3A704C4D" w14:textId="77777777" w:rsidR="006D17B9" w:rsidRPr="006D17B9" w:rsidRDefault="006D17B9" w:rsidP="006D17B9">
            <w:pPr>
              <w:rPr>
                <w:rFonts w:ascii="Times New Roman" w:eastAsia="Times New Roman" w:hAnsi="Times New Roman" w:cs="Times New Roman"/>
                <w:sz w:val="24"/>
                <w:szCs w:val="24"/>
                <w:lang w:eastAsia="lv-LV"/>
              </w:rPr>
            </w:pPr>
          </w:p>
          <w:p w14:paraId="117A2F4C" w14:textId="77777777" w:rsidR="006D17B9" w:rsidRPr="006D17B9" w:rsidRDefault="006D17B9" w:rsidP="006D17B9">
            <w:pPr>
              <w:rPr>
                <w:rFonts w:ascii="Times New Roman" w:eastAsia="Times New Roman" w:hAnsi="Times New Roman" w:cs="Times New Roman"/>
                <w:sz w:val="24"/>
                <w:szCs w:val="24"/>
                <w:lang w:eastAsia="lv-LV"/>
              </w:rPr>
            </w:pPr>
          </w:p>
          <w:p w14:paraId="0460D0BB" w14:textId="77777777" w:rsidR="006D17B9" w:rsidRPr="006D17B9" w:rsidRDefault="006D17B9" w:rsidP="006D17B9">
            <w:pPr>
              <w:rPr>
                <w:rFonts w:ascii="Times New Roman" w:eastAsia="Times New Roman" w:hAnsi="Times New Roman" w:cs="Times New Roman"/>
                <w:sz w:val="24"/>
                <w:szCs w:val="24"/>
                <w:lang w:eastAsia="lv-LV"/>
              </w:rPr>
            </w:pPr>
          </w:p>
          <w:p w14:paraId="1DE14388" w14:textId="77777777" w:rsidR="006D17B9" w:rsidRPr="006D17B9" w:rsidRDefault="006D17B9" w:rsidP="006D17B9">
            <w:pPr>
              <w:rPr>
                <w:rFonts w:ascii="Times New Roman" w:eastAsia="Times New Roman" w:hAnsi="Times New Roman" w:cs="Times New Roman"/>
                <w:sz w:val="24"/>
                <w:szCs w:val="24"/>
                <w:lang w:eastAsia="lv-LV"/>
              </w:rPr>
            </w:pPr>
          </w:p>
          <w:p w14:paraId="20F3F98A" w14:textId="77777777" w:rsidR="006D17B9" w:rsidRPr="006D17B9" w:rsidRDefault="006D17B9" w:rsidP="006D17B9">
            <w:pPr>
              <w:rPr>
                <w:rFonts w:ascii="Times New Roman" w:eastAsia="Times New Roman" w:hAnsi="Times New Roman" w:cs="Times New Roman"/>
                <w:sz w:val="24"/>
                <w:szCs w:val="24"/>
                <w:lang w:eastAsia="lv-LV"/>
              </w:rPr>
            </w:pPr>
          </w:p>
          <w:p w14:paraId="30DA072A" w14:textId="77777777" w:rsidR="006D17B9" w:rsidRPr="006D17B9" w:rsidRDefault="006D17B9" w:rsidP="006D17B9">
            <w:pPr>
              <w:rPr>
                <w:rFonts w:ascii="Times New Roman" w:eastAsia="Times New Roman" w:hAnsi="Times New Roman" w:cs="Times New Roman"/>
                <w:sz w:val="24"/>
                <w:szCs w:val="24"/>
                <w:lang w:eastAsia="lv-LV"/>
              </w:rPr>
            </w:pPr>
          </w:p>
          <w:p w14:paraId="50318B0B" w14:textId="77777777" w:rsidR="006D17B9" w:rsidRPr="006D17B9" w:rsidRDefault="006D17B9" w:rsidP="006D17B9">
            <w:pPr>
              <w:rPr>
                <w:rFonts w:ascii="Times New Roman" w:eastAsia="Times New Roman" w:hAnsi="Times New Roman" w:cs="Times New Roman"/>
                <w:sz w:val="24"/>
                <w:szCs w:val="24"/>
                <w:lang w:eastAsia="lv-LV"/>
              </w:rPr>
            </w:pPr>
          </w:p>
          <w:p w14:paraId="5679C1C8" w14:textId="77777777" w:rsidR="006D17B9" w:rsidRPr="006D17B9" w:rsidRDefault="006D17B9" w:rsidP="006D17B9">
            <w:pPr>
              <w:rPr>
                <w:rFonts w:ascii="Times New Roman" w:eastAsia="Times New Roman" w:hAnsi="Times New Roman" w:cs="Times New Roman"/>
                <w:sz w:val="24"/>
                <w:szCs w:val="24"/>
                <w:lang w:eastAsia="lv-LV"/>
              </w:rPr>
            </w:pPr>
          </w:p>
          <w:p w14:paraId="20ACE1BF" w14:textId="77777777" w:rsidR="006D17B9" w:rsidRPr="006D17B9" w:rsidRDefault="006D17B9" w:rsidP="006D17B9">
            <w:pPr>
              <w:rPr>
                <w:rFonts w:ascii="Times New Roman" w:eastAsia="Times New Roman" w:hAnsi="Times New Roman" w:cs="Times New Roman"/>
                <w:sz w:val="24"/>
                <w:szCs w:val="24"/>
                <w:lang w:eastAsia="lv-LV"/>
              </w:rPr>
            </w:pPr>
          </w:p>
          <w:p w14:paraId="4575749A" w14:textId="77777777" w:rsidR="006D17B9" w:rsidRPr="006D17B9" w:rsidRDefault="006D17B9" w:rsidP="006D17B9">
            <w:pPr>
              <w:rPr>
                <w:rFonts w:ascii="Times New Roman" w:eastAsia="Times New Roman" w:hAnsi="Times New Roman" w:cs="Times New Roman"/>
                <w:sz w:val="24"/>
                <w:szCs w:val="24"/>
                <w:lang w:eastAsia="lv-LV"/>
              </w:rPr>
            </w:pPr>
          </w:p>
          <w:p w14:paraId="18A0F96D" w14:textId="77777777" w:rsidR="006D17B9" w:rsidRPr="006D17B9" w:rsidRDefault="006D17B9" w:rsidP="006D17B9">
            <w:pPr>
              <w:rPr>
                <w:rFonts w:ascii="Times New Roman" w:eastAsia="Times New Roman" w:hAnsi="Times New Roman" w:cs="Times New Roman"/>
                <w:sz w:val="24"/>
                <w:szCs w:val="24"/>
                <w:lang w:eastAsia="lv-LV"/>
              </w:rPr>
            </w:pPr>
          </w:p>
          <w:p w14:paraId="3BB6F338" w14:textId="77777777" w:rsidR="006D17B9" w:rsidRPr="006D17B9" w:rsidRDefault="006D17B9" w:rsidP="006D17B9">
            <w:pPr>
              <w:rPr>
                <w:rFonts w:ascii="Times New Roman" w:eastAsia="Times New Roman" w:hAnsi="Times New Roman" w:cs="Times New Roman"/>
                <w:sz w:val="24"/>
                <w:szCs w:val="24"/>
                <w:lang w:eastAsia="lv-LV"/>
              </w:rPr>
            </w:pPr>
          </w:p>
          <w:p w14:paraId="57C687DE" w14:textId="77777777" w:rsidR="006D17B9" w:rsidRPr="006D17B9" w:rsidRDefault="006D17B9" w:rsidP="006D17B9">
            <w:pPr>
              <w:rPr>
                <w:rFonts w:ascii="Times New Roman" w:eastAsia="Times New Roman" w:hAnsi="Times New Roman" w:cs="Times New Roman"/>
                <w:sz w:val="24"/>
                <w:szCs w:val="24"/>
                <w:lang w:eastAsia="lv-LV"/>
              </w:rPr>
            </w:pPr>
          </w:p>
          <w:p w14:paraId="0CD34490" w14:textId="77777777" w:rsidR="006D17B9" w:rsidRPr="006D17B9" w:rsidRDefault="006D17B9" w:rsidP="006D17B9">
            <w:pPr>
              <w:rPr>
                <w:rFonts w:ascii="Times New Roman" w:eastAsia="Times New Roman" w:hAnsi="Times New Roman" w:cs="Times New Roman"/>
                <w:sz w:val="24"/>
                <w:szCs w:val="24"/>
                <w:lang w:eastAsia="lv-LV"/>
              </w:rPr>
            </w:pPr>
          </w:p>
          <w:p w14:paraId="5545BA28" w14:textId="77777777" w:rsidR="006D17B9" w:rsidRPr="006D17B9" w:rsidRDefault="006D17B9" w:rsidP="006D17B9">
            <w:pPr>
              <w:rPr>
                <w:rFonts w:ascii="Times New Roman" w:eastAsia="Times New Roman" w:hAnsi="Times New Roman" w:cs="Times New Roman"/>
                <w:sz w:val="24"/>
                <w:szCs w:val="24"/>
                <w:lang w:eastAsia="lv-LV"/>
              </w:rPr>
            </w:pPr>
          </w:p>
          <w:p w14:paraId="71AFC932" w14:textId="77777777" w:rsidR="006D17B9" w:rsidRPr="006D17B9" w:rsidRDefault="006D17B9" w:rsidP="006D17B9">
            <w:pPr>
              <w:rPr>
                <w:rFonts w:ascii="Times New Roman" w:eastAsia="Times New Roman" w:hAnsi="Times New Roman" w:cs="Times New Roman"/>
                <w:sz w:val="24"/>
                <w:szCs w:val="24"/>
                <w:lang w:eastAsia="lv-LV"/>
              </w:rPr>
            </w:pPr>
          </w:p>
          <w:p w14:paraId="6CE7B713" w14:textId="6B3AAD20" w:rsidR="006D17B9" w:rsidRDefault="006D17B9" w:rsidP="006D17B9">
            <w:pPr>
              <w:rPr>
                <w:rFonts w:ascii="Times New Roman" w:eastAsia="Times New Roman" w:hAnsi="Times New Roman" w:cs="Times New Roman"/>
                <w:sz w:val="24"/>
                <w:szCs w:val="24"/>
                <w:lang w:eastAsia="lv-LV"/>
              </w:rPr>
            </w:pPr>
          </w:p>
          <w:p w14:paraId="451099BD" w14:textId="634A4EE9" w:rsidR="004B7E74" w:rsidRDefault="004B7E74" w:rsidP="006D17B9">
            <w:pPr>
              <w:ind w:firstLine="720"/>
              <w:rPr>
                <w:rFonts w:ascii="Times New Roman" w:eastAsia="Times New Roman" w:hAnsi="Times New Roman" w:cs="Times New Roman"/>
                <w:sz w:val="24"/>
                <w:szCs w:val="24"/>
                <w:lang w:eastAsia="lv-LV"/>
              </w:rPr>
            </w:pPr>
          </w:p>
          <w:p w14:paraId="34C2262C" w14:textId="77777777" w:rsidR="004D15A9" w:rsidRPr="004B7E74" w:rsidRDefault="004D15A9" w:rsidP="004B7E74">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5A7B1706" w14:textId="77777777" w:rsidR="007861C0" w:rsidRPr="00CF058A" w:rsidRDefault="00CF058A" w:rsidP="007861C0">
            <w:pPr>
              <w:spacing w:after="0" w:line="240" w:lineRule="auto"/>
              <w:jc w:val="both"/>
              <w:rPr>
                <w:rFonts w:ascii="Times New Roman" w:eastAsia="Times New Roman" w:hAnsi="Times New Roman" w:cs="Times New Roman"/>
                <w:b/>
                <w:color w:val="000000" w:themeColor="text1"/>
                <w:sz w:val="24"/>
                <w:szCs w:val="24"/>
                <w:lang w:eastAsia="lv-LV"/>
              </w:rPr>
            </w:pPr>
            <w:r w:rsidRPr="00CF058A">
              <w:rPr>
                <w:rFonts w:ascii="Times New Roman" w:eastAsia="Times New Roman" w:hAnsi="Times New Roman" w:cs="Times New Roman"/>
                <w:b/>
                <w:color w:val="000000" w:themeColor="text1"/>
                <w:sz w:val="24"/>
                <w:szCs w:val="24"/>
                <w:lang w:eastAsia="lv-LV"/>
              </w:rPr>
              <w:lastRenderedPageBreak/>
              <w:t>Par kārtību</w:t>
            </w:r>
            <w:r w:rsidR="007861C0" w:rsidRPr="00CF058A">
              <w:rPr>
                <w:rFonts w:ascii="Times New Roman" w:eastAsia="Times New Roman" w:hAnsi="Times New Roman" w:cs="Times New Roman"/>
                <w:b/>
                <w:color w:val="000000" w:themeColor="text1"/>
                <w:sz w:val="24"/>
                <w:szCs w:val="24"/>
                <w:lang w:eastAsia="lv-LV"/>
              </w:rPr>
              <w:t>, kādā izskata strīdus par tiesībām kreditoru prasījumu atzīšanas procesā</w:t>
            </w:r>
          </w:p>
          <w:p w14:paraId="3F2F2223" w14:textId="1EEE76BB"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Maksātnespējas likuma</w:t>
            </w:r>
            <w:r w:rsidR="005D07E0">
              <w:rPr>
                <w:rFonts w:ascii="Times New Roman" w:eastAsia="Times New Roman" w:hAnsi="Times New Roman" w:cs="Times New Roman"/>
                <w:color w:val="000000" w:themeColor="text1"/>
                <w:sz w:val="24"/>
                <w:szCs w:val="24"/>
                <w:lang w:eastAsia="lv-LV"/>
              </w:rPr>
              <w:t xml:space="preserve"> (turpmāk - M</w:t>
            </w:r>
            <w:r w:rsidR="004D78D2">
              <w:rPr>
                <w:rFonts w:ascii="Times New Roman" w:eastAsia="Times New Roman" w:hAnsi="Times New Roman" w:cs="Times New Roman"/>
                <w:color w:val="000000" w:themeColor="text1"/>
                <w:sz w:val="24"/>
                <w:szCs w:val="24"/>
                <w:lang w:eastAsia="lv-LV"/>
              </w:rPr>
              <w:t>N</w:t>
            </w:r>
            <w:r w:rsidR="005D07E0">
              <w:rPr>
                <w:rFonts w:ascii="Times New Roman" w:eastAsia="Times New Roman" w:hAnsi="Times New Roman" w:cs="Times New Roman"/>
                <w:color w:val="000000" w:themeColor="text1"/>
                <w:sz w:val="24"/>
                <w:szCs w:val="24"/>
                <w:lang w:eastAsia="lv-LV"/>
              </w:rPr>
              <w:t>L)</w:t>
            </w:r>
            <w:r w:rsidRPr="00CF058A">
              <w:rPr>
                <w:rFonts w:ascii="Times New Roman" w:eastAsia="Times New Roman" w:hAnsi="Times New Roman" w:cs="Times New Roman"/>
                <w:color w:val="000000" w:themeColor="text1"/>
                <w:sz w:val="24"/>
                <w:szCs w:val="24"/>
                <w:lang w:eastAsia="lv-LV"/>
              </w:rPr>
              <w:t xml:space="preserve"> 75. panta pirmajā daļā ir noteikts, ka administrators pilnībā vai daļēji neatzīst kreditora prasījumu, par kuru pastāv strīds starp parādnieku un kreditoru. Savukārt no Civilprocesa likuma 363.</w:t>
            </w:r>
            <w:r w:rsidRPr="00CF058A">
              <w:rPr>
                <w:rFonts w:ascii="Times New Roman" w:eastAsia="Times New Roman" w:hAnsi="Times New Roman" w:cs="Times New Roman"/>
                <w:color w:val="000000" w:themeColor="text1"/>
                <w:sz w:val="24"/>
                <w:szCs w:val="24"/>
                <w:vertAlign w:val="superscript"/>
                <w:lang w:eastAsia="lv-LV"/>
              </w:rPr>
              <w:t>17</w:t>
            </w:r>
            <w:r w:rsidRPr="00CF058A">
              <w:rPr>
                <w:rFonts w:ascii="Times New Roman" w:eastAsia="Times New Roman" w:hAnsi="Times New Roman" w:cs="Times New Roman"/>
                <w:color w:val="000000" w:themeColor="text1"/>
                <w:sz w:val="24"/>
                <w:szCs w:val="24"/>
                <w:lang w:eastAsia="lv-LV"/>
              </w:rPr>
              <w:t> panta ceturtās daļas izriet, ka pieteikumu par strīda izšķiršanu pēc būtības kreditors ir tiesīgs vispārējā kārtībā iesniegt tikai pēc tam, kad tiesa ir uzsākusi izskatīt sūdzību par</w:t>
            </w:r>
            <w:r w:rsidR="0091793F" w:rsidRPr="00CF058A">
              <w:rPr>
                <w:rFonts w:ascii="Times New Roman" w:eastAsia="Times New Roman" w:hAnsi="Times New Roman" w:cs="Times New Roman"/>
                <w:color w:val="000000" w:themeColor="text1"/>
                <w:sz w:val="24"/>
                <w:szCs w:val="24"/>
                <w:lang w:eastAsia="lv-LV"/>
              </w:rPr>
              <w:t xml:space="preserve"> maksātnespējas procesa</w:t>
            </w:r>
            <w:r w:rsidRPr="00CF058A">
              <w:rPr>
                <w:rFonts w:ascii="Times New Roman" w:eastAsia="Times New Roman" w:hAnsi="Times New Roman" w:cs="Times New Roman"/>
                <w:color w:val="000000" w:themeColor="text1"/>
                <w:sz w:val="24"/>
                <w:szCs w:val="24"/>
                <w:lang w:eastAsia="lv-LV"/>
              </w:rPr>
              <w:t xml:space="preserve"> administratora </w:t>
            </w:r>
            <w:r w:rsidR="0091793F" w:rsidRPr="00CF058A">
              <w:rPr>
                <w:rFonts w:ascii="Times New Roman" w:eastAsia="Times New Roman" w:hAnsi="Times New Roman" w:cs="Times New Roman"/>
                <w:color w:val="000000" w:themeColor="text1"/>
                <w:sz w:val="24"/>
                <w:szCs w:val="24"/>
                <w:lang w:eastAsia="lv-LV"/>
              </w:rPr>
              <w:t xml:space="preserve">(turpmāk – administrators) </w:t>
            </w:r>
            <w:r w:rsidRPr="00CF058A">
              <w:rPr>
                <w:rFonts w:ascii="Times New Roman" w:eastAsia="Times New Roman" w:hAnsi="Times New Roman" w:cs="Times New Roman"/>
                <w:color w:val="000000" w:themeColor="text1"/>
                <w:sz w:val="24"/>
                <w:szCs w:val="24"/>
                <w:lang w:eastAsia="lv-LV"/>
              </w:rPr>
              <w:t>lēmumu un konstatējusi, ka pastāv strīds par tiesībām.</w:t>
            </w:r>
          </w:p>
          <w:p w14:paraId="0E3D7435" w14:textId="2E467899"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Likumprojekts paredz efektivizēt esošo kārtību, lai nodrošinātu ātrāku un vienkāršāku strīda izskatīšanu. </w:t>
            </w:r>
            <w:r w:rsidR="0097467D">
              <w:rPr>
                <w:rFonts w:ascii="Times New Roman" w:eastAsia="Times New Roman" w:hAnsi="Times New Roman" w:cs="Times New Roman"/>
                <w:color w:val="000000" w:themeColor="text1"/>
                <w:sz w:val="24"/>
                <w:szCs w:val="24"/>
                <w:lang w:eastAsia="lv-LV"/>
              </w:rPr>
              <w:t>G</w:t>
            </w:r>
            <w:r w:rsidRPr="00CF058A">
              <w:rPr>
                <w:rFonts w:ascii="Times New Roman" w:eastAsia="Times New Roman" w:hAnsi="Times New Roman" w:cs="Times New Roman"/>
                <w:color w:val="000000" w:themeColor="text1"/>
                <w:sz w:val="24"/>
                <w:szCs w:val="24"/>
                <w:lang w:eastAsia="lv-LV"/>
              </w:rPr>
              <w:t xml:space="preserve">rozījumi </w:t>
            </w:r>
            <w:r w:rsidR="004D78D2">
              <w:rPr>
                <w:rFonts w:ascii="Times New Roman" w:eastAsia="Times New Roman" w:hAnsi="Times New Roman" w:cs="Times New Roman"/>
                <w:color w:val="000000" w:themeColor="text1"/>
                <w:sz w:val="24"/>
                <w:szCs w:val="24"/>
                <w:lang w:eastAsia="lv-LV"/>
              </w:rPr>
              <w:t xml:space="preserve">MNL </w:t>
            </w:r>
            <w:r w:rsidR="0097467D">
              <w:rPr>
                <w:rFonts w:ascii="Times New Roman" w:eastAsia="Times New Roman" w:hAnsi="Times New Roman" w:cs="Times New Roman"/>
                <w:color w:val="000000" w:themeColor="text1"/>
                <w:sz w:val="24"/>
                <w:szCs w:val="24"/>
                <w:lang w:eastAsia="lv-LV"/>
              </w:rPr>
              <w:t xml:space="preserve">75., 78. un 80. pantā </w:t>
            </w:r>
            <w:r w:rsidRPr="00CF058A">
              <w:rPr>
                <w:rFonts w:ascii="Times New Roman" w:eastAsia="Times New Roman" w:hAnsi="Times New Roman" w:cs="Times New Roman"/>
                <w:color w:val="000000" w:themeColor="text1"/>
                <w:sz w:val="24"/>
                <w:szCs w:val="24"/>
                <w:lang w:eastAsia="lv-LV"/>
              </w:rPr>
              <w:t>galvenokārt paātrinātu to gadījumu atrisināšanu, kad nevienai no pusēm nav šaubas par strīda esamību, taču tā atrisināšanai ir nepieciešama tiesas iesaiste, vienlaikus saglabājot tiesības tiesai konstatēt, ka pastāv strīds par tiesībām.</w:t>
            </w:r>
          </w:p>
          <w:p w14:paraId="669FC069" w14:textId="41A9A286"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Ar saistīto likumprojektu </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Grozījumi Civilprocesa likumā</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 xml:space="preserve"> paredzēts ieviest pagaidu aizsardzības piemērošanu noteiktos gadījumos arī juridiskās personas un fiziskās personas maksātnespējas procesa lietās. Saistītā likumprojekt</w:t>
            </w:r>
            <w:r w:rsidR="00551E47">
              <w:rPr>
                <w:rFonts w:ascii="Times New Roman" w:eastAsia="Times New Roman" w:hAnsi="Times New Roman" w:cs="Times New Roman"/>
                <w:color w:val="000000" w:themeColor="text1"/>
                <w:sz w:val="24"/>
                <w:szCs w:val="24"/>
                <w:lang w:eastAsia="lv-LV"/>
              </w:rPr>
              <w:t>a</w:t>
            </w:r>
            <w:r w:rsidRPr="00CF058A">
              <w:rPr>
                <w:rFonts w:ascii="Times New Roman" w:eastAsia="Times New Roman" w:hAnsi="Times New Roman" w:cs="Times New Roman"/>
                <w:color w:val="000000" w:themeColor="text1"/>
                <w:sz w:val="24"/>
                <w:szCs w:val="24"/>
                <w:lang w:eastAsia="lv-LV"/>
              </w:rPr>
              <w:t xml:space="preserve"> </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Grozījumi Civilprocesa likumā</w:t>
            </w:r>
            <w:r w:rsidR="00A20652">
              <w:rPr>
                <w:rFonts w:ascii="Times New Roman" w:eastAsia="Times New Roman" w:hAnsi="Times New Roman" w:cs="Times New Roman"/>
                <w:color w:val="000000" w:themeColor="text1"/>
                <w:sz w:val="24"/>
                <w:szCs w:val="24"/>
                <w:lang w:eastAsia="lv-LV"/>
              </w:rPr>
              <w:t>"</w:t>
            </w:r>
            <w:r w:rsidR="00551E47">
              <w:rPr>
                <w:rFonts w:ascii="Times New Roman" w:eastAsia="Times New Roman" w:hAnsi="Times New Roman" w:cs="Times New Roman"/>
                <w:color w:val="000000" w:themeColor="text1"/>
                <w:sz w:val="24"/>
                <w:szCs w:val="24"/>
                <w:lang w:eastAsia="lv-LV"/>
              </w:rPr>
              <w:t xml:space="preserve"> 4. pantā</w:t>
            </w:r>
            <w:r w:rsidRPr="00CF058A">
              <w:rPr>
                <w:rFonts w:ascii="Times New Roman" w:eastAsia="Times New Roman" w:hAnsi="Times New Roman" w:cs="Times New Roman"/>
                <w:color w:val="000000" w:themeColor="text1"/>
                <w:sz w:val="24"/>
                <w:szCs w:val="24"/>
                <w:lang w:eastAsia="lv-LV"/>
              </w:rPr>
              <w:t xml:space="preserve"> noteikts, ka prasības pieteikumu un pieteikumu par pagaidu aizsardzības piemērošanu izskatīs tiesa, kurā iesniegta sūdzība par administratora lēmumu. Tādējādi grozījumi </w:t>
            </w:r>
            <w:r w:rsidR="004D78D2">
              <w:rPr>
                <w:rFonts w:ascii="Times New Roman" w:eastAsia="Times New Roman" w:hAnsi="Times New Roman" w:cs="Times New Roman"/>
                <w:color w:val="000000" w:themeColor="text1"/>
                <w:sz w:val="24"/>
                <w:szCs w:val="24"/>
                <w:lang w:eastAsia="lv-LV"/>
              </w:rPr>
              <w:t xml:space="preserve">MNL </w:t>
            </w:r>
            <w:r w:rsidR="002E3820">
              <w:rPr>
                <w:rFonts w:ascii="Times New Roman" w:eastAsia="Times New Roman" w:hAnsi="Times New Roman" w:cs="Times New Roman"/>
                <w:color w:val="000000" w:themeColor="text1"/>
                <w:sz w:val="24"/>
                <w:szCs w:val="24"/>
                <w:lang w:eastAsia="lv-LV"/>
              </w:rPr>
              <w:t xml:space="preserve">80. pantā </w:t>
            </w:r>
            <w:r w:rsidRPr="00CF058A">
              <w:rPr>
                <w:rFonts w:ascii="Times New Roman" w:eastAsia="Times New Roman" w:hAnsi="Times New Roman" w:cs="Times New Roman"/>
                <w:color w:val="000000" w:themeColor="text1"/>
                <w:sz w:val="24"/>
                <w:szCs w:val="24"/>
                <w:lang w:eastAsia="lv-LV"/>
              </w:rPr>
              <w:t xml:space="preserve">paredz, ka kreditors vai parādnieka pārstāvis ir tiesīgs vienlaikus iesniegt sūdzību par administratora lēmumu, prasības pieteikumu un pieteikumu par pagaidu aizsardzības piemērošanu, lai nodrošinātu </w:t>
            </w:r>
            <w:r w:rsidRPr="00CF058A">
              <w:rPr>
                <w:rFonts w:ascii="Times New Roman" w:eastAsia="Times New Roman" w:hAnsi="Times New Roman" w:cs="Times New Roman"/>
                <w:color w:val="000000" w:themeColor="text1"/>
                <w:sz w:val="24"/>
                <w:szCs w:val="24"/>
                <w:lang w:eastAsia="lv-LV"/>
              </w:rPr>
              <w:lastRenderedPageBreak/>
              <w:t xml:space="preserve">efektīvāku jautājuma izlemšanu kopumā. Likumprojektā </w:t>
            </w:r>
            <w:r w:rsidR="002E3820">
              <w:rPr>
                <w:rFonts w:ascii="Times New Roman" w:eastAsia="Times New Roman" w:hAnsi="Times New Roman" w:cs="Times New Roman"/>
                <w:color w:val="000000" w:themeColor="text1"/>
                <w:sz w:val="24"/>
                <w:szCs w:val="24"/>
                <w:lang w:eastAsia="lv-LV"/>
              </w:rPr>
              <w:t>detalizēti noteikti</w:t>
            </w:r>
            <w:r w:rsidRPr="00CF058A">
              <w:rPr>
                <w:rFonts w:ascii="Times New Roman" w:eastAsia="Times New Roman" w:hAnsi="Times New Roman" w:cs="Times New Roman"/>
                <w:color w:val="000000" w:themeColor="text1"/>
                <w:sz w:val="24"/>
                <w:szCs w:val="24"/>
                <w:lang w:eastAsia="lv-LV"/>
              </w:rPr>
              <w:t xml:space="preserve"> gadījumi, kad </w:t>
            </w:r>
            <w:r w:rsidR="002E3820">
              <w:rPr>
                <w:rFonts w:ascii="Times New Roman" w:eastAsia="Times New Roman" w:hAnsi="Times New Roman" w:cs="Times New Roman"/>
                <w:color w:val="000000" w:themeColor="text1"/>
                <w:sz w:val="24"/>
                <w:szCs w:val="24"/>
                <w:lang w:eastAsia="lv-LV"/>
              </w:rPr>
              <w:t xml:space="preserve">konkrētas </w:t>
            </w:r>
            <w:r w:rsidRPr="00CF058A">
              <w:rPr>
                <w:rFonts w:ascii="Times New Roman" w:eastAsia="Times New Roman" w:hAnsi="Times New Roman" w:cs="Times New Roman"/>
                <w:color w:val="000000" w:themeColor="text1"/>
                <w:sz w:val="24"/>
                <w:szCs w:val="24"/>
                <w:lang w:eastAsia="lv-LV"/>
              </w:rPr>
              <w:t xml:space="preserve">iesaistītās personas ir tiesīgas vienlaikus ar sūdzību par administratora lēmumu iesniegt prasību par strīda izskatīšanu par tiesībām, un kad – lūgumu par pagaidu aizsardzības noteikšanu. Papildus, lai nodrošinātu efektīvāku jautājuma izskatīšanu tiesā, kā arī, ņemot vērā </w:t>
            </w:r>
            <w:r w:rsidR="004D78D2">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73. panta sestajā un 6.</w:t>
            </w:r>
            <w:r w:rsidRPr="00CF058A">
              <w:rPr>
                <w:rFonts w:ascii="Times New Roman" w:eastAsia="Times New Roman" w:hAnsi="Times New Roman" w:cs="Times New Roman"/>
                <w:color w:val="000000" w:themeColor="text1"/>
                <w:sz w:val="24"/>
                <w:szCs w:val="24"/>
                <w:vertAlign w:val="superscript"/>
                <w:lang w:eastAsia="lv-LV"/>
              </w:rPr>
              <w:t>1</w:t>
            </w:r>
            <w:r w:rsidRPr="00CF058A">
              <w:rPr>
                <w:rFonts w:ascii="Times New Roman" w:eastAsia="Times New Roman" w:hAnsi="Times New Roman" w:cs="Times New Roman"/>
                <w:color w:val="000000" w:themeColor="text1"/>
                <w:sz w:val="24"/>
                <w:szCs w:val="24"/>
                <w:lang w:eastAsia="lv-LV"/>
              </w:rPr>
              <w:t> daļā paredzēto pienākumu iesniegt kreditoru prasījumu pamatojošos dokumentus, likumprojekts</w:t>
            </w:r>
            <w:r w:rsidR="002E3820">
              <w:rPr>
                <w:rFonts w:ascii="Times New Roman" w:eastAsia="Times New Roman" w:hAnsi="Times New Roman" w:cs="Times New Roman"/>
                <w:color w:val="000000" w:themeColor="text1"/>
                <w:sz w:val="24"/>
                <w:szCs w:val="24"/>
                <w:lang w:eastAsia="lv-LV"/>
              </w:rPr>
              <w:t xml:space="preserve"> (grozījums, lai papildinātu </w:t>
            </w:r>
            <w:r w:rsidR="004D78D2">
              <w:rPr>
                <w:rFonts w:ascii="Times New Roman" w:eastAsia="Times New Roman" w:hAnsi="Times New Roman" w:cs="Times New Roman"/>
                <w:color w:val="000000" w:themeColor="text1"/>
                <w:sz w:val="24"/>
                <w:szCs w:val="24"/>
                <w:lang w:eastAsia="lv-LV"/>
              </w:rPr>
              <w:t xml:space="preserve">MNL </w:t>
            </w:r>
            <w:r w:rsidR="002E3820">
              <w:rPr>
                <w:rFonts w:ascii="Times New Roman" w:eastAsia="Times New Roman" w:hAnsi="Times New Roman" w:cs="Times New Roman"/>
                <w:color w:val="000000" w:themeColor="text1"/>
                <w:sz w:val="24"/>
                <w:szCs w:val="24"/>
                <w:lang w:eastAsia="lv-LV"/>
              </w:rPr>
              <w:t>80. pantu ar 1.</w:t>
            </w:r>
            <w:r w:rsidR="002E3820">
              <w:rPr>
                <w:rFonts w:ascii="Times New Roman" w:eastAsia="Times New Roman" w:hAnsi="Times New Roman" w:cs="Times New Roman"/>
                <w:color w:val="000000" w:themeColor="text1"/>
                <w:sz w:val="24"/>
                <w:szCs w:val="24"/>
                <w:vertAlign w:val="superscript"/>
                <w:lang w:eastAsia="lv-LV"/>
              </w:rPr>
              <w:t>2</w:t>
            </w:r>
            <w:r w:rsidR="002E3820">
              <w:rPr>
                <w:rFonts w:ascii="Times New Roman" w:eastAsia="Times New Roman" w:hAnsi="Times New Roman" w:cs="Times New Roman"/>
                <w:color w:val="000000" w:themeColor="text1"/>
                <w:sz w:val="24"/>
                <w:szCs w:val="24"/>
                <w:lang w:eastAsia="lv-LV"/>
              </w:rPr>
              <w:t> daļu)</w:t>
            </w:r>
            <w:r w:rsidRPr="00CF058A">
              <w:rPr>
                <w:rFonts w:ascii="Times New Roman" w:eastAsia="Times New Roman" w:hAnsi="Times New Roman" w:cs="Times New Roman"/>
                <w:color w:val="000000" w:themeColor="text1"/>
                <w:sz w:val="24"/>
                <w:szCs w:val="24"/>
                <w:lang w:eastAsia="lv-LV"/>
              </w:rPr>
              <w:t xml:space="preserve"> paredz, ka kreditors tiesā var iesn</w:t>
            </w:r>
            <w:bookmarkStart w:id="0" w:name="_GoBack"/>
            <w:bookmarkEnd w:id="0"/>
            <w:r w:rsidRPr="00CF058A">
              <w:rPr>
                <w:rFonts w:ascii="Times New Roman" w:eastAsia="Times New Roman" w:hAnsi="Times New Roman" w:cs="Times New Roman"/>
                <w:color w:val="000000" w:themeColor="text1"/>
                <w:sz w:val="24"/>
                <w:szCs w:val="24"/>
                <w:lang w:eastAsia="lv-LV"/>
              </w:rPr>
              <w:t>iegt tikai tos dokumentus, kas viņa rīcībā kreditora prasījuma iesniegšanas brīdī nebija objektīvu apsvērumu dēļ.</w:t>
            </w:r>
          </w:p>
          <w:p w14:paraId="19A56DF7" w14:textId="13D2C858"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Attiecīgi likumprojekts </w:t>
            </w:r>
            <w:r w:rsidR="002E3820">
              <w:rPr>
                <w:rFonts w:ascii="Times New Roman" w:eastAsia="Times New Roman" w:hAnsi="Times New Roman" w:cs="Times New Roman"/>
                <w:color w:val="000000" w:themeColor="text1"/>
                <w:sz w:val="24"/>
                <w:szCs w:val="24"/>
                <w:lang w:eastAsia="lv-LV"/>
              </w:rPr>
              <w:t xml:space="preserve">(grozījums, kas paredz papildināt </w:t>
            </w:r>
            <w:r w:rsidR="004D78D2">
              <w:rPr>
                <w:rFonts w:ascii="Times New Roman" w:eastAsia="Times New Roman" w:hAnsi="Times New Roman" w:cs="Times New Roman"/>
                <w:color w:val="000000" w:themeColor="text1"/>
                <w:sz w:val="24"/>
                <w:szCs w:val="24"/>
                <w:lang w:eastAsia="lv-LV"/>
              </w:rPr>
              <w:t xml:space="preserve">MNL </w:t>
            </w:r>
            <w:r w:rsidR="002E3820">
              <w:rPr>
                <w:rFonts w:ascii="Times New Roman" w:eastAsia="Times New Roman" w:hAnsi="Times New Roman" w:cs="Times New Roman"/>
                <w:color w:val="000000" w:themeColor="text1"/>
                <w:sz w:val="24"/>
                <w:szCs w:val="24"/>
                <w:lang w:eastAsia="lv-LV"/>
              </w:rPr>
              <w:t xml:space="preserve">75. pantu ar </w:t>
            </w:r>
            <w:r w:rsidR="00551E47">
              <w:rPr>
                <w:rFonts w:ascii="Times New Roman" w:eastAsia="Times New Roman" w:hAnsi="Times New Roman" w:cs="Times New Roman"/>
                <w:color w:val="000000" w:themeColor="text1"/>
                <w:sz w:val="24"/>
                <w:szCs w:val="24"/>
                <w:lang w:eastAsia="lv-LV"/>
              </w:rPr>
              <w:t xml:space="preserve">desmito </w:t>
            </w:r>
            <w:r w:rsidR="002E3820">
              <w:rPr>
                <w:rFonts w:ascii="Times New Roman" w:eastAsia="Times New Roman" w:hAnsi="Times New Roman" w:cs="Times New Roman"/>
                <w:color w:val="000000" w:themeColor="text1"/>
                <w:sz w:val="24"/>
                <w:szCs w:val="24"/>
                <w:lang w:eastAsia="lv-LV"/>
              </w:rPr>
              <w:t xml:space="preserve">daļu) </w:t>
            </w:r>
            <w:r w:rsidRPr="00CF058A">
              <w:rPr>
                <w:rFonts w:ascii="Times New Roman" w:eastAsia="Times New Roman" w:hAnsi="Times New Roman" w:cs="Times New Roman"/>
                <w:color w:val="000000" w:themeColor="text1"/>
                <w:sz w:val="24"/>
                <w:szCs w:val="24"/>
                <w:lang w:eastAsia="lv-LV"/>
              </w:rPr>
              <w:t>paredz administratoram tiesības jau sākotnēji lēmumā par kreditora prasījuma neatzīšanu vai daļēju atzīšanu norādīt, vai ir konstatējams iespējamais strīds par tiesībām.</w:t>
            </w:r>
          </w:p>
          <w:p w14:paraId="7A784CD5" w14:textId="77777777"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Praksē konstatētas situācijas, kad administrators pieņem lēmumu par kreditora prasījuma atzīšanu, tomēr atzīstot kreditoru par nenodrošināto, nevis nodrošināto kreditoru. Savukārt tiesu praksē šādi lēmumi netiek uzskatīti par tādiem, kas prasījumus atzīst daļēji, līdz ar ko gadījumā, kad iespējamais nodrošinātais kreditors ir atzīts par nenodrošināto kreditoru, viņam nav iespējas panākt administratora lēmuma atcelšanu. Šāda interpretācija būtiski ietekmē kreditora intereses. Ievērojot minēto, likumprojektā piešķirtas tiesības kreditoram iesniegt sūdzību arī par sava prasījuma atzīšanu.</w:t>
            </w:r>
          </w:p>
          <w:p w14:paraId="742878BE" w14:textId="77777777"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Likumprojektā papildus noteiktas prasības administratora lēmumam, ja tas tiek sastādīts rakstveidā, kas nodrošinās to, ka kreditors tiek skaidrāk informēts par lēmuma būtību un ka administratora lēmumā tiek ietverta visaptveroša informācija.</w:t>
            </w:r>
          </w:p>
          <w:p w14:paraId="4FAD0A7B" w14:textId="337355D0"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Likumprojektā paredzēta iespēja, ka administrators, saņemot tiesas nolēmumu, ar kuru izlemts strīds par tiesībām, </w:t>
            </w:r>
            <w:r w:rsidR="00551E47">
              <w:rPr>
                <w:rFonts w:ascii="Times New Roman" w:eastAsia="Times New Roman" w:hAnsi="Times New Roman" w:cs="Times New Roman"/>
                <w:color w:val="000000" w:themeColor="text1"/>
                <w:sz w:val="24"/>
                <w:szCs w:val="24"/>
                <w:lang w:eastAsia="lv-LV"/>
              </w:rPr>
              <w:t>var nepieņemt atsevišķu lēmumu, bet tikai izdarīt</w:t>
            </w:r>
            <w:r w:rsidRPr="00CF058A">
              <w:rPr>
                <w:rFonts w:ascii="Times New Roman" w:eastAsia="Times New Roman" w:hAnsi="Times New Roman" w:cs="Times New Roman"/>
                <w:color w:val="000000" w:themeColor="text1"/>
                <w:sz w:val="24"/>
                <w:szCs w:val="24"/>
                <w:lang w:eastAsia="lv-LV"/>
              </w:rPr>
              <w:t xml:space="preserve"> izmaiņas kreditoru prasījumu reģistrā. Grozījumi nodrošinātu efektīvāku kreditora, par kura prasījumu bija strīds, tiesību noteikšanu, jo administratora rīcībā jau būtu visa nepieciešamā informācija.</w:t>
            </w:r>
          </w:p>
          <w:p w14:paraId="3C77FB75" w14:textId="61C4A7C1"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Pagaidu aizsardzības līdzeklis</w:t>
            </w:r>
            <w:r w:rsidR="00551E47">
              <w:rPr>
                <w:rFonts w:ascii="Times New Roman" w:eastAsia="Times New Roman" w:hAnsi="Times New Roman" w:cs="Times New Roman"/>
                <w:color w:val="000000" w:themeColor="text1"/>
                <w:sz w:val="24"/>
                <w:szCs w:val="24"/>
                <w:lang w:eastAsia="lv-LV"/>
              </w:rPr>
              <w:t xml:space="preserve"> un pagaidu lēmums</w:t>
            </w:r>
            <w:r w:rsidRPr="00CF058A">
              <w:rPr>
                <w:rFonts w:ascii="Times New Roman" w:eastAsia="Times New Roman" w:hAnsi="Times New Roman" w:cs="Times New Roman"/>
                <w:color w:val="000000" w:themeColor="text1"/>
                <w:sz w:val="24"/>
                <w:szCs w:val="24"/>
                <w:lang w:eastAsia="lv-LV"/>
              </w:rPr>
              <w:t xml:space="preserve"> maksātnespējas procesa lietās ir tāds līdzeklis</w:t>
            </w:r>
            <w:r w:rsidR="00551E47">
              <w:rPr>
                <w:rFonts w:ascii="Times New Roman" w:eastAsia="Times New Roman" w:hAnsi="Times New Roman" w:cs="Times New Roman"/>
                <w:color w:val="000000" w:themeColor="text1"/>
                <w:sz w:val="24"/>
                <w:szCs w:val="24"/>
                <w:lang w:eastAsia="lv-LV"/>
              </w:rPr>
              <w:t xml:space="preserve"> un lēmums</w:t>
            </w:r>
            <w:r w:rsidRPr="00CF058A">
              <w:rPr>
                <w:rFonts w:ascii="Times New Roman" w:eastAsia="Times New Roman" w:hAnsi="Times New Roman" w:cs="Times New Roman"/>
                <w:color w:val="000000" w:themeColor="text1"/>
                <w:sz w:val="24"/>
                <w:szCs w:val="24"/>
                <w:lang w:eastAsia="lv-LV"/>
              </w:rPr>
              <w:t>, kuru piemērojot, tiks ietekmētas ne tikai attiecīgā kreditora intereses, bet gan – visu kreditoru kā kopuma. Tādējādi, piešķirot vai atņemot kreditoram tiesības kā pagaidu aizsardzīb</w:t>
            </w:r>
            <w:r w:rsidR="001D5777">
              <w:rPr>
                <w:rFonts w:ascii="Times New Roman" w:eastAsia="Times New Roman" w:hAnsi="Times New Roman" w:cs="Times New Roman"/>
                <w:color w:val="000000" w:themeColor="text1"/>
                <w:sz w:val="24"/>
                <w:szCs w:val="24"/>
                <w:lang w:eastAsia="lv-LV"/>
              </w:rPr>
              <w:t>u</w:t>
            </w:r>
            <w:r w:rsidRPr="00CF058A">
              <w:rPr>
                <w:rFonts w:ascii="Times New Roman" w:eastAsia="Times New Roman" w:hAnsi="Times New Roman" w:cs="Times New Roman"/>
                <w:color w:val="000000" w:themeColor="text1"/>
                <w:sz w:val="24"/>
                <w:szCs w:val="24"/>
                <w:lang w:eastAsia="lv-LV"/>
              </w:rPr>
              <w:t>, informācija ir sniedzama visiem kreditoriem. Līdz ar to likumprojekts paredz papildināt kreditoru prasījumu reģistrā norādāmo informāciju, papildus ietverot nepieciešamību izdarīt atzīmi par pagaidu aizsardzības piemērošanu.</w:t>
            </w:r>
          </w:p>
          <w:p w14:paraId="61F68B1F" w14:textId="534E6CB9"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lastRenderedPageBreak/>
              <w:t xml:space="preserve">Likumprojekts arīdzan paredz precizējošu grozījumu </w:t>
            </w:r>
            <w:r w:rsidR="004D78D2">
              <w:rPr>
                <w:rFonts w:ascii="Times New Roman" w:eastAsia="Times New Roman" w:hAnsi="Times New Roman" w:cs="Times New Roman"/>
                <w:color w:val="000000" w:themeColor="text1"/>
                <w:sz w:val="24"/>
                <w:szCs w:val="24"/>
                <w:lang w:eastAsia="lv-LV"/>
              </w:rPr>
              <w:t xml:space="preserve">MNL </w:t>
            </w:r>
            <w:r w:rsidRPr="00CF058A">
              <w:rPr>
                <w:rFonts w:ascii="Times New Roman" w:eastAsia="Times New Roman" w:hAnsi="Times New Roman" w:cs="Times New Roman"/>
                <w:color w:val="000000" w:themeColor="text1"/>
                <w:sz w:val="24"/>
                <w:szCs w:val="24"/>
                <w:lang w:eastAsia="lv-LV"/>
              </w:rPr>
              <w:t>75. panta 4.</w:t>
            </w:r>
            <w:r w:rsidRPr="00CF058A">
              <w:rPr>
                <w:rFonts w:ascii="Times New Roman" w:eastAsia="Times New Roman" w:hAnsi="Times New Roman" w:cs="Times New Roman"/>
                <w:color w:val="000000" w:themeColor="text1"/>
                <w:sz w:val="24"/>
                <w:szCs w:val="24"/>
                <w:vertAlign w:val="superscript"/>
                <w:lang w:eastAsia="lv-LV"/>
              </w:rPr>
              <w:t>1</w:t>
            </w:r>
            <w:r w:rsidRPr="00CF058A">
              <w:rPr>
                <w:rFonts w:ascii="Times New Roman" w:eastAsia="Times New Roman" w:hAnsi="Times New Roman" w:cs="Times New Roman"/>
                <w:color w:val="000000" w:themeColor="text1"/>
                <w:sz w:val="24"/>
                <w:szCs w:val="24"/>
                <w:lang w:eastAsia="lv-LV"/>
              </w:rPr>
              <w:t xml:space="preserve"> daļā, ņemot vērā </w:t>
            </w:r>
            <w:r w:rsidR="004D78D2">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80. pantā un Civilprocesa likuma 363.</w:t>
            </w:r>
            <w:r w:rsidRPr="00CF058A">
              <w:rPr>
                <w:rFonts w:ascii="Times New Roman" w:eastAsia="Times New Roman" w:hAnsi="Times New Roman" w:cs="Times New Roman"/>
                <w:color w:val="000000" w:themeColor="text1"/>
                <w:sz w:val="24"/>
                <w:szCs w:val="24"/>
                <w:vertAlign w:val="superscript"/>
                <w:lang w:eastAsia="lv-LV"/>
              </w:rPr>
              <w:t>17</w:t>
            </w:r>
            <w:r w:rsidRPr="00CF058A">
              <w:rPr>
                <w:rFonts w:ascii="Times New Roman" w:eastAsia="Times New Roman" w:hAnsi="Times New Roman" w:cs="Times New Roman"/>
                <w:color w:val="000000" w:themeColor="text1"/>
                <w:sz w:val="24"/>
                <w:szCs w:val="24"/>
                <w:lang w:eastAsia="lv-LV"/>
              </w:rPr>
              <w:t> pantā lietoto terminoloģiju. Proti, minētā norma precizējama, jo persona, pārsūdzot administratora lēmumu, tiesā iesniedz procesuālu dokumentu – sūdzību.</w:t>
            </w:r>
          </w:p>
          <w:p w14:paraId="4A441960" w14:textId="2A7C03AD" w:rsidR="007861C0" w:rsidRPr="00CF058A" w:rsidRDefault="00F81D61" w:rsidP="007861C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w:t>
            </w:r>
            <w:r w:rsidR="007861C0" w:rsidRPr="00CF058A">
              <w:rPr>
                <w:rFonts w:ascii="Times New Roman" w:eastAsia="Times New Roman" w:hAnsi="Times New Roman" w:cs="Times New Roman"/>
                <w:color w:val="000000" w:themeColor="text1"/>
                <w:sz w:val="24"/>
                <w:szCs w:val="24"/>
                <w:lang w:eastAsia="lv-LV"/>
              </w:rPr>
              <w:t>ikumprojektā paredzēts īss termiņš, kādā jāveic grozījumi kreditoru prasījumu reģistrā. Tāpat papildināts to personu loks, kurām administratoram ir pienākums nosūtīt kreditoru prasījumu reģistru gan sākotnēji, gan katru reizi, kad tas tiek precizēts. Tiesai kreditoru prasījumu reģistrs ir nepieciešams, lai bez liekas vilcināšanās varētu izvērtēt interešu konflikta esamību. Savukārt Maksātnespējas administrācija kreditoru prasījumu reģistrus izmanto, īstenojot administratoru uzraudzību. Šāds papildu pienākums neradīs nesamērīgus maksātnespējas procesa izdevumus, jo administrators ar kreditoriem, tiesu, kurā pasludināts attiecīgais maksātnespējas process, un Maksātnespējas administrāciju sazinās elektroniski.</w:t>
            </w:r>
          </w:p>
          <w:p w14:paraId="318E4E0B" w14:textId="0D37F2FC"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Lai nodrošinātu uzsākto sūdzību par administratora lēmumu un uzsākto strīdu par tiesībām izskatīšanu, grozījumus attiecībā uz strīdu par tiesībām kreditoru prasījumu atzīšanas procesā paredzēts attiecināt uz </w:t>
            </w:r>
            <w:r w:rsidR="0094707C">
              <w:rPr>
                <w:rFonts w:ascii="Times New Roman" w:eastAsia="Times New Roman" w:hAnsi="Times New Roman" w:cs="Times New Roman"/>
                <w:color w:val="000000" w:themeColor="text1"/>
                <w:sz w:val="24"/>
                <w:szCs w:val="24"/>
                <w:lang w:eastAsia="lv-LV"/>
              </w:rPr>
              <w:t xml:space="preserve">tām maksātnespējas </w:t>
            </w:r>
            <w:r w:rsidR="0094707C" w:rsidRPr="0094707C">
              <w:rPr>
                <w:rFonts w:ascii="Times New Roman" w:eastAsia="Times New Roman" w:hAnsi="Times New Roman" w:cs="Times New Roman"/>
                <w:color w:val="000000" w:themeColor="text1"/>
                <w:sz w:val="24"/>
                <w:szCs w:val="24"/>
                <w:lang w:eastAsia="lv-LV"/>
              </w:rPr>
              <w:t>procesa lietām, kuras uzsāktas pēc šo grozījumu spēkā stāšanās</w:t>
            </w:r>
            <w:r w:rsidR="00AC1287">
              <w:rPr>
                <w:rFonts w:ascii="Times New Roman" w:eastAsia="Times New Roman" w:hAnsi="Times New Roman" w:cs="Times New Roman"/>
                <w:color w:val="000000" w:themeColor="text1"/>
                <w:sz w:val="24"/>
                <w:szCs w:val="24"/>
                <w:lang w:eastAsia="lv-LV"/>
              </w:rPr>
              <w:t xml:space="preserve"> (papildinot </w:t>
            </w:r>
            <w:r w:rsidR="004D78D2">
              <w:rPr>
                <w:rFonts w:ascii="Times New Roman" w:eastAsia="Times New Roman" w:hAnsi="Times New Roman" w:cs="Times New Roman"/>
                <w:color w:val="000000" w:themeColor="text1"/>
                <w:sz w:val="24"/>
                <w:szCs w:val="24"/>
                <w:lang w:eastAsia="lv-LV"/>
              </w:rPr>
              <w:t xml:space="preserve">MNL </w:t>
            </w:r>
            <w:r w:rsidR="00AC1287">
              <w:rPr>
                <w:rFonts w:ascii="Times New Roman" w:eastAsia="Times New Roman" w:hAnsi="Times New Roman" w:cs="Times New Roman"/>
                <w:color w:val="000000" w:themeColor="text1"/>
                <w:sz w:val="24"/>
                <w:szCs w:val="24"/>
                <w:lang w:eastAsia="lv-LV"/>
              </w:rPr>
              <w:t>pārejas noteikumus ar 59. punktu)</w:t>
            </w:r>
            <w:r w:rsidRPr="00CF058A">
              <w:rPr>
                <w:rFonts w:ascii="Times New Roman" w:eastAsia="Times New Roman" w:hAnsi="Times New Roman" w:cs="Times New Roman"/>
                <w:color w:val="000000" w:themeColor="text1"/>
                <w:sz w:val="24"/>
                <w:szCs w:val="24"/>
                <w:lang w:eastAsia="lv-LV"/>
              </w:rPr>
              <w:t>.</w:t>
            </w:r>
          </w:p>
          <w:p w14:paraId="3B54D17D" w14:textId="77777777"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p>
          <w:p w14:paraId="3FF58BEA" w14:textId="77777777" w:rsidR="007861C0" w:rsidRPr="00CF058A" w:rsidRDefault="00CF058A" w:rsidP="007861C0">
            <w:pPr>
              <w:spacing w:after="0" w:line="240" w:lineRule="auto"/>
              <w:jc w:val="both"/>
              <w:rPr>
                <w:rFonts w:ascii="Times New Roman" w:eastAsia="Times New Roman" w:hAnsi="Times New Roman" w:cs="Times New Roman"/>
                <w:b/>
                <w:color w:val="000000" w:themeColor="text1"/>
                <w:sz w:val="24"/>
                <w:szCs w:val="24"/>
                <w:lang w:eastAsia="lv-LV"/>
              </w:rPr>
            </w:pPr>
            <w:r w:rsidRPr="00CF058A">
              <w:rPr>
                <w:rFonts w:ascii="Times New Roman" w:eastAsia="Times New Roman" w:hAnsi="Times New Roman" w:cs="Times New Roman"/>
                <w:b/>
                <w:color w:val="000000" w:themeColor="text1"/>
                <w:sz w:val="24"/>
                <w:szCs w:val="24"/>
                <w:lang w:eastAsia="lv-LV"/>
              </w:rPr>
              <w:t>Par a</w:t>
            </w:r>
            <w:r w:rsidR="007861C0" w:rsidRPr="00CF058A">
              <w:rPr>
                <w:rFonts w:ascii="Times New Roman" w:eastAsia="Times New Roman" w:hAnsi="Times New Roman" w:cs="Times New Roman"/>
                <w:b/>
                <w:color w:val="000000" w:themeColor="text1"/>
                <w:sz w:val="24"/>
                <w:szCs w:val="24"/>
                <w:lang w:eastAsia="lv-LV"/>
              </w:rPr>
              <w:t>dministratīv</w:t>
            </w:r>
            <w:r w:rsidRPr="00CF058A">
              <w:rPr>
                <w:rFonts w:ascii="Times New Roman" w:eastAsia="Times New Roman" w:hAnsi="Times New Roman" w:cs="Times New Roman"/>
                <w:b/>
                <w:color w:val="000000" w:themeColor="text1"/>
                <w:sz w:val="24"/>
                <w:szCs w:val="24"/>
                <w:lang w:eastAsia="lv-LV"/>
              </w:rPr>
              <w:t>aj</w:t>
            </w:r>
            <w:r w:rsidR="007861C0" w:rsidRPr="00CF058A">
              <w:rPr>
                <w:rFonts w:ascii="Times New Roman" w:eastAsia="Times New Roman" w:hAnsi="Times New Roman" w:cs="Times New Roman"/>
                <w:b/>
                <w:color w:val="000000" w:themeColor="text1"/>
                <w:sz w:val="24"/>
                <w:szCs w:val="24"/>
                <w:lang w:eastAsia="lv-LV"/>
              </w:rPr>
              <w:t>ie</w:t>
            </w:r>
            <w:r w:rsidRPr="00CF058A">
              <w:rPr>
                <w:rFonts w:ascii="Times New Roman" w:eastAsia="Times New Roman" w:hAnsi="Times New Roman" w:cs="Times New Roman"/>
                <w:b/>
                <w:color w:val="000000" w:themeColor="text1"/>
                <w:sz w:val="24"/>
                <w:szCs w:val="24"/>
                <w:lang w:eastAsia="lv-LV"/>
              </w:rPr>
              <w:t>m</w:t>
            </w:r>
            <w:r w:rsidR="007861C0" w:rsidRPr="00CF058A">
              <w:rPr>
                <w:rFonts w:ascii="Times New Roman" w:eastAsia="Times New Roman" w:hAnsi="Times New Roman" w:cs="Times New Roman"/>
                <w:b/>
                <w:color w:val="000000" w:themeColor="text1"/>
                <w:sz w:val="24"/>
                <w:szCs w:val="24"/>
                <w:lang w:eastAsia="lv-LV"/>
              </w:rPr>
              <w:t xml:space="preserve"> pārkāpumi</w:t>
            </w:r>
            <w:r w:rsidRPr="00CF058A">
              <w:rPr>
                <w:rFonts w:ascii="Times New Roman" w:eastAsia="Times New Roman" w:hAnsi="Times New Roman" w:cs="Times New Roman"/>
                <w:b/>
                <w:color w:val="000000" w:themeColor="text1"/>
                <w:sz w:val="24"/>
                <w:szCs w:val="24"/>
                <w:lang w:eastAsia="lv-LV"/>
              </w:rPr>
              <w:t>em</w:t>
            </w:r>
            <w:r w:rsidR="007861C0" w:rsidRPr="00CF058A">
              <w:rPr>
                <w:rFonts w:ascii="Times New Roman" w:eastAsia="Times New Roman" w:hAnsi="Times New Roman" w:cs="Times New Roman"/>
                <w:b/>
                <w:color w:val="000000" w:themeColor="text1"/>
                <w:sz w:val="24"/>
                <w:szCs w:val="24"/>
                <w:lang w:eastAsia="lv-LV"/>
              </w:rPr>
              <w:t xml:space="preserve"> maksātnespējas jomā</w:t>
            </w:r>
          </w:p>
          <w:p w14:paraId="4A05723D" w14:textId="77777777"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Pašlaik Latvijas Administratīvo pārkāpumu kodeksā maksātnespējas jomā ir noteikti divi administratīvie pārkāpumi – par maksātnespējas procesa pieteikuma neiesniegšanu (166.</w:t>
            </w:r>
            <w:r w:rsidRPr="00CF058A">
              <w:rPr>
                <w:rFonts w:ascii="Times New Roman" w:eastAsia="Times New Roman" w:hAnsi="Times New Roman" w:cs="Times New Roman"/>
                <w:color w:val="000000" w:themeColor="text1"/>
                <w:sz w:val="24"/>
                <w:szCs w:val="24"/>
                <w:vertAlign w:val="superscript"/>
                <w:lang w:eastAsia="lv-LV"/>
              </w:rPr>
              <w:t>35</w:t>
            </w:r>
            <w:r w:rsidRPr="00CF058A">
              <w:rPr>
                <w:rFonts w:ascii="Times New Roman" w:eastAsia="Times New Roman" w:hAnsi="Times New Roman" w:cs="Times New Roman"/>
                <w:color w:val="000000" w:themeColor="text1"/>
                <w:sz w:val="24"/>
                <w:szCs w:val="24"/>
                <w:lang w:eastAsia="lv-LV"/>
              </w:rPr>
              <w:t> pants) un par maksātnespējas procesa un tiesiskās aizsardzības procesa noteikumu pārkāpšanu (166.</w:t>
            </w:r>
            <w:r w:rsidRPr="00CF058A">
              <w:rPr>
                <w:rFonts w:ascii="Times New Roman" w:eastAsia="Times New Roman" w:hAnsi="Times New Roman" w:cs="Times New Roman"/>
                <w:color w:val="000000" w:themeColor="text1"/>
                <w:sz w:val="24"/>
                <w:szCs w:val="24"/>
                <w:vertAlign w:val="superscript"/>
                <w:lang w:eastAsia="lv-LV"/>
              </w:rPr>
              <w:t>36</w:t>
            </w:r>
            <w:r w:rsidRPr="00CF058A">
              <w:rPr>
                <w:rFonts w:ascii="Times New Roman" w:eastAsia="Times New Roman" w:hAnsi="Times New Roman" w:cs="Times New Roman"/>
                <w:color w:val="000000" w:themeColor="text1"/>
                <w:sz w:val="24"/>
                <w:szCs w:val="24"/>
                <w:lang w:eastAsia="lv-LV"/>
              </w:rPr>
              <w:t> pants).</w:t>
            </w:r>
          </w:p>
          <w:p w14:paraId="4DFC6D05" w14:textId="23434C31"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D4553F">
              <w:rPr>
                <w:rFonts w:ascii="Times New Roman" w:hAnsi="Times New Roman"/>
                <w:color w:val="000000" w:themeColor="text1"/>
                <w:sz w:val="24"/>
              </w:rPr>
              <w:t>Administratīvā soda par maksātnespējas procesa pieteikuma neiesniegšanu</w:t>
            </w:r>
            <w:r w:rsidRPr="00B85035">
              <w:rPr>
                <w:rFonts w:ascii="Times New Roman" w:eastAsia="Times New Roman" w:hAnsi="Times New Roman" w:cs="Times New Roman"/>
                <w:color w:val="000000" w:themeColor="text1"/>
                <w:sz w:val="24"/>
                <w:szCs w:val="24"/>
                <w:lang w:eastAsia="lv-LV"/>
              </w:rPr>
              <w:t xml:space="preserve"> </w:t>
            </w:r>
            <w:bookmarkStart w:id="1" w:name="OLE_LINK1"/>
            <w:bookmarkStart w:id="2" w:name="OLE_LINK2"/>
            <w:r w:rsidR="003A1BB0" w:rsidRPr="00B85035">
              <w:rPr>
                <w:rFonts w:ascii="Times New Roman" w:eastAsia="Times New Roman" w:hAnsi="Times New Roman" w:cs="Times New Roman"/>
                <w:color w:val="000000" w:themeColor="text1"/>
                <w:sz w:val="24"/>
                <w:szCs w:val="24"/>
                <w:lang w:eastAsia="lv-LV"/>
              </w:rPr>
              <w:t>(166.</w:t>
            </w:r>
            <w:r w:rsidR="003A1BB0" w:rsidRPr="00B85035">
              <w:rPr>
                <w:rFonts w:ascii="Times New Roman" w:eastAsia="Times New Roman" w:hAnsi="Times New Roman" w:cs="Times New Roman"/>
                <w:color w:val="000000" w:themeColor="text1"/>
                <w:sz w:val="24"/>
                <w:szCs w:val="24"/>
                <w:vertAlign w:val="superscript"/>
                <w:lang w:eastAsia="lv-LV"/>
              </w:rPr>
              <w:t>35</w:t>
            </w:r>
            <w:r w:rsidR="003A1BB0" w:rsidRPr="00B85035">
              <w:rPr>
                <w:rFonts w:ascii="Times New Roman" w:eastAsia="Times New Roman" w:hAnsi="Times New Roman" w:cs="Times New Roman"/>
                <w:color w:val="000000" w:themeColor="text1"/>
                <w:sz w:val="24"/>
                <w:szCs w:val="24"/>
                <w:lang w:eastAsia="lv-LV"/>
              </w:rPr>
              <w:t> pants)</w:t>
            </w:r>
            <w:bookmarkEnd w:id="1"/>
            <w:bookmarkEnd w:id="2"/>
            <w:r w:rsidRPr="00D4553F">
              <w:rPr>
                <w:rFonts w:ascii="Times New Roman" w:hAnsi="Times New Roman"/>
                <w:color w:val="000000" w:themeColor="text1"/>
                <w:sz w:val="24"/>
              </w:rPr>
              <w:t xml:space="preserve"> saglabāšana ir būtiska, lai veicinātu, ka personas, kurām piekrīt šāds pienākums, savlaicīgi iesniegtu maksātnespējas procesa pieteikumu</w:t>
            </w:r>
            <w:r w:rsidRPr="00CF058A">
              <w:rPr>
                <w:rFonts w:ascii="Times New Roman" w:eastAsia="Times New Roman" w:hAnsi="Times New Roman" w:cs="Times New Roman"/>
                <w:color w:val="000000" w:themeColor="text1"/>
                <w:sz w:val="24"/>
                <w:szCs w:val="24"/>
                <w:lang w:eastAsia="lv-LV"/>
              </w:rPr>
              <w:t>. Saskaņā ar maksātnespējas reģistrā norādīto informāciju</w:t>
            </w:r>
            <w:r w:rsidRPr="00CF058A">
              <w:rPr>
                <w:rFonts w:ascii="Times New Roman" w:eastAsia="Times New Roman" w:hAnsi="Times New Roman" w:cs="Times New Roman"/>
                <w:color w:val="000000" w:themeColor="text1"/>
                <w:sz w:val="24"/>
                <w:szCs w:val="24"/>
                <w:vertAlign w:val="superscript"/>
                <w:lang w:eastAsia="lv-LV"/>
              </w:rPr>
              <w:footnoteReference w:id="2"/>
            </w:r>
            <w:r w:rsidRPr="00CF058A">
              <w:rPr>
                <w:rFonts w:ascii="Times New Roman" w:eastAsia="Times New Roman" w:hAnsi="Times New Roman" w:cs="Times New Roman"/>
                <w:color w:val="000000" w:themeColor="text1"/>
                <w:sz w:val="24"/>
                <w:szCs w:val="24"/>
                <w:lang w:eastAsia="lv-LV"/>
              </w:rPr>
              <w:t xml:space="preserve"> 2016. gadā 447 gadījumos (no 958 gadījumiem kopā) juridiskās personas maksātnespējas process tika izbeigts, jo ziņojumā par parādnieka mantas neesamību izteikts priekšlikums izbeigt maksātnespējas procesu un nav panākta vienošanās par maksātnespējas procesa finansēšanas avotu. Minētais liecina par augstu iespējamību tam, ka juridiskās personas maksātnespējas procesa pieteikums tika iesniegts novēloti, kad parādniekam vairs </w:t>
            </w:r>
            <w:r w:rsidRPr="00CF058A">
              <w:rPr>
                <w:rFonts w:ascii="Times New Roman" w:eastAsia="Times New Roman" w:hAnsi="Times New Roman" w:cs="Times New Roman"/>
                <w:color w:val="000000" w:themeColor="text1"/>
                <w:sz w:val="24"/>
                <w:szCs w:val="24"/>
                <w:lang w:eastAsia="lv-LV"/>
              </w:rPr>
              <w:lastRenderedPageBreak/>
              <w:t>nebija nekādu aktīvu, no kā segt vismaz daļu no kreditora prasījumiem. Kaut arī kreditoram ir tiesības iesniegt juridiskās personas maksātnespējas procesa pieteikumu, ne vienmēr kreditori to vēlas darīt vai spēj izdarīt ievērojamo izmaksu dēļ (kreditoram, iesniedzot juridiskās personas maksātnespējas procesa pieteikumu, ir jāmaksā valsts nodeva – 355,72</w:t>
            </w:r>
            <w:r w:rsidR="00A20652">
              <w:rPr>
                <w:rFonts w:ascii="Times New Roman" w:eastAsia="Times New Roman" w:hAnsi="Times New Roman" w:cs="Times New Roman"/>
                <w:color w:val="000000" w:themeColor="text1"/>
                <w:sz w:val="24"/>
                <w:szCs w:val="24"/>
                <w:lang w:eastAsia="lv-LV"/>
              </w:rPr>
              <w:t> </w:t>
            </w:r>
            <w:r w:rsidRPr="00AA1D09">
              <w:rPr>
                <w:rFonts w:ascii="Times New Roman" w:eastAsia="Times New Roman" w:hAnsi="Times New Roman" w:cs="Times New Roman"/>
                <w:i/>
                <w:color w:val="000000" w:themeColor="text1"/>
                <w:sz w:val="24"/>
                <w:szCs w:val="24"/>
                <w:lang w:eastAsia="lv-LV"/>
              </w:rPr>
              <w:t>e</w:t>
            </w:r>
            <w:r w:rsidR="009C13D1" w:rsidRPr="00AA1D09">
              <w:rPr>
                <w:rFonts w:ascii="Times New Roman" w:eastAsia="Times New Roman" w:hAnsi="Times New Roman" w:cs="Times New Roman"/>
                <w:i/>
                <w:color w:val="000000" w:themeColor="text1"/>
                <w:sz w:val="24"/>
                <w:szCs w:val="24"/>
                <w:lang w:eastAsia="lv-LV"/>
              </w:rPr>
              <w:t>u</w:t>
            </w:r>
            <w:r w:rsidRPr="00AA1D09">
              <w:rPr>
                <w:rFonts w:ascii="Times New Roman" w:eastAsia="Times New Roman" w:hAnsi="Times New Roman" w:cs="Times New Roman"/>
                <w:i/>
                <w:color w:val="000000" w:themeColor="text1"/>
                <w:sz w:val="24"/>
                <w:szCs w:val="24"/>
                <w:lang w:eastAsia="lv-LV"/>
              </w:rPr>
              <w:t>ro</w:t>
            </w:r>
            <w:r w:rsidRPr="00CF058A">
              <w:rPr>
                <w:rFonts w:ascii="Times New Roman" w:eastAsia="Times New Roman" w:hAnsi="Times New Roman" w:cs="Times New Roman"/>
                <w:color w:val="000000" w:themeColor="text1"/>
                <w:sz w:val="24"/>
                <w:szCs w:val="24"/>
                <w:lang w:eastAsia="lv-LV"/>
              </w:rPr>
              <w:t>, ar lietas izskatīšanu saistītie izdevumi – 4,70</w:t>
            </w:r>
            <w:r w:rsidR="00A20652">
              <w:rPr>
                <w:rFonts w:ascii="Times New Roman" w:eastAsia="Times New Roman" w:hAnsi="Times New Roman" w:cs="Times New Roman"/>
                <w:color w:val="000000" w:themeColor="text1"/>
                <w:sz w:val="24"/>
                <w:szCs w:val="24"/>
                <w:lang w:eastAsia="lv-LV"/>
              </w:rPr>
              <w:t> </w:t>
            </w:r>
            <w:r w:rsidRPr="00AA1D09">
              <w:rPr>
                <w:rFonts w:ascii="Times New Roman" w:eastAsia="Times New Roman" w:hAnsi="Times New Roman" w:cs="Times New Roman"/>
                <w:i/>
                <w:color w:val="000000" w:themeColor="text1"/>
                <w:sz w:val="24"/>
                <w:szCs w:val="24"/>
                <w:lang w:eastAsia="lv-LV"/>
              </w:rPr>
              <w:t>e</w:t>
            </w:r>
            <w:r w:rsidR="009C13D1" w:rsidRPr="00AA1D09">
              <w:rPr>
                <w:rFonts w:ascii="Times New Roman" w:eastAsia="Times New Roman" w:hAnsi="Times New Roman" w:cs="Times New Roman"/>
                <w:i/>
                <w:color w:val="000000" w:themeColor="text1"/>
                <w:sz w:val="24"/>
                <w:szCs w:val="24"/>
                <w:lang w:eastAsia="lv-LV"/>
              </w:rPr>
              <w:t>u</w:t>
            </w:r>
            <w:r w:rsidRPr="00AA1D09">
              <w:rPr>
                <w:rFonts w:ascii="Times New Roman" w:eastAsia="Times New Roman" w:hAnsi="Times New Roman" w:cs="Times New Roman"/>
                <w:i/>
                <w:color w:val="000000" w:themeColor="text1"/>
                <w:sz w:val="24"/>
                <w:szCs w:val="24"/>
                <w:lang w:eastAsia="lv-LV"/>
              </w:rPr>
              <w:t>ro</w:t>
            </w:r>
            <w:r w:rsidRPr="00CF058A">
              <w:rPr>
                <w:rFonts w:ascii="Times New Roman" w:eastAsia="Times New Roman" w:hAnsi="Times New Roman" w:cs="Times New Roman"/>
                <w:color w:val="000000" w:themeColor="text1"/>
                <w:sz w:val="24"/>
                <w:szCs w:val="24"/>
                <w:lang w:eastAsia="lv-LV"/>
              </w:rPr>
              <w:t xml:space="preserve"> un juridiskās personas maksātnespējas procesa depozīts – divas minimālās mēnešalgas (minimālā mēnešalga 2017. gadā – 380</w:t>
            </w:r>
            <w:r w:rsidR="00A20652">
              <w:rPr>
                <w:rFonts w:ascii="Times New Roman" w:eastAsia="Times New Roman" w:hAnsi="Times New Roman" w:cs="Times New Roman"/>
                <w:color w:val="000000" w:themeColor="text1"/>
                <w:sz w:val="24"/>
                <w:szCs w:val="24"/>
                <w:lang w:eastAsia="lv-LV"/>
              </w:rPr>
              <w:t> </w:t>
            </w:r>
            <w:r w:rsidRPr="00AA1D09">
              <w:rPr>
                <w:rFonts w:ascii="Times New Roman" w:eastAsia="Times New Roman" w:hAnsi="Times New Roman" w:cs="Times New Roman"/>
                <w:i/>
                <w:color w:val="000000" w:themeColor="text1"/>
                <w:sz w:val="24"/>
                <w:szCs w:val="24"/>
                <w:lang w:eastAsia="lv-LV"/>
              </w:rPr>
              <w:t>e</w:t>
            </w:r>
            <w:r w:rsidR="009C13D1" w:rsidRPr="00AA1D09">
              <w:rPr>
                <w:rFonts w:ascii="Times New Roman" w:eastAsia="Times New Roman" w:hAnsi="Times New Roman" w:cs="Times New Roman"/>
                <w:i/>
                <w:color w:val="000000" w:themeColor="text1"/>
                <w:sz w:val="24"/>
                <w:szCs w:val="24"/>
                <w:lang w:eastAsia="lv-LV"/>
              </w:rPr>
              <w:t>u</w:t>
            </w:r>
            <w:r w:rsidRPr="00AA1D09">
              <w:rPr>
                <w:rFonts w:ascii="Times New Roman" w:eastAsia="Times New Roman" w:hAnsi="Times New Roman" w:cs="Times New Roman"/>
                <w:i/>
                <w:color w:val="000000" w:themeColor="text1"/>
                <w:sz w:val="24"/>
                <w:szCs w:val="24"/>
                <w:lang w:eastAsia="lv-LV"/>
              </w:rPr>
              <w:t>ro</w:t>
            </w:r>
            <w:r w:rsidRPr="00CF058A">
              <w:rPr>
                <w:rFonts w:ascii="Times New Roman" w:eastAsia="Times New Roman" w:hAnsi="Times New Roman" w:cs="Times New Roman"/>
                <w:color w:val="000000" w:themeColor="text1"/>
                <w:sz w:val="24"/>
                <w:szCs w:val="24"/>
                <w:lang w:eastAsia="lv-LV"/>
              </w:rPr>
              <w:t>); tādējādi izmaksas, kas kreditoram pašlaik rodas tikai pieteikuma iesniegšanai tiesā, ir 1120,42</w:t>
            </w:r>
            <w:r w:rsidR="00A20652">
              <w:rPr>
                <w:rFonts w:ascii="Times New Roman" w:eastAsia="Times New Roman" w:hAnsi="Times New Roman" w:cs="Times New Roman"/>
                <w:color w:val="000000" w:themeColor="text1"/>
                <w:sz w:val="24"/>
                <w:szCs w:val="24"/>
                <w:lang w:eastAsia="lv-LV"/>
              </w:rPr>
              <w:t> </w:t>
            </w:r>
            <w:r w:rsidRPr="00AA1D09">
              <w:rPr>
                <w:rFonts w:ascii="Times New Roman" w:eastAsia="Times New Roman" w:hAnsi="Times New Roman" w:cs="Times New Roman"/>
                <w:i/>
                <w:color w:val="000000" w:themeColor="text1"/>
                <w:sz w:val="24"/>
                <w:szCs w:val="24"/>
                <w:lang w:eastAsia="lv-LV"/>
              </w:rPr>
              <w:t>e</w:t>
            </w:r>
            <w:r w:rsidR="009C13D1" w:rsidRPr="00AA1D09">
              <w:rPr>
                <w:rFonts w:ascii="Times New Roman" w:eastAsia="Times New Roman" w:hAnsi="Times New Roman" w:cs="Times New Roman"/>
                <w:i/>
                <w:color w:val="000000" w:themeColor="text1"/>
                <w:sz w:val="24"/>
                <w:szCs w:val="24"/>
                <w:lang w:eastAsia="lv-LV"/>
              </w:rPr>
              <w:t>u</w:t>
            </w:r>
            <w:r w:rsidRPr="00AA1D09">
              <w:rPr>
                <w:rFonts w:ascii="Times New Roman" w:eastAsia="Times New Roman" w:hAnsi="Times New Roman" w:cs="Times New Roman"/>
                <w:i/>
                <w:color w:val="000000" w:themeColor="text1"/>
                <w:sz w:val="24"/>
                <w:szCs w:val="24"/>
                <w:lang w:eastAsia="lv-LV"/>
              </w:rPr>
              <w:t>ro</w:t>
            </w:r>
            <w:r w:rsidRPr="00CF058A">
              <w:rPr>
                <w:rFonts w:ascii="Times New Roman" w:eastAsia="Times New Roman" w:hAnsi="Times New Roman" w:cs="Times New Roman"/>
                <w:color w:val="000000" w:themeColor="text1"/>
                <w:sz w:val="24"/>
                <w:szCs w:val="24"/>
                <w:lang w:eastAsia="lv-LV"/>
              </w:rPr>
              <w:t>).</w:t>
            </w:r>
          </w:p>
          <w:p w14:paraId="67EF3101" w14:textId="4B5AE7CE"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Vēl aizvien lielais juridisko personu maksātnespējas procesu skaits, kuros sastādīts ziņojums par mantas neesamību, liecina par to, ka soda apmērs nesasniedz administratīvā soda mērķa preventīvo daļu. Tādējādi</w:t>
            </w:r>
            <w:r w:rsidR="00571478">
              <w:rPr>
                <w:rFonts w:ascii="Times New Roman" w:eastAsia="Times New Roman" w:hAnsi="Times New Roman" w:cs="Times New Roman"/>
                <w:color w:val="000000" w:themeColor="text1"/>
                <w:sz w:val="24"/>
                <w:szCs w:val="24"/>
                <w:lang w:eastAsia="lv-LV"/>
              </w:rPr>
              <w:t>,</w:t>
            </w:r>
            <w:r w:rsidR="00D24150">
              <w:rPr>
                <w:rFonts w:ascii="Times New Roman" w:eastAsia="Times New Roman" w:hAnsi="Times New Roman" w:cs="Times New Roman"/>
                <w:color w:val="000000" w:themeColor="text1"/>
                <w:sz w:val="24"/>
                <w:szCs w:val="24"/>
                <w:lang w:eastAsia="lv-LV"/>
              </w:rPr>
              <w:t xml:space="preserve"> </w:t>
            </w:r>
            <w:r w:rsidR="00090FC1">
              <w:rPr>
                <w:rFonts w:ascii="Times New Roman" w:eastAsia="Times New Roman" w:hAnsi="Times New Roman" w:cs="Times New Roman"/>
                <w:color w:val="000000" w:themeColor="text1"/>
                <w:sz w:val="24"/>
                <w:szCs w:val="24"/>
                <w:lang w:eastAsia="lv-LV"/>
              </w:rPr>
              <w:t>paredzot likumprojektā papildināt M</w:t>
            </w:r>
            <w:r w:rsidR="004D78D2">
              <w:rPr>
                <w:rFonts w:ascii="Times New Roman" w:eastAsia="Times New Roman" w:hAnsi="Times New Roman" w:cs="Times New Roman"/>
                <w:color w:val="000000" w:themeColor="text1"/>
                <w:sz w:val="24"/>
                <w:szCs w:val="24"/>
                <w:lang w:eastAsia="lv-LV"/>
              </w:rPr>
              <w:t>N</w:t>
            </w:r>
            <w:r w:rsidR="00090FC1">
              <w:rPr>
                <w:rFonts w:ascii="Times New Roman" w:eastAsia="Times New Roman" w:hAnsi="Times New Roman" w:cs="Times New Roman"/>
                <w:color w:val="000000" w:themeColor="text1"/>
                <w:sz w:val="24"/>
                <w:szCs w:val="24"/>
                <w:lang w:eastAsia="lv-LV"/>
              </w:rPr>
              <w:t xml:space="preserve">L ar </w:t>
            </w:r>
            <w:r w:rsidR="00571478">
              <w:rPr>
                <w:rFonts w:ascii="Times New Roman" w:eastAsia="Times New Roman" w:hAnsi="Times New Roman" w:cs="Times New Roman"/>
                <w:color w:val="000000" w:themeColor="text1"/>
                <w:sz w:val="24"/>
                <w:szCs w:val="24"/>
                <w:lang w:eastAsia="lv-LV"/>
              </w:rPr>
              <w:t>178. pant</w:t>
            </w:r>
            <w:r w:rsidR="00090FC1">
              <w:rPr>
                <w:rFonts w:ascii="Times New Roman" w:eastAsia="Times New Roman" w:hAnsi="Times New Roman" w:cs="Times New Roman"/>
                <w:color w:val="000000" w:themeColor="text1"/>
                <w:sz w:val="24"/>
                <w:szCs w:val="24"/>
                <w:lang w:eastAsia="lv-LV"/>
              </w:rPr>
              <w:t xml:space="preserve">u par maksātnespējas procesa pieteikuma neiesniegšanu, </w:t>
            </w:r>
            <w:r w:rsidR="00571478">
              <w:rPr>
                <w:rFonts w:ascii="Times New Roman" w:eastAsia="Times New Roman" w:hAnsi="Times New Roman" w:cs="Times New Roman"/>
                <w:color w:val="000000" w:themeColor="text1"/>
                <w:sz w:val="24"/>
                <w:szCs w:val="24"/>
                <w:lang w:eastAsia="lv-LV"/>
              </w:rPr>
              <w:t>administratīvo atbildību par maksātnespējas procesa pieteikuma neiesniegšanu,</w:t>
            </w:r>
            <w:r w:rsidRPr="00CF058A">
              <w:rPr>
                <w:rFonts w:ascii="Times New Roman" w:eastAsia="Times New Roman" w:hAnsi="Times New Roman" w:cs="Times New Roman"/>
                <w:color w:val="000000" w:themeColor="text1"/>
                <w:sz w:val="24"/>
                <w:szCs w:val="24"/>
                <w:lang w:eastAsia="lv-LV"/>
              </w:rPr>
              <w:t xml:space="preserve"> nepieciešams palielināt gan minimālo, gan maksimālo naudas soda apmēru.</w:t>
            </w:r>
          </w:p>
          <w:p w14:paraId="5E37EB8C" w14:textId="1F0C7CD1"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Papildus savlaicīga maksātnespējas procesa pieteikuma iesniegšanai, lai nodrošinātu pēc iespējas lielāku kreditoru prasījumu segšanu, būtiski ir arī tas, lai pēc maksātnespējas procesa pasludināšanas, tā norise būtu efektīva un likumīga. Maksātnespējas jomu regulējošie normatīvie akti paredz dažādas tiesības un pienākumus ne tikai administratoram, bet arī citām personām, piemēram, parādnieka pārstāvim. Parādnieka pārstāvja aktīva un pilnvērtīga savu pienākumu pildīšana ir būtiska maksātnespējas procesa norisē, jo visbiežāk tikai ar publiski, tai skaitā publiskajos reģistros, pieejamo informāciju nav pietiekami, lai administrators iegūtu pilnīgu priekšstatu par maksātnespējīgo personu, tās mantu, saistībām, kreditoriem un citiem apstākļiem, kas var ietekmēt maksātnespējas procesa norisi. Tomēr parādnieka pārstāvis nav subjekts, kura rīcību Maksātnespējas administrācija ir tiesīga kontrolēt saskaņā ar </w:t>
            </w:r>
            <w:r w:rsidR="004D78D2">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174. panta pirmajā daļā noteikto.</w:t>
            </w:r>
          </w:p>
          <w:p w14:paraId="22544130" w14:textId="7079DF12"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D4553F">
              <w:rPr>
                <w:rFonts w:ascii="Times New Roman" w:hAnsi="Times New Roman"/>
                <w:color w:val="000000" w:themeColor="text1"/>
                <w:sz w:val="24"/>
              </w:rPr>
              <w:t>No 2015. gada 1. </w:t>
            </w:r>
            <w:r w:rsidR="003A1BB0" w:rsidRPr="00B85035">
              <w:rPr>
                <w:rFonts w:ascii="Times New Roman" w:eastAsia="Times New Roman" w:hAnsi="Times New Roman" w:cs="Times New Roman"/>
                <w:color w:val="000000" w:themeColor="text1"/>
                <w:sz w:val="24"/>
                <w:szCs w:val="24"/>
                <w:lang w:eastAsia="lv-LV"/>
              </w:rPr>
              <w:t>janvāra</w:t>
            </w:r>
            <w:r w:rsidRPr="00D4553F">
              <w:rPr>
                <w:rFonts w:ascii="Times New Roman" w:hAnsi="Times New Roman"/>
                <w:color w:val="000000" w:themeColor="text1"/>
                <w:sz w:val="24"/>
              </w:rPr>
              <w:t xml:space="preserve"> administratīvos sodus par maksātnespējas procesa un tiesiskās aizsardzības procesa noteikumu pārkāpšanu </w:t>
            </w:r>
            <w:r w:rsidR="00A1356C" w:rsidRPr="00B85035">
              <w:rPr>
                <w:rFonts w:ascii="Times New Roman" w:eastAsia="Times New Roman" w:hAnsi="Times New Roman" w:cs="Times New Roman"/>
                <w:color w:val="000000" w:themeColor="text1"/>
                <w:sz w:val="24"/>
                <w:szCs w:val="24"/>
                <w:lang w:eastAsia="lv-LV"/>
              </w:rPr>
              <w:t>(166.</w:t>
            </w:r>
            <w:r w:rsidR="00A1356C" w:rsidRPr="00B85035">
              <w:rPr>
                <w:rFonts w:ascii="Times New Roman" w:eastAsia="Times New Roman" w:hAnsi="Times New Roman" w:cs="Times New Roman"/>
                <w:color w:val="000000" w:themeColor="text1"/>
                <w:sz w:val="24"/>
                <w:szCs w:val="24"/>
                <w:vertAlign w:val="superscript"/>
                <w:lang w:eastAsia="lv-LV"/>
              </w:rPr>
              <w:t>36</w:t>
            </w:r>
            <w:r w:rsidR="00A1356C" w:rsidRPr="00B85035">
              <w:rPr>
                <w:rFonts w:ascii="Times New Roman" w:eastAsia="Times New Roman" w:hAnsi="Times New Roman" w:cs="Times New Roman"/>
                <w:color w:val="000000" w:themeColor="text1"/>
                <w:sz w:val="24"/>
                <w:szCs w:val="24"/>
                <w:lang w:eastAsia="lv-LV"/>
              </w:rPr>
              <w:t> pants)</w:t>
            </w:r>
            <w:r w:rsidRPr="00B85035">
              <w:rPr>
                <w:rFonts w:ascii="Times New Roman" w:eastAsia="Times New Roman" w:hAnsi="Times New Roman" w:cs="Times New Roman"/>
                <w:color w:val="000000" w:themeColor="text1"/>
                <w:sz w:val="24"/>
                <w:szCs w:val="24"/>
                <w:lang w:eastAsia="lv-LV"/>
              </w:rPr>
              <w:t xml:space="preserve"> </w:t>
            </w:r>
            <w:r w:rsidRPr="00D4553F">
              <w:rPr>
                <w:rFonts w:ascii="Times New Roman" w:hAnsi="Times New Roman"/>
                <w:color w:val="000000" w:themeColor="text1"/>
                <w:sz w:val="24"/>
              </w:rPr>
              <w:t>piemēro Maksātnespējas administrācija. Ierosināto administratīvo pārkāpumu lietu skaits ir ievērojams (2015. gadā – 113, 2016. gadā – 142), turklāt pieņemto lēmumu par administratīvā soda uzlikšanu skaits (2015. gadā – 52, 2016. gadā – 93) veido būtisku daļu no ierosinātajām lietām. Tomēr praksē ir konstatēts, ka administratīvais sods pašreizējā maksimālajā apmērā ne vienmēr sasniedz soda mērķi, tādējādi neradot personai, kura saukta pie</w:t>
            </w:r>
            <w:r w:rsidRPr="00B85035">
              <w:rPr>
                <w:rFonts w:ascii="Times New Roman" w:eastAsia="Times New Roman" w:hAnsi="Times New Roman" w:cs="Times New Roman"/>
                <w:color w:val="000000" w:themeColor="text1"/>
                <w:sz w:val="24"/>
                <w:szCs w:val="24"/>
                <w:lang w:eastAsia="lv-LV"/>
              </w:rPr>
              <w:t xml:space="preserve"> </w:t>
            </w:r>
            <w:r w:rsidRPr="00D4553F">
              <w:rPr>
                <w:rFonts w:ascii="Times New Roman" w:hAnsi="Times New Roman"/>
                <w:color w:val="000000" w:themeColor="text1"/>
                <w:sz w:val="24"/>
              </w:rPr>
              <w:t>administratīvās atbildības, vēlmi laboties. Līdz ar to</w:t>
            </w:r>
            <w:r w:rsidR="00571478" w:rsidRPr="00D4553F">
              <w:rPr>
                <w:rFonts w:ascii="Times New Roman" w:hAnsi="Times New Roman"/>
                <w:color w:val="000000" w:themeColor="text1"/>
                <w:sz w:val="24"/>
              </w:rPr>
              <w:t xml:space="preserve">, </w:t>
            </w:r>
            <w:r w:rsidR="00090FC1" w:rsidRPr="00D4553F">
              <w:rPr>
                <w:rFonts w:ascii="Times New Roman" w:hAnsi="Times New Roman"/>
                <w:color w:val="000000" w:themeColor="text1"/>
                <w:sz w:val="24"/>
              </w:rPr>
              <w:t>paredzot likumprojektā papildināt M</w:t>
            </w:r>
            <w:r w:rsidR="004D78D2" w:rsidRPr="00D4553F">
              <w:rPr>
                <w:rFonts w:ascii="Times New Roman" w:hAnsi="Times New Roman"/>
                <w:color w:val="000000" w:themeColor="text1"/>
                <w:sz w:val="24"/>
              </w:rPr>
              <w:t>N</w:t>
            </w:r>
            <w:r w:rsidR="00090FC1" w:rsidRPr="00D4553F">
              <w:rPr>
                <w:rFonts w:ascii="Times New Roman" w:hAnsi="Times New Roman"/>
                <w:color w:val="000000" w:themeColor="text1"/>
                <w:sz w:val="24"/>
              </w:rPr>
              <w:t>L ar</w:t>
            </w:r>
            <w:r w:rsidR="00571478" w:rsidRPr="00D4553F">
              <w:rPr>
                <w:rFonts w:ascii="Times New Roman" w:hAnsi="Times New Roman"/>
                <w:color w:val="000000" w:themeColor="text1"/>
                <w:sz w:val="24"/>
              </w:rPr>
              <w:t xml:space="preserve"> 179. pant</w:t>
            </w:r>
            <w:r w:rsidR="008E157B" w:rsidRPr="00D4553F">
              <w:rPr>
                <w:rFonts w:ascii="Times New Roman" w:hAnsi="Times New Roman"/>
                <w:color w:val="000000" w:themeColor="text1"/>
                <w:sz w:val="24"/>
              </w:rPr>
              <w:t xml:space="preserve">u par </w:t>
            </w:r>
            <w:r w:rsidR="008E157B" w:rsidRPr="00D4553F">
              <w:rPr>
                <w:rFonts w:ascii="Times New Roman" w:hAnsi="Times New Roman"/>
                <w:color w:val="000000" w:themeColor="text1"/>
                <w:sz w:val="24"/>
              </w:rPr>
              <w:lastRenderedPageBreak/>
              <w:t>maksātnespējas procesa un tiesiskās aizsardzības procesa noteikumu pārkāpšanu,</w:t>
            </w:r>
            <w:r w:rsidR="00571478" w:rsidRPr="00D4553F">
              <w:rPr>
                <w:rFonts w:ascii="Times New Roman" w:hAnsi="Times New Roman"/>
                <w:color w:val="000000" w:themeColor="text1"/>
                <w:sz w:val="24"/>
              </w:rPr>
              <w:t xml:space="preserve"> administratīvo atbildību par maksātnespējas procesa un tiesiskās aizsardzības procesa noteikumu pārkāpšanu, </w:t>
            </w:r>
            <w:r w:rsidRPr="00D4553F">
              <w:rPr>
                <w:rFonts w:ascii="Times New Roman" w:hAnsi="Times New Roman"/>
                <w:color w:val="000000" w:themeColor="text1"/>
                <w:sz w:val="24"/>
              </w:rPr>
              <w:t>nepieciešams palielināt gan minimālo, gan maksimālo naudas soda apmēru</w:t>
            </w:r>
            <w:r w:rsidR="003A1BB0" w:rsidRPr="00B85035">
              <w:rPr>
                <w:rFonts w:ascii="Times New Roman" w:eastAsia="Times New Roman" w:hAnsi="Times New Roman" w:cs="Times New Roman"/>
                <w:color w:val="000000" w:themeColor="text1"/>
                <w:sz w:val="24"/>
                <w:szCs w:val="24"/>
                <w:lang w:eastAsia="lv-LV"/>
              </w:rPr>
              <w:t xml:space="preserve">, tādējādi uzlabojot </w:t>
            </w:r>
            <w:r w:rsidR="00F8556F" w:rsidRPr="00D4553F">
              <w:rPr>
                <w:rFonts w:ascii="Times New Roman" w:eastAsia="Times New Roman" w:hAnsi="Times New Roman" w:cs="Times New Roman"/>
                <w:color w:val="000000" w:themeColor="text1"/>
                <w:sz w:val="24"/>
                <w:szCs w:val="24"/>
                <w:lang w:eastAsia="lv-LV"/>
              </w:rPr>
              <w:t xml:space="preserve">arī </w:t>
            </w:r>
            <w:r w:rsidR="003A1BB0" w:rsidRPr="00B85035">
              <w:rPr>
                <w:rFonts w:ascii="Times New Roman" w:eastAsia="Times New Roman" w:hAnsi="Times New Roman" w:cs="Times New Roman"/>
                <w:color w:val="000000" w:themeColor="text1"/>
                <w:sz w:val="24"/>
                <w:szCs w:val="24"/>
                <w:lang w:eastAsia="lv-LV"/>
              </w:rPr>
              <w:t xml:space="preserve">plānoto no sodiem uzlikto </w:t>
            </w:r>
            <w:r w:rsidR="00601B6F" w:rsidRPr="00D4553F">
              <w:rPr>
                <w:rFonts w:ascii="Times New Roman" w:eastAsia="Times New Roman" w:hAnsi="Times New Roman" w:cs="Times New Roman"/>
                <w:color w:val="000000" w:themeColor="text1"/>
                <w:sz w:val="24"/>
                <w:szCs w:val="24"/>
                <w:lang w:eastAsia="lv-LV"/>
              </w:rPr>
              <w:t xml:space="preserve">faktisko </w:t>
            </w:r>
            <w:r w:rsidR="003A1BB0" w:rsidRPr="00B85035">
              <w:rPr>
                <w:rFonts w:ascii="Times New Roman" w:eastAsia="Times New Roman" w:hAnsi="Times New Roman" w:cs="Times New Roman"/>
                <w:color w:val="000000" w:themeColor="text1"/>
                <w:sz w:val="24"/>
                <w:szCs w:val="24"/>
                <w:lang w:eastAsia="lv-LV"/>
              </w:rPr>
              <w:t>ieņēmumu apjomu</w:t>
            </w:r>
            <w:r w:rsidRPr="00D4553F">
              <w:rPr>
                <w:rFonts w:ascii="Times New Roman" w:hAnsi="Times New Roman"/>
                <w:color w:val="000000" w:themeColor="text1"/>
                <w:sz w:val="24"/>
              </w:rPr>
              <w:t>.</w:t>
            </w:r>
          </w:p>
          <w:p w14:paraId="1555946C" w14:textId="0F0A7475"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Likumprojektā naudas sodi </w:t>
            </w:r>
            <w:r w:rsidR="00903B91">
              <w:rPr>
                <w:rFonts w:ascii="Times New Roman" w:eastAsia="Times New Roman" w:hAnsi="Times New Roman" w:cs="Times New Roman"/>
                <w:color w:val="000000" w:themeColor="text1"/>
                <w:sz w:val="24"/>
                <w:szCs w:val="24"/>
                <w:lang w:eastAsia="lv-LV"/>
              </w:rPr>
              <w:t>izteikti</w:t>
            </w:r>
            <w:r w:rsidRPr="00CF058A">
              <w:rPr>
                <w:rFonts w:ascii="Times New Roman" w:eastAsia="Times New Roman" w:hAnsi="Times New Roman" w:cs="Times New Roman"/>
                <w:color w:val="000000" w:themeColor="text1"/>
                <w:sz w:val="24"/>
                <w:szCs w:val="24"/>
                <w:lang w:eastAsia="lv-LV"/>
              </w:rPr>
              <w:t xml:space="preserve"> atbilstoši likumprojektā </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Administratīvo pārkāpumu procesa likums</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 xml:space="preserve"> (Nr. </w:t>
            </w:r>
            <w:r w:rsidR="008E157B">
              <w:rPr>
                <w:rFonts w:ascii="Times New Roman" w:eastAsia="Times New Roman" w:hAnsi="Times New Roman" w:cs="Times New Roman"/>
                <w:color w:val="000000" w:themeColor="text1"/>
                <w:sz w:val="24"/>
                <w:szCs w:val="24"/>
                <w:lang w:eastAsia="lv-LV"/>
              </w:rPr>
              <w:t>16</w:t>
            </w:r>
            <w:r w:rsidRPr="00CF058A">
              <w:rPr>
                <w:rFonts w:ascii="Times New Roman" w:eastAsia="Times New Roman" w:hAnsi="Times New Roman" w:cs="Times New Roman"/>
                <w:color w:val="000000" w:themeColor="text1"/>
                <w:sz w:val="24"/>
                <w:szCs w:val="24"/>
                <w:lang w:eastAsia="lv-LV"/>
              </w:rPr>
              <w:t>/Lp1</w:t>
            </w:r>
            <w:r w:rsidR="008E157B">
              <w:rPr>
                <w:rFonts w:ascii="Times New Roman" w:eastAsia="Times New Roman" w:hAnsi="Times New Roman" w:cs="Times New Roman"/>
                <w:color w:val="000000" w:themeColor="text1"/>
                <w:sz w:val="24"/>
                <w:szCs w:val="24"/>
                <w:lang w:eastAsia="lv-LV"/>
              </w:rPr>
              <w:t>2</w:t>
            </w:r>
            <w:r w:rsidRPr="00CF058A">
              <w:rPr>
                <w:rFonts w:ascii="Times New Roman" w:eastAsia="Times New Roman" w:hAnsi="Times New Roman" w:cs="Times New Roman"/>
                <w:color w:val="000000" w:themeColor="text1"/>
                <w:sz w:val="24"/>
                <w:szCs w:val="24"/>
                <w:lang w:eastAsia="lv-LV"/>
              </w:rPr>
              <w:t>) noteiktajai naudas soda izteiksmes formai – naudas soda vienības. Pašlaik minētajā likumprojektā paredzēts, ka vienas vienības vērtība ir 5 </w:t>
            </w:r>
            <w:r w:rsidR="009C13D1" w:rsidRPr="00AA1D09">
              <w:rPr>
                <w:rFonts w:ascii="Times New Roman" w:eastAsia="Times New Roman" w:hAnsi="Times New Roman" w:cs="Times New Roman"/>
                <w:i/>
                <w:color w:val="000000" w:themeColor="text1"/>
                <w:sz w:val="24"/>
                <w:szCs w:val="24"/>
                <w:lang w:eastAsia="lv-LV"/>
              </w:rPr>
              <w:t>euro</w:t>
            </w:r>
            <w:r w:rsidRPr="00CF058A">
              <w:rPr>
                <w:rFonts w:ascii="Times New Roman" w:eastAsia="Times New Roman" w:hAnsi="Times New Roman" w:cs="Times New Roman"/>
                <w:color w:val="000000" w:themeColor="text1"/>
                <w:sz w:val="24"/>
                <w:szCs w:val="24"/>
                <w:lang w:eastAsia="lv-LV"/>
              </w:rPr>
              <w:t>, ko nepieciešamības gadījumā būs iespējams mainīt, nemainot visus nozares likumus.</w:t>
            </w:r>
            <w:r w:rsidR="00E5797F">
              <w:rPr>
                <w:rFonts w:ascii="Times New Roman" w:eastAsia="Times New Roman" w:hAnsi="Times New Roman" w:cs="Times New Roman"/>
                <w:color w:val="000000" w:themeColor="text1"/>
                <w:sz w:val="24"/>
                <w:szCs w:val="24"/>
                <w:lang w:eastAsia="lv-LV"/>
              </w:rPr>
              <w:t xml:space="preserve"> Likumprojekt</w:t>
            </w:r>
            <w:r w:rsidR="00903B91">
              <w:rPr>
                <w:rFonts w:ascii="Times New Roman" w:eastAsia="Times New Roman" w:hAnsi="Times New Roman" w:cs="Times New Roman"/>
                <w:color w:val="000000" w:themeColor="text1"/>
                <w:sz w:val="24"/>
                <w:szCs w:val="24"/>
                <w:lang w:eastAsia="lv-LV"/>
              </w:rPr>
              <w:t xml:space="preserve">ā ietvertajos grozījumos </w:t>
            </w:r>
            <w:r w:rsidR="00E5797F">
              <w:rPr>
                <w:rFonts w:ascii="Times New Roman" w:eastAsia="Times New Roman" w:hAnsi="Times New Roman" w:cs="Times New Roman"/>
                <w:color w:val="000000" w:themeColor="text1"/>
                <w:sz w:val="24"/>
                <w:szCs w:val="24"/>
                <w:lang w:eastAsia="lv-LV"/>
              </w:rPr>
              <w:t>178. un 179. pantā norādītos papildsodus izpildīs Administratīvo pārkāpumu procesa likumā noteiktajā kārtībā.</w:t>
            </w:r>
            <w:r w:rsidR="00D24150">
              <w:rPr>
                <w:rFonts w:ascii="Times New Roman" w:eastAsia="Times New Roman" w:hAnsi="Times New Roman" w:cs="Times New Roman"/>
                <w:color w:val="000000" w:themeColor="text1"/>
                <w:sz w:val="24"/>
                <w:szCs w:val="24"/>
                <w:lang w:eastAsia="lv-LV"/>
              </w:rPr>
              <w:t xml:space="preserve"> Tāpat likumprojektā ietvertas normas, kas precizē esošo MNL regulējumu, lai tas atbilstu </w:t>
            </w:r>
            <w:r w:rsidR="00D24150" w:rsidRPr="00D24150">
              <w:rPr>
                <w:rFonts w:ascii="Times New Roman" w:eastAsia="Times New Roman" w:hAnsi="Times New Roman" w:cs="Times New Roman"/>
                <w:color w:val="000000" w:themeColor="text1"/>
                <w:sz w:val="24"/>
                <w:szCs w:val="24"/>
                <w:lang w:eastAsia="lv-LV"/>
              </w:rPr>
              <w:t>likumprojekt</w:t>
            </w:r>
            <w:r w:rsidR="00D24150">
              <w:rPr>
                <w:rFonts w:ascii="Times New Roman" w:eastAsia="Times New Roman" w:hAnsi="Times New Roman" w:cs="Times New Roman"/>
                <w:color w:val="000000" w:themeColor="text1"/>
                <w:sz w:val="24"/>
                <w:szCs w:val="24"/>
                <w:lang w:eastAsia="lv-LV"/>
              </w:rPr>
              <w:t>a</w:t>
            </w:r>
            <w:r w:rsidR="00D24150" w:rsidRPr="00D24150">
              <w:rPr>
                <w:rFonts w:ascii="Times New Roman" w:eastAsia="Times New Roman" w:hAnsi="Times New Roman" w:cs="Times New Roman"/>
                <w:color w:val="000000" w:themeColor="text1"/>
                <w:sz w:val="24"/>
                <w:szCs w:val="24"/>
                <w:lang w:eastAsia="lv-LV"/>
              </w:rPr>
              <w:t xml:space="preserve"> </w:t>
            </w:r>
            <w:r w:rsidR="00A20652">
              <w:rPr>
                <w:rFonts w:ascii="Times New Roman" w:eastAsia="Times New Roman" w:hAnsi="Times New Roman" w:cs="Times New Roman"/>
                <w:color w:val="000000" w:themeColor="text1"/>
                <w:sz w:val="24"/>
                <w:szCs w:val="24"/>
                <w:lang w:eastAsia="lv-LV"/>
              </w:rPr>
              <w:t>"</w:t>
            </w:r>
            <w:r w:rsidR="00D24150" w:rsidRPr="00D24150">
              <w:rPr>
                <w:rFonts w:ascii="Times New Roman" w:eastAsia="Times New Roman" w:hAnsi="Times New Roman" w:cs="Times New Roman"/>
                <w:color w:val="000000" w:themeColor="text1"/>
                <w:sz w:val="24"/>
                <w:szCs w:val="24"/>
                <w:lang w:eastAsia="lv-LV"/>
              </w:rPr>
              <w:t>Administratīvo pārkāpumu procesa likums</w:t>
            </w:r>
            <w:r w:rsidR="00A20652">
              <w:rPr>
                <w:rFonts w:ascii="Times New Roman" w:eastAsia="Times New Roman" w:hAnsi="Times New Roman" w:cs="Times New Roman"/>
                <w:color w:val="000000" w:themeColor="text1"/>
                <w:sz w:val="24"/>
                <w:szCs w:val="24"/>
                <w:lang w:eastAsia="lv-LV"/>
              </w:rPr>
              <w:t>"</w:t>
            </w:r>
            <w:r w:rsidR="00D24150" w:rsidRPr="00D24150">
              <w:rPr>
                <w:rFonts w:ascii="Times New Roman" w:eastAsia="Times New Roman" w:hAnsi="Times New Roman" w:cs="Times New Roman"/>
                <w:color w:val="000000" w:themeColor="text1"/>
                <w:sz w:val="24"/>
                <w:szCs w:val="24"/>
                <w:lang w:eastAsia="lv-LV"/>
              </w:rPr>
              <w:t xml:space="preserve"> (Nr. 16/Lp12</w:t>
            </w:r>
            <w:r w:rsidR="00D24150">
              <w:rPr>
                <w:rFonts w:ascii="Times New Roman" w:eastAsia="Times New Roman" w:hAnsi="Times New Roman" w:cs="Times New Roman"/>
                <w:color w:val="000000" w:themeColor="text1"/>
                <w:sz w:val="24"/>
                <w:szCs w:val="24"/>
                <w:lang w:eastAsia="lv-LV"/>
              </w:rPr>
              <w:t>) terminoloģijai.</w:t>
            </w:r>
          </w:p>
          <w:p w14:paraId="0F2BBFBD" w14:textId="2654846C" w:rsidR="007861C0"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Likumprojektā paredzēts pārejas noteikums</w:t>
            </w:r>
            <w:r w:rsidR="00E5797F">
              <w:rPr>
                <w:rFonts w:ascii="Times New Roman" w:eastAsia="Times New Roman" w:hAnsi="Times New Roman" w:cs="Times New Roman"/>
                <w:color w:val="000000" w:themeColor="text1"/>
                <w:sz w:val="24"/>
                <w:szCs w:val="24"/>
                <w:lang w:eastAsia="lv-LV"/>
              </w:rPr>
              <w:t xml:space="preserve"> (pārejas noteikumu 62. punkts)</w:t>
            </w:r>
            <w:r w:rsidRPr="00CF058A">
              <w:rPr>
                <w:rFonts w:ascii="Times New Roman" w:eastAsia="Times New Roman" w:hAnsi="Times New Roman" w:cs="Times New Roman"/>
                <w:color w:val="000000" w:themeColor="text1"/>
                <w:sz w:val="24"/>
                <w:szCs w:val="24"/>
                <w:lang w:eastAsia="lv-LV"/>
              </w:rPr>
              <w:t>, kas noteic, ka grozījumi attiecībā uz administratīvo atbildību stājas spēkā vienlaikus ar Administratīvo pārkāpumu procesa likumu.</w:t>
            </w:r>
          </w:p>
          <w:p w14:paraId="1C677A99" w14:textId="27770124" w:rsidR="007861C0" w:rsidRDefault="00E84365" w:rsidP="007861C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Likumprojektā mainīta </w:t>
            </w:r>
            <w:r w:rsidR="003A4BEC">
              <w:rPr>
                <w:rFonts w:ascii="Times New Roman" w:eastAsia="Times New Roman" w:hAnsi="Times New Roman" w:cs="Times New Roman"/>
                <w:color w:val="000000" w:themeColor="text1"/>
                <w:sz w:val="24"/>
                <w:szCs w:val="24"/>
                <w:lang w:eastAsia="lv-LV"/>
              </w:rPr>
              <w:t>institūcij</w:t>
            </w:r>
            <w:r w:rsidR="0027534E">
              <w:rPr>
                <w:rFonts w:ascii="Times New Roman" w:eastAsia="Times New Roman" w:hAnsi="Times New Roman" w:cs="Times New Roman"/>
                <w:color w:val="000000" w:themeColor="text1"/>
                <w:sz w:val="24"/>
                <w:szCs w:val="24"/>
                <w:lang w:eastAsia="lv-LV"/>
              </w:rPr>
              <w:t>u kompetence administratīvo pārkāpumu lietu</w:t>
            </w:r>
            <w:r>
              <w:rPr>
                <w:rFonts w:ascii="Times New Roman" w:eastAsia="Times New Roman" w:hAnsi="Times New Roman" w:cs="Times New Roman"/>
                <w:color w:val="000000" w:themeColor="text1"/>
                <w:sz w:val="24"/>
                <w:szCs w:val="24"/>
                <w:lang w:eastAsia="lv-LV"/>
              </w:rPr>
              <w:t xml:space="preserve"> par </w:t>
            </w:r>
            <w:r w:rsidR="00E873EE">
              <w:rPr>
                <w:rFonts w:ascii="Times New Roman" w:eastAsia="Times New Roman" w:hAnsi="Times New Roman" w:cs="Times New Roman"/>
                <w:color w:val="000000" w:themeColor="text1"/>
                <w:sz w:val="24"/>
                <w:szCs w:val="24"/>
                <w:lang w:eastAsia="lv-LV"/>
              </w:rPr>
              <w:t xml:space="preserve">maksātnespējas procesa </w:t>
            </w:r>
            <w:r w:rsidR="00E873EE" w:rsidRPr="00D4553F">
              <w:rPr>
                <w:rFonts w:ascii="Times New Roman" w:hAnsi="Times New Roman"/>
                <w:color w:val="000000" w:themeColor="text1"/>
                <w:sz w:val="24"/>
              </w:rPr>
              <w:t>pieteikuma neiesniegšanu</w:t>
            </w:r>
            <w:r w:rsidR="0027534E" w:rsidRPr="00D4553F">
              <w:rPr>
                <w:rFonts w:ascii="Times New Roman" w:hAnsi="Times New Roman"/>
                <w:color w:val="000000" w:themeColor="text1"/>
                <w:sz w:val="24"/>
              </w:rPr>
              <w:t xml:space="preserve"> </w:t>
            </w:r>
            <w:r w:rsidR="001571BC" w:rsidRPr="00D4553F">
              <w:rPr>
                <w:rFonts w:ascii="Times New Roman" w:eastAsia="Times New Roman" w:hAnsi="Times New Roman" w:cs="Times New Roman"/>
                <w:color w:val="000000" w:themeColor="text1"/>
                <w:sz w:val="24"/>
                <w:szCs w:val="24"/>
                <w:lang w:eastAsia="lv-LV"/>
              </w:rPr>
              <w:t>(166.</w:t>
            </w:r>
            <w:r w:rsidR="001571BC" w:rsidRPr="00D4553F">
              <w:rPr>
                <w:rFonts w:ascii="Times New Roman" w:eastAsia="Times New Roman" w:hAnsi="Times New Roman" w:cs="Times New Roman"/>
                <w:color w:val="000000" w:themeColor="text1"/>
                <w:sz w:val="24"/>
                <w:szCs w:val="24"/>
                <w:vertAlign w:val="superscript"/>
                <w:lang w:eastAsia="lv-LV"/>
              </w:rPr>
              <w:t>35</w:t>
            </w:r>
            <w:r w:rsidR="001571BC" w:rsidRPr="00D4553F">
              <w:rPr>
                <w:rFonts w:ascii="Times New Roman" w:eastAsia="Times New Roman" w:hAnsi="Times New Roman" w:cs="Times New Roman"/>
                <w:color w:val="000000" w:themeColor="text1"/>
                <w:sz w:val="24"/>
                <w:szCs w:val="24"/>
                <w:lang w:eastAsia="lv-LV"/>
              </w:rPr>
              <w:t> pants)</w:t>
            </w:r>
            <w:r w:rsidR="001571BC" w:rsidRPr="00B85035">
              <w:rPr>
                <w:rFonts w:ascii="Times New Roman" w:eastAsia="Times New Roman" w:hAnsi="Times New Roman" w:cs="Times New Roman"/>
                <w:color w:val="000000" w:themeColor="text1"/>
                <w:sz w:val="24"/>
                <w:szCs w:val="24"/>
                <w:lang w:eastAsia="lv-LV"/>
              </w:rPr>
              <w:t xml:space="preserve"> </w:t>
            </w:r>
            <w:r w:rsidR="0027534E" w:rsidRPr="00D4553F">
              <w:rPr>
                <w:rFonts w:ascii="Times New Roman" w:hAnsi="Times New Roman"/>
                <w:color w:val="000000" w:themeColor="text1"/>
                <w:sz w:val="24"/>
              </w:rPr>
              <w:t>izskatīšanai</w:t>
            </w:r>
            <w:r w:rsidR="00E873EE">
              <w:rPr>
                <w:rFonts w:ascii="Times New Roman" w:eastAsia="Times New Roman" w:hAnsi="Times New Roman" w:cs="Times New Roman"/>
                <w:color w:val="000000" w:themeColor="text1"/>
                <w:sz w:val="24"/>
                <w:szCs w:val="24"/>
                <w:lang w:eastAsia="lv-LV"/>
              </w:rPr>
              <w:t>.</w:t>
            </w:r>
            <w:r w:rsidR="003A4BEC">
              <w:rPr>
                <w:rFonts w:ascii="Times New Roman" w:eastAsia="Times New Roman" w:hAnsi="Times New Roman" w:cs="Times New Roman"/>
                <w:color w:val="000000" w:themeColor="text1"/>
                <w:sz w:val="24"/>
                <w:szCs w:val="24"/>
                <w:lang w:eastAsia="lv-LV"/>
              </w:rPr>
              <w:t xml:space="preserve"> Pašlaik Latvijas Administratīvo pārkāpumu kodeksa 214. panta pirmajā daļā un 215.</w:t>
            </w:r>
            <w:r w:rsidR="003A4BEC">
              <w:rPr>
                <w:rFonts w:ascii="Times New Roman" w:eastAsia="Times New Roman" w:hAnsi="Times New Roman" w:cs="Times New Roman"/>
                <w:color w:val="000000" w:themeColor="text1"/>
                <w:sz w:val="24"/>
                <w:szCs w:val="24"/>
                <w:vertAlign w:val="superscript"/>
                <w:lang w:eastAsia="lv-LV"/>
              </w:rPr>
              <w:t>1</w:t>
            </w:r>
            <w:r w:rsidR="003A4BEC">
              <w:rPr>
                <w:rFonts w:ascii="Times New Roman" w:eastAsia="Times New Roman" w:hAnsi="Times New Roman" w:cs="Times New Roman"/>
                <w:color w:val="000000" w:themeColor="text1"/>
                <w:sz w:val="24"/>
                <w:szCs w:val="24"/>
                <w:lang w:eastAsia="lv-LV"/>
              </w:rPr>
              <w:t> panta pirmajā daļ</w:t>
            </w:r>
            <w:r w:rsidR="0027534E">
              <w:rPr>
                <w:rFonts w:ascii="Times New Roman" w:eastAsia="Times New Roman" w:hAnsi="Times New Roman" w:cs="Times New Roman"/>
                <w:color w:val="000000" w:themeColor="text1"/>
                <w:sz w:val="24"/>
                <w:szCs w:val="24"/>
                <w:lang w:eastAsia="lv-LV"/>
              </w:rPr>
              <w:t>ā</w:t>
            </w:r>
            <w:r w:rsidR="003A4BEC">
              <w:rPr>
                <w:rFonts w:ascii="Times New Roman" w:eastAsia="Times New Roman" w:hAnsi="Times New Roman" w:cs="Times New Roman"/>
                <w:color w:val="000000" w:themeColor="text1"/>
                <w:sz w:val="24"/>
                <w:szCs w:val="24"/>
                <w:lang w:eastAsia="lv-LV"/>
              </w:rPr>
              <w:t xml:space="preserve"> noteikts, ka administratīvo pārkāpumu</w:t>
            </w:r>
            <w:r w:rsidR="0027534E">
              <w:rPr>
                <w:rFonts w:ascii="Times New Roman" w:eastAsia="Times New Roman" w:hAnsi="Times New Roman" w:cs="Times New Roman"/>
                <w:color w:val="000000" w:themeColor="text1"/>
                <w:sz w:val="24"/>
                <w:szCs w:val="24"/>
                <w:lang w:eastAsia="lv-LV"/>
              </w:rPr>
              <w:t xml:space="preserve"> lietas</w:t>
            </w:r>
            <w:r w:rsidR="003A4BEC">
              <w:rPr>
                <w:rFonts w:ascii="Times New Roman" w:eastAsia="Times New Roman" w:hAnsi="Times New Roman" w:cs="Times New Roman"/>
                <w:color w:val="000000" w:themeColor="text1"/>
                <w:sz w:val="24"/>
                <w:szCs w:val="24"/>
                <w:lang w:eastAsia="lv-LV"/>
              </w:rPr>
              <w:t xml:space="preserve"> par </w:t>
            </w:r>
            <w:r w:rsidR="0027534E" w:rsidRPr="0027534E">
              <w:rPr>
                <w:rFonts w:ascii="Times New Roman" w:eastAsia="Times New Roman" w:hAnsi="Times New Roman" w:cs="Times New Roman"/>
                <w:color w:val="000000" w:themeColor="text1"/>
                <w:sz w:val="24"/>
                <w:szCs w:val="24"/>
                <w:lang w:eastAsia="lv-LV"/>
              </w:rPr>
              <w:t>maksātnespējas procesa pieteikuma neiesniegšanu</w:t>
            </w:r>
            <w:r w:rsidR="0027534E">
              <w:rPr>
                <w:rFonts w:ascii="Times New Roman" w:eastAsia="Times New Roman" w:hAnsi="Times New Roman" w:cs="Times New Roman"/>
                <w:color w:val="000000" w:themeColor="text1"/>
                <w:sz w:val="24"/>
                <w:szCs w:val="24"/>
                <w:lang w:eastAsia="lv-LV"/>
              </w:rPr>
              <w:t xml:space="preserve"> izskata Valsts policija un Valsts ieņēmumu dienests. Likumprojektā paredzēts Valsts policijas vietā noteikt Maksātnespējas administrāciju, jo tā jau </w:t>
            </w:r>
            <w:r w:rsidR="0027534E" w:rsidRPr="0027534E">
              <w:rPr>
                <w:rFonts w:ascii="Times New Roman" w:eastAsia="Times New Roman" w:hAnsi="Times New Roman" w:cs="Times New Roman"/>
                <w:color w:val="000000" w:themeColor="text1"/>
                <w:sz w:val="24"/>
                <w:szCs w:val="24"/>
                <w:lang w:eastAsia="lv-LV"/>
              </w:rPr>
              <w:t>šobrīd pierādījusi spēju nodrošināt šādas funkcijas izpildi, piemērojot sodus par pārkāpumiem maksātnespējas procesa ietvaros</w:t>
            </w:r>
            <w:r w:rsidR="0027534E">
              <w:rPr>
                <w:rFonts w:ascii="Times New Roman" w:eastAsia="Times New Roman" w:hAnsi="Times New Roman" w:cs="Times New Roman"/>
                <w:color w:val="000000" w:themeColor="text1"/>
                <w:sz w:val="24"/>
                <w:szCs w:val="24"/>
                <w:lang w:eastAsia="lv-LV"/>
              </w:rPr>
              <w:t>, kas Maksātnespējas administrācijai ir nodoti kopš 2015. gada 1. janvāra.</w:t>
            </w:r>
            <w:r w:rsidR="0088737E">
              <w:rPr>
                <w:rFonts w:ascii="Times New Roman" w:eastAsia="Times New Roman" w:hAnsi="Times New Roman" w:cs="Times New Roman"/>
                <w:color w:val="000000" w:themeColor="text1"/>
                <w:sz w:val="24"/>
                <w:szCs w:val="24"/>
                <w:lang w:eastAsia="lv-LV"/>
              </w:rPr>
              <w:t xml:space="preserve"> M</w:t>
            </w:r>
            <w:r w:rsidR="0088737E" w:rsidRPr="0088737E">
              <w:rPr>
                <w:rFonts w:ascii="Times New Roman" w:eastAsia="Times New Roman" w:hAnsi="Times New Roman" w:cs="Times New Roman"/>
                <w:color w:val="000000" w:themeColor="text1"/>
                <w:sz w:val="24"/>
                <w:szCs w:val="24"/>
                <w:lang w:eastAsia="lv-LV"/>
              </w:rPr>
              <w:t xml:space="preserve">aksātnespējas procesa pieteikuma neiesniegšana ir tāds pārkāpums, kas būtu jāizvērtē maksātnespējas jomas speciālistiem, kuri spēj kompetenti izvērtēt lietas apstākļus un pārkāpuma smagumu, </w:t>
            </w:r>
            <w:r w:rsidR="0088737E">
              <w:rPr>
                <w:rFonts w:ascii="Times New Roman" w:eastAsia="Times New Roman" w:hAnsi="Times New Roman" w:cs="Times New Roman"/>
                <w:color w:val="000000" w:themeColor="text1"/>
                <w:sz w:val="24"/>
                <w:szCs w:val="24"/>
                <w:lang w:eastAsia="lv-LV"/>
              </w:rPr>
              <w:t xml:space="preserve">turklāt tādējādi </w:t>
            </w:r>
            <w:r w:rsidR="0088737E" w:rsidRPr="0088737E">
              <w:rPr>
                <w:rFonts w:ascii="Times New Roman" w:eastAsia="Times New Roman" w:hAnsi="Times New Roman" w:cs="Times New Roman"/>
                <w:color w:val="000000" w:themeColor="text1"/>
                <w:sz w:val="24"/>
                <w:szCs w:val="24"/>
                <w:lang w:eastAsia="lv-LV"/>
              </w:rPr>
              <w:t>Valsts policija netiek noslogota ar šādu lietu izskatīšanu.</w:t>
            </w:r>
            <w:r w:rsidR="00825445">
              <w:rPr>
                <w:rFonts w:ascii="Times New Roman" w:eastAsia="Times New Roman" w:hAnsi="Times New Roman" w:cs="Times New Roman"/>
                <w:color w:val="000000" w:themeColor="text1"/>
                <w:sz w:val="24"/>
                <w:szCs w:val="24"/>
                <w:lang w:eastAsia="lv-LV"/>
              </w:rPr>
              <w:t xml:space="preserve"> </w:t>
            </w:r>
            <w:r w:rsidR="00825445" w:rsidRPr="00B85035">
              <w:rPr>
                <w:rFonts w:ascii="Times New Roman" w:eastAsia="Times New Roman" w:hAnsi="Times New Roman" w:cs="Times New Roman"/>
                <w:color w:val="000000" w:themeColor="text1"/>
                <w:sz w:val="24"/>
                <w:szCs w:val="24"/>
                <w:lang w:eastAsia="lv-LV"/>
              </w:rPr>
              <w:t>Maksātnespējas administrācijai minētās jaunās funkcijas nodrošināšanai nepiecie</w:t>
            </w:r>
            <w:r w:rsidR="00825445" w:rsidRPr="00CE43D6">
              <w:rPr>
                <w:rFonts w:ascii="Times New Roman" w:eastAsia="Times New Roman" w:hAnsi="Times New Roman" w:cs="Times New Roman"/>
                <w:color w:val="000000" w:themeColor="text1"/>
                <w:sz w:val="24"/>
                <w:szCs w:val="24"/>
                <w:lang w:eastAsia="lv-LV"/>
              </w:rPr>
              <w:t>šami divi juriskonsulti</w:t>
            </w:r>
            <w:r w:rsidR="00B31F0C">
              <w:rPr>
                <w:rFonts w:ascii="Times New Roman" w:eastAsia="Times New Roman" w:hAnsi="Times New Roman" w:cs="Times New Roman"/>
                <w:color w:val="000000" w:themeColor="text1"/>
                <w:sz w:val="24"/>
                <w:szCs w:val="24"/>
                <w:lang w:eastAsia="lv-LV"/>
              </w:rPr>
              <w:t>.</w:t>
            </w:r>
          </w:p>
          <w:p w14:paraId="1B737B7A" w14:textId="77777777" w:rsidR="0058530C" w:rsidRPr="00CF058A" w:rsidRDefault="0058530C" w:rsidP="007861C0">
            <w:pPr>
              <w:spacing w:after="0" w:line="240" w:lineRule="auto"/>
              <w:jc w:val="both"/>
              <w:rPr>
                <w:rFonts w:ascii="Times New Roman" w:eastAsia="Times New Roman" w:hAnsi="Times New Roman" w:cs="Times New Roman"/>
                <w:color w:val="000000" w:themeColor="text1"/>
                <w:sz w:val="24"/>
                <w:szCs w:val="24"/>
                <w:lang w:eastAsia="lv-LV"/>
              </w:rPr>
            </w:pPr>
          </w:p>
          <w:p w14:paraId="48D6F741" w14:textId="77777777" w:rsidR="007861C0" w:rsidRPr="00CF058A" w:rsidRDefault="00CF058A" w:rsidP="007861C0">
            <w:pPr>
              <w:spacing w:after="0" w:line="240" w:lineRule="auto"/>
              <w:jc w:val="both"/>
              <w:rPr>
                <w:rFonts w:ascii="Times New Roman" w:eastAsia="Times New Roman" w:hAnsi="Times New Roman" w:cs="Times New Roman"/>
                <w:b/>
                <w:color w:val="000000" w:themeColor="text1"/>
                <w:sz w:val="24"/>
                <w:szCs w:val="24"/>
                <w:lang w:eastAsia="lv-LV"/>
              </w:rPr>
            </w:pPr>
            <w:r w:rsidRPr="00CF058A">
              <w:rPr>
                <w:rFonts w:ascii="Times New Roman" w:eastAsia="Times New Roman" w:hAnsi="Times New Roman" w:cs="Times New Roman"/>
                <w:b/>
                <w:color w:val="000000" w:themeColor="text1"/>
                <w:sz w:val="24"/>
                <w:szCs w:val="24"/>
                <w:lang w:eastAsia="lv-LV"/>
              </w:rPr>
              <w:t>Par a</w:t>
            </w:r>
            <w:r w:rsidR="0091793F" w:rsidRPr="00CF058A">
              <w:rPr>
                <w:rFonts w:ascii="Times New Roman" w:eastAsia="Times New Roman" w:hAnsi="Times New Roman" w:cs="Times New Roman"/>
                <w:b/>
                <w:color w:val="000000" w:themeColor="text1"/>
                <w:sz w:val="24"/>
                <w:szCs w:val="24"/>
                <w:lang w:eastAsia="lv-LV"/>
              </w:rPr>
              <w:t>dministratora tiesīb</w:t>
            </w:r>
            <w:r w:rsidRPr="00CF058A">
              <w:rPr>
                <w:rFonts w:ascii="Times New Roman" w:eastAsia="Times New Roman" w:hAnsi="Times New Roman" w:cs="Times New Roman"/>
                <w:b/>
                <w:color w:val="000000" w:themeColor="text1"/>
                <w:sz w:val="24"/>
                <w:szCs w:val="24"/>
                <w:lang w:eastAsia="lv-LV"/>
              </w:rPr>
              <w:t>ām</w:t>
            </w:r>
            <w:r w:rsidR="0091793F" w:rsidRPr="00CF058A">
              <w:rPr>
                <w:rFonts w:ascii="Times New Roman" w:eastAsia="Times New Roman" w:hAnsi="Times New Roman" w:cs="Times New Roman"/>
                <w:b/>
                <w:color w:val="000000" w:themeColor="text1"/>
                <w:sz w:val="24"/>
                <w:szCs w:val="24"/>
                <w:lang w:eastAsia="lv-LV"/>
              </w:rPr>
              <w:t xml:space="preserve"> saņemt informāciju no tiesas attiecīgajā procesā bez maksas</w:t>
            </w:r>
          </w:p>
          <w:p w14:paraId="79D850E0" w14:textId="3F547F38" w:rsidR="00A756DD" w:rsidRPr="00CF058A" w:rsidRDefault="008F705D" w:rsidP="008F705D">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Gan juridiskās personas maksātnespējas procesa, gan fiziskās personas maksātnespējas procesa mērķis (</w:t>
            </w:r>
            <w:r w:rsidR="004D78D2">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4. panta pirmā daļa un 5. panta pirmā daļa) ir pēc iespējas lielākā apmērā segt kreditoru prasījumus. Tamdēļ </w:t>
            </w:r>
            <w:r w:rsidR="004D78D2">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administratoram ir noteikta virkne pienākumu, kas veicami, </w:t>
            </w:r>
            <w:r w:rsidRPr="00CF058A">
              <w:rPr>
                <w:rFonts w:ascii="Times New Roman" w:eastAsia="Times New Roman" w:hAnsi="Times New Roman" w:cs="Times New Roman"/>
                <w:color w:val="000000" w:themeColor="text1"/>
                <w:sz w:val="24"/>
                <w:szCs w:val="24"/>
                <w:lang w:eastAsia="lv-LV"/>
              </w:rPr>
              <w:lastRenderedPageBreak/>
              <w:t>lai mērķi sasniegtu likumīgi un pēc iespējas efektīvāk. Tomēr ir daļa informācija</w:t>
            </w:r>
            <w:r w:rsidR="00E54C30">
              <w:rPr>
                <w:rFonts w:ascii="Times New Roman" w:eastAsia="Times New Roman" w:hAnsi="Times New Roman" w:cs="Times New Roman"/>
                <w:color w:val="000000" w:themeColor="text1"/>
                <w:sz w:val="24"/>
                <w:szCs w:val="24"/>
                <w:lang w:eastAsia="lv-LV"/>
              </w:rPr>
              <w:t>s</w:t>
            </w:r>
            <w:r w:rsidRPr="00CF058A">
              <w:rPr>
                <w:rFonts w:ascii="Times New Roman" w:eastAsia="Times New Roman" w:hAnsi="Times New Roman" w:cs="Times New Roman"/>
                <w:color w:val="000000" w:themeColor="text1"/>
                <w:sz w:val="24"/>
                <w:szCs w:val="24"/>
                <w:lang w:eastAsia="lv-LV"/>
              </w:rPr>
              <w:t xml:space="preserve">, kas nav administratora rīcībā, ja vien viņš to īpaši nepieprasa, piemēram, juridiskās personas vai fiziskās personas maksātnespējas procesa pieteikums. Maksātnespējas procesa pieteikums ir tas dokuments, kas vienkopus var dot administratoram ieskatu tajā, kas ir noticis līdz šim saistībā ar konkrēto parādnieku, un piekļuve šādam dokumentam ir īpaši būtiska tajos gadījumos, kad administrators nesaņem nekādu informāciju no paša parādnieka vai tā pārstāvja. Nereti, padziļināti analizējot pieteikumā norādīto informāciju, administratori atklāj faktus, kas ir par pamatu fiziskās personas maksātnespējas procesa izbeigšanai, jo konstatēti </w:t>
            </w:r>
            <w:r w:rsidR="004D78D2">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noteiktie ierobežojumi.</w:t>
            </w:r>
            <w:r w:rsidR="00A756DD" w:rsidRPr="00CF058A">
              <w:rPr>
                <w:rFonts w:ascii="Times New Roman" w:eastAsia="Times New Roman" w:hAnsi="Times New Roman" w:cs="Times New Roman"/>
                <w:color w:val="000000" w:themeColor="text1"/>
                <w:sz w:val="24"/>
                <w:szCs w:val="24"/>
                <w:lang w:eastAsia="lv-LV"/>
              </w:rPr>
              <w:t xml:space="preserve"> </w:t>
            </w:r>
            <w:r w:rsidRPr="00CF058A">
              <w:rPr>
                <w:rFonts w:ascii="Times New Roman" w:eastAsia="Times New Roman" w:hAnsi="Times New Roman" w:cs="Times New Roman"/>
                <w:color w:val="000000" w:themeColor="text1"/>
                <w:sz w:val="24"/>
                <w:szCs w:val="24"/>
                <w:lang w:eastAsia="lv-LV"/>
              </w:rPr>
              <w:t>Ņemot vērā, ka šādu pārbaužu veikšana ir tieši saistīta ar administratora darbībām maksātnespējas procesa mērķa sasniegšanai, secināms, ka tās ir no</w:t>
            </w:r>
            <w:r w:rsidR="00A756DD" w:rsidRPr="00CF058A">
              <w:rPr>
                <w:rFonts w:ascii="Times New Roman" w:eastAsia="Times New Roman" w:hAnsi="Times New Roman" w:cs="Times New Roman"/>
                <w:color w:val="000000" w:themeColor="text1"/>
                <w:sz w:val="24"/>
                <w:szCs w:val="24"/>
                <w:lang w:eastAsia="lv-LV"/>
              </w:rPr>
              <w:t>zīmīgas maksātnespējas procesā.</w:t>
            </w:r>
            <w:r w:rsidR="00736031" w:rsidRPr="00CF058A">
              <w:rPr>
                <w:rFonts w:ascii="Times New Roman" w:eastAsia="Times New Roman" w:hAnsi="Times New Roman" w:cs="Times New Roman"/>
                <w:color w:val="000000" w:themeColor="text1"/>
                <w:sz w:val="24"/>
                <w:szCs w:val="24"/>
                <w:lang w:eastAsia="lv-LV"/>
              </w:rPr>
              <w:t xml:space="preserve"> Tā, piemēram, kopš 2008. gada 76 fizisko personu maksātnespējas procesi izbeigti, jo konstatēti maksātnespējas procesa ierobežojumi, 144 – jo konstatēti saistību dzēšanas procedūras piemērošanas ierobežojumi un 3 – jo fiziskā persona sniegusi nepatiesas ziņas.</w:t>
            </w:r>
          </w:p>
          <w:p w14:paraId="7AA3A086" w14:textId="64D10F0C" w:rsidR="008F705D" w:rsidRPr="00CF058A" w:rsidRDefault="008F705D" w:rsidP="00A756DD">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Tomēr saskaņā ar pašreizējo kārtību katru reizi, kad administrators pilda valsts noteikto pienākumu, par ko viņš nav atbrīvots no pakalpojuma saņemšanas maksas, tās kļūst par maksātnespējas procesa izmaksām.</w:t>
            </w:r>
            <w:r w:rsidR="00A756DD" w:rsidRPr="00CF058A">
              <w:rPr>
                <w:rFonts w:ascii="Times New Roman" w:eastAsia="Times New Roman" w:hAnsi="Times New Roman" w:cs="Times New Roman"/>
                <w:color w:val="000000" w:themeColor="text1"/>
                <w:sz w:val="24"/>
                <w:szCs w:val="24"/>
                <w:lang w:eastAsia="lv-LV"/>
              </w:rPr>
              <w:t xml:space="preserve"> Ministru kabineta 2013. gada 19. februāra noteikumu Nr. 96 </w:t>
            </w:r>
            <w:r w:rsidR="00A20652">
              <w:rPr>
                <w:rFonts w:ascii="Times New Roman" w:eastAsia="Times New Roman" w:hAnsi="Times New Roman" w:cs="Times New Roman"/>
                <w:color w:val="000000" w:themeColor="text1"/>
                <w:sz w:val="24"/>
                <w:szCs w:val="24"/>
                <w:lang w:eastAsia="lv-LV"/>
              </w:rPr>
              <w:t>"</w:t>
            </w:r>
            <w:r w:rsidR="00A756DD" w:rsidRPr="00CF058A">
              <w:rPr>
                <w:rFonts w:ascii="Times New Roman" w:eastAsia="Times New Roman" w:hAnsi="Times New Roman" w:cs="Times New Roman"/>
                <w:color w:val="000000" w:themeColor="text1"/>
                <w:sz w:val="24"/>
                <w:szCs w:val="24"/>
                <w:lang w:eastAsia="lv-LV"/>
              </w:rPr>
              <w:t>Noteikumi par tiesas sniegtajiem maksas pakalpojumiem</w:t>
            </w:r>
            <w:r w:rsidR="00A20652">
              <w:rPr>
                <w:rFonts w:ascii="Times New Roman" w:eastAsia="Times New Roman" w:hAnsi="Times New Roman" w:cs="Times New Roman"/>
                <w:color w:val="000000" w:themeColor="text1"/>
                <w:sz w:val="24"/>
                <w:szCs w:val="24"/>
                <w:lang w:eastAsia="lv-LV"/>
              </w:rPr>
              <w:t>"</w:t>
            </w:r>
            <w:r w:rsidR="00A756DD" w:rsidRPr="00CF058A">
              <w:rPr>
                <w:rFonts w:ascii="Times New Roman" w:eastAsia="Times New Roman" w:hAnsi="Times New Roman" w:cs="Times New Roman"/>
                <w:color w:val="000000" w:themeColor="text1"/>
                <w:sz w:val="24"/>
                <w:szCs w:val="24"/>
                <w:lang w:eastAsia="lv-LV"/>
              </w:rPr>
              <w:t xml:space="preserve"> 5.4. apakšpunkts noteic, ka no samaksas par pakalpojumu atbrīvo, ja informācija personai nepieciešama likumā paredzēto pienākumu pildīšanai un atbrīvojums no maksas par informācijas saņemšanu paredzēts attiecīgajā likumā. Savukārt minēto noteikumu 5.1.7. apakšpunkts noteic, ka no samaksas par pakalpojumu atbrīvo, ja pakalpojumu pieprasa lietas dalībnieks – fiziskā persona –, kura atbilstoši procesuālajiem likumiem ir atbrīvota no tiesas izdevumu vai valsts nodevas samaksas. Atbrīvojums no maksas par informācijas saņemšanu atbilstoši norādītajiem noteikumiem ir attiecināms uz tiem gadījumiem, kad administrators ceļ prasību to personu labā, kurām pasludināts juridiskās personas maksātnespējas process un fiziskās personas maksātnespējas process, kā arī iesniedzot juridiskās personas maksātnespējas procesa pieteikumu </w:t>
            </w:r>
            <w:r w:rsidR="004D78D2">
              <w:rPr>
                <w:rFonts w:ascii="Times New Roman" w:eastAsia="Times New Roman" w:hAnsi="Times New Roman" w:cs="Times New Roman"/>
                <w:color w:val="000000" w:themeColor="text1"/>
                <w:sz w:val="24"/>
                <w:szCs w:val="24"/>
                <w:lang w:eastAsia="lv-LV"/>
              </w:rPr>
              <w:t>MNL</w:t>
            </w:r>
            <w:r w:rsidR="00A756DD" w:rsidRPr="00CF058A">
              <w:rPr>
                <w:rFonts w:ascii="Times New Roman" w:eastAsia="Times New Roman" w:hAnsi="Times New Roman" w:cs="Times New Roman"/>
                <w:color w:val="000000" w:themeColor="text1"/>
                <w:sz w:val="24"/>
                <w:szCs w:val="24"/>
                <w:lang w:eastAsia="lv-LV"/>
              </w:rPr>
              <w:t xml:space="preserve"> 51. panta trešajā daļā noteiktajā gadījumā (Civilprocesa likuma 43. panta pirmās daļas 10. punkts), bet ne citos gadījumos.</w:t>
            </w:r>
          </w:p>
          <w:p w14:paraId="72523E52" w14:textId="1C07CE56" w:rsidR="008F705D" w:rsidRPr="00CF058A" w:rsidRDefault="008F705D" w:rsidP="008F705D">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Ievērojot minēto, likumprojektā paredzēts papildināt </w:t>
            </w:r>
            <w:r w:rsidR="004D78D2">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27. panta pirmajā daļā jau uzskaitītās administratora tiesības ar papildu noteikumu, kas noteic, ka administrators ir tiesīgs saņemt no tiesas bez maksas informāciju, kas nepieciešama konkrētā procesā tādā lietā, kurā </w:t>
            </w:r>
            <w:r w:rsidRPr="00CF058A">
              <w:rPr>
                <w:rFonts w:ascii="Times New Roman" w:eastAsia="Times New Roman" w:hAnsi="Times New Roman" w:cs="Times New Roman"/>
                <w:color w:val="000000" w:themeColor="text1"/>
                <w:sz w:val="24"/>
                <w:szCs w:val="24"/>
                <w:lang w:eastAsia="lv-LV"/>
              </w:rPr>
              <w:lastRenderedPageBreak/>
              <w:t>administrators ir iecelts.</w:t>
            </w:r>
          </w:p>
          <w:p w14:paraId="582DC38D" w14:textId="77777777" w:rsidR="008F705D" w:rsidRPr="00CF058A" w:rsidRDefault="008F705D" w:rsidP="008F705D">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Papildus jāņem vērā, ka minētais nebūtu attiecināms uz tādiem dokumentiem, kas jau ir administratora rīcībā, jo tiesa tos ir nosūtījusi elektroniski. Tādējādi likumprojektā ietvertā norma būtu jāattiecina tikai uz tādiem dokumentiem, kas objektīvi nav administratora rīcībā, nevis tādiem, ko administrators vēlas iesniegt kādai citai institūcijai vai citai tiesai kādā tiesvedībā.</w:t>
            </w:r>
          </w:p>
          <w:p w14:paraId="6EB3EA7C" w14:textId="77777777" w:rsidR="007861C0" w:rsidRPr="00CF058A" w:rsidRDefault="007861C0" w:rsidP="007861C0">
            <w:pPr>
              <w:spacing w:after="0" w:line="240" w:lineRule="auto"/>
              <w:jc w:val="both"/>
              <w:rPr>
                <w:rFonts w:ascii="Times New Roman" w:eastAsia="Times New Roman" w:hAnsi="Times New Roman" w:cs="Times New Roman"/>
                <w:color w:val="000000" w:themeColor="text1"/>
                <w:sz w:val="24"/>
                <w:szCs w:val="24"/>
                <w:lang w:eastAsia="lv-LV"/>
              </w:rPr>
            </w:pPr>
          </w:p>
          <w:p w14:paraId="07379754" w14:textId="77777777" w:rsidR="008F705D" w:rsidRPr="00CF058A" w:rsidRDefault="00CF058A"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b/>
                <w:color w:val="000000" w:themeColor="text1"/>
                <w:sz w:val="24"/>
                <w:szCs w:val="24"/>
                <w:lang w:eastAsia="lv-LV"/>
              </w:rPr>
              <w:t>Par j</w:t>
            </w:r>
            <w:r w:rsidR="00F36D38" w:rsidRPr="00CF058A">
              <w:rPr>
                <w:rFonts w:ascii="Times New Roman" w:eastAsia="Times New Roman" w:hAnsi="Times New Roman" w:cs="Times New Roman"/>
                <w:b/>
                <w:color w:val="000000" w:themeColor="text1"/>
                <w:sz w:val="24"/>
                <w:szCs w:val="24"/>
                <w:lang w:eastAsia="lv-LV"/>
              </w:rPr>
              <w:t>uridiskās personas maksātnespējas procesa depoz</w:t>
            </w:r>
            <w:r w:rsidRPr="00CF058A">
              <w:rPr>
                <w:rFonts w:ascii="Times New Roman" w:eastAsia="Times New Roman" w:hAnsi="Times New Roman" w:cs="Times New Roman"/>
                <w:b/>
                <w:color w:val="000000" w:themeColor="text1"/>
                <w:sz w:val="24"/>
                <w:szCs w:val="24"/>
                <w:lang w:eastAsia="lv-LV"/>
              </w:rPr>
              <w:t>īta iemaksu</w:t>
            </w:r>
            <w:r w:rsidR="00F36D38" w:rsidRPr="00CF058A">
              <w:rPr>
                <w:rFonts w:ascii="Times New Roman" w:eastAsia="Times New Roman" w:hAnsi="Times New Roman" w:cs="Times New Roman"/>
                <w:b/>
                <w:color w:val="000000" w:themeColor="text1"/>
                <w:sz w:val="24"/>
                <w:szCs w:val="24"/>
                <w:lang w:eastAsia="lv-LV"/>
              </w:rPr>
              <w:t xml:space="preserve"> kā priekšnotei</w:t>
            </w:r>
            <w:r w:rsidRPr="00CF058A">
              <w:rPr>
                <w:rFonts w:ascii="Times New Roman" w:eastAsia="Times New Roman" w:hAnsi="Times New Roman" w:cs="Times New Roman"/>
                <w:b/>
                <w:color w:val="000000" w:themeColor="text1"/>
                <w:sz w:val="24"/>
                <w:szCs w:val="24"/>
                <w:lang w:eastAsia="lv-LV"/>
              </w:rPr>
              <w:t>kumu</w:t>
            </w:r>
            <w:r w:rsidR="00F36D38" w:rsidRPr="00CF058A">
              <w:rPr>
                <w:rFonts w:ascii="Times New Roman" w:eastAsia="Times New Roman" w:hAnsi="Times New Roman" w:cs="Times New Roman"/>
                <w:b/>
                <w:color w:val="000000" w:themeColor="text1"/>
                <w:sz w:val="24"/>
                <w:szCs w:val="24"/>
                <w:lang w:eastAsia="lv-LV"/>
              </w:rPr>
              <w:t>, ja tiesiskās aizsardzības procesa pieteikumu iesniedz otro reizi gada laikā</w:t>
            </w:r>
          </w:p>
          <w:p w14:paraId="2D43778A" w14:textId="77777777" w:rsidR="005102B2" w:rsidRPr="005102B2" w:rsidRDefault="005102B2" w:rsidP="005102B2">
            <w:pPr>
              <w:spacing w:after="0" w:line="240" w:lineRule="auto"/>
              <w:jc w:val="both"/>
              <w:rPr>
                <w:rFonts w:ascii="Times New Roman" w:eastAsia="Times New Roman" w:hAnsi="Times New Roman" w:cs="Times New Roman"/>
                <w:color w:val="000000" w:themeColor="text1"/>
                <w:sz w:val="24"/>
                <w:szCs w:val="24"/>
                <w:lang w:eastAsia="lv-LV"/>
              </w:rPr>
            </w:pPr>
            <w:r w:rsidRPr="005102B2">
              <w:rPr>
                <w:rFonts w:ascii="Times New Roman" w:eastAsia="Times New Roman" w:hAnsi="Times New Roman" w:cs="Times New Roman"/>
                <w:color w:val="000000" w:themeColor="text1"/>
                <w:sz w:val="24"/>
                <w:szCs w:val="24"/>
                <w:lang w:eastAsia="lv-LV"/>
              </w:rPr>
              <w:t>Saskaņā ar MNL 62. panta pirmo daļu juridiskās personas maksātnespējas procesa pieteikuma iesniegšanas priekšnoteikums ir juridiskās personas maksātnespējas procesa depozīta iemaksa divu minimālo mēnešalgu apmērā Maksātnespējas administrācijas speciāli izveidotajā kontā. Attiecībā uz tiesiskās aizsardzības procesa pieteikumu šāds priekšnoteikums nav paredzēts.</w:t>
            </w:r>
          </w:p>
          <w:p w14:paraId="104DC479" w14:textId="77777777" w:rsidR="005102B2" w:rsidRPr="005102B2" w:rsidRDefault="005102B2" w:rsidP="005102B2">
            <w:pPr>
              <w:spacing w:after="0" w:line="240" w:lineRule="auto"/>
              <w:jc w:val="both"/>
              <w:rPr>
                <w:rFonts w:ascii="Times New Roman" w:eastAsia="Times New Roman" w:hAnsi="Times New Roman" w:cs="Times New Roman"/>
                <w:color w:val="000000" w:themeColor="text1"/>
                <w:sz w:val="24"/>
                <w:szCs w:val="24"/>
                <w:lang w:eastAsia="lv-LV"/>
              </w:rPr>
            </w:pPr>
            <w:r w:rsidRPr="005102B2">
              <w:rPr>
                <w:rFonts w:ascii="Times New Roman" w:eastAsia="Times New Roman" w:hAnsi="Times New Roman" w:cs="Times New Roman"/>
                <w:color w:val="000000" w:themeColor="text1"/>
                <w:sz w:val="24"/>
                <w:szCs w:val="24"/>
                <w:lang w:eastAsia="lv-LV"/>
              </w:rPr>
              <w:t>Tomēr tiesa var pasludināt maksātnespējas procesu tiesiskās aizsardzības procesa lietas ietvaros, ja konstatē, ka pastāv kāds no MNL 51. panta otrajā daļā noteiktajiem apstākļiem. Tādējādi šādā situācijā maksātnespējas procesā nav juridiskās personas maksātnespējas procesa depozīta un, ja parādniekam nav mantas vai tās apmērs ir mazāks par depozīta apmēru un kreditori nav izlēmuši izmantot citu finansēšanas avotu, nav līdzekļu, no kā segt juridiskās personas maksātnespējas procesa izmaksas.</w:t>
            </w:r>
          </w:p>
          <w:p w14:paraId="1277198C" w14:textId="77777777" w:rsidR="005102B2" w:rsidRPr="005102B2" w:rsidRDefault="005102B2" w:rsidP="005102B2">
            <w:pPr>
              <w:spacing w:after="0" w:line="240" w:lineRule="auto"/>
              <w:jc w:val="both"/>
              <w:rPr>
                <w:rFonts w:ascii="Times New Roman" w:eastAsia="Times New Roman" w:hAnsi="Times New Roman" w:cs="Times New Roman"/>
                <w:color w:val="000000" w:themeColor="text1"/>
                <w:sz w:val="24"/>
                <w:szCs w:val="24"/>
                <w:lang w:eastAsia="lv-LV"/>
              </w:rPr>
            </w:pPr>
            <w:r w:rsidRPr="005102B2">
              <w:rPr>
                <w:rFonts w:ascii="Times New Roman" w:eastAsia="Times New Roman" w:hAnsi="Times New Roman" w:cs="Times New Roman"/>
                <w:color w:val="000000" w:themeColor="text1"/>
                <w:sz w:val="24"/>
                <w:szCs w:val="24"/>
                <w:lang w:eastAsia="lv-LV"/>
              </w:rPr>
              <w:t>Līdz ar to likumprojektā (grozījums MNL 33. pantā) noteikts, ka, iesniedzot tiesiskās aizsardzības procesa pieteikumu otro reizi gada laikā, ir piemērojams papildu priekšnoteikums – juridiskās personas maksātnespējas procesa depozīta iemaksa. Šāda pienākuma ierobežošana tikai attiecībā uz tiem tiesiskās aizsardzības procesa pieteikumiem, ko iesniedz otro reizi gada laikā nodrošinās samērīgu ierobežojumu pieteicējiem, ņemot vērā, ka šādā situācijā ir krietni augstāks risks, ka attiecīgās lietas ietvaros tiek pasludināts maksātnespējas process.</w:t>
            </w:r>
          </w:p>
          <w:p w14:paraId="7E1BBD30" w14:textId="195B54C3" w:rsidR="005102B2" w:rsidRPr="005102B2" w:rsidRDefault="005102B2" w:rsidP="005102B2">
            <w:pPr>
              <w:spacing w:after="0" w:line="240" w:lineRule="auto"/>
              <w:jc w:val="both"/>
              <w:rPr>
                <w:rFonts w:ascii="Times New Roman" w:eastAsia="Times New Roman" w:hAnsi="Times New Roman" w:cs="Times New Roman"/>
                <w:color w:val="000000" w:themeColor="text1"/>
                <w:sz w:val="24"/>
                <w:szCs w:val="24"/>
                <w:lang w:eastAsia="lv-LV"/>
              </w:rPr>
            </w:pPr>
            <w:r w:rsidRPr="005102B2">
              <w:rPr>
                <w:rFonts w:ascii="Times New Roman" w:eastAsia="Times New Roman" w:hAnsi="Times New Roman" w:cs="Times New Roman"/>
                <w:color w:val="000000" w:themeColor="text1"/>
                <w:sz w:val="24"/>
                <w:szCs w:val="24"/>
                <w:lang w:eastAsia="lv-LV"/>
              </w:rPr>
              <w:t>Saskaņā ar MNL 3. panta pirmo daļu tiesiskās aizsardzības process ir tiesiska rakstura pasākumu kopums, kura mērķis ir atjaunot parādnieka spēju nokārtot savas saistības, ja parādnieks nonācis finansiālās grūtībās vai uzskata, ka tajās nonāks. Tātad tiesiskās aizsardzības process ir tieši vērsts uz kreditoru interesēm. Tādējādi likumprojektā papildus paredzēta iespēja parādniekam vienoties ar kreditoru vai kreditoriem par šā MNL 62. panta pirmajā daļā noteiktā depozīta iemaksāšanu. Līdz ar to</w:t>
            </w:r>
            <w:r w:rsidR="00DC294F" w:rsidRPr="005102B2">
              <w:rPr>
                <w:rFonts w:ascii="Times New Roman" w:eastAsia="Times New Roman" w:hAnsi="Times New Roman" w:cs="Times New Roman"/>
                <w:color w:val="000000" w:themeColor="text1"/>
                <w:sz w:val="24"/>
                <w:szCs w:val="24"/>
                <w:lang w:eastAsia="lv-LV"/>
              </w:rPr>
              <w:t>, ja</w:t>
            </w:r>
            <w:r w:rsidRPr="005102B2">
              <w:rPr>
                <w:rFonts w:ascii="Times New Roman" w:eastAsia="Times New Roman" w:hAnsi="Times New Roman" w:cs="Times New Roman"/>
                <w:color w:val="000000" w:themeColor="text1"/>
                <w:sz w:val="24"/>
                <w:szCs w:val="24"/>
                <w:lang w:eastAsia="lv-LV"/>
              </w:rPr>
              <w:t xml:space="preserve"> parādnieks nav varējis vienoties ar visiem kreditoriem ārpus tiesas (ārpustiesas tiesiskās aizsardzības procesa kārtībā), tomēr ir viens vai vairāki kreditori, kuri saskata iespēju, ka tiesiskās </w:t>
            </w:r>
            <w:r w:rsidRPr="005102B2">
              <w:rPr>
                <w:rFonts w:ascii="Times New Roman" w:eastAsia="Times New Roman" w:hAnsi="Times New Roman" w:cs="Times New Roman"/>
                <w:color w:val="000000" w:themeColor="text1"/>
                <w:sz w:val="24"/>
                <w:szCs w:val="24"/>
                <w:lang w:eastAsia="lv-LV"/>
              </w:rPr>
              <w:lastRenderedPageBreak/>
              <w:t>aizsardzības procesa plāns varētu tikt īstenots, šāds kreditors vai kreditori varēs sniegt savu atbalstu un izrādīt uzticēšanos parādniekam.</w:t>
            </w:r>
          </w:p>
          <w:p w14:paraId="0935D686" w14:textId="77777777" w:rsidR="005102B2" w:rsidRPr="005102B2" w:rsidRDefault="005102B2" w:rsidP="005102B2">
            <w:pPr>
              <w:spacing w:after="0" w:line="240" w:lineRule="auto"/>
              <w:jc w:val="both"/>
              <w:rPr>
                <w:rFonts w:ascii="Times New Roman" w:eastAsia="Times New Roman" w:hAnsi="Times New Roman" w:cs="Times New Roman"/>
                <w:color w:val="000000" w:themeColor="text1"/>
                <w:sz w:val="24"/>
                <w:szCs w:val="24"/>
                <w:lang w:eastAsia="lv-LV"/>
              </w:rPr>
            </w:pPr>
            <w:r w:rsidRPr="005102B2">
              <w:rPr>
                <w:rFonts w:ascii="Times New Roman" w:eastAsia="Times New Roman" w:hAnsi="Times New Roman" w:cs="Times New Roman"/>
                <w:color w:val="000000" w:themeColor="text1"/>
                <w:sz w:val="24"/>
                <w:szCs w:val="24"/>
                <w:lang w:eastAsia="lv-LV"/>
              </w:rPr>
              <w:t>Ja netiks pasludināts maksātnespējas process, šādā kārtībā iemaksātais depozīts būs atgriežams tā iemaksātājam.</w:t>
            </w:r>
          </w:p>
          <w:p w14:paraId="71737E5C" w14:textId="77777777" w:rsidR="005102B2" w:rsidRPr="005102B2" w:rsidRDefault="005102B2" w:rsidP="005102B2">
            <w:pPr>
              <w:spacing w:after="0" w:line="240" w:lineRule="auto"/>
              <w:jc w:val="both"/>
              <w:rPr>
                <w:rFonts w:ascii="Times New Roman" w:eastAsia="Times New Roman" w:hAnsi="Times New Roman" w:cs="Times New Roman"/>
                <w:color w:val="000000" w:themeColor="text1"/>
                <w:sz w:val="24"/>
                <w:szCs w:val="24"/>
                <w:lang w:eastAsia="lv-LV"/>
              </w:rPr>
            </w:pPr>
            <w:r w:rsidRPr="005102B2">
              <w:rPr>
                <w:rFonts w:ascii="Times New Roman" w:eastAsia="Times New Roman" w:hAnsi="Times New Roman" w:cs="Times New Roman"/>
                <w:color w:val="000000" w:themeColor="text1"/>
                <w:sz w:val="24"/>
                <w:szCs w:val="24"/>
                <w:lang w:eastAsia="lv-LV"/>
              </w:rPr>
              <w:t>Grozījumu mērķis ir samazināt to gadījumu skaitu, kad tiesiskās aizsardzības procesa pieteikums tiek negodprātīgi iesniegts otro reizi gada laikā, lai iestātos tiesiskās aizsardzības procesa lietas ierosināšanas sekas.</w:t>
            </w:r>
          </w:p>
          <w:p w14:paraId="7138210E" w14:textId="4EB6152E" w:rsidR="00F36D38" w:rsidRDefault="005102B2" w:rsidP="005102B2">
            <w:pPr>
              <w:spacing w:after="0" w:line="240" w:lineRule="auto"/>
              <w:jc w:val="both"/>
              <w:rPr>
                <w:rFonts w:ascii="Times New Roman" w:eastAsia="Times New Roman" w:hAnsi="Times New Roman" w:cs="Times New Roman"/>
                <w:color w:val="000000" w:themeColor="text1"/>
                <w:sz w:val="24"/>
                <w:szCs w:val="24"/>
                <w:lang w:eastAsia="lv-LV"/>
              </w:rPr>
            </w:pPr>
            <w:r w:rsidRPr="005102B2">
              <w:rPr>
                <w:rFonts w:ascii="Times New Roman" w:eastAsia="Times New Roman" w:hAnsi="Times New Roman" w:cs="Times New Roman"/>
                <w:color w:val="000000" w:themeColor="text1"/>
                <w:sz w:val="24"/>
                <w:szCs w:val="24"/>
                <w:lang w:eastAsia="lv-LV"/>
              </w:rPr>
              <w:t xml:space="preserve">Grozījumi attiecināmi uz tām tiesiskās aizsardzības procesa lietām, kas uzsāktas pēc grozījumu pieņemšanas, ja pieteikums tiek iesniegts otro reizi gada laikā un varētu izpildīties MNL 51. panta otrās daļas 1. punkta nosacījums. </w:t>
            </w:r>
          </w:p>
          <w:p w14:paraId="3A576CD0" w14:textId="77777777" w:rsidR="005102B2" w:rsidRPr="00CF058A" w:rsidRDefault="005102B2" w:rsidP="005102B2">
            <w:pPr>
              <w:spacing w:after="0" w:line="240" w:lineRule="auto"/>
              <w:jc w:val="both"/>
              <w:rPr>
                <w:rFonts w:ascii="Times New Roman" w:eastAsia="Times New Roman" w:hAnsi="Times New Roman" w:cs="Times New Roman"/>
                <w:color w:val="000000" w:themeColor="text1"/>
                <w:sz w:val="24"/>
                <w:szCs w:val="24"/>
                <w:lang w:eastAsia="lv-LV"/>
              </w:rPr>
            </w:pPr>
          </w:p>
          <w:p w14:paraId="115911F2" w14:textId="77FE5D43" w:rsidR="00F36D38" w:rsidRPr="00CF058A" w:rsidRDefault="0055191F" w:rsidP="007861C0">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b/>
                <w:color w:val="000000" w:themeColor="text1"/>
                <w:sz w:val="24"/>
                <w:szCs w:val="24"/>
                <w:lang w:eastAsia="lv-LV"/>
              </w:rPr>
              <w:t xml:space="preserve">Par </w:t>
            </w:r>
            <w:r w:rsidR="00A20652">
              <w:rPr>
                <w:rFonts w:ascii="Times New Roman" w:eastAsia="Times New Roman" w:hAnsi="Times New Roman" w:cs="Times New Roman"/>
                <w:b/>
                <w:color w:val="000000" w:themeColor="text1"/>
                <w:sz w:val="24"/>
                <w:szCs w:val="24"/>
                <w:lang w:eastAsia="lv-LV"/>
              </w:rPr>
              <w:t>"</w:t>
            </w:r>
            <w:r w:rsidRPr="00CF058A">
              <w:rPr>
                <w:rFonts w:ascii="Times New Roman" w:eastAsia="Times New Roman" w:hAnsi="Times New Roman" w:cs="Times New Roman"/>
                <w:b/>
                <w:color w:val="000000" w:themeColor="text1"/>
                <w:sz w:val="24"/>
                <w:szCs w:val="24"/>
                <w:lang w:eastAsia="lv-LV"/>
              </w:rPr>
              <w:t>ģimenes maksātnespējas procesa</w:t>
            </w:r>
            <w:r w:rsidR="00A20652">
              <w:rPr>
                <w:rFonts w:ascii="Times New Roman" w:eastAsia="Times New Roman" w:hAnsi="Times New Roman" w:cs="Times New Roman"/>
                <w:b/>
                <w:color w:val="000000" w:themeColor="text1"/>
                <w:sz w:val="24"/>
                <w:szCs w:val="24"/>
                <w:lang w:eastAsia="lv-LV"/>
              </w:rPr>
              <w:t>"</w:t>
            </w:r>
            <w:r w:rsidRPr="00CF058A">
              <w:rPr>
                <w:rFonts w:ascii="Times New Roman" w:eastAsia="Times New Roman" w:hAnsi="Times New Roman" w:cs="Times New Roman"/>
                <w:b/>
                <w:color w:val="000000" w:themeColor="text1"/>
                <w:sz w:val="24"/>
                <w:szCs w:val="24"/>
                <w:lang w:eastAsia="lv-LV"/>
              </w:rPr>
              <w:t xml:space="preserve"> depozītu</w:t>
            </w:r>
          </w:p>
          <w:p w14:paraId="21122E22" w14:textId="25923183" w:rsidR="0055191F" w:rsidRPr="00CF058A" w:rsidRDefault="0055191F" w:rsidP="0055191F">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Administratora ieguldītā darba apjoms </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ģimenes maksātnespējas procesā</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 xml:space="preserve"> palielinās proporcionāli attiecīgā procesa parādnieku skaitam. Tā sauktā </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ģimenes maksātnespējas procesa</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 xml:space="preserve"> ieviešanas mērķis bija atvieglot savstarpēji saistītu personu iespējas dzēst savas parādsaistības.</w:t>
            </w:r>
            <w:r w:rsidR="00630966" w:rsidRPr="00630966">
              <w:rPr>
                <w:rFonts w:ascii="Times New Roman" w:eastAsia="Times New Roman" w:hAnsi="Times New Roman" w:cs="Times New Roman"/>
                <w:color w:val="000000" w:themeColor="text1"/>
                <w:sz w:val="24"/>
                <w:szCs w:val="24"/>
                <w:vertAlign w:val="superscript"/>
                <w:lang w:eastAsia="lv-LV"/>
              </w:rPr>
              <w:footnoteReference w:id="3"/>
            </w:r>
            <w:r w:rsidRPr="00CF058A">
              <w:rPr>
                <w:rFonts w:ascii="Times New Roman" w:eastAsia="Times New Roman" w:hAnsi="Times New Roman" w:cs="Times New Roman"/>
                <w:color w:val="000000" w:themeColor="text1"/>
                <w:sz w:val="24"/>
                <w:szCs w:val="24"/>
                <w:lang w:eastAsia="lv-LV"/>
              </w:rPr>
              <w:t xml:space="preserve"> Kaut arī piedāvātais mehānisms praksē tiek plaši izmantots</w:t>
            </w:r>
            <w:r w:rsidR="008E50C6">
              <w:rPr>
                <w:rFonts w:ascii="Times New Roman" w:eastAsia="Times New Roman" w:hAnsi="Times New Roman" w:cs="Times New Roman"/>
                <w:color w:val="000000" w:themeColor="text1"/>
                <w:sz w:val="24"/>
                <w:szCs w:val="24"/>
                <w:lang w:eastAsia="lv-LV"/>
              </w:rPr>
              <w:t xml:space="preserve"> un ir atbalstāms</w:t>
            </w:r>
            <w:r w:rsidRPr="00CF058A">
              <w:rPr>
                <w:rFonts w:ascii="Times New Roman" w:eastAsia="Times New Roman" w:hAnsi="Times New Roman" w:cs="Times New Roman"/>
                <w:color w:val="000000" w:themeColor="text1"/>
                <w:sz w:val="24"/>
                <w:szCs w:val="24"/>
                <w:lang w:eastAsia="lv-LV"/>
              </w:rPr>
              <w:t>, vienlaikus arī konstatēts, ka norma nenodrošina visu maksātnespējas procesā iesaistīto personu interešu samērīgu ievērošanu. Proti, pasludinot šādu procesu, būtībā norit tik fizisko personu maksātnespējas procesi, cik tajā esošās personas. Tomēr šāds atlīdzības modelis nav stimulējošs, lai administrators nodrošinātu maksimāli efektīvu maksātnespējas procesa norisi. Tā rezultātā tiek patērēts ievērojams valsts resurss šādu procesu norises un administratoru rīcības uzraudzībai, kas nav samērīgi ar esošā regulējuma ieguvumu.</w:t>
            </w:r>
          </w:p>
          <w:p w14:paraId="35A11F28" w14:textId="1416DD1D" w:rsidR="00C12D11" w:rsidRDefault="0055191F" w:rsidP="0055191F">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Kopš attiecīgo grozījumu stāšanās spēkā līdz 2017. gada 1. martam ir ierosināta 351 </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ģimenes maksātnespējas procesa</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 xml:space="preserve"> lieta, pasludināti 344 </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ģimenes maksātnespējas procesi</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 xml:space="preserve"> un parādnieku kopējais skaits pasludinātajos </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ģimenes maksātnespējas procesos</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 xml:space="preserve"> ir 724. Tas nozīmē, ka apmēram divu gadu laikā administratori 344 reizes ir bijuši iesaistīti fiziskās personas maksātnespējas procesā, kas </w:t>
            </w:r>
            <w:r w:rsidR="000305C7">
              <w:rPr>
                <w:rFonts w:ascii="Times New Roman" w:eastAsia="Times New Roman" w:hAnsi="Times New Roman" w:cs="Times New Roman"/>
                <w:color w:val="000000" w:themeColor="text1"/>
                <w:sz w:val="24"/>
                <w:szCs w:val="24"/>
                <w:lang w:eastAsia="lv-LV"/>
              </w:rPr>
              <w:t xml:space="preserve">būtībā </w:t>
            </w:r>
            <w:r w:rsidRPr="00CF058A">
              <w:rPr>
                <w:rFonts w:ascii="Times New Roman" w:eastAsia="Times New Roman" w:hAnsi="Times New Roman" w:cs="Times New Roman"/>
                <w:color w:val="000000" w:themeColor="text1"/>
                <w:sz w:val="24"/>
                <w:szCs w:val="24"/>
                <w:lang w:eastAsia="lv-LV"/>
              </w:rPr>
              <w:t>ir izpaudušies kā divi vai vairāki maksātnespējas procesi, tomēr saņemot vienu atlīdz</w:t>
            </w:r>
            <w:r w:rsidR="000305C7">
              <w:rPr>
                <w:rFonts w:ascii="Times New Roman" w:eastAsia="Times New Roman" w:hAnsi="Times New Roman" w:cs="Times New Roman"/>
                <w:color w:val="000000" w:themeColor="text1"/>
                <w:sz w:val="24"/>
                <w:szCs w:val="24"/>
                <w:lang w:eastAsia="lv-LV"/>
              </w:rPr>
              <w:t xml:space="preserve">ību. Likumprojektā, papildinot </w:t>
            </w:r>
            <w:r w:rsidR="004847CB">
              <w:rPr>
                <w:rFonts w:ascii="Times New Roman" w:eastAsia="Times New Roman" w:hAnsi="Times New Roman" w:cs="Times New Roman"/>
                <w:color w:val="000000" w:themeColor="text1"/>
                <w:sz w:val="24"/>
                <w:szCs w:val="24"/>
                <w:lang w:eastAsia="lv-LV"/>
              </w:rPr>
              <w:t xml:space="preserve">MNL </w:t>
            </w:r>
            <w:r w:rsidR="000305C7">
              <w:rPr>
                <w:rFonts w:ascii="Times New Roman" w:eastAsia="Times New Roman" w:hAnsi="Times New Roman" w:cs="Times New Roman"/>
                <w:color w:val="000000" w:themeColor="text1"/>
                <w:sz w:val="24"/>
                <w:szCs w:val="24"/>
                <w:lang w:eastAsia="lv-LV"/>
              </w:rPr>
              <w:t>129. pantu ar 2.</w:t>
            </w:r>
            <w:r w:rsidR="000305C7">
              <w:rPr>
                <w:rFonts w:ascii="Times New Roman" w:eastAsia="Times New Roman" w:hAnsi="Times New Roman" w:cs="Times New Roman"/>
                <w:color w:val="000000" w:themeColor="text1"/>
                <w:sz w:val="24"/>
                <w:szCs w:val="24"/>
                <w:vertAlign w:val="superscript"/>
                <w:lang w:eastAsia="lv-LV"/>
              </w:rPr>
              <w:t>1</w:t>
            </w:r>
            <w:r w:rsidR="000305C7">
              <w:rPr>
                <w:rFonts w:ascii="Times New Roman" w:eastAsia="Times New Roman" w:hAnsi="Times New Roman" w:cs="Times New Roman"/>
                <w:color w:val="000000" w:themeColor="text1"/>
                <w:sz w:val="24"/>
                <w:szCs w:val="24"/>
                <w:lang w:eastAsia="lv-LV"/>
              </w:rPr>
              <w:t> daļu</w:t>
            </w:r>
            <w:r w:rsidRPr="00CF058A">
              <w:rPr>
                <w:rFonts w:ascii="Times New Roman" w:eastAsia="Times New Roman" w:hAnsi="Times New Roman" w:cs="Times New Roman"/>
                <w:color w:val="000000" w:themeColor="text1"/>
                <w:sz w:val="24"/>
                <w:szCs w:val="24"/>
                <w:lang w:eastAsia="lv-LV"/>
              </w:rPr>
              <w:t xml:space="preserve"> paredzēts salāgot plaši izmantoto </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ģimenes maksātnespējas procesu</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 xml:space="preserve"> ar motivējošu atlīdzību administratoram. Proti, turpinot nodrošināt atvieglotus nosacījumus parādniekiem, paredzot samazinātu depozīta maksas apmēru, tomēr nodrošināt, ka ir depozīts vienas minimālās mēnešalgas apmērā, no kā var segt nosacīti atsevišķā m</w:t>
            </w:r>
            <w:r w:rsidR="00C12D11">
              <w:rPr>
                <w:rFonts w:ascii="Times New Roman" w:eastAsia="Times New Roman" w:hAnsi="Times New Roman" w:cs="Times New Roman"/>
                <w:color w:val="000000" w:themeColor="text1"/>
                <w:sz w:val="24"/>
                <w:szCs w:val="24"/>
                <w:lang w:eastAsia="lv-LV"/>
              </w:rPr>
              <w:t>aksātnespējas procesa izmaksas.</w:t>
            </w:r>
          </w:p>
          <w:p w14:paraId="509EF808" w14:textId="24B88FF6" w:rsidR="00C12D11" w:rsidRDefault="00C12D11" w:rsidP="0055191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Turklāt būtiski ņemt vērā, ka papildu vienas minimālās algas pieskaitīšana depozītam</w:t>
            </w:r>
            <w:r w:rsidRPr="00C12D11">
              <w:rPr>
                <w:rFonts w:ascii="Times New Roman" w:eastAsia="Times New Roman" w:hAnsi="Times New Roman" w:cs="Times New Roman"/>
                <w:color w:val="000000" w:themeColor="text1"/>
                <w:sz w:val="24"/>
                <w:szCs w:val="24"/>
                <w:lang w:eastAsia="lv-LV"/>
              </w:rPr>
              <w:t xml:space="preserve"> ir vērsta</w:t>
            </w:r>
            <w:r>
              <w:rPr>
                <w:rFonts w:ascii="Times New Roman" w:eastAsia="Times New Roman" w:hAnsi="Times New Roman" w:cs="Times New Roman"/>
                <w:color w:val="000000" w:themeColor="text1"/>
                <w:sz w:val="24"/>
                <w:szCs w:val="24"/>
                <w:lang w:eastAsia="lv-LV"/>
              </w:rPr>
              <w:t xml:space="preserve"> pret</w:t>
            </w:r>
            <w:r w:rsidRPr="00C12D11">
              <w:rPr>
                <w:rFonts w:ascii="Times New Roman" w:eastAsia="Times New Roman" w:hAnsi="Times New Roman" w:cs="Times New Roman"/>
                <w:color w:val="000000" w:themeColor="text1"/>
                <w:sz w:val="24"/>
                <w:szCs w:val="24"/>
                <w:lang w:eastAsia="lv-LV"/>
              </w:rPr>
              <w:t xml:space="preserve"> </w:t>
            </w:r>
            <w:r w:rsidR="00A20652">
              <w:rPr>
                <w:rFonts w:ascii="Times New Roman" w:eastAsia="Times New Roman" w:hAnsi="Times New Roman" w:cs="Times New Roman"/>
                <w:color w:val="000000" w:themeColor="text1"/>
                <w:sz w:val="24"/>
                <w:szCs w:val="24"/>
                <w:lang w:eastAsia="lv-LV"/>
              </w:rPr>
              <w:t>"</w:t>
            </w:r>
            <w:r w:rsidRPr="00C12D11">
              <w:rPr>
                <w:rFonts w:ascii="Times New Roman" w:eastAsia="Times New Roman" w:hAnsi="Times New Roman" w:cs="Times New Roman"/>
                <w:color w:val="000000" w:themeColor="text1"/>
                <w:sz w:val="24"/>
                <w:szCs w:val="24"/>
                <w:lang w:eastAsia="lv-LV"/>
              </w:rPr>
              <w:t>ģimenes maksātnespēja</w:t>
            </w:r>
            <w:r>
              <w:rPr>
                <w:rFonts w:ascii="Times New Roman" w:eastAsia="Times New Roman" w:hAnsi="Times New Roman" w:cs="Times New Roman"/>
                <w:color w:val="000000" w:themeColor="text1"/>
                <w:sz w:val="24"/>
                <w:szCs w:val="24"/>
                <w:lang w:eastAsia="lv-LV"/>
              </w:rPr>
              <w:t>s procesa</w:t>
            </w:r>
            <w:r w:rsidR="00A20652">
              <w:rPr>
                <w:rFonts w:ascii="Times New Roman" w:eastAsia="Times New Roman" w:hAnsi="Times New Roman" w:cs="Times New Roman"/>
                <w:color w:val="000000" w:themeColor="text1"/>
                <w:sz w:val="24"/>
                <w:szCs w:val="24"/>
                <w:lang w:eastAsia="lv-LV"/>
              </w:rPr>
              <w:t>"</w:t>
            </w:r>
            <w:r w:rsidRPr="00C12D11">
              <w:rPr>
                <w:rFonts w:ascii="Times New Roman" w:eastAsia="Times New Roman" w:hAnsi="Times New Roman" w:cs="Times New Roman"/>
                <w:color w:val="000000" w:themeColor="text1"/>
                <w:sz w:val="24"/>
                <w:szCs w:val="24"/>
                <w:lang w:eastAsia="lv-LV"/>
              </w:rPr>
              <w:t xml:space="preserve"> ļaunprātīgu izmantošanu,</w:t>
            </w:r>
            <w:r>
              <w:rPr>
                <w:rFonts w:ascii="Times New Roman" w:eastAsia="Times New Roman" w:hAnsi="Times New Roman" w:cs="Times New Roman"/>
                <w:color w:val="000000" w:themeColor="text1"/>
                <w:sz w:val="24"/>
                <w:szCs w:val="24"/>
                <w:lang w:eastAsia="lv-LV"/>
              </w:rPr>
              <w:t xml:space="preserve"> jo </w:t>
            </w:r>
            <w:r w:rsidRPr="00C12D11">
              <w:rPr>
                <w:rFonts w:ascii="Times New Roman" w:eastAsia="Times New Roman" w:hAnsi="Times New Roman" w:cs="Times New Roman"/>
                <w:color w:val="000000" w:themeColor="text1"/>
                <w:sz w:val="24"/>
                <w:szCs w:val="24"/>
                <w:lang w:eastAsia="lv-LV"/>
              </w:rPr>
              <w:t xml:space="preserve">praksē </w:t>
            </w:r>
            <w:r w:rsidR="00A20652">
              <w:rPr>
                <w:rFonts w:ascii="Times New Roman" w:eastAsia="Times New Roman" w:hAnsi="Times New Roman" w:cs="Times New Roman"/>
                <w:color w:val="000000" w:themeColor="text1"/>
                <w:sz w:val="24"/>
                <w:szCs w:val="24"/>
                <w:lang w:eastAsia="lv-LV"/>
              </w:rPr>
              <w:t>"</w:t>
            </w:r>
            <w:r w:rsidRPr="00C12D11">
              <w:rPr>
                <w:rFonts w:ascii="Times New Roman" w:eastAsia="Times New Roman" w:hAnsi="Times New Roman" w:cs="Times New Roman"/>
                <w:color w:val="000000" w:themeColor="text1"/>
                <w:sz w:val="24"/>
                <w:szCs w:val="24"/>
                <w:lang w:eastAsia="lv-LV"/>
              </w:rPr>
              <w:t>ģimenes maksātnespējas</w:t>
            </w:r>
            <w:r>
              <w:rPr>
                <w:rFonts w:ascii="Times New Roman" w:eastAsia="Times New Roman" w:hAnsi="Times New Roman" w:cs="Times New Roman"/>
                <w:color w:val="000000" w:themeColor="text1"/>
                <w:sz w:val="24"/>
                <w:szCs w:val="24"/>
                <w:lang w:eastAsia="lv-LV"/>
              </w:rPr>
              <w:t xml:space="preserve"> procesa</w:t>
            </w:r>
            <w:r w:rsidR="00A20652">
              <w:rPr>
                <w:rFonts w:ascii="Times New Roman" w:eastAsia="Times New Roman" w:hAnsi="Times New Roman" w:cs="Times New Roman"/>
                <w:color w:val="000000" w:themeColor="text1"/>
                <w:sz w:val="24"/>
                <w:szCs w:val="24"/>
                <w:lang w:eastAsia="lv-LV"/>
              </w:rPr>
              <w:t>"</w:t>
            </w:r>
            <w:r w:rsidRPr="00C12D11">
              <w:rPr>
                <w:rFonts w:ascii="Times New Roman" w:eastAsia="Times New Roman" w:hAnsi="Times New Roman" w:cs="Times New Roman"/>
                <w:color w:val="000000" w:themeColor="text1"/>
                <w:sz w:val="24"/>
                <w:szCs w:val="24"/>
                <w:lang w:eastAsia="lv-LV"/>
              </w:rPr>
              <w:t xml:space="preserve"> iespēja nereti tiek izmantota </w:t>
            </w:r>
            <w:r>
              <w:rPr>
                <w:rFonts w:ascii="Times New Roman" w:eastAsia="Times New Roman" w:hAnsi="Times New Roman" w:cs="Times New Roman"/>
                <w:color w:val="000000" w:themeColor="text1"/>
                <w:sz w:val="24"/>
                <w:szCs w:val="24"/>
                <w:lang w:eastAsia="lv-LV"/>
              </w:rPr>
              <w:t>tamdēļ</w:t>
            </w:r>
            <w:r w:rsidRPr="00C12D11">
              <w:rPr>
                <w:rFonts w:ascii="Times New Roman" w:eastAsia="Times New Roman" w:hAnsi="Times New Roman" w:cs="Times New Roman"/>
                <w:color w:val="000000" w:themeColor="text1"/>
                <w:sz w:val="24"/>
                <w:szCs w:val="24"/>
                <w:lang w:eastAsia="lv-LV"/>
              </w:rPr>
              <w:t xml:space="preserve">, lai samazinātu </w:t>
            </w:r>
            <w:r>
              <w:rPr>
                <w:rFonts w:ascii="Times New Roman" w:eastAsia="Times New Roman" w:hAnsi="Times New Roman" w:cs="Times New Roman"/>
                <w:color w:val="000000" w:themeColor="text1"/>
                <w:sz w:val="24"/>
                <w:szCs w:val="24"/>
                <w:lang w:eastAsia="lv-LV"/>
              </w:rPr>
              <w:t xml:space="preserve">maksātnespējas procesa </w:t>
            </w:r>
            <w:r w:rsidRPr="00C12D11">
              <w:rPr>
                <w:rFonts w:ascii="Times New Roman" w:eastAsia="Times New Roman" w:hAnsi="Times New Roman" w:cs="Times New Roman"/>
                <w:color w:val="000000" w:themeColor="text1"/>
                <w:sz w:val="24"/>
                <w:szCs w:val="24"/>
                <w:lang w:eastAsia="lv-LV"/>
              </w:rPr>
              <w:t>izmaksas, nevis nodrošinātu kopīgu parādu dzēšanu vai kopīgu aktīvu realizēšanu</w:t>
            </w:r>
            <w:r>
              <w:rPr>
                <w:rFonts w:ascii="Times New Roman" w:eastAsia="Times New Roman" w:hAnsi="Times New Roman" w:cs="Times New Roman"/>
                <w:color w:val="000000" w:themeColor="text1"/>
                <w:sz w:val="24"/>
                <w:szCs w:val="24"/>
                <w:lang w:eastAsia="lv-LV"/>
              </w:rPr>
              <w:t>.</w:t>
            </w:r>
          </w:p>
          <w:p w14:paraId="51809130" w14:textId="7C3310D9" w:rsidR="0055191F" w:rsidRPr="00CF058A" w:rsidRDefault="0055191F" w:rsidP="0055191F">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Grozījumi attiecināmi uz tām fiziskās personas maksātnespējas procesa lietām, kas uzsākt</w:t>
            </w:r>
            <w:r w:rsidR="00C12D11">
              <w:rPr>
                <w:rFonts w:ascii="Times New Roman" w:eastAsia="Times New Roman" w:hAnsi="Times New Roman" w:cs="Times New Roman"/>
                <w:color w:val="000000" w:themeColor="text1"/>
                <w:sz w:val="24"/>
                <w:szCs w:val="24"/>
                <w:lang w:eastAsia="lv-LV"/>
              </w:rPr>
              <w:t>as</w:t>
            </w:r>
            <w:r w:rsidRPr="00CF058A">
              <w:rPr>
                <w:rFonts w:ascii="Times New Roman" w:eastAsia="Times New Roman" w:hAnsi="Times New Roman" w:cs="Times New Roman"/>
                <w:color w:val="000000" w:themeColor="text1"/>
                <w:sz w:val="24"/>
                <w:szCs w:val="24"/>
                <w:lang w:eastAsia="lv-LV"/>
              </w:rPr>
              <w:t xml:space="preserve"> pēc grozījumu spēkā stāšanās.</w:t>
            </w:r>
          </w:p>
          <w:p w14:paraId="4C4EB92D" w14:textId="77777777" w:rsidR="0055191F" w:rsidRPr="00CF058A" w:rsidRDefault="0055191F" w:rsidP="007861C0">
            <w:pPr>
              <w:spacing w:after="0" w:line="240" w:lineRule="auto"/>
              <w:jc w:val="both"/>
              <w:rPr>
                <w:rFonts w:ascii="Times New Roman" w:eastAsia="Times New Roman" w:hAnsi="Times New Roman" w:cs="Times New Roman"/>
                <w:color w:val="000000" w:themeColor="text1"/>
                <w:sz w:val="24"/>
                <w:szCs w:val="24"/>
                <w:lang w:eastAsia="lv-LV"/>
              </w:rPr>
            </w:pPr>
          </w:p>
          <w:p w14:paraId="0322CBEB" w14:textId="77777777" w:rsidR="0055191F" w:rsidRPr="00CF058A" w:rsidRDefault="0055191F" w:rsidP="0055191F">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b/>
                <w:color w:val="000000" w:themeColor="text1"/>
                <w:sz w:val="24"/>
                <w:szCs w:val="24"/>
                <w:lang w:eastAsia="lv-LV"/>
              </w:rPr>
              <w:t>Par kreditoru prasījumu segšanai novirzāmo līdzekļu apmēru fiziskās personas maksātnespējas procesā (saistību dzēšanas procedūras ietvaros)</w:t>
            </w:r>
          </w:p>
          <w:p w14:paraId="68F59E4E" w14:textId="236F3853" w:rsidR="0055191F" w:rsidRPr="00CF058A" w:rsidRDefault="004847CB" w:rsidP="0055191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MNL</w:t>
            </w:r>
            <w:r w:rsidR="0055191F" w:rsidRPr="00CF058A">
              <w:rPr>
                <w:rFonts w:ascii="Times New Roman" w:eastAsia="Times New Roman" w:hAnsi="Times New Roman" w:cs="Times New Roman"/>
                <w:color w:val="000000" w:themeColor="text1"/>
                <w:sz w:val="24"/>
                <w:szCs w:val="24"/>
                <w:lang w:eastAsia="lv-LV"/>
              </w:rPr>
              <w:t xml:space="preserve"> 155. panta ceturtajā daļā noteikts, ja parādnieks saistību dzēšanas procedūras laikā no savas gribas neatkarīgu apstākļu dēļ nav spējīgs segt šā panta otrajā un trešajā daļā noteikto saistību apmēru, fiziskās personas saistību dzēšanas plānā paredz, ka kreditoru prasījumu segšanai tiks novirzīti līdzekļi vienas trešdaļas apmērā no parādnieka ienākumiem, bet ne mazāk kā vienas trešdaļas apmērā no vienas minimālās mēnešalgas mēnesī. Praksē minētā norma nereti ir raisījusi diskusijas par to, vai saistību dzēšanai novirzāmais apmērs ir noteicams no parādnieka ienākumiem pirms vai pēc nodokļu nomaksas. Vairāki praktiķi uzskata, ka apmērs visos gadījumos ir noteicams no ienākumiem pirms nodokļu nomaksas. Šāds viedoklis ir pausts arī Augstākās tiesas 2016. gada 28. decembra lēmuma lietā Nr. SPC-21/2016 7.5. punktā.</w:t>
            </w:r>
          </w:p>
          <w:p w14:paraId="31C70F6C" w14:textId="77777777" w:rsidR="0055191F" w:rsidRPr="00CF058A" w:rsidRDefault="0055191F" w:rsidP="0055191F">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Šāda interpretācija nenodrošina parādnieka un kreditoru interešu sabalansēšanu, kā arī nesniedz pietiekamu pamatojumu parādnieka interešu papildu ierobežošanai.</w:t>
            </w:r>
          </w:p>
          <w:p w14:paraId="3CA78118" w14:textId="7D0EBDAC" w:rsidR="0055191F" w:rsidRPr="00CF058A" w:rsidRDefault="004847CB" w:rsidP="0055191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MNL</w:t>
            </w:r>
            <w:r w:rsidR="0055191F" w:rsidRPr="00CF058A">
              <w:rPr>
                <w:rFonts w:ascii="Times New Roman" w:eastAsia="Times New Roman" w:hAnsi="Times New Roman" w:cs="Times New Roman"/>
                <w:color w:val="000000" w:themeColor="text1"/>
                <w:sz w:val="24"/>
                <w:szCs w:val="24"/>
                <w:lang w:eastAsia="lv-LV"/>
              </w:rPr>
              <w:t xml:space="preserve"> 155. panta ceturtajā daļā ietvertā norāde par personas ienākumiem ir interpretējama kā ienākumi pēc nodokļu nomaksas (neto), bet ne mazāk kā viena trešdaļa no minimālās mēnešalgas mēnesī pirms nodokļu nomaksas (bruto). </w:t>
            </w:r>
            <w:r>
              <w:rPr>
                <w:rFonts w:ascii="Times New Roman" w:eastAsia="Times New Roman" w:hAnsi="Times New Roman" w:cs="Times New Roman"/>
                <w:color w:val="000000" w:themeColor="text1"/>
                <w:sz w:val="24"/>
                <w:szCs w:val="24"/>
                <w:lang w:eastAsia="lv-LV"/>
              </w:rPr>
              <w:t>MNL</w:t>
            </w:r>
            <w:r w:rsidR="0055191F" w:rsidRPr="00CF058A">
              <w:rPr>
                <w:rFonts w:ascii="Times New Roman" w:eastAsia="Times New Roman" w:hAnsi="Times New Roman" w:cs="Times New Roman"/>
                <w:color w:val="000000" w:themeColor="text1"/>
                <w:sz w:val="24"/>
                <w:szCs w:val="24"/>
                <w:lang w:eastAsia="lv-LV"/>
              </w:rPr>
              <w:t xml:space="preserve"> 5. pantā ir noteikts fiziskās personas maksātnespējas procesa mērķis. Atšķirībā no juridiskās personas maksātnespējas procesa mērķa, fiziskās personas maksātnespējas procesā tas nav vērsts tikai uz kreditoru interešu aizsardzību. Fiziskās personas maksātnespējas procesa mērķis vienlaikus noteic iespēju parādniekam, kura manta un ienākumi nav pietiekami visu saistību segšanai, tikt atbrīvotam no neizpildītajām saistībām un atjaunot maksātspēju. Tādējādi ir būtiski ņemt vērā ne tikai kreditoru intereses, bet arī – parādnieka.</w:t>
            </w:r>
          </w:p>
          <w:p w14:paraId="01104DEA" w14:textId="0AF4007E" w:rsidR="0055191F" w:rsidRPr="00CF058A" w:rsidRDefault="0055191F" w:rsidP="0055191F">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Atbilstoši Ministru kabineta 2015. gada 24. novembra noteikumiem Nr. 656 </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Noteikumi par minimālās mēneša darba algas apmēru normālā darba laika ietvaros un minimālās stundas tarifa likmes aprēķināšanu</w:t>
            </w:r>
            <w:r w:rsidR="00A20652">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 xml:space="preserve"> 2. punktam šī likumprojekta izstrādes laikā minimālā mēneša darba </w:t>
            </w:r>
            <w:r w:rsidRPr="00CF058A">
              <w:rPr>
                <w:rFonts w:ascii="Times New Roman" w:eastAsia="Times New Roman" w:hAnsi="Times New Roman" w:cs="Times New Roman"/>
                <w:color w:val="000000" w:themeColor="text1"/>
                <w:sz w:val="24"/>
                <w:szCs w:val="24"/>
                <w:lang w:eastAsia="lv-LV"/>
              </w:rPr>
              <w:lastRenderedPageBreak/>
              <w:t>alga normālā darba laika ietvaros ir 380</w:t>
            </w:r>
            <w:r w:rsidR="00A20652">
              <w:rPr>
                <w:rFonts w:ascii="Times New Roman" w:eastAsia="Times New Roman" w:hAnsi="Times New Roman" w:cs="Times New Roman"/>
                <w:color w:val="000000" w:themeColor="text1"/>
                <w:sz w:val="24"/>
                <w:szCs w:val="24"/>
                <w:lang w:eastAsia="lv-LV"/>
              </w:rPr>
              <w:t> </w:t>
            </w:r>
            <w:r w:rsidR="009C13D1" w:rsidRPr="00AA1D09">
              <w:rPr>
                <w:rFonts w:ascii="Times New Roman" w:eastAsia="Times New Roman" w:hAnsi="Times New Roman" w:cs="Times New Roman"/>
                <w:i/>
                <w:color w:val="000000" w:themeColor="text1"/>
                <w:sz w:val="24"/>
                <w:szCs w:val="24"/>
                <w:lang w:eastAsia="lv-LV"/>
              </w:rPr>
              <w:t>euro</w:t>
            </w:r>
            <w:r w:rsidRPr="00CF058A">
              <w:rPr>
                <w:rFonts w:ascii="Times New Roman" w:eastAsia="Times New Roman" w:hAnsi="Times New Roman" w:cs="Times New Roman"/>
                <w:color w:val="000000" w:themeColor="text1"/>
                <w:sz w:val="24"/>
                <w:szCs w:val="24"/>
                <w:lang w:eastAsia="lv-LV"/>
              </w:rPr>
              <w:t xml:space="preserve">. Tādējādi secināms, ka minimālā mēnešalga ir konkrēti fiksēts lielums. </w:t>
            </w:r>
            <w:r w:rsidR="00CF13CB">
              <w:rPr>
                <w:rFonts w:ascii="Times New Roman" w:eastAsia="Times New Roman" w:hAnsi="Times New Roman" w:cs="Times New Roman"/>
                <w:color w:val="000000" w:themeColor="text1"/>
                <w:sz w:val="24"/>
                <w:szCs w:val="24"/>
                <w:lang w:eastAsia="lv-LV"/>
              </w:rPr>
              <w:t>J</w:t>
            </w:r>
            <w:r w:rsidRPr="00CF058A">
              <w:rPr>
                <w:rFonts w:ascii="Times New Roman" w:eastAsia="Times New Roman" w:hAnsi="Times New Roman" w:cs="Times New Roman"/>
                <w:color w:val="000000" w:themeColor="text1"/>
                <w:sz w:val="24"/>
                <w:szCs w:val="24"/>
                <w:lang w:eastAsia="lv-LV"/>
              </w:rPr>
              <w:t>a šāds apmērs tiek mainīts, tad tas tiek mainīts attiecībā uz ikvienu personu, kura saņem atalgojumu šādā apmērā. Tomēr ir jāņem vērā, ka ne visas personas saņem vienādu atalgojumu pēc nodokļu nomaksas, ievērojot atšķirīgos faktiskos un tiesiskos apstākļus, piemēram, apgādājamo skaita atšķirību un citus normatīvajos aktos noteiktos apstākļus. Līdz ar to, noteicot minimālo slieksni kreditoru prasījumu segšanai novirzāmajai summai, likumdevēja mērķis ir bijis nodrošināt kreditoru interešu minimālu aizsardzību.</w:t>
            </w:r>
          </w:p>
          <w:p w14:paraId="6989B577" w14:textId="01A385B4" w:rsidR="0055191F" w:rsidRPr="00CF058A" w:rsidRDefault="0055191F" w:rsidP="0055191F">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Savukārt parādnieka interešu aizsardzība ir skatāma kopsakarā ar </w:t>
            </w:r>
            <w:r w:rsidR="004847CB">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161. panta 1. punktā noteiktajām parādnieka tiesībām paturēt vismaz divas trešdaļas no saviem ienākumiem, lai segtu savas uzturēšanas izmaksas. Saskaņā ar Civillikuma 2098. pantu ar uzturu, ja nav norunāts citādi, jāsaprot ēdiens, miteklis, apģērbs un kopšana, bet ja uztura saņēmējs ir nepilngadīgs, arī audzināšana un skološana obligātoriskās skolās. Tātad uzturēšanas izmaksās nav ietvert</w:t>
            </w:r>
            <w:r w:rsidR="00E54C30">
              <w:rPr>
                <w:rFonts w:ascii="Times New Roman" w:eastAsia="Times New Roman" w:hAnsi="Times New Roman" w:cs="Times New Roman"/>
                <w:color w:val="000000" w:themeColor="text1"/>
                <w:sz w:val="24"/>
                <w:szCs w:val="24"/>
                <w:lang w:eastAsia="lv-LV"/>
              </w:rPr>
              <w:t>a</w:t>
            </w:r>
            <w:r w:rsidRPr="00CF058A">
              <w:rPr>
                <w:rFonts w:ascii="Times New Roman" w:eastAsia="Times New Roman" w:hAnsi="Times New Roman" w:cs="Times New Roman"/>
                <w:color w:val="000000" w:themeColor="text1"/>
                <w:sz w:val="24"/>
                <w:szCs w:val="24"/>
                <w:lang w:eastAsia="lv-LV"/>
              </w:rPr>
              <w:t xml:space="preserve"> nodokļu nomaksa, ar kuriem tiek aplikti personas saņemtie ienākumi.</w:t>
            </w:r>
          </w:p>
          <w:p w14:paraId="63037D8E" w14:textId="111D6D80" w:rsidR="0055191F" w:rsidRPr="00CF058A" w:rsidRDefault="0055191F" w:rsidP="0055191F">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Tādējādi secināms, ka saskaņā ar </w:t>
            </w:r>
            <w:r w:rsidR="004847CB">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155. panta ceturtajā daļā noteikto, parādniekam ir pienākums kreditoru prasījumu segšanai novirzīt vienu trešdaļu no saviem ienākumiem pēc nodokļu nomaksas, bet ne mazāk kā vienu trešdaļu no minimālās mēnešalgas pirms nodokļu nomaksas.</w:t>
            </w:r>
          </w:p>
          <w:p w14:paraId="17F4A866" w14:textId="1BEA813A" w:rsidR="0055191F" w:rsidRPr="00CF058A" w:rsidRDefault="0055191F" w:rsidP="0055191F">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Tādējādi, lai izvairītos no gadījumiem, kad praksē </w:t>
            </w:r>
            <w:r w:rsidR="004847CB">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155. panta ceturtā daļa tiek interpretēta pretēji fiziskās personas maksātnespējas procesa mērķim, ir nepieciešams precizēt minēto normu, tajā ietverot nepārprotamu norādi par kreditoru prasījumu segšanai novirzāmo līdzekļu apmēru.</w:t>
            </w:r>
          </w:p>
          <w:p w14:paraId="1FED158B" w14:textId="77777777" w:rsidR="0055191F" w:rsidRPr="00CF058A" w:rsidRDefault="0055191F" w:rsidP="0055191F">
            <w:pPr>
              <w:spacing w:after="0" w:line="240" w:lineRule="auto"/>
              <w:jc w:val="both"/>
              <w:rPr>
                <w:rFonts w:ascii="Times New Roman" w:eastAsia="Times New Roman" w:hAnsi="Times New Roman" w:cs="Times New Roman"/>
                <w:color w:val="000000" w:themeColor="text1"/>
                <w:sz w:val="24"/>
                <w:szCs w:val="24"/>
                <w:lang w:eastAsia="lv-LV"/>
              </w:rPr>
            </w:pPr>
          </w:p>
          <w:p w14:paraId="656029B8" w14:textId="77777777" w:rsidR="00CF058A" w:rsidRPr="00CF058A" w:rsidRDefault="00CF058A" w:rsidP="00CF058A">
            <w:pPr>
              <w:spacing w:after="0" w:line="240" w:lineRule="auto"/>
              <w:jc w:val="both"/>
              <w:rPr>
                <w:rFonts w:ascii="Times New Roman" w:eastAsia="Times New Roman" w:hAnsi="Times New Roman" w:cs="Times New Roman"/>
                <w:b/>
                <w:color w:val="000000" w:themeColor="text1"/>
                <w:sz w:val="24"/>
                <w:szCs w:val="24"/>
                <w:lang w:eastAsia="lv-LV"/>
              </w:rPr>
            </w:pPr>
            <w:r w:rsidRPr="00CF058A">
              <w:rPr>
                <w:rFonts w:ascii="Times New Roman" w:eastAsia="Times New Roman" w:hAnsi="Times New Roman" w:cs="Times New Roman"/>
                <w:b/>
                <w:color w:val="000000" w:themeColor="text1"/>
                <w:sz w:val="24"/>
                <w:szCs w:val="24"/>
                <w:lang w:eastAsia="lv-LV"/>
              </w:rPr>
              <w:t>Par administratora atlīdzību</w:t>
            </w:r>
          </w:p>
          <w:p w14:paraId="352D68D6" w14:textId="23CC1A84" w:rsidR="00CF058A" w:rsidRP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Administratora atlīdzības apmērs juridiskās personas maksātnespējas procesā noteikts </w:t>
            </w:r>
            <w:r w:rsidR="004847CB">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169. pantā, savukārt fiziskās personas maksātnespējas procesā – 171. pantā.</w:t>
            </w:r>
          </w:p>
          <w:p w14:paraId="2A1BB049" w14:textId="573862A2" w:rsid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Praksē ir salīdzinoši mazāka iespēja, ka par maksātnespējīgu tiek pasludināts lielais uzņēmums, tā kā saskaņā ar Centrālās statistikas pārvaldes datubāzē pieejamiem datiem, kas balstīti uz vienu no lielā uzņēmuma rādītāju – darbinieku skaits – 2013. gadā lielo uzņēmumu, t.i., uzņēmumu, kuros nodarbināti vairāk par 250 darbiniekiem, īpatsvars no visiem uzņēmumiem veidoja 0,15</w:t>
            </w:r>
            <w:r w:rsidR="00A20652">
              <w:rPr>
                <w:rFonts w:ascii="Times New Roman" w:eastAsia="Times New Roman" w:hAnsi="Times New Roman" w:cs="Times New Roman"/>
                <w:color w:val="000000" w:themeColor="text1"/>
                <w:sz w:val="24"/>
                <w:szCs w:val="24"/>
                <w:lang w:eastAsia="lv-LV"/>
              </w:rPr>
              <w:t> </w:t>
            </w:r>
            <w:r w:rsidRPr="00CF058A">
              <w:rPr>
                <w:rFonts w:ascii="Times New Roman" w:eastAsia="Times New Roman" w:hAnsi="Times New Roman" w:cs="Times New Roman"/>
                <w:color w:val="000000" w:themeColor="text1"/>
                <w:sz w:val="24"/>
                <w:szCs w:val="24"/>
                <w:lang w:eastAsia="lv-LV"/>
              </w:rPr>
              <w:t>%, 2014. gadā – 0,15</w:t>
            </w:r>
            <w:r w:rsidR="00A20652">
              <w:rPr>
                <w:rFonts w:ascii="Times New Roman" w:eastAsia="Times New Roman" w:hAnsi="Times New Roman" w:cs="Times New Roman"/>
                <w:color w:val="000000" w:themeColor="text1"/>
                <w:sz w:val="24"/>
                <w:szCs w:val="24"/>
                <w:lang w:eastAsia="lv-LV"/>
              </w:rPr>
              <w:t> </w:t>
            </w:r>
            <w:r w:rsidRPr="00CF058A">
              <w:rPr>
                <w:rFonts w:ascii="Times New Roman" w:eastAsia="Times New Roman" w:hAnsi="Times New Roman" w:cs="Times New Roman"/>
                <w:color w:val="000000" w:themeColor="text1"/>
                <w:sz w:val="24"/>
                <w:szCs w:val="24"/>
                <w:lang w:eastAsia="lv-LV"/>
              </w:rPr>
              <w:t>% un</w:t>
            </w:r>
            <w:r w:rsidR="00777CC0">
              <w:rPr>
                <w:rFonts w:ascii="Times New Roman" w:eastAsia="Times New Roman" w:hAnsi="Times New Roman" w:cs="Times New Roman"/>
                <w:color w:val="000000" w:themeColor="text1"/>
                <w:sz w:val="24"/>
                <w:szCs w:val="24"/>
                <w:lang w:eastAsia="lv-LV"/>
              </w:rPr>
              <w:t xml:space="preserve"> 2015. gadā – 0,15</w:t>
            </w:r>
            <w:r w:rsidR="00A20652">
              <w:rPr>
                <w:rFonts w:ascii="Times New Roman" w:eastAsia="Times New Roman" w:hAnsi="Times New Roman" w:cs="Times New Roman"/>
                <w:color w:val="000000" w:themeColor="text1"/>
                <w:sz w:val="24"/>
                <w:szCs w:val="24"/>
                <w:lang w:eastAsia="lv-LV"/>
              </w:rPr>
              <w:t> </w:t>
            </w:r>
            <w:r w:rsidR="00777CC0">
              <w:rPr>
                <w:rFonts w:ascii="Times New Roman" w:eastAsia="Times New Roman" w:hAnsi="Times New Roman" w:cs="Times New Roman"/>
                <w:color w:val="000000" w:themeColor="text1"/>
                <w:sz w:val="24"/>
                <w:szCs w:val="24"/>
                <w:lang w:eastAsia="lv-LV"/>
              </w:rPr>
              <w:t>%. Tomēr šādu</w:t>
            </w:r>
            <w:r w:rsidRPr="00CF058A">
              <w:rPr>
                <w:rFonts w:ascii="Times New Roman" w:eastAsia="Times New Roman" w:hAnsi="Times New Roman" w:cs="Times New Roman"/>
                <w:color w:val="000000" w:themeColor="text1"/>
                <w:sz w:val="24"/>
                <w:szCs w:val="24"/>
                <w:lang w:eastAsia="lv-LV"/>
              </w:rPr>
              <w:t xml:space="preserve"> gadījumu</w:t>
            </w:r>
            <w:r w:rsidR="00777CC0">
              <w:rPr>
                <w:rFonts w:ascii="Times New Roman" w:eastAsia="Times New Roman" w:hAnsi="Times New Roman" w:cs="Times New Roman"/>
                <w:color w:val="000000" w:themeColor="text1"/>
                <w:sz w:val="24"/>
                <w:szCs w:val="24"/>
                <w:lang w:eastAsia="lv-LV"/>
              </w:rPr>
              <w:t xml:space="preserve"> iespējamību</w:t>
            </w:r>
            <w:r w:rsidRPr="00CF058A">
              <w:rPr>
                <w:rFonts w:ascii="Times New Roman" w:eastAsia="Times New Roman" w:hAnsi="Times New Roman" w:cs="Times New Roman"/>
                <w:color w:val="000000" w:themeColor="text1"/>
                <w:sz w:val="24"/>
                <w:szCs w:val="24"/>
                <w:lang w:eastAsia="lv-LV"/>
              </w:rPr>
              <w:t xml:space="preserve"> nevar izslēgt. </w:t>
            </w:r>
            <w:r w:rsidR="004847CB">
              <w:rPr>
                <w:rFonts w:ascii="Times New Roman" w:eastAsia="Times New Roman" w:hAnsi="Times New Roman" w:cs="Times New Roman"/>
                <w:color w:val="000000" w:themeColor="text1"/>
                <w:sz w:val="24"/>
                <w:szCs w:val="24"/>
                <w:lang w:eastAsia="lv-LV"/>
              </w:rPr>
              <w:t>MNL</w:t>
            </w:r>
            <w:r w:rsidR="000305C7">
              <w:rPr>
                <w:rFonts w:ascii="Times New Roman" w:eastAsia="Times New Roman" w:hAnsi="Times New Roman" w:cs="Times New Roman"/>
                <w:color w:val="000000" w:themeColor="text1"/>
                <w:sz w:val="24"/>
                <w:szCs w:val="24"/>
                <w:lang w:eastAsia="lv-LV"/>
              </w:rPr>
              <w:t xml:space="preserve"> 169. pants</w:t>
            </w:r>
            <w:r w:rsidRPr="00CF058A">
              <w:rPr>
                <w:rFonts w:ascii="Times New Roman" w:eastAsia="Times New Roman" w:hAnsi="Times New Roman" w:cs="Times New Roman"/>
                <w:color w:val="000000" w:themeColor="text1"/>
                <w:sz w:val="24"/>
                <w:szCs w:val="24"/>
                <w:lang w:eastAsia="lv-LV"/>
              </w:rPr>
              <w:t xml:space="preserve"> neparedz īpašus nosacījumus gadījumiem, kad parādnieks uzskatāms par lielo uzņēmumu. Nenoliedzami lielā uzņēmuma maksātnespējas procesa gadījumā </w:t>
            </w:r>
            <w:r w:rsidRPr="00CF058A">
              <w:rPr>
                <w:rFonts w:ascii="Times New Roman" w:eastAsia="Times New Roman" w:hAnsi="Times New Roman" w:cs="Times New Roman"/>
                <w:color w:val="000000" w:themeColor="text1"/>
                <w:sz w:val="24"/>
                <w:szCs w:val="24"/>
                <w:lang w:eastAsia="lv-LV"/>
              </w:rPr>
              <w:lastRenderedPageBreak/>
              <w:t>administratora ieguldījums ir lielāks, nekā tad, ja maksātnespējas process ir pasludināts mazajam vai vidējam uzņēmumam.</w:t>
            </w:r>
          </w:p>
          <w:p w14:paraId="0346B27F" w14:textId="16A3990E" w:rsidR="000305C7" w:rsidRPr="000305C7" w:rsidRDefault="000305C7" w:rsidP="00CF058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Tādējādi </w:t>
            </w:r>
            <w:r w:rsidR="004847CB">
              <w:rPr>
                <w:rFonts w:ascii="Times New Roman" w:eastAsia="Times New Roman" w:hAnsi="Times New Roman" w:cs="Times New Roman"/>
                <w:color w:val="000000" w:themeColor="text1"/>
                <w:sz w:val="24"/>
                <w:szCs w:val="24"/>
                <w:lang w:eastAsia="lv-LV"/>
              </w:rPr>
              <w:t xml:space="preserve">MNL </w:t>
            </w:r>
            <w:r>
              <w:rPr>
                <w:rFonts w:ascii="Times New Roman" w:eastAsia="Times New Roman" w:hAnsi="Times New Roman" w:cs="Times New Roman"/>
                <w:color w:val="000000" w:themeColor="text1"/>
                <w:sz w:val="24"/>
                <w:szCs w:val="24"/>
                <w:lang w:eastAsia="lv-LV"/>
              </w:rPr>
              <w:t>169. panta otro daļu paredzēts papildināt ar 1.</w:t>
            </w:r>
            <w:r>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lang w:eastAsia="lv-LV"/>
              </w:rPr>
              <w:t> punktu, kas noteic, ka gadījumā, ja parād</w:t>
            </w:r>
            <w:r w:rsidR="00EB73BA">
              <w:rPr>
                <w:rFonts w:ascii="Times New Roman" w:eastAsia="Times New Roman" w:hAnsi="Times New Roman" w:cs="Times New Roman"/>
                <w:color w:val="000000" w:themeColor="text1"/>
                <w:sz w:val="24"/>
                <w:szCs w:val="24"/>
                <w:lang w:eastAsia="lv-LV"/>
              </w:rPr>
              <w:t>nieks atbilst lielā uzņēmuma kritērijiem, administrators papildus saņem atlīdzību divu minimālo mēnešalgu apmērā, ko sedz no parādnieka mantas.</w:t>
            </w:r>
          </w:p>
          <w:p w14:paraId="4A3A5AAC" w14:textId="77777777" w:rsid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Lai nodrošinātu vienotu izpratni par lielajiem uzņēmumiem, likumprojektā tiešas norādes vietā ir doti divi kritēriji, kuriem izpildoties vienlaikus, administrators būtu tiesīgs saņemt papildu atlīdzību. Kritērijiem par pamatu ir ņemts Komisijas ieteikums 2003/361/EK (2003. gada 6. maijs) par mikrouzņēmumu, mazo un vidējo uzņēmumu definīciju</w:t>
            </w:r>
            <w:r w:rsidRPr="00CF058A">
              <w:rPr>
                <w:rFonts w:ascii="Times New Roman" w:eastAsia="Times New Roman" w:hAnsi="Times New Roman" w:cs="Times New Roman"/>
                <w:color w:val="000000" w:themeColor="text1"/>
                <w:sz w:val="24"/>
                <w:szCs w:val="24"/>
                <w:vertAlign w:val="superscript"/>
                <w:lang w:eastAsia="lv-LV"/>
              </w:rPr>
              <w:footnoteReference w:id="4"/>
            </w:r>
            <w:r w:rsidRPr="00CF058A">
              <w:rPr>
                <w:rFonts w:ascii="Times New Roman" w:eastAsia="Times New Roman" w:hAnsi="Times New Roman" w:cs="Times New Roman"/>
                <w:color w:val="000000" w:themeColor="text1"/>
                <w:sz w:val="24"/>
                <w:szCs w:val="24"/>
                <w:lang w:eastAsia="lv-LV"/>
              </w:rPr>
              <w:t>.</w:t>
            </w:r>
          </w:p>
          <w:p w14:paraId="3BB55C97" w14:textId="7AEDC70C" w:rsid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Līdzīgi likumprojektā ietverta norma</w:t>
            </w:r>
            <w:r w:rsidR="000305C7">
              <w:rPr>
                <w:rFonts w:ascii="Times New Roman" w:eastAsia="Times New Roman" w:hAnsi="Times New Roman" w:cs="Times New Roman"/>
                <w:color w:val="000000" w:themeColor="text1"/>
                <w:sz w:val="24"/>
                <w:szCs w:val="24"/>
                <w:lang w:eastAsia="lv-LV"/>
              </w:rPr>
              <w:t xml:space="preserve"> (grozījums </w:t>
            </w:r>
            <w:r w:rsidR="004847CB">
              <w:rPr>
                <w:rFonts w:ascii="Times New Roman" w:eastAsia="Times New Roman" w:hAnsi="Times New Roman" w:cs="Times New Roman"/>
                <w:color w:val="000000" w:themeColor="text1"/>
                <w:sz w:val="24"/>
                <w:szCs w:val="24"/>
                <w:lang w:eastAsia="lv-LV"/>
              </w:rPr>
              <w:t xml:space="preserve">MNL </w:t>
            </w:r>
            <w:r w:rsidR="000305C7">
              <w:rPr>
                <w:rFonts w:ascii="Times New Roman" w:eastAsia="Times New Roman" w:hAnsi="Times New Roman" w:cs="Times New Roman"/>
                <w:color w:val="000000" w:themeColor="text1"/>
                <w:sz w:val="24"/>
                <w:szCs w:val="24"/>
                <w:lang w:eastAsia="lv-LV"/>
              </w:rPr>
              <w:t>169. panta otrajā daļā)</w:t>
            </w:r>
            <w:r w:rsidRPr="00CF058A">
              <w:rPr>
                <w:rFonts w:ascii="Times New Roman" w:eastAsia="Times New Roman" w:hAnsi="Times New Roman" w:cs="Times New Roman"/>
                <w:color w:val="000000" w:themeColor="text1"/>
                <w:sz w:val="24"/>
                <w:szCs w:val="24"/>
                <w:lang w:eastAsia="lv-LV"/>
              </w:rPr>
              <w:t>, kas paredz stimulējošāku atlīdzību gadījumā, kad tiek turpināta saimnieciskā darbība, ja tā ir ekonomiski pamatota. Saimnieciskās darbības turpināšana arī maksātnespējas procesa ietvaros ir būtiska, ja plānots pārdot uzņēmumu kā kopumu, jo tādējādi netiek pazaudēti uzņēmējdarbībai tik būtiskie resursi, piemēram, cilvēkresursi, kā arī klientu loks.</w:t>
            </w:r>
          </w:p>
          <w:p w14:paraId="37ADF11C" w14:textId="2FB07F4E" w:rsidR="00EB73BA" w:rsidRDefault="00EB73BA" w:rsidP="00CF058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Tādējādi </w:t>
            </w:r>
            <w:r w:rsidR="004847CB">
              <w:rPr>
                <w:rFonts w:ascii="Times New Roman" w:eastAsia="Times New Roman" w:hAnsi="Times New Roman" w:cs="Times New Roman"/>
                <w:color w:val="000000" w:themeColor="text1"/>
                <w:sz w:val="24"/>
                <w:szCs w:val="24"/>
                <w:lang w:eastAsia="lv-LV"/>
              </w:rPr>
              <w:t xml:space="preserve">MNL </w:t>
            </w:r>
            <w:r>
              <w:rPr>
                <w:rFonts w:ascii="Times New Roman" w:eastAsia="Times New Roman" w:hAnsi="Times New Roman" w:cs="Times New Roman"/>
                <w:color w:val="000000" w:themeColor="text1"/>
                <w:sz w:val="24"/>
                <w:szCs w:val="24"/>
                <w:lang w:eastAsia="lv-LV"/>
              </w:rPr>
              <w:t>169. panta otrā daļa ir papildināta ar 4. punktu, kas paredz ikmēneša atlīdzību 1 procenta apmērā no neto apgrozījuma, bet ne vairāk kā divas minimālās mēnešalgas. Atlīdzības maksimālo apmēru var mainīt ar kreditoru sapulces piekrišanu pēc tam, kad ir sastādīts kreditoru prasījumu re</w:t>
            </w:r>
            <w:r w:rsidR="00BB2B27">
              <w:rPr>
                <w:rFonts w:ascii="Times New Roman" w:eastAsia="Times New Roman" w:hAnsi="Times New Roman" w:cs="Times New Roman"/>
                <w:color w:val="000000" w:themeColor="text1"/>
                <w:sz w:val="24"/>
                <w:szCs w:val="24"/>
                <w:lang w:eastAsia="lv-LV"/>
              </w:rPr>
              <w:t>ģistrs.</w:t>
            </w:r>
          </w:p>
          <w:p w14:paraId="21109CA8" w14:textId="6D2BEB9E" w:rsidR="00777CC0" w:rsidRDefault="00E92B7E" w:rsidP="00CF058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Administratora atlīdzības apmērs proporcionāli administratora veicamajām darbībām maksātnespējas procesos ar šādiem apstākļiem ir samērīgs un nesamazinās piekļuvi procesam.</w:t>
            </w:r>
          </w:p>
          <w:p w14:paraId="27079A5D" w14:textId="69CBB0C3" w:rsidR="00CF058A" w:rsidRP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Grozījumus paredzēts attiecināt uz tiem </w:t>
            </w:r>
            <w:r w:rsidR="00630966">
              <w:rPr>
                <w:rFonts w:ascii="Times New Roman" w:eastAsia="Times New Roman" w:hAnsi="Times New Roman" w:cs="Times New Roman"/>
                <w:color w:val="000000" w:themeColor="text1"/>
                <w:sz w:val="24"/>
                <w:szCs w:val="24"/>
                <w:lang w:eastAsia="lv-LV"/>
              </w:rPr>
              <w:t xml:space="preserve">juridiskās personas </w:t>
            </w:r>
            <w:r w:rsidRPr="00CF058A">
              <w:rPr>
                <w:rFonts w:ascii="Times New Roman" w:eastAsia="Times New Roman" w:hAnsi="Times New Roman" w:cs="Times New Roman"/>
                <w:color w:val="000000" w:themeColor="text1"/>
                <w:sz w:val="24"/>
                <w:szCs w:val="24"/>
                <w:lang w:eastAsia="lv-LV"/>
              </w:rPr>
              <w:t>maksātnespējas procesiem, kas uzsākti pēc šo grozījumu spēkā stāšanās.</w:t>
            </w:r>
          </w:p>
          <w:p w14:paraId="69B9976E" w14:textId="77777777" w:rsidR="00CF058A" w:rsidRP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p>
          <w:p w14:paraId="02F5B9BA" w14:textId="79931EB5" w:rsidR="00286A01" w:rsidRDefault="00286A01" w:rsidP="00286A0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Saskaņā ar Pievienotās vērtības nodokļa likuma 5. panta pirmās daļas 2. punktu pakalpojumu sniegšana par atlīdzību ir ar nodokli apliekami darījumi. Saskaņā ar MNL 169. panta pirmo daļu un 171. panta pirmo daļu administrators saņem atlīdzību par pienākumu veikšanu juridiskās personas vai fiziskās personas maksātnespējas procesā. Turklāt jāņem vērā, ka Pievienotās vērtības nodokļa likums neparedz iespēju neaplikt administratora atlīdzību ar pievienotās vērtības nodokli. Tādējādi pievienotās vērtības nodoklis, ja </w:t>
            </w:r>
            <w:r w:rsidR="00E12CE6">
              <w:rPr>
                <w:rFonts w:ascii="Times New Roman" w:eastAsia="Times New Roman" w:hAnsi="Times New Roman" w:cs="Times New Roman"/>
                <w:color w:val="000000" w:themeColor="text1"/>
                <w:sz w:val="24"/>
                <w:szCs w:val="24"/>
                <w:lang w:eastAsia="lv-LV"/>
              </w:rPr>
              <w:t xml:space="preserve">administrators </w:t>
            </w:r>
            <w:r>
              <w:rPr>
                <w:rFonts w:ascii="Times New Roman" w:eastAsia="Times New Roman" w:hAnsi="Times New Roman" w:cs="Times New Roman"/>
                <w:color w:val="000000" w:themeColor="text1"/>
                <w:sz w:val="24"/>
                <w:szCs w:val="24"/>
                <w:lang w:eastAsia="lv-LV"/>
              </w:rPr>
              <w:t xml:space="preserve">ir </w:t>
            </w:r>
            <w:r>
              <w:rPr>
                <w:rFonts w:ascii="Times New Roman" w:eastAsia="Times New Roman" w:hAnsi="Times New Roman" w:cs="Times New Roman"/>
                <w:color w:val="000000" w:themeColor="text1"/>
                <w:sz w:val="24"/>
                <w:szCs w:val="24"/>
                <w:lang w:eastAsia="lv-LV"/>
              </w:rPr>
              <w:lastRenderedPageBreak/>
              <w:t>reģistrējies</w:t>
            </w:r>
            <w:r w:rsidR="00E12CE6">
              <w:rPr>
                <w:rFonts w:ascii="Times New Roman" w:eastAsia="Times New Roman" w:hAnsi="Times New Roman" w:cs="Times New Roman"/>
                <w:color w:val="000000" w:themeColor="text1"/>
                <w:sz w:val="24"/>
                <w:szCs w:val="24"/>
                <w:lang w:eastAsia="lv-LV"/>
              </w:rPr>
              <w:t xml:space="preserve"> Valsts ieņēmumu dienesta pievienotās vērtības nodokļa maksātāju reģistrā</w:t>
            </w:r>
            <w:r>
              <w:rPr>
                <w:rFonts w:ascii="Times New Roman" w:eastAsia="Times New Roman" w:hAnsi="Times New Roman" w:cs="Times New Roman"/>
                <w:color w:val="000000" w:themeColor="text1"/>
                <w:sz w:val="24"/>
                <w:szCs w:val="24"/>
                <w:lang w:eastAsia="lv-LV"/>
              </w:rPr>
              <w:t xml:space="preserve">, ir </w:t>
            </w:r>
            <w:r w:rsidR="00E12CE6">
              <w:rPr>
                <w:rFonts w:ascii="Times New Roman" w:eastAsia="Times New Roman" w:hAnsi="Times New Roman" w:cs="Times New Roman"/>
                <w:color w:val="000000" w:themeColor="text1"/>
                <w:sz w:val="24"/>
                <w:szCs w:val="24"/>
                <w:lang w:eastAsia="lv-LV"/>
              </w:rPr>
              <w:t>obligāts maksājums, tā kā administratora atlīdzība un pievienotās vērtības nodoklis ir nesaraujami saistīti.</w:t>
            </w:r>
          </w:p>
          <w:p w14:paraId="65565CA7" w14:textId="77777777" w:rsidR="00E12CE6" w:rsidRDefault="00E12CE6" w:rsidP="00CF058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Līdz ar to </w:t>
            </w:r>
            <w:r w:rsidR="004847CB">
              <w:rPr>
                <w:rFonts w:ascii="Times New Roman" w:eastAsia="Times New Roman" w:hAnsi="Times New Roman" w:cs="Times New Roman"/>
                <w:color w:val="000000" w:themeColor="text1"/>
                <w:sz w:val="24"/>
                <w:szCs w:val="24"/>
                <w:lang w:eastAsia="lv-LV"/>
              </w:rPr>
              <w:t>MNL</w:t>
            </w:r>
            <w:r w:rsidR="00CF058A" w:rsidRPr="00CF058A">
              <w:rPr>
                <w:rFonts w:ascii="Times New Roman" w:eastAsia="Times New Roman" w:hAnsi="Times New Roman" w:cs="Times New Roman"/>
                <w:color w:val="000000" w:themeColor="text1"/>
                <w:sz w:val="24"/>
                <w:szCs w:val="24"/>
                <w:lang w:eastAsia="lv-LV"/>
              </w:rPr>
              <w:t xml:space="preserve"> 169. panta septītajā daļā un 171. panta sestajā daļā noteikts, ka likumā noteiktajai administratora atlīdzībai par administratora pienākumu veikšanu juridiskās personas maksātnespējas procesā papildus tiek pieskaitīts pievienotās vērtības nodoklis, ja administrators ir reģistrēts Valsts ieņēmumu dienesta pievienotās vērtī</w:t>
            </w:r>
            <w:r>
              <w:rPr>
                <w:rFonts w:ascii="Times New Roman" w:eastAsia="Times New Roman" w:hAnsi="Times New Roman" w:cs="Times New Roman"/>
                <w:color w:val="000000" w:themeColor="text1"/>
                <w:sz w:val="24"/>
                <w:szCs w:val="24"/>
                <w:lang w:eastAsia="lv-LV"/>
              </w:rPr>
              <w:t>bas nodokļa maksātāju reģistrā.</w:t>
            </w:r>
          </w:p>
          <w:p w14:paraId="0FF35944" w14:textId="7DD6467E" w:rsidR="00CF058A" w:rsidRP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T</w:t>
            </w:r>
            <w:r w:rsidR="00E12CE6">
              <w:rPr>
                <w:rFonts w:ascii="Times New Roman" w:eastAsia="Times New Roman" w:hAnsi="Times New Roman" w:cs="Times New Roman"/>
                <w:color w:val="000000" w:themeColor="text1"/>
                <w:sz w:val="24"/>
                <w:szCs w:val="24"/>
                <w:lang w:eastAsia="lv-LV"/>
              </w:rPr>
              <w:t xml:space="preserve">omēr </w:t>
            </w:r>
            <w:r w:rsidRPr="00CF058A">
              <w:rPr>
                <w:rFonts w:ascii="Times New Roman" w:eastAsia="Times New Roman" w:hAnsi="Times New Roman" w:cs="Times New Roman"/>
                <w:color w:val="000000" w:themeColor="text1"/>
                <w:sz w:val="24"/>
                <w:szCs w:val="24"/>
                <w:lang w:eastAsia="lv-LV"/>
              </w:rPr>
              <w:t xml:space="preserve">ne visi administratori ir reģistrēti </w:t>
            </w:r>
            <w:r w:rsidR="00E12CE6" w:rsidRPr="00E12CE6">
              <w:rPr>
                <w:rFonts w:ascii="Times New Roman" w:eastAsia="Times New Roman" w:hAnsi="Times New Roman" w:cs="Times New Roman"/>
                <w:color w:val="000000" w:themeColor="text1"/>
                <w:sz w:val="24"/>
                <w:szCs w:val="24"/>
                <w:lang w:eastAsia="lv-LV"/>
              </w:rPr>
              <w:t xml:space="preserve">Valsts ieņēmumu dienesta pievienotās vērtības nodokļa maksātāju </w:t>
            </w:r>
            <w:r w:rsidRPr="00CF058A">
              <w:rPr>
                <w:rFonts w:ascii="Times New Roman" w:eastAsia="Times New Roman" w:hAnsi="Times New Roman" w:cs="Times New Roman"/>
                <w:color w:val="000000" w:themeColor="text1"/>
                <w:sz w:val="24"/>
                <w:szCs w:val="24"/>
                <w:lang w:eastAsia="lv-LV"/>
              </w:rPr>
              <w:t xml:space="preserve">reģistrā, </w:t>
            </w:r>
            <w:r w:rsidR="00E12CE6">
              <w:rPr>
                <w:rFonts w:ascii="Times New Roman" w:eastAsia="Times New Roman" w:hAnsi="Times New Roman" w:cs="Times New Roman"/>
                <w:color w:val="000000" w:themeColor="text1"/>
                <w:sz w:val="24"/>
                <w:szCs w:val="24"/>
                <w:lang w:eastAsia="lv-LV"/>
              </w:rPr>
              <w:t xml:space="preserve">un tādējādi – </w:t>
            </w:r>
            <w:r w:rsidRPr="00CF058A">
              <w:rPr>
                <w:rFonts w:ascii="Times New Roman" w:eastAsia="Times New Roman" w:hAnsi="Times New Roman" w:cs="Times New Roman"/>
                <w:color w:val="000000" w:themeColor="text1"/>
                <w:sz w:val="24"/>
                <w:szCs w:val="24"/>
                <w:lang w:eastAsia="lv-LV"/>
              </w:rPr>
              <w:t>norma nav attiecināma uz visiem gadījumiem.</w:t>
            </w:r>
          </w:p>
          <w:p w14:paraId="05B43450" w14:textId="19F93D77" w:rsidR="00CF058A" w:rsidRP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Nereti administrators, kurš ir reģistrēts Valsts ieņēmumu dienesta pievienotās vērtības nodokļa maksātāju reģistrā, pieprasa, lai parādnieks (parasti – fiziskā persona) papildus maksātnespējas procesa depozītam sedz izdevumus, ko veido pievienotās vērtības nodoklis</w:t>
            </w:r>
            <w:r w:rsidR="00F45CD0">
              <w:rPr>
                <w:rFonts w:ascii="Times New Roman" w:eastAsia="Times New Roman" w:hAnsi="Times New Roman" w:cs="Times New Roman"/>
                <w:color w:val="000000" w:themeColor="text1"/>
                <w:sz w:val="24"/>
                <w:szCs w:val="24"/>
                <w:lang w:eastAsia="lv-LV"/>
              </w:rPr>
              <w:t xml:space="preserve">, </w:t>
            </w:r>
            <w:r w:rsidR="00F45CD0" w:rsidRPr="00F45CD0">
              <w:rPr>
                <w:rFonts w:ascii="Times New Roman" w:eastAsia="Times New Roman" w:hAnsi="Times New Roman" w:cs="Times New Roman"/>
                <w:color w:val="000000" w:themeColor="text1"/>
                <w:sz w:val="24"/>
                <w:szCs w:val="24"/>
                <w:lang w:eastAsia="lv-LV"/>
              </w:rPr>
              <w:t xml:space="preserve">lai gan </w:t>
            </w:r>
            <w:r w:rsidR="00F45CD0" w:rsidRPr="00E92B7E">
              <w:rPr>
                <w:rFonts w:ascii="Times New Roman" w:eastAsia="Times New Roman" w:hAnsi="Times New Roman" w:cs="Times New Roman"/>
                <w:color w:val="000000" w:themeColor="text1"/>
                <w:sz w:val="24"/>
                <w:szCs w:val="24"/>
                <w:lang w:eastAsia="lv-LV"/>
              </w:rPr>
              <w:t>depozīta iemaksa</w:t>
            </w:r>
            <w:r w:rsidR="00F45CD0" w:rsidRPr="00F45CD0">
              <w:rPr>
                <w:rFonts w:ascii="Times New Roman" w:eastAsia="Times New Roman" w:hAnsi="Times New Roman" w:cs="Times New Roman"/>
                <w:color w:val="000000" w:themeColor="text1"/>
                <w:sz w:val="24"/>
                <w:szCs w:val="24"/>
                <w:lang w:eastAsia="lv-LV"/>
              </w:rPr>
              <w:t xml:space="preserve"> pēc savas ekonomiskās būtības nav atlīdzība par pakalpojuma sniegšanu, un tādējādi tai nav piemērojamas Pievienotās vērtības nodokļa likuma normas, ja nav zināms, kādiem mērķiem šis depozīts tiks izmantots</w:t>
            </w:r>
            <w:r w:rsidRPr="00CF058A">
              <w:rPr>
                <w:rFonts w:ascii="Times New Roman" w:eastAsia="Times New Roman" w:hAnsi="Times New Roman" w:cs="Times New Roman"/>
                <w:color w:val="000000" w:themeColor="text1"/>
                <w:sz w:val="24"/>
                <w:szCs w:val="24"/>
                <w:lang w:eastAsia="lv-LV"/>
              </w:rPr>
              <w:t>. Praksē konstatēts, ka tādējādi veidojas nevienlīdzīga attieksme pret parādniekiem jautājumā par vienreizējās administratora atlīdzības apmēru.</w:t>
            </w:r>
          </w:p>
          <w:p w14:paraId="6D4793C9" w14:textId="1FE7B0EC" w:rsidR="00CF058A" w:rsidRP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Ņemot vērā to, ka fiziskajai personai nav tiesību izvēlēties administratoru, tāpat kā juridiskajai personai, kuras maksātnespējas procesā nejaušības kārtībā iecelts administrators, kurš saskaņā ar </w:t>
            </w:r>
            <w:r w:rsidR="004E763E">
              <w:rPr>
                <w:rFonts w:ascii="Times New Roman" w:eastAsia="Times New Roman" w:hAnsi="Times New Roman" w:cs="Times New Roman"/>
                <w:color w:val="000000" w:themeColor="text1"/>
                <w:sz w:val="24"/>
                <w:szCs w:val="24"/>
                <w:lang w:eastAsia="lv-LV"/>
              </w:rPr>
              <w:t>Pievienotās vērtības nodokļa likumu</w:t>
            </w:r>
            <w:r w:rsidRPr="00CF058A">
              <w:rPr>
                <w:rFonts w:ascii="Times New Roman" w:eastAsia="Times New Roman" w:hAnsi="Times New Roman" w:cs="Times New Roman"/>
                <w:color w:val="000000" w:themeColor="text1"/>
                <w:sz w:val="24"/>
                <w:szCs w:val="24"/>
                <w:lang w:eastAsia="lv-LV"/>
              </w:rPr>
              <w:t xml:space="preserve"> ir atzīstams par pievienotās vērtības nodokļa maksātāju, maksātnespējas procesa izmaksas palielinās par pievienotās vērtības nodokļa summu – likumprojekta izstrādes laikā par 155,40</w:t>
            </w:r>
            <w:r w:rsidR="00A20652">
              <w:rPr>
                <w:rFonts w:ascii="Times New Roman" w:eastAsia="Times New Roman" w:hAnsi="Times New Roman" w:cs="Times New Roman"/>
                <w:color w:val="000000" w:themeColor="text1"/>
                <w:sz w:val="24"/>
                <w:szCs w:val="24"/>
                <w:lang w:eastAsia="lv-LV"/>
              </w:rPr>
              <w:t> </w:t>
            </w:r>
            <w:r w:rsidR="00C82B8C" w:rsidRPr="00AA1D09">
              <w:rPr>
                <w:rFonts w:ascii="Times New Roman" w:eastAsia="Times New Roman" w:hAnsi="Times New Roman" w:cs="Times New Roman"/>
                <w:i/>
                <w:color w:val="000000" w:themeColor="text1"/>
                <w:sz w:val="24"/>
                <w:szCs w:val="24"/>
                <w:lang w:eastAsia="lv-LV"/>
              </w:rPr>
              <w:t>e</w:t>
            </w:r>
            <w:r w:rsidR="009C13D1" w:rsidRPr="00AA1D09">
              <w:rPr>
                <w:rFonts w:ascii="Times New Roman" w:eastAsia="Times New Roman" w:hAnsi="Times New Roman" w:cs="Times New Roman"/>
                <w:i/>
                <w:color w:val="000000" w:themeColor="text1"/>
                <w:sz w:val="24"/>
                <w:szCs w:val="24"/>
                <w:lang w:eastAsia="lv-LV"/>
              </w:rPr>
              <w:t>u</w:t>
            </w:r>
            <w:r w:rsidR="00C82B8C" w:rsidRPr="00AA1D09">
              <w:rPr>
                <w:rFonts w:ascii="Times New Roman" w:eastAsia="Times New Roman" w:hAnsi="Times New Roman" w:cs="Times New Roman"/>
                <w:i/>
                <w:color w:val="000000" w:themeColor="text1"/>
                <w:sz w:val="24"/>
                <w:szCs w:val="24"/>
                <w:lang w:eastAsia="lv-LV"/>
              </w:rPr>
              <w:t>ro</w:t>
            </w:r>
            <w:r w:rsidRPr="00C82B8C">
              <w:rPr>
                <w:rFonts w:ascii="Times New Roman" w:eastAsia="Times New Roman" w:hAnsi="Times New Roman" w:cs="Times New Roman"/>
                <w:color w:val="000000" w:themeColor="text1"/>
                <w:sz w:val="24"/>
                <w:szCs w:val="24"/>
                <w:lang w:eastAsia="lv-LV"/>
              </w:rPr>
              <w:t>.</w:t>
            </w:r>
            <w:r w:rsidRPr="00CF058A">
              <w:rPr>
                <w:rFonts w:ascii="Times New Roman" w:eastAsia="Times New Roman" w:hAnsi="Times New Roman" w:cs="Times New Roman"/>
                <w:color w:val="000000" w:themeColor="text1"/>
                <w:sz w:val="24"/>
                <w:szCs w:val="24"/>
                <w:lang w:eastAsia="lv-LV"/>
              </w:rPr>
              <w:t xml:space="preserve"> Šādas izmaksas nebūtu uzskatāmas par pamatotām maksātnespējas procesa izmaksām, ņemot vērā, ka ir atkarīgas nevis no attiecīgā maksātnespējas procesa un tā norises, bet gan no administratora personības un viņa faktiskajiem un tiesiskajiem apstākļiem, proti, no tā, vai administrators labprātīgi vai obligātā kārtā ir reģistrējies Valsts ieņēmumu dienesta pievienotās vērtības nodokļa maksātāju reģistrā.</w:t>
            </w:r>
          </w:p>
          <w:p w14:paraId="6DFD8518" w14:textId="29E44673" w:rsidR="00CF058A" w:rsidRP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 xml:space="preserve">Ievērojot minēto, </w:t>
            </w:r>
            <w:r w:rsidR="00E92B7E">
              <w:rPr>
                <w:rFonts w:ascii="Times New Roman" w:eastAsia="Times New Roman" w:hAnsi="Times New Roman" w:cs="Times New Roman"/>
                <w:color w:val="000000" w:themeColor="text1"/>
                <w:sz w:val="24"/>
                <w:szCs w:val="24"/>
                <w:lang w:eastAsia="lv-LV"/>
              </w:rPr>
              <w:t>likumprojektā ietverta skaidra norāde par to, ka izmaksas, kas sedzamas no juridiskās personas vai fiziskās personas maksātnespējas procesa depozīta līdzekļiem, nedrīkst pārsniegt attiecīgā depozīta apmēru, tādējādi nodrošinot personu vienlīdzīgu piekļuvi procesam.</w:t>
            </w:r>
          </w:p>
          <w:p w14:paraId="31E7EC52" w14:textId="77777777" w:rsidR="00CF058A" w:rsidRP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p>
          <w:p w14:paraId="2961D058" w14:textId="5C9221EA" w:rsidR="00CF058A" w:rsidRPr="00CF058A" w:rsidRDefault="004847CB" w:rsidP="00CF058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MNL</w:t>
            </w:r>
            <w:r w:rsidR="00CF058A" w:rsidRPr="00CF058A">
              <w:rPr>
                <w:rFonts w:ascii="Times New Roman" w:eastAsia="Times New Roman" w:hAnsi="Times New Roman" w:cs="Times New Roman"/>
                <w:color w:val="000000" w:themeColor="text1"/>
                <w:sz w:val="24"/>
                <w:szCs w:val="24"/>
                <w:lang w:eastAsia="lv-LV"/>
              </w:rPr>
              <w:t xml:space="preserve"> 171. panta pirmā daļa noteic, ka par administratora pienākumu veikšanu fiziskās personas maksātnespējas procesā administrators saņem atlīdzību no savas iecelšanas dienas līdz bankrota procedūras pabeigšanai vai </w:t>
            </w:r>
            <w:r w:rsidR="00CF058A" w:rsidRPr="00CF058A">
              <w:rPr>
                <w:rFonts w:ascii="Times New Roman" w:eastAsia="Times New Roman" w:hAnsi="Times New Roman" w:cs="Times New Roman"/>
                <w:color w:val="000000" w:themeColor="text1"/>
                <w:sz w:val="24"/>
                <w:szCs w:val="24"/>
                <w:lang w:eastAsia="lv-LV"/>
              </w:rPr>
              <w:lastRenderedPageBreak/>
              <w:t>izbeigšanai – vienreizēju atlīdzību divu minimālo mēnešalgu apmērā. Tomēr pārsvarā fiziskās personas maksātnespējas procesa ietvaros pēc bankrota procedūras norit saistību dzēšanas procedūra. Tādējādi, kaut arī administrators lielu daļu savus pienākumus jau ir izdarījis bankrota procedūras ietvaros, viņa iesaiste vēl nav beigusies. Tāpat praksē nereti ir gadījumi, kad saistību dzēšanas procedūras laikā tiek nomainīti administratori, un vēlāk ieceltais nesaņem nekādu atlīdzību, ja vien parādnieks nav lūdzis atbalstu, piemēram, sagatavot saistību dzēšanas plānu. Vienlaikus administratoram saglabājas pienākumi.</w:t>
            </w:r>
          </w:p>
          <w:p w14:paraId="28828F8B" w14:textId="0B0FE63C" w:rsidR="00CF058A" w:rsidRP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Tādējādi likumprojektā noteikts, ka administrators saņem pusi no fiziskās personas maksātnespējas procesa depozīta apmēra pēc bankrota procedūras pabeigšanas, savukārt otru pusi – pēc saistību dzēšanas procedūras izbeigšana</w:t>
            </w:r>
            <w:r w:rsidR="00C05E22">
              <w:rPr>
                <w:rFonts w:ascii="Times New Roman" w:eastAsia="Times New Roman" w:hAnsi="Times New Roman" w:cs="Times New Roman"/>
                <w:color w:val="000000" w:themeColor="text1"/>
                <w:sz w:val="24"/>
                <w:szCs w:val="24"/>
                <w:lang w:eastAsia="lv-LV"/>
              </w:rPr>
              <w:t>s</w:t>
            </w:r>
            <w:r w:rsidRPr="00CF058A">
              <w:rPr>
                <w:rFonts w:ascii="Times New Roman" w:eastAsia="Times New Roman" w:hAnsi="Times New Roman" w:cs="Times New Roman"/>
                <w:color w:val="000000" w:themeColor="text1"/>
                <w:sz w:val="24"/>
                <w:szCs w:val="24"/>
                <w:lang w:eastAsia="lv-LV"/>
              </w:rPr>
              <w:t>. Gadījumos, kad vienlaikus ar bankrota procedūras pabeigšanu vai izbeigšanu tiks izbeigts fiziskās personas maksātnespējas process, administrators saņemtu visu depozīta apmēru.</w:t>
            </w:r>
          </w:p>
          <w:p w14:paraId="33C99D97" w14:textId="177A9FC4" w:rsidR="00CF058A" w:rsidRPr="00CF058A"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Minētais arīdzan nodrošinās administratora efektīvāku un proaktīvāku iesaisti fiziskās personas maksātnespējas procesā, ņemot vērā, ka administratora pienākumi izbeidzas tikai pēc tam, ka</w:t>
            </w:r>
            <w:r w:rsidR="00C82B8C">
              <w:rPr>
                <w:rFonts w:ascii="Times New Roman" w:eastAsia="Times New Roman" w:hAnsi="Times New Roman" w:cs="Times New Roman"/>
                <w:color w:val="000000" w:themeColor="text1"/>
                <w:sz w:val="24"/>
                <w:szCs w:val="24"/>
                <w:lang w:eastAsia="lv-LV"/>
              </w:rPr>
              <w:t>d</w:t>
            </w:r>
            <w:r w:rsidRPr="00CF058A">
              <w:rPr>
                <w:rFonts w:ascii="Times New Roman" w:eastAsia="Times New Roman" w:hAnsi="Times New Roman" w:cs="Times New Roman"/>
                <w:color w:val="000000" w:themeColor="text1"/>
                <w:sz w:val="24"/>
                <w:szCs w:val="24"/>
                <w:lang w:eastAsia="lv-LV"/>
              </w:rPr>
              <w:t xml:space="preserve"> ir izbeigts fiziskās personas maksātnespējas process, nevis pēc bankrota procedūras pabeigšanas vai izbeigšanas (</w:t>
            </w:r>
            <w:r w:rsidR="004847CB">
              <w:rPr>
                <w:rFonts w:ascii="Times New Roman" w:eastAsia="Times New Roman" w:hAnsi="Times New Roman" w:cs="Times New Roman"/>
                <w:color w:val="000000" w:themeColor="text1"/>
                <w:sz w:val="24"/>
                <w:szCs w:val="24"/>
                <w:lang w:eastAsia="lv-LV"/>
              </w:rPr>
              <w:t>MNL</w:t>
            </w:r>
            <w:r w:rsidRPr="00CF058A">
              <w:rPr>
                <w:rFonts w:ascii="Times New Roman" w:eastAsia="Times New Roman" w:hAnsi="Times New Roman" w:cs="Times New Roman"/>
                <w:color w:val="000000" w:themeColor="text1"/>
                <w:sz w:val="24"/>
                <w:szCs w:val="24"/>
                <w:lang w:eastAsia="lv-LV"/>
              </w:rPr>
              <w:t xml:space="preserve"> 25. panta 4. punkts).</w:t>
            </w:r>
          </w:p>
          <w:p w14:paraId="6BBB0942" w14:textId="77777777" w:rsidR="0055191F" w:rsidRDefault="00CF058A" w:rsidP="00CF058A">
            <w:pPr>
              <w:spacing w:after="0" w:line="240" w:lineRule="auto"/>
              <w:jc w:val="both"/>
              <w:rPr>
                <w:rFonts w:ascii="Times New Roman" w:eastAsia="Times New Roman" w:hAnsi="Times New Roman" w:cs="Times New Roman"/>
                <w:color w:val="000000" w:themeColor="text1"/>
                <w:sz w:val="24"/>
                <w:szCs w:val="24"/>
                <w:lang w:eastAsia="lv-LV"/>
              </w:rPr>
            </w:pPr>
            <w:r w:rsidRPr="00CF058A">
              <w:rPr>
                <w:rFonts w:ascii="Times New Roman" w:eastAsia="Times New Roman" w:hAnsi="Times New Roman" w:cs="Times New Roman"/>
                <w:color w:val="000000" w:themeColor="text1"/>
                <w:sz w:val="24"/>
                <w:szCs w:val="24"/>
                <w:lang w:eastAsia="lv-LV"/>
              </w:rPr>
              <w:t>Grozījumus paredzēts attiecināt uz tiem fiziskās personas maksātnespējas procesiem, kas uzsākti pēc šo grozījumu spēkā stāšanās.</w:t>
            </w:r>
          </w:p>
          <w:p w14:paraId="46C4C65D" w14:textId="77777777" w:rsidR="00C324CF" w:rsidRDefault="00C324CF" w:rsidP="00CF058A">
            <w:pPr>
              <w:spacing w:after="0" w:line="240" w:lineRule="auto"/>
              <w:jc w:val="both"/>
              <w:rPr>
                <w:rFonts w:ascii="Times New Roman" w:eastAsia="Times New Roman" w:hAnsi="Times New Roman" w:cs="Times New Roman"/>
                <w:color w:val="000000" w:themeColor="text1"/>
                <w:sz w:val="24"/>
                <w:szCs w:val="24"/>
                <w:lang w:eastAsia="lv-LV"/>
              </w:rPr>
            </w:pPr>
          </w:p>
          <w:p w14:paraId="7855AB8B" w14:textId="77777777" w:rsidR="00C324CF" w:rsidRPr="000524E6" w:rsidRDefault="00C324CF" w:rsidP="00CF058A">
            <w:pPr>
              <w:spacing w:after="0" w:line="240" w:lineRule="auto"/>
              <w:jc w:val="both"/>
              <w:rPr>
                <w:rFonts w:ascii="Times New Roman" w:eastAsia="Times New Roman" w:hAnsi="Times New Roman" w:cs="Times New Roman"/>
                <w:b/>
                <w:color w:val="000000" w:themeColor="text1"/>
                <w:sz w:val="24"/>
                <w:szCs w:val="24"/>
                <w:lang w:eastAsia="lv-LV"/>
              </w:rPr>
            </w:pPr>
            <w:r w:rsidRPr="000524E6">
              <w:rPr>
                <w:rFonts w:ascii="Times New Roman" w:eastAsia="Times New Roman" w:hAnsi="Times New Roman" w:cs="Times New Roman"/>
                <w:b/>
                <w:color w:val="000000" w:themeColor="text1"/>
                <w:sz w:val="24"/>
                <w:szCs w:val="24"/>
                <w:lang w:eastAsia="lv-LV"/>
              </w:rPr>
              <w:t>Par Maksātnespējas administrācijas nosaukuma maiņu</w:t>
            </w:r>
          </w:p>
          <w:p w14:paraId="7A027FDC"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Maksātnespējas administrācija ir tieslietu ministra pārraudzībā esoša tiešās pārvaldes iestāde, kas normatīvajos aktos noteiktās kompetences ietvaros īsteno valsts politiku tiesiskās aizsardzības procesa un maksātnespējas procesa jautājumos, aizsargā darbinieku intereses viņu darba devēja maksātnespējas gadījumā un likumā noteiktajā kārtībā īsteno valsts un sabiedrības interešu aizsardzību tiesiskās aizsardzības procesa un maksātnespējas procesa jautājumos.</w:t>
            </w:r>
          </w:p>
          <w:p w14:paraId="4CF00731" w14:textId="41064C06"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 xml:space="preserve">Lai īstenotu </w:t>
            </w:r>
            <w:r w:rsidR="00216C77">
              <w:rPr>
                <w:rFonts w:ascii="Times New Roman" w:eastAsia="Times New Roman" w:hAnsi="Times New Roman" w:cs="Times New Roman"/>
                <w:color w:val="000000" w:themeColor="text1"/>
                <w:sz w:val="24"/>
                <w:szCs w:val="24"/>
                <w:lang w:eastAsia="lv-LV"/>
              </w:rPr>
              <w:t>MNL</w:t>
            </w:r>
            <w:r w:rsidRPr="00C324CF">
              <w:rPr>
                <w:rFonts w:ascii="Times New Roman" w:eastAsia="Times New Roman" w:hAnsi="Times New Roman" w:cs="Times New Roman"/>
                <w:color w:val="000000" w:themeColor="text1"/>
                <w:sz w:val="24"/>
                <w:szCs w:val="24"/>
                <w:lang w:eastAsia="lv-LV"/>
              </w:rPr>
              <w:t xml:space="preserve"> 173. pantā un citos normatīvajos aktos noteiktās funkcijas, Maksātnespējas administrācija:</w:t>
            </w:r>
          </w:p>
          <w:p w14:paraId="2F50CEC6" w14:textId="59E4EC8D"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1) veic administratoru uzraudzību;</w:t>
            </w:r>
          </w:p>
          <w:p w14:paraId="4A1951F4"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2) izskata sūdzības par administratora rīcību, izņemot tos likumā noteiktos gadījumus, kad sūdzības par administratora lēmumiem izskatāmas tiesā, kurā ierosināta attiecīgā maksātnespējas procesa lieta;</w:t>
            </w:r>
          </w:p>
          <w:p w14:paraId="4869D72E"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3) izskata administratīvo pārkāpumu lietas atbilstoši Latvijas Administratīvo pārkāpumu kodeksā noteiktajai kompetencei;</w:t>
            </w:r>
          </w:p>
          <w:p w14:paraId="1F70DBE0"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 xml:space="preserve">4) izskata iesniegumus par maksātnespējīgo darba devēju </w:t>
            </w:r>
            <w:r w:rsidRPr="00C324CF">
              <w:rPr>
                <w:rFonts w:ascii="Times New Roman" w:eastAsia="Times New Roman" w:hAnsi="Times New Roman" w:cs="Times New Roman"/>
                <w:color w:val="000000" w:themeColor="text1"/>
                <w:sz w:val="24"/>
                <w:szCs w:val="24"/>
                <w:lang w:eastAsia="lv-LV"/>
              </w:rPr>
              <w:lastRenderedPageBreak/>
              <w:t>darbinieku prasījumu apmierināšanu;</w:t>
            </w:r>
          </w:p>
          <w:p w14:paraId="47AFE3E3"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5) izskata iesniegumus par juridiskās personas maksātnespējas procesa depozīta un fiziskās personas maksātnespējas procesa depozīta izmaksu;</w:t>
            </w:r>
          </w:p>
          <w:p w14:paraId="41C64831" w14:textId="7E048A00"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 xml:space="preserve">6) izskata iesniegumus par </w:t>
            </w:r>
            <w:r w:rsidR="00356CFB">
              <w:rPr>
                <w:rFonts w:ascii="Times New Roman" w:eastAsia="Times New Roman" w:hAnsi="Times New Roman" w:cs="Times New Roman"/>
                <w:color w:val="000000" w:themeColor="text1"/>
                <w:sz w:val="24"/>
                <w:szCs w:val="24"/>
                <w:lang w:eastAsia="lv-LV"/>
              </w:rPr>
              <w:t>MNL</w:t>
            </w:r>
            <w:r w:rsidRPr="00C324CF">
              <w:rPr>
                <w:rFonts w:ascii="Times New Roman" w:eastAsia="Times New Roman" w:hAnsi="Times New Roman" w:cs="Times New Roman"/>
                <w:color w:val="000000" w:themeColor="text1"/>
                <w:sz w:val="24"/>
                <w:szCs w:val="24"/>
                <w:lang w:eastAsia="lv-LV"/>
              </w:rPr>
              <w:t xml:space="preserve"> 118.</w:t>
            </w:r>
            <w:r w:rsidRPr="00C324CF">
              <w:rPr>
                <w:rFonts w:ascii="Times New Roman" w:eastAsia="Times New Roman" w:hAnsi="Times New Roman" w:cs="Times New Roman"/>
                <w:color w:val="000000" w:themeColor="text1"/>
                <w:sz w:val="24"/>
                <w:szCs w:val="24"/>
                <w:vertAlign w:val="superscript"/>
                <w:lang w:eastAsia="lv-LV"/>
              </w:rPr>
              <w:t>1</w:t>
            </w:r>
            <w:r w:rsidRPr="00C324CF">
              <w:rPr>
                <w:rFonts w:ascii="Times New Roman" w:eastAsia="Times New Roman" w:hAnsi="Times New Roman" w:cs="Times New Roman"/>
                <w:color w:val="000000" w:themeColor="text1"/>
                <w:sz w:val="24"/>
                <w:szCs w:val="24"/>
                <w:lang w:eastAsia="lv-LV"/>
              </w:rPr>
              <w:t> pantā noteikto līdzekļu izmaksu;</w:t>
            </w:r>
          </w:p>
          <w:p w14:paraId="6ECC59A3"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7) informē sabiedrību par maksātnespējas politikas īstenošanas rezultātiem un maksātnespējas jomas aktuālajiem jautājumiem;</w:t>
            </w:r>
          </w:p>
          <w:p w14:paraId="3097BA40"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8) organizē administratora eksāmenu un kvalifikācijas eksāmenu;</w:t>
            </w:r>
          </w:p>
          <w:p w14:paraId="47D102CA"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9) ieceļ amatā administratorus;</w:t>
            </w:r>
          </w:p>
          <w:p w14:paraId="3864DB8C"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10) atbrīvo, atceļ un atstādina no amata administratoru, kā arī aptur administratora amata darbību;</w:t>
            </w:r>
          </w:p>
          <w:p w14:paraId="10474D5F" w14:textId="4C9F8850"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11) </w:t>
            </w:r>
            <w:r w:rsidR="00356CFB">
              <w:rPr>
                <w:rFonts w:ascii="Times New Roman" w:eastAsia="Times New Roman" w:hAnsi="Times New Roman" w:cs="Times New Roman"/>
                <w:color w:val="000000" w:themeColor="text1"/>
                <w:sz w:val="24"/>
                <w:szCs w:val="24"/>
                <w:lang w:eastAsia="lv-LV"/>
              </w:rPr>
              <w:t>MNL</w:t>
            </w:r>
            <w:r w:rsidRPr="00C324CF">
              <w:rPr>
                <w:rFonts w:ascii="Times New Roman" w:eastAsia="Times New Roman" w:hAnsi="Times New Roman" w:cs="Times New Roman"/>
                <w:color w:val="000000" w:themeColor="text1"/>
                <w:sz w:val="24"/>
                <w:szCs w:val="24"/>
                <w:lang w:eastAsia="lv-LV"/>
              </w:rPr>
              <w:t xml:space="preserve"> noteiktajos gadījumos un apmērā veic tiesiskās aizsardzības procesa uzraugošo </w:t>
            </w:r>
            <w:r w:rsidR="0031442C">
              <w:rPr>
                <w:rFonts w:ascii="Times New Roman" w:eastAsia="Times New Roman" w:hAnsi="Times New Roman" w:cs="Times New Roman"/>
                <w:color w:val="000000" w:themeColor="text1"/>
                <w:sz w:val="24"/>
                <w:szCs w:val="24"/>
                <w:lang w:eastAsia="lv-LV"/>
              </w:rPr>
              <w:t xml:space="preserve">(turpmāk – uzraugošā persona) </w:t>
            </w:r>
            <w:r w:rsidRPr="00C324CF">
              <w:rPr>
                <w:rFonts w:ascii="Times New Roman" w:eastAsia="Times New Roman" w:hAnsi="Times New Roman" w:cs="Times New Roman"/>
                <w:color w:val="000000" w:themeColor="text1"/>
                <w:sz w:val="24"/>
                <w:szCs w:val="24"/>
                <w:lang w:eastAsia="lv-LV"/>
              </w:rPr>
              <w:t>personu uzraudzību un izskata sūdzības par to rīcību;</w:t>
            </w:r>
          </w:p>
          <w:p w14:paraId="1A70023E" w14:textId="4E33A4B4"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 xml:space="preserve">12) izveido, uztur un attīsta </w:t>
            </w:r>
            <w:r w:rsidR="00E91D0C">
              <w:rPr>
                <w:rFonts w:ascii="Times New Roman" w:eastAsia="Times New Roman" w:hAnsi="Times New Roman" w:cs="Times New Roman"/>
                <w:color w:val="000000" w:themeColor="text1"/>
                <w:sz w:val="24"/>
                <w:szCs w:val="24"/>
                <w:lang w:eastAsia="lv-LV"/>
              </w:rPr>
              <w:t>Elektronisko maksātnespējas uzraudzības sistēmu (turpmāk – Sistēma)</w:t>
            </w:r>
            <w:r w:rsidRPr="00C324CF">
              <w:rPr>
                <w:rFonts w:ascii="Times New Roman" w:eastAsia="Times New Roman" w:hAnsi="Times New Roman" w:cs="Times New Roman"/>
                <w:color w:val="000000" w:themeColor="text1"/>
                <w:sz w:val="24"/>
                <w:szCs w:val="24"/>
                <w:lang w:eastAsia="lv-LV"/>
              </w:rPr>
              <w:t>;</w:t>
            </w:r>
          </w:p>
          <w:p w14:paraId="5612B800"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13) nodrošina administratoru un citu normatīvajos aktos noteikto personu, kurām ir pienākums iesniegt ziņas Maksātnespējas administrācijai, iesniegto dokumentu pārveidošanu elektroniskā formā glabāšanai elektroniskā vidē Sistēmā saskaņā ar normatīvajiem aktiem par arhīvu pārvaldību;</w:t>
            </w:r>
          </w:p>
          <w:p w14:paraId="2729A9AC"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14) nodrošina maksātnespējas jomu regulējošos normatīvajos aktos noteikto ziņu pieejamību;</w:t>
            </w:r>
          </w:p>
          <w:p w14:paraId="045F04E1" w14:textId="77777777"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15) veic citos normatīvajos aktos noteiktos uzdevumus.</w:t>
            </w:r>
          </w:p>
          <w:p w14:paraId="4C4AD39A" w14:textId="0566ACCD"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Maksātnespējas administrācijas galvenais darbības mērķis ir nodrošināt administrator</w:t>
            </w:r>
            <w:r w:rsidR="00216C77">
              <w:rPr>
                <w:rFonts w:ascii="Times New Roman" w:eastAsia="Times New Roman" w:hAnsi="Times New Roman" w:cs="Times New Roman"/>
                <w:color w:val="000000" w:themeColor="text1"/>
                <w:sz w:val="24"/>
                <w:szCs w:val="24"/>
                <w:lang w:eastAsia="lv-LV"/>
              </w:rPr>
              <w:t>a</w:t>
            </w:r>
            <w:r w:rsidRPr="00C324CF">
              <w:rPr>
                <w:rFonts w:ascii="Times New Roman" w:eastAsia="Times New Roman" w:hAnsi="Times New Roman" w:cs="Times New Roman"/>
                <w:color w:val="000000" w:themeColor="text1"/>
                <w:sz w:val="24"/>
                <w:szCs w:val="24"/>
                <w:lang w:eastAsia="lv-LV"/>
              </w:rPr>
              <w:t xml:space="preserve"> rīcības un maksātnespējas procesa norises likumības kontroli un uzraudzību.</w:t>
            </w:r>
          </w:p>
          <w:p w14:paraId="6DA486B2" w14:textId="2C9CA24E" w:rsidR="00C324CF" w:rsidRPr="00C324CF" w:rsidRDefault="00C324CF" w:rsidP="00C324CF">
            <w:pPr>
              <w:spacing w:after="0" w:line="240" w:lineRule="auto"/>
              <w:jc w:val="both"/>
              <w:rPr>
                <w:rFonts w:ascii="Times New Roman" w:eastAsia="Times New Roman" w:hAnsi="Times New Roman" w:cs="Times New Roman"/>
                <w:color w:val="000000" w:themeColor="text1"/>
                <w:sz w:val="24"/>
                <w:szCs w:val="24"/>
                <w:lang w:eastAsia="lv-LV"/>
              </w:rPr>
            </w:pPr>
            <w:r w:rsidRPr="00C324CF">
              <w:rPr>
                <w:rFonts w:ascii="Times New Roman" w:eastAsia="Times New Roman" w:hAnsi="Times New Roman" w:cs="Times New Roman"/>
                <w:color w:val="000000" w:themeColor="text1"/>
                <w:sz w:val="24"/>
                <w:szCs w:val="24"/>
                <w:lang w:eastAsia="lv-LV"/>
              </w:rPr>
              <w:t xml:space="preserve">Ņemot vērā to, ka iestādes nosaukumam nepārprotami jāatspoguļo iestādes veicamo funkciju un uzdevumu būtība un jānodrošina iestādes atpazīstamība, </w:t>
            </w:r>
            <w:r w:rsidR="00D47C17">
              <w:rPr>
                <w:rFonts w:ascii="Times New Roman" w:eastAsia="Times New Roman" w:hAnsi="Times New Roman" w:cs="Times New Roman"/>
                <w:color w:val="000000" w:themeColor="text1"/>
                <w:sz w:val="24"/>
                <w:szCs w:val="24"/>
                <w:lang w:eastAsia="lv-LV"/>
              </w:rPr>
              <w:t>likumprojekts</w:t>
            </w:r>
            <w:r w:rsidRPr="00C324CF">
              <w:rPr>
                <w:rFonts w:ascii="Times New Roman" w:eastAsia="Times New Roman" w:hAnsi="Times New Roman" w:cs="Times New Roman"/>
                <w:color w:val="000000" w:themeColor="text1"/>
                <w:sz w:val="24"/>
                <w:szCs w:val="24"/>
                <w:lang w:eastAsia="lv-LV"/>
              </w:rPr>
              <w:t xml:space="preserve"> paredz mainīt iestādes nosaukumu </w:t>
            </w:r>
            <w:r w:rsidR="00D47C17">
              <w:rPr>
                <w:rFonts w:ascii="Times New Roman" w:eastAsia="Times New Roman" w:hAnsi="Times New Roman" w:cs="Times New Roman"/>
                <w:color w:val="000000" w:themeColor="text1"/>
                <w:sz w:val="24"/>
                <w:szCs w:val="24"/>
                <w:lang w:eastAsia="lv-LV"/>
              </w:rPr>
              <w:t xml:space="preserve">no </w:t>
            </w:r>
            <w:r w:rsidR="00A20652">
              <w:rPr>
                <w:rFonts w:ascii="Times New Roman" w:eastAsia="Times New Roman" w:hAnsi="Times New Roman" w:cs="Times New Roman"/>
                <w:color w:val="000000" w:themeColor="text1"/>
                <w:sz w:val="24"/>
                <w:szCs w:val="24"/>
                <w:lang w:eastAsia="lv-LV"/>
              </w:rPr>
              <w:t>"</w:t>
            </w:r>
            <w:r w:rsidRPr="00C324CF">
              <w:rPr>
                <w:rFonts w:ascii="Times New Roman" w:eastAsia="Times New Roman" w:hAnsi="Times New Roman" w:cs="Times New Roman"/>
                <w:color w:val="000000" w:themeColor="text1"/>
                <w:sz w:val="24"/>
                <w:szCs w:val="24"/>
                <w:lang w:eastAsia="lv-LV"/>
              </w:rPr>
              <w:t>Maksātnespējas administrācija</w:t>
            </w:r>
            <w:r w:rsidR="00A20652">
              <w:rPr>
                <w:rFonts w:ascii="Times New Roman" w:eastAsia="Times New Roman" w:hAnsi="Times New Roman" w:cs="Times New Roman"/>
                <w:color w:val="000000" w:themeColor="text1"/>
                <w:sz w:val="24"/>
                <w:szCs w:val="24"/>
                <w:lang w:eastAsia="lv-LV"/>
              </w:rPr>
              <w:t>"</w:t>
            </w:r>
            <w:r w:rsidRPr="00C324CF">
              <w:rPr>
                <w:rFonts w:ascii="Times New Roman" w:eastAsia="Times New Roman" w:hAnsi="Times New Roman" w:cs="Times New Roman"/>
                <w:color w:val="000000" w:themeColor="text1"/>
                <w:sz w:val="24"/>
                <w:szCs w:val="24"/>
                <w:lang w:eastAsia="lv-LV"/>
              </w:rPr>
              <w:t xml:space="preserve"> uz </w:t>
            </w:r>
            <w:r w:rsidR="00A20652">
              <w:rPr>
                <w:rFonts w:ascii="Times New Roman" w:eastAsia="Times New Roman" w:hAnsi="Times New Roman" w:cs="Times New Roman"/>
                <w:color w:val="000000" w:themeColor="text1"/>
                <w:sz w:val="24"/>
                <w:szCs w:val="24"/>
                <w:lang w:eastAsia="lv-LV"/>
              </w:rPr>
              <w:t>"</w:t>
            </w:r>
            <w:r w:rsidRPr="00C324CF">
              <w:rPr>
                <w:rFonts w:ascii="Times New Roman" w:eastAsia="Times New Roman" w:hAnsi="Times New Roman" w:cs="Times New Roman"/>
                <w:color w:val="000000" w:themeColor="text1"/>
                <w:sz w:val="24"/>
                <w:szCs w:val="24"/>
                <w:lang w:eastAsia="lv-LV"/>
              </w:rPr>
              <w:t>Maksātnespējas kontroles dienests</w:t>
            </w:r>
            <w:r w:rsidR="00A20652">
              <w:rPr>
                <w:rFonts w:ascii="Times New Roman" w:eastAsia="Times New Roman" w:hAnsi="Times New Roman" w:cs="Times New Roman"/>
                <w:color w:val="000000" w:themeColor="text1"/>
                <w:sz w:val="24"/>
                <w:szCs w:val="24"/>
                <w:lang w:eastAsia="lv-LV"/>
              </w:rPr>
              <w:t>".</w:t>
            </w:r>
          </w:p>
          <w:p w14:paraId="117DD2DF" w14:textId="2C5610F0" w:rsidR="00C324CF" w:rsidRDefault="009C13D1" w:rsidP="00C324C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Ja tiek veikti grozījumi šādos likumos</w:t>
            </w:r>
            <w:r w:rsidR="00841384">
              <w:rPr>
                <w:rFonts w:ascii="Times New Roman" w:eastAsia="Times New Roman" w:hAnsi="Times New Roman" w:cs="Times New Roman"/>
                <w:color w:val="000000" w:themeColor="text1"/>
                <w:sz w:val="24"/>
                <w:szCs w:val="24"/>
                <w:lang w:eastAsia="lv-LV"/>
              </w:rPr>
              <w:t xml:space="preserve"> un Ministru kabineta noteikumos</w:t>
            </w:r>
            <w:r>
              <w:rPr>
                <w:rFonts w:ascii="Times New Roman" w:eastAsia="Times New Roman" w:hAnsi="Times New Roman" w:cs="Times New Roman"/>
                <w:color w:val="000000" w:themeColor="text1"/>
                <w:sz w:val="24"/>
                <w:szCs w:val="24"/>
                <w:lang w:eastAsia="lv-LV"/>
              </w:rPr>
              <w:t xml:space="preserve">, </w:t>
            </w:r>
            <w:r w:rsidR="00841384">
              <w:rPr>
                <w:rFonts w:ascii="Times New Roman" w:eastAsia="Times New Roman" w:hAnsi="Times New Roman" w:cs="Times New Roman"/>
                <w:color w:val="000000" w:themeColor="text1"/>
                <w:sz w:val="24"/>
                <w:szCs w:val="24"/>
                <w:lang w:eastAsia="lv-LV"/>
              </w:rPr>
              <w:t xml:space="preserve">pēc likumprojekta pieņemšanas </w:t>
            </w:r>
            <w:r>
              <w:rPr>
                <w:rFonts w:ascii="Times New Roman" w:eastAsia="Times New Roman" w:hAnsi="Times New Roman" w:cs="Times New Roman"/>
                <w:color w:val="000000" w:themeColor="text1"/>
                <w:sz w:val="24"/>
                <w:szCs w:val="24"/>
                <w:lang w:eastAsia="lv-LV"/>
              </w:rPr>
              <w:t>nepieciešams izstrādāt un iesniegt priekšlikumus</w:t>
            </w:r>
            <w:r w:rsidR="000E668E">
              <w:rPr>
                <w:rFonts w:ascii="Times New Roman" w:eastAsia="Times New Roman" w:hAnsi="Times New Roman" w:cs="Times New Roman"/>
                <w:color w:val="000000" w:themeColor="text1"/>
                <w:sz w:val="24"/>
                <w:szCs w:val="24"/>
                <w:lang w:eastAsia="lv-LV"/>
              </w:rPr>
              <w:t xml:space="preserve"> grozījumiem likumos vai Ministru kabineta noteikumos</w:t>
            </w:r>
            <w:r>
              <w:rPr>
                <w:rFonts w:ascii="Times New Roman" w:eastAsia="Times New Roman" w:hAnsi="Times New Roman" w:cs="Times New Roman"/>
                <w:color w:val="000000" w:themeColor="text1"/>
                <w:sz w:val="24"/>
                <w:szCs w:val="24"/>
                <w:lang w:eastAsia="lv-LV"/>
              </w:rPr>
              <w:t xml:space="preserve">, lai nodrošinātu </w:t>
            </w:r>
            <w:r w:rsidR="003C45B1">
              <w:rPr>
                <w:rFonts w:ascii="Times New Roman" w:eastAsia="Times New Roman" w:hAnsi="Times New Roman" w:cs="Times New Roman"/>
                <w:color w:val="000000" w:themeColor="text1"/>
                <w:sz w:val="24"/>
                <w:szCs w:val="24"/>
                <w:lang w:eastAsia="lv-LV"/>
              </w:rPr>
              <w:t>precīzu Maksātnespējas administrācijas nosaukuma maiņu</w:t>
            </w:r>
            <w:r w:rsidR="00C324CF" w:rsidRPr="00C324CF">
              <w:rPr>
                <w:rFonts w:ascii="Times New Roman" w:eastAsia="Times New Roman" w:hAnsi="Times New Roman" w:cs="Times New Roman"/>
                <w:color w:val="000000" w:themeColor="text1"/>
                <w:sz w:val="24"/>
                <w:szCs w:val="24"/>
                <w:lang w:eastAsia="lv-LV"/>
              </w:rPr>
              <w:t>:</w:t>
            </w:r>
            <w:r w:rsidR="00C324CF" w:rsidRPr="00C324CF">
              <w:rPr>
                <w:rFonts w:ascii="Times New Roman" w:eastAsia="Times New Roman" w:hAnsi="Times New Roman" w:cs="Times New Roman"/>
                <w:i/>
                <w:iCs/>
                <w:color w:val="000000" w:themeColor="text1"/>
                <w:sz w:val="24"/>
                <w:szCs w:val="24"/>
                <w:lang w:eastAsia="lv-LV"/>
              </w:rPr>
              <w:t xml:space="preserve"> </w:t>
            </w:r>
            <w:r w:rsidR="00C324CF" w:rsidRPr="00C324CF">
              <w:rPr>
                <w:rFonts w:ascii="Times New Roman" w:eastAsia="Times New Roman" w:hAnsi="Times New Roman" w:cs="Times New Roman"/>
                <w:color w:val="000000" w:themeColor="text1"/>
                <w:sz w:val="24"/>
                <w:szCs w:val="24"/>
                <w:lang w:eastAsia="lv-LV"/>
              </w:rPr>
              <w:t>Civilprocesa likums</w:t>
            </w:r>
            <w:r w:rsidR="00AA1D09">
              <w:rPr>
                <w:rFonts w:ascii="Times New Roman" w:eastAsia="Times New Roman" w:hAnsi="Times New Roman" w:cs="Times New Roman"/>
                <w:color w:val="000000" w:themeColor="text1"/>
                <w:sz w:val="24"/>
                <w:szCs w:val="24"/>
                <w:lang w:eastAsia="lv-LV"/>
              </w:rPr>
              <w:t xml:space="preserve"> (grozījumi jau ir ietverti saistītajā likumprojektā </w:t>
            </w:r>
            <w:r w:rsidR="00E54C30">
              <w:rPr>
                <w:rFonts w:ascii="Times New Roman" w:eastAsia="Times New Roman" w:hAnsi="Times New Roman" w:cs="Times New Roman"/>
                <w:color w:val="000000" w:themeColor="text1"/>
                <w:sz w:val="24"/>
                <w:szCs w:val="24"/>
                <w:lang w:eastAsia="lv-LV"/>
              </w:rPr>
              <w:t>"</w:t>
            </w:r>
            <w:r w:rsidR="00AA1D09">
              <w:rPr>
                <w:rFonts w:ascii="Times New Roman" w:eastAsia="Times New Roman" w:hAnsi="Times New Roman" w:cs="Times New Roman"/>
                <w:color w:val="000000" w:themeColor="text1"/>
                <w:sz w:val="24"/>
                <w:szCs w:val="24"/>
                <w:lang w:eastAsia="lv-LV"/>
              </w:rPr>
              <w:t>Grozījumi Civilprocesa likumā</w:t>
            </w:r>
            <w:r w:rsidR="00E54C30">
              <w:rPr>
                <w:rFonts w:ascii="Times New Roman" w:eastAsia="Times New Roman" w:hAnsi="Times New Roman" w:cs="Times New Roman"/>
                <w:color w:val="000000" w:themeColor="text1"/>
                <w:sz w:val="24"/>
                <w:szCs w:val="24"/>
                <w:lang w:eastAsia="lv-LV"/>
              </w:rPr>
              <w:t>"</w:t>
            </w:r>
            <w:r w:rsidR="00AA1D09">
              <w:rPr>
                <w:rFonts w:ascii="Times New Roman" w:eastAsia="Times New Roman" w:hAnsi="Times New Roman" w:cs="Times New Roman"/>
                <w:color w:val="000000" w:themeColor="text1"/>
                <w:sz w:val="24"/>
                <w:szCs w:val="24"/>
                <w:lang w:eastAsia="lv-LV"/>
              </w:rPr>
              <w:t>; VSS–573)</w:t>
            </w:r>
            <w:r w:rsidR="00C324CF" w:rsidRPr="00C324CF">
              <w:rPr>
                <w:rFonts w:ascii="Times New Roman" w:eastAsia="Times New Roman" w:hAnsi="Times New Roman" w:cs="Times New Roman"/>
                <w:color w:val="000000" w:themeColor="text1"/>
                <w:sz w:val="24"/>
                <w:szCs w:val="24"/>
                <w:lang w:eastAsia="lv-LV"/>
              </w:rPr>
              <w:t>,</w:t>
            </w:r>
            <w:r w:rsidR="00C324CF" w:rsidRPr="00C324CF">
              <w:rPr>
                <w:rFonts w:ascii="Times New Roman" w:eastAsia="Times New Roman" w:hAnsi="Times New Roman" w:cs="Times New Roman"/>
                <w:i/>
                <w:iCs/>
                <w:color w:val="000000" w:themeColor="text1"/>
                <w:sz w:val="24"/>
                <w:szCs w:val="24"/>
                <w:lang w:eastAsia="lv-LV"/>
              </w:rPr>
              <w:t xml:space="preserve"> </w:t>
            </w:r>
            <w:r w:rsidR="00C324CF" w:rsidRPr="00C324CF">
              <w:rPr>
                <w:rFonts w:ascii="Times New Roman" w:eastAsia="Times New Roman" w:hAnsi="Times New Roman" w:cs="Times New Roman"/>
                <w:color w:val="000000" w:themeColor="text1"/>
                <w:sz w:val="24"/>
                <w:szCs w:val="24"/>
                <w:lang w:eastAsia="lv-LV"/>
              </w:rPr>
              <w:t xml:space="preserve">likums </w:t>
            </w:r>
            <w:r w:rsidR="00A20652">
              <w:rPr>
                <w:rFonts w:ascii="Times New Roman" w:eastAsia="Times New Roman" w:hAnsi="Times New Roman" w:cs="Times New Roman"/>
                <w:color w:val="000000" w:themeColor="text1"/>
                <w:sz w:val="24"/>
                <w:szCs w:val="24"/>
                <w:lang w:eastAsia="lv-LV"/>
              </w:rPr>
              <w:t>"</w:t>
            </w:r>
            <w:r w:rsidR="00C324CF" w:rsidRPr="00C324CF">
              <w:rPr>
                <w:rFonts w:ascii="Times New Roman" w:eastAsia="Times New Roman" w:hAnsi="Times New Roman" w:cs="Times New Roman"/>
                <w:color w:val="000000" w:themeColor="text1"/>
                <w:sz w:val="24"/>
                <w:szCs w:val="24"/>
                <w:lang w:eastAsia="lv-LV"/>
              </w:rPr>
              <w:t xml:space="preserve">Par darbinieku aizsardzību darba devēja </w:t>
            </w:r>
            <w:r w:rsidR="007314DF">
              <w:rPr>
                <w:rFonts w:ascii="Times New Roman" w:eastAsia="Times New Roman" w:hAnsi="Times New Roman" w:cs="Times New Roman"/>
                <w:color w:val="000000" w:themeColor="text1"/>
                <w:sz w:val="24"/>
                <w:szCs w:val="24"/>
                <w:lang w:eastAsia="lv-LV"/>
              </w:rPr>
              <w:t>m</w:t>
            </w:r>
            <w:r w:rsidR="00C324CF" w:rsidRPr="00C324CF">
              <w:rPr>
                <w:rFonts w:ascii="Times New Roman" w:eastAsia="Times New Roman" w:hAnsi="Times New Roman" w:cs="Times New Roman"/>
                <w:color w:val="000000" w:themeColor="text1"/>
                <w:sz w:val="24"/>
                <w:szCs w:val="24"/>
                <w:lang w:eastAsia="lv-LV"/>
              </w:rPr>
              <w:t>aksātnespējas gadījumā</w:t>
            </w:r>
            <w:r w:rsidR="00A20652">
              <w:rPr>
                <w:rFonts w:ascii="Times New Roman" w:eastAsia="Times New Roman" w:hAnsi="Times New Roman" w:cs="Times New Roman"/>
                <w:color w:val="000000" w:themeColor="text1"/>
                <w:sz w:val="24"/>
                <w:szCs w:val="24"/>
                <w:lang w:eastAsia="lv-LV"/>
              </w:rPr>
              <w:t>"</w:t>
            </w:r>
            <w:r w:rsidR="00C324CF" w:rsidRPr="00C324CF">
              <w:rPr>
                <w:rFonts w:ascii="Times New Roman" w:eastAsia="Times New Roman" w:hAnsi="Times New Roman" w:cs="Times New Roman"/>
                <w:color w:val="000000" w:themeColor="text1"/>
                <w:sz w:val="24"/>
                <w:szCs w:val="24"/>
                <w:lang w:eastAsia="lv-LV"/>
              </w:rPr>
              <w:t xml:space="preserve">, likums </w:t>
            </w:r>
            <w:r w:rsidR="00A20652">
              <w:rPr>
                <w:rFonts w:ascii="Times New Roman" w:eastAsia="Times New Roman" w:hAnsi="Times New Roman" w:cs="Times New Roman"/>
                <w:color w:val="000000" w:themeColor="text1"/>
                <w:sz w:val="24"/>
                <w:szCs w:val="24"/>
                <w:lang w:eastAsia="lv-LV"/>
              </w:rPr>
              <w:t>"</w:t>
            </w:r>
            <w:r w:rsidR="00126CAF">
              <w:rPr>
                <w:rFonts w:ascii="Times New Roman" w:eastAsia="Times New Roman" w:hAnsi="Times New Roman" w:cs="Times New Roman"/>
                <w:color w:val="000000" w:themeColor="text1"/>
                <w:sz w:val="24"/>
                <w:szCs w:val="24"/>
                <w:lang w:eastAsia="lv-LV"/>
              </w:rPr>
              <w:t>Par i</w:t>
            </w:r>
            <w:r w:rsidR="00C324CF" w:rsidRPr="00C324CF">
              <w:rPr>
                <w:rFonts w:ascii="Times New Roman" w:eastAsia="Times New Roman" w:hAnsi="Times New Roman" w:cs="Times New Roman"/>
                <w:color w:val="000000" w:themeColor="text1"/>
                <w:sz w:val="24"/>
                <w:szCs w:val="24"/>
                <w:lang w:eastAsia="lv-LV"/>
              </w:rPr>
              <w:t>nterešu konflikta novēršanu valsts amatpersonu darbībā</w:t>
            </w:r>
            <w:r w:rsidR="00A20652">
              <w:rPr>
                <w:rFonts w:ascii="Times New Roman" w:eastAsia="Times New Roman" w:hAnsi="Times New Roman" w:cs="Times New Roman"/>
                <w:color w:val="000000" w:themeColor="text1"/>
                <w:sz w:val="24"/>
                <w:szCs w:val="24"/>
                <w:lang w:eastAsia="lv-LV"/>
              </w:rPr>
              <w:t>"</w:t>
            </w:r>
            <w:r w:rsidR="00C324CF" w:rsidRPr="00C324CF">
              <w:rPr>
                <w:rFonts w:ascii="Times New Roman" w:eastAsia="Times New Roman" w:hAnsi="Times New Roman" w:cs="Times New Roman"/>
                <w:color w:val="000000" w:themeColor="text1"/>
                <w:sz w:val="24"/>
                <w:szCs w:val="24"/>
                <w:lang w:eastAsia="lv-LV"/>
              </w:rPr>
              <w:t>, Piespiedu ietekmēšanas līdzekļu izpildes likums</w:t>
            </w:r>
            <w:r w:rsidR="00841384">
              <w:rPr>
                <w:rFonts w:ascii="Times New Roman" w:eastAsia="Times New Roman" w:hAnsi="Times New Roman" w:cs="Times New Roman"/>
                <w:color w:val="000000" w:themeColor="text1"/>
                <w:sz w:val="24"/>
                <w:szCs w:val="24"/>
                <w:lang w:eastAsia="lv-LV"/>
              </w:rPr>
              <w:t xml:space="preserve">, </w:t>
            </w:r>
            <w:r w:rsidR="00841384" w:rsidRPr="00841384">
              <w:rPr>
                <w:rFonts w:ascii="Times New Roman" w:eastAsia="Times New Roman" w:hAnsi="Times New Roman" w:cs="Times New Roman"/>
                <w:color w:val="000000" w:themeColor="text1"/>
                <w:sz w:val="24"/>
                <w:szCs w:val="24"/>
                <w:lang w:eastAsia="lv-LV"/>
              </w:rPr>
              <w:t xml:space="preserve">kā arī Ministru kabineta 2012. gada 6. novembra noteikumi Nr. 751 </w:t>
            </w:r>
            <w:r w:rsidR="00841384" w:rsidRPr="00841384">
              <w:rPr>
                <w:rFonts w:ascii="Times New Roman" w:eastAsia="Times New Roman" w:hAnsi="Times New Roman" w:cs="Times New Roman"/>
                <w:bCs/>
                <w:color w:val="000000" w:themeColor="text1"/>
                <w:sz w:val="24"/>
                <w:szCs w:val="24"/>
                <w:lang w:eastAsia="lv-LV"/>
              </w:rPr>
              <w:t>"</w:t>
            </w:r>
            <w:r w:rsidR="00841384" w:rsidRPr="00841384">
              <w:rPr>
                <w:rFonts w:ascii="Times New Roman" w:eastAsia="Times New Roman" w:hAnsi="Times New Roman" w:cs="Times New Roman"/>
                <w:color w:val="000000" w:themeColor="text1"/>
                <w:sz w:val="24"/>
                <w:szCs w:val="24"/>
                <w:lang w:eastAsia="lv-LV"/>
              </w:rPr>
              <w:t>Maksātnespējas administrācijas nolikums</w:t>
            </w:r>
            <w:r w:rsidR="00841384" w:rsidRPr="00841384">
              <w:rPr>
                <w:rFonts w:ascii="Times New Roman" w:eastAsia="Times New Roman" w:hAnsi="Times New Roman" w:cs="Times New Roman"/>
                <w:bCs/>
                <w:color w:val="000000" w:themeColor="text1"/>
                <w:sz w:val="24"/>
                <w:szCs w:val="24"/>
                <w:lang w:eastAsia="lv-LV"/>
              </w:rPr>
              <w:t>"</w:t>
            </w:r>
            <w:r w:rsidR="00841384" w:rsidRPr="00841384">
              <w:rPr>
                <w:rFonts w:ascii="Times New Roman" w:eastAsia="Times New Roman" w:hAnsi="Times New Roman" w:cs="Times New Roman"/>
                <w:color w:val="000000" w:themeColor="text1"/>
                <w:sz w:val="24"/>
                <w:szCs w:val="24"/>
                <w:lang w:eastAsia="lv-LV"/>
              </w:rPr>
              <w:t xml:space="preserve"> un citi likumiem pakārtotie normatīvie akti</w:t>
            </w:r>
            <w:r w:rsidR="00C324CF" w:rsidRPr="00C324CF">
              <w:rPr>
                <w:rFonts w:ascii="Times New Roman" w:eastAsia="Times New Roman" w:hAnsi="Times New Roman" w:cs="Times New Roman"/>
                <w:color w:val="000000" w:themeColor="text1"/>
                <w:sz w:val="24"/>
                <w:szCs w:val="24"/>
                <w:lang w:eastAsia="lv-LV"/>
              </w:rPr>
              <w:t>.</w:t>
            </w:r>
          </w:p>
          <w:p w14:paraId="3592B662" w14:textId="77777777" w:rsidR="005F1651" w:rsidRDefault="005F1651" w:rsidP="00C324CF">
            <w:pPr>
              <w:spacing w:after="0" w:line="240" w:lineRule="auto"/>
              <w:jc w:val="both"/>
              <w:rPr>
                <w:rFonts w:ascii="Times New Roman" w:eastAsia="Times New Roman" w:hAnsi="Times New Roman" w:cs="Times New Roman"/>
                <w:color w:val="000000" w:themeColor="text1"/>
                <w:sz w:val="24"/>
                <w:szCs w:val="24"/>
                <w:lang w:eastAsia="lv-LV"/>
              </w:rPr>
            </w:pPr>
          </w:p>
          <w:p w14:paraId="4BD0C676" w14:textId="358FEDC6" w:rsidR="005F1651" w:rsidRDefault="005F1651" w:rsidP="00C324CF">
            <w:pPr>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Par </w:t>
            </w:r>
            <w:r w:rsidR="00F058AD" w:rsidRPr="00F058AD">
              <w:rPr>
                <w:rFonts w:ascii="Times New Roman" w:eastAsia="Times New Roman" w:hAnsi="Times New Roman" w:cs="Times New Roman"/>
                <w:b/>
                <w:color w:val="000000" w:themeColor="text1"/>
                <w:sz w:val="24"/>
                <w:szCs w:val="24"/>
                <w:lang w:eastAsia="lv-LV"/>
              </w:rPr>
              <w:t xml:space="preserve">Eiropas Parlamenta un Padomes </w:t>
            </w:r>
            <w:r w:rsidRPr="005F1651">
              <w:rPr>
                <w:rFonts w:ascii="Times New Roman" w:eastAsia="Times New Roman" w:hAnsi="Times New Roman" w:cs="Times New Roman"/>
                <w:b/>
                <w:color w:val="000000" w:themeColor="text1"/>
                <w:sz w:val="24"/>
                <w:szCs w:val="24"/>
                <w:lang w:eastAsia="lv-LV"/>
              </w:rPr>
              <w:t xml:space="preserve">2015. gada 20. maija </w:t>
            </w:r>
            <w:r w:rsidR="00C05E22">
              <w:rPr>
                <w:rFonts w:ascii="Times New Roman" w:eastAsia="Times New Roman" w:hAnsi="Times New Roman" w:cs="Times New Roman"/>
                <w:b/>
                <w:color w:val="000000" w:themeColor="text1"/>
                <w:sz w:val="24"/>
                <w:szCs w:val="24"/>
                <w:lang w:eastAsia="lv-LV"/>
              </w:rPr>
              <w:t>R</w:t>
            </w:r>
            <w:r w:rsidRPr="005F1651">
              <w:rPr>
                <w:rFonts w:ascii="Times New Roman" w:eastAsia="Times New Roman" w:hAnsi="Times New Roman" w:cs="Times New Roman"/>
                <w:b/>
                <w:color w:val="000000" w:themeColor="text1"/>
                <w:sz w:val="24"/>
                <w:szCs w:val="24"/>
                <w:lang w:eastAsia="lv-LV"/>
              </w:rPr>
              <w:t>egul</w:t>
            </w:r>
            <w:r>
              <w:rPr>
                <w:rFonts w:ascii="Times New Roman" w:eastAsia="Times New Roman" w:hAnsi="Times New Roman" w:cs="Times New Roman"/>
                <w:b/>
                <w:color w:val="000000" w:themeColor="text1"/>
                <w:sz w:val="24"/>
                <w:szCs w:val="24"/>
                <w:lang w:eastAsia="lv-LV"/>
              </w:rPr>
              <w:t>u</w:t>
            </w:r>
            <w:r w:rsidRPr="005F1651">
              <w:rPr>
                <w:rFonts w:ascii="Times New Roman" w:eastAsia="Times New Roman" w:hAnsi="Times New Roman" w:cs="Times New Roman"/>
                <w:b/>
                <w:color w:val="000000" w:themeColor="text1"/>
                <w:sz w:val="24"/>
                <w:szCs w:val="24"/>
                <w:lang w:eastAsia="lv-LV"/>
              </w:rPr>
              <w:t xml:space="preserve"> (ES) Nr. 2015/848 par maksātnespējas procedūrām</w:t>
            </w:r>
            <w:r>
              <w:rPr>
                <w:rFonts w:ascii="Times New Roman" w:eastAsia="Times New Roman" w:hAnsi="Times New Roman" w:cs="Times New Roman"/>
                <w:b/>
                <w:color w:val="000000" w:themeColor="text1"/>
                <w:sz w:val="24"/>
                <w:szCs w:val="24"/>
                <w:lang w:eastAsia="lv-LV"/>
              </w:rPr>
              <w:t xml:space="preserve"> (pārstrādātā redakcija)</w:t>
            </w:r>
          </w:p>
          <w:p w14:paraId="689459B2" w14:textId="1FA45AB2" w:rsidR="005F1651" w:rsidRDefault="005F1651" w:rsidP="00C324C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Likumprojektā ietverti nepieciešamie tehniskie grozījumi, lai nodrošinātu</w:t>
            </w:r>
            <w:r w:rsidR="00F058AD">
              <w:rPr>
                <w:rFonts w:ascii="Times New Roman" w:eastAsia="Times New Roman" w:hAnsi="Times New Roman" w:cs="Times New Roman"/>
                <w:color w:val="000000" w:themeColor="text1"/>
                <w:sz w:val="24"/>
                <w:szCs w:val="24"/>
                <w:lang w:eastAsia="lv-LV"/>
              </w:rPr>
              <w:t xml:space="preserve"> </w:t>
            </w:r>
            <w:r w:rsidR="00F058AD" w:rsidRPr="00F058AD">
              <w:rPr>
                <w:rFonts w:ascii="Times New Roman" w:eastAsia="Times New Roman" w:hAnsi="Times New Roman" w:cs="Times New Roman"/>
                <w:color w:val="000000" w:themeColor="text1"/>
                <w:sz w:val="24"/>
                <w:szCs w:val="24"/>
                <w:lang w:eastAsia="lv-LV"/>
              </w:rPr>
              <w:t xml:space="preserve">Eiropas Parlamenta un Padomes </w:t>
            </w:r>
            <w:r w:rsidRPr="005F1651">
              <w:rPr>
                <w:rFonts w:ascii="Times New Roman" w:eastAsia="Times New Roman" w:hAnsi="Times New Roman" w:cs="Times New Roman"/>
                <w:color w:val="000000" w:themeColor="text1"/>
                <w:sz w:val="24"/>
                <w:szCs w:val="24"/>
                <w:lang w:eastAsia="lv-LV"/>
              </w:rPr>
              <w:t>2015. gada 20. maija regulas (ES) Nr. 2015/848 par maksātnespējas procedūrām</w:t>
            </w:r>
            <w:r>
              <w:rPr>
                <w:rFonts w:ascii="Times New Roman" w:eastAsia="Times New Roman" w:hAnsi="Times New Roman" w:cs="Times New Roman"/>
                <w:color w:val="000000" w:themeColor="text1"/>
                <w:sz w:val="24"/>
                <w:szCs w:val="24"/>
                <w:lang w:eastAsia="lv-LV"/>
              </w:rPr>
              <w:t xml:space="preserve"> (pārstrādātā redakcija) </w:t>
            </w:r>
            <w:r w:rsidR="005146D9">
              <w:rPr>
                <w:rFonts w:ascii="Times New Roman" w:eastAsia="Times New Roman" w:hAnsi="Times New Roman" w:cs="Times New Roman"/>
                <w:color w:val="000000" w:themeColor="text1"/>
                <w:sz w:val="24"/>
                <w:szCs w:val="24"/>
                <w:lang w:eastAsia="lv-LV"/>
              </w:rPr>
              <w:t xml:space="preserve">(turpmāk – Regula) </w:t>
            </w:r>
            <w:r>
              <w:rPr>
                <w:rFonts w:ascii="Times New Roman" w:eastAsia="Times New Roman" w:hAnsi="Times New Roman" w:cs="Times New Roman"/>
                <w:color w:val="000000" w:themeColor="text1"/>
                <w:sz w:val="24"/>
                <w:szCs w:val="24"/>
                <w:lang w:eastAsia="lv-LV"/>
              </w:rPr>
              <w:t>piemērošanu tām maksātnespējas procedūrām, kas uzsāktas pēc regulas piemērošanas uzsākšanas (2017. gada 26. jūnija).</w:t>
            </w:r>
            <w:r w:rsidR="005146D9">
              <w:rPr>
                <w:rFonts w:ascii="Times New Roman" w:eastAsia="Times New Roman" w:hAnsi="Times New Roman" w:cs="Times New Roman"/>
                <w:color w:val="000000" w:themeColor="text1"/>
                <w:sz w:val="24"/>
                <w:szCs w:val="24"/>
                <w:lang w:eastAsia="lv-LV"/>
              </w:rPr>
              <w:t xml:space="preserve"> Likumprojektā ietvertas normas, kas nepieciešamas, lai nodrošinātu Regulas 24. panta 1. punktā noteikto ziņu ierakstīšanu maksātnespējas reģistrā, precizējot ziņas, kas norādāmas attiecībā uz administratora kontaktinformāciju, termiņu un tiesu, kurā iesniedzama sūdzība saistībā ar pamatotām šaubām par starptautisko piekritību, kā arī ziņas par maksātnespējas procedūras veidu saskaņā ar Regulas 3. pantu.</w:t>
            </w:r>
          </w:p>
          <w:p w14:paraId="4A02C2C6" w14:textId="067736BD" w:rsidR="005146D9" w:rsidRDefault="005146D9" w:rsidP="00C324C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Likumprojekts papildināts ar pārejas noteikum</w:t>
            </w:r>
            <w:r w:rsidR="004E3848">
              <w:rPr>
                <w:rFonts w:ascii="Times New Roman" w:eastAsia="Times New Roman" w:hAnsi="Times New Roman" w:cs="Times New Roman"/>
                <w:color w:val="000000" w:themeColor="text1"/>
                <w:sz w:val="24"/>
                <w:szCs w:val="24"/>
                <w:lang w:eastAsia="lv-LV"/>
              </w:rPr>
              <w:t xml:space="preserve">u, lai nodrošinātu, ka grozījumi attiecībā uz maksātnespējas reģistrā ierakstāmajām ziņām, ir piemērojami no 2018. gada 26. jūnija, kā ir noteikts Regulas 92. panta otrās daļas </w:t>
            </w:r>
            <w:r w:rsidR="00A20652">
              <w:rPr>
                <w:rFonts w:ascii="Times New Roman" w:eastAsia="Times New Roman" w:hAnsi="Times New Roman" w:cs="Times New Roman"/>
                <w:color w:val="000000" w:themeColor="text1"/>
                <w:sz w:val="24"/>
                <w:szCs w:val="24"/>
                <w:lang w:eastAsia="lv-LV"/>
              </w:rPr>
              <w:t>"</w:t>
            </w:r>
            <w:r w:rsidR="004E3848">
              <w:rPr>
                <w:rFonts w:ascii="Times New Roman" w:eastAsia="Times New Roman" w:hAnsi="Times New Roman" w:cs="Times New Roman"/>
                <w:color w:val="000000" w:themeColor="text1"/>
                <w:sz w:val="24"/>
                <w:szCs w:val="24"/>
                <w:lang w:eastAsia="lv-LV"/>
              </w:rPr>
              <w:t>b</w:t>
            </w:r>
            <w:r w:rsidR="00A20652">
              <w:rPr>
                <w:rFonts w:ascii="Times New Roman" w:eastAsia="Times New Roman" w:hAnsi="Times New Roman" w:cs="Times New Roman"/>
                <w:color w:val="000000" w:themeColor="text1"/>
                <w:sz w:val="24"/>
                <w:szCs w:val="24"/>
                <w:lang w:eastAsia="lv-LV"/>
              </w:rPr>
              <w:t>"</w:t>
            </w:r>
            <w:r w:rsidR="004E3848">
              <w:rPr>
                <w:rFonts w:ascii="Times New Roman" w:eastAsia="Times New Roman" w:hAnsi="Times New Roman" w:cs="Times New Roman"/>
                <w:color w:val="000000" w:themeColor="text1"/>
                <w:sz w:val="24"/>
                <w:szCs w:val="24"/>
                <w:lang w:eastAsia="lv-LV"/>
              </w:rPr>
              <w:t> apakšpunktā.</w:t>
            </w:r>
          </w:p>
          <w:p w14:paraId="1E41E326" w14:textId="77777777" w:rsidR="00D432B4" w:rsidRDefault="00D432B4" w:rsidP="00C324CF">
            <w:pPr>
              <w:spacing w:after="0" w:line="240" w:lineRule="auto"/>
              <w:jc w:val="both"/>
              <w:rPr>
                <w:rFonts w:ascii="Times New Roman" w:eastAsia="Times New Roman" w:hAnsi="Times New Roman" w:cs="Times New Roman"/>
                <w:color w:val="000000" w:themeColor="text1"/>
                <w:sz w:val="24"/>
                <w:szCs w:val="24"/>
                <w:lang w:eastAsia="lv-LV"/>
              </w:rPr>
            </w:pPr>
          </w:p>
          <w:p w14:paraId="60B3E858" w14:textId="6DA40F30" w:rsidR="00D432B4" w:rsidRDefault="00D432B4" w:rsidP="00C324CF">
            <w:pPr>
              <w:spacing w:after="0" w:line="240" w:lineRule="auto"/>
              <w:jc w:val="both"/>
              <w:rPr>
                <w:rFonts w:ascii="Times New Roman" w:eastAsia="Times New Roman" w:hAnsi="Times New Roman" w:cs="Times New Roman"/>
                <w:b/>
                <w:color w:val="000000" w:themeColor="text1"/>
                <w:sz w:val="24"/>
                <w:szCs w:val="24"/>
                <w:lang w:eastAsia="lv-LV"/>
              </w:rPr>
            </w:pPr>
            <w:bookmarkStart w:id="3" w:name="_Hlk495400721"/>
            <w:r w:rsidRPr="00D4553F">
              <w:rPr>
                <w:rFonts w:ascii="Times New Roman" w:eastAsia="Times New Roman" w:hAnsi="Times New Roman" w:cs="Times New Roman"/>
                <w:b/>
                <w:color w:val="000000" w:themeColor="text1"/>
                <w:sz w:val="24"/>
                <w:szCs w:val="24"/>
                <w:lang w:eastAsia="lv-LV"/>
              </w:rPr>
              <w:t xml:space="preserve">Par </w:t>
            </w:r>
            <w:r w:rsidR="002843EA">
              <w:rPr>
                <w:rFonts w:ascii="Times New Roman" w:eastAsia="Times New Roman" w:hAnsi="Times New Roman" w:cs="Times New Roman"/>
                <w:b/>
                <w:color w:val="000000" w:themeColor="text1"/>
                <w:sz w:val="24"/>
                <w:szCs w:val="24"/>
                <w:lang w:eastAsia="lv-LV"/>
              </w:rPr>
              <w:t xml:space="preserve">juridiskās personas </w:t>
            </w:r>
            <w:r w:rsidR="00AA025A" w:rsidRPr="00D4553F">
              <w:rPr>
                <w:rFonts w:ascii="Times New Roman" w:eastAsia="Times New Roman" w:hAnsi="Times New Roman" w:cs="Times New Roman"/>
                <w:b/>
                <w:color w:val="000000" w:themeColor="text1"/>
                <w:sz w:val="24"/>
                <w:szCs w:val="24"/>
                <w:lang w:eastAsia="lv-LV"/>
              </w:rPr>
              <w:t>maksātnespējas procesa depozīta segšanu, ja darbinieks no tā atbrīvots</w:t>
            </w:r>
          </w:p>
          <w:bookmarkEnd w:id="3"/>
          <w:p w14:paraId="70E55301" w14:textId="0C116461" w:rsidR="00AA025A" w:rsidRPr="00AA025A" w:rsidRDefault="00AA025A" w:rsidP="00AA025A">
            <w:pPr>
              <w:spacing w:after="0" w:line="240" w:lineRule="auto"/>
              <w:jc w:val="both"/>
              <w:rPr>
                <w:rFonts w:ascii="Times New Roman" w:eastAsia="Times New Roman" w:hAnsi="Times New Roman" w:cs="Times New Roman"/>
                <w:color w:val="000000" w:themeColor="text1"/>
                <w:sz w:val="24"/>
                <w:szCs w:val="24"/>
                <w:lang w:eastAsia="lv-LV"/>
              </w:rPr>
            </w:pPr>
            <w:r w:rsidRPr="00AA025A">
              <w:rPr>
                <w:rFonts w:ascii="Times New Roman" w:eastAsia="Times New Roman" w:hAnsi="Times New Roman" w:cs="Times New Roman"/>
                <w:color w:val="000000" w:themeColor="text1"/>
                <w:sz w:val="24"/>
                <w:szCs w:val="24"/>
                <w:lang w:eastAsia="lv-LV"/>
              </w:rPr>
              <w:t xml:space="preserve">Spēkā esošās </w:t>
            </w:r>
            <w:r w:rsidR="00216C77">
              <w:rPr>
                <w:rFonts w:ascii="Times New Roman" w:eastAsia="Times New Roman" w:hAnsi="Times New Roman" w:cs="Times New Roman"/>
                <w:color w:val="000000" w:themeColor="text1"/>
                <w:sz w:val="24"/>
                <w:szCs w:val="24"/>
                <w:lang w:eastAsia="lv-LV"/>
              </w:rPr>
              <w:t>MNL</w:t>
            </w:r>
            <w:r w:rsidRPr="00AA025A">
              <w:rPr>
                <w:rFonts w:ascii="Times New Roman" w:eastAsia="Times New Roman" w:hAnsi="Times New Roman" w:cs="Times New Roman"/>
                <w:color w:val="000000" w:themeColor="text1"/>
                <w:sz w:val="24"/>
                <w:szCs w:val="24"/>
                <w:lang w:eastAsia="lv-LV"/>
              </w:rPr>
              <w:t xml:space="preserve"> redakcijas 62.</w:t>
            </w:r>
            <w:r w:rsidR="009258DD">
              <w:rPr>
                <w:rFonts w:ascii="Times New Roman" w:eastAsia="Times New Roman" w:hAnsi="Times New Roman" w:cs="Times New Roman"/>
                <w:color w:val="000000" w:themeColor="text1"/>
                <w:sz w:val="24"/>
                <w:szCs w:val="24"/>
                <w:lang w:eastAsia="lv-LV"/>
              </w:rPr>
              <w:t> </w:t>
            </w:r>
            <w:r w:rsidRPr="00AA025A">
              <w:rPr>
                <w:rFonts w:ascii="Times New Roman" w:eastAsia="Times New Roman" w:hAnsi="Times New Roman" w:cs="Times New Roman"/>
                <w:color w:val="000000" w:themeColor="text1"/>
                <w:sz w:val="24"/>
                <w:szCs w:val="24"/>
                <w:lang w:eastAsia="lv-LV"/>
              </w:rPr>
              <w:t>panta 7.</w:t>
            </w:r>
            <w:r w:rsidRPr="00C95231">
              <w:rPr>
                <w:rFonts w:ascii="Times New Roman" w:eastAsia="Times New Roman" w:hAnsi="Times New Roman" w:cs="Times New Roman"/>
                <w:color w:val="000000" w:themeColor="text1"/>
                <w:sz w:val="24"/>
                <w:szCs w:val="24"/>
                <w:vertAlign w:val="superscript"/>
                <w:lang w:eastAsia="lv-LV"/>
              </w:rPr>
              <w:t>2</w:t>
            </w:r>
            <w:r w:rsidR="009258DD">
              <w:rPr>
                <w:rFonts w:ascii="Times New Roman" w:eastAsia="Times New Roman" w:hAnsi="Times New Roman" w:cs="Times New Roman"/>
                <w:color w:val="000000" w:themeColor="text1"/>
                <w:sz w:val="24"/>
                <w:szCs w:val="24"/>
                <w:lang w:eastAsia="lv-LV"/>
              </w:rPr>
              <w:t> </w:t>
            </w:r>
            <w:r w:rsidRPr="00AA025A">
              <w:rPr>
                <w:rFonts w:ascii="Times New Roman" w:eastAsia="Times New Roman" w:hAnsi="Times New Roman" w:cs="Times New Roman"/>
                <w:color w:val="000000" w:themeColor="text1"/>
                <w:sz w:val="24"/>
                <w:szCs w:val="24"/>
                <w:lang w:eastAsia="lv-LV"/>
              </w:rPr>
              <w:t>daļā noteikts – ja šā panta 7.</w:t>
            </w:r>
            <w:r w:rsidRPr="00C95231">
              <w:rPr>
                <w:rFonts w:ascii="Times New Roman" w:eastAsia="Times New Roman" w:hAnsi="Times New Roman" w:cs="Times New Roman"/>
                <w:color w:val="000000" w:themeColor="text1"/>
                <w:sz w:val="24"/>
                <w:szCs w:val="24"/>
                <w:vertAlign w:val="superscript"/>
                <w:lang w:eastAsia="lv-LV"/>
              </w:rPr>
              <w:t>1</w:t>
            </w:r>
            <w:r w:rsidR="009258DD">
              <w:rPr>
                <w:rFonts w:ascii="Times New Roman" w:eastAsia="Times New Roman" w:hAnsi="Times New Roman" w:cs="Times New Roman"/>
                <w:color w:val="000000" w:themeColor="text1"/>
                <w:sz w:val="24"/>
                <w:szCs w:val="24"/>
                <w:lang w:eastAsia="lv-LV"/>
              </w:rPr>
              <w:t> </w:t>
            </w:r>
            <w:r w:rsidRPr="00AA025A">
              <w:rPr>
                <w:rFonts w:ascii="Times New Roman" w:eastAsia="Times New Roman" w:hAnsi="Times New Roman" w:cs="Times New Roman"/>
                <w:color w:val="000000" w:themeColor="text1"/>
                <w:sz w:val="24"/>
                <w:szCs w:val="24"/>
                <w:lang w:eastAsia="lv-LV"/>
              </w:rPr>
              <w:t>daļā noteiktajā gadījumā no parādnieka līdzekļiem nav iespējams segt juridiskās personas maksātnespējas procesa izmaksas un kreditori nav nolēmuši izmantot citu finansēšanas avotu, juridiskās personas maksātnespējas procesa izmaksas tiek segtas valsts budžeta un uzņēmējdarbības riska valsts nodevas līdzekļu ietvaros, kuri Maksātnespējas administrācijai piešķirti juridiskās personas maksātnespējas procesa izmaksu segšanai attiecīgos gadījumos. Proti, no Maksātnespējas administrācijas budžeta apakšprogrammas 06.05.00</w:t>
            </w:r>
            <w:r w:rsidR="009258DD">
              <w:rPr>
                <w:rFonts w:ascii="Times New Roman" w:eastAsia="Times New Roman" w:hAnsi="Times New Roman" w:cs="Times New Roman"/>
                <w:color w:val="000000" w:themeColor="text1"/>
                <w:sz w:val="24"/>
                <w:szCs w:val="24"/>
                <w:lang w:eastAsia="lv-LV"/>
              </w:rPr>
              <w:t> </w:t>
            </w:r>
            <w:r w:rsidR="00A20652">
              <w:rPr>
                <w:rFonts w:ascii="Times New Roman" w:eastAsia="Times New Roman" w:hAnsi="Times New Roman" w:cs="Times New Roman"/>
                <w:color w:val="000000" w:themeColor="text1"/>
                <w:sz w:val="24"/>
                <w:szCs w:val="24"/>
                <w:lang w:eastAsia="lv-LV"/>
              </w:rPr>
              <w:t>"</w:t>
            </w:r>
            <w:r w:rsidRPr="00AA025A">
              <w:rPr>
                <w:rFonts w:ascii="Times New Roman" w:eastAsia="Times New Roman" w:hAnsi="Times New Roman" w:cs="Times New Roman"/>
                <w:color w:val="000000" w:themeColor="text1"/>
                <w:sz w:val="24"/>
                <w:szCs w:val="24"/>
                <w:lang w:eastAsia="lv-LV"/>
              </w:rPr>
              <w:t>Maksātnespējas procesa izmaksas</w:t>
            </w:r>
            <w:r w:rsidR="00A20652">
              <w:rPr>
                <w:rFonts w:ascii="Times New Roman" w:eastAsia="Times New Roman" w:hAnsi="Times New Roman" w:cs="Times New Roman"/>
                <w:color w:val="000000" w:themeColor="text1"/>
                <w:sz w:val="24"/>
                <w:szCs w:val="24"/>
                <w:lang w:eastAsia="lv-LV"/>
              </w:rPr>
              <w:t>"</w:t>
            </w:r>
            <w:r w:rsidRPr="00AA025A">
              <w:rPr>
                <w:rFonts w:ascii="Times New Roman" w:eastAsia="Times New Roman" w:hAnsi="Times New Roman" w:cs="Times New Roman"/>
                <w:color w:val="000000" w:themeColor="text1"/>
                <w:sz w:val="24"/>
                <w:szCs w:val="24"/>
                <w:lang w:eastAsia="lv-LV"/>
              </w:rPr>
              <w:t xml:space="preserve"> (turpmāk – MPI). MPI ir apakšprogramma, kas tiks izmantota līdz </w:t>
            </w:r>
            <w:r w:rsidR="00C95231">
              <w:rPr>
                <w:rFonts w:ascii="Times New Roman" w:eastAsia="Times New Roman" w:hAnsi="Times New Roman" w:cs="Times New Roman"/>
                <w:color w:val="000000" w:themeColor="text1"/>
                <w:sz w:val="24"/>
                <w:szCs w:val="24"/>
                <w:lang w:eastAsia="lv-LV"/>
              </w:rPr>
              <w:t xml:space="preserve">brīdim, kamēr </w:t>
            </w:r>
            <w:r w:rsidRPr="00AA025A">
              <w:rPr>
                <w:rFonts w:ascii="Times New Roman" w:eastAsia="Times New Roman" w:hAnsi="Times New Roman" w:cs="Times New Roman"/>
                <w:color w:val="000000" w:themeColor="text1"/>
                <w:sz w:val="24"/>
                <w:szCs w:val="24"/>
                <w:lang w:eastAsia="lv-LV"/>
              </w:rPr>
              <w:t xml:space="preserve">tiks pabeigti visi maksātnespējas procesi, kas tika </w:t>
            </w:r>
            <w:r w:rsidR="009258DD">
              <w:rPr>
                <w:rFonts w:ascii="Times New Roman" w:eastAsia="Times New Roman" w:hAnsi="Times New Roman" w:cs="Times New Roman"/>
                <w:color w:val="000000" w:themeColor="text1"/>
                <w:sz w:val="24"/>
                <w:szCs w:val="24"/>
                <w:lang w:eastAsia="lv-LV"/>
              </w:rPr>
              <w:t>uzsākti</w:t>
            </w:r>
            <w:r w:rsidRPr="00AA025A">
              <w:rPr>
                <w:rFonts w:ascii="Times New Roman" w:eastAsia="Times New Roman" w:hAnsi="Times New Roman" w:cs="Times New Roman"/>
                <w:color w:val="000000" w:themeColor="text1"/>
                <w:sz w:val="24"/>
                <w:szCs w:val="24"/>
                <w:lang w:eastAsia="lv-LV"/>
              </w:rPr>
              <w:t xml:space="preserve"> līdz 2010.</w:t>
            </w:r>
            <w:r w:rsidR="00852346">
              <w:rPr>
                <w:rFonts w:ascii="Times New Roman" w:eastAsia="Times New Roman" w:hAnsi="Times New Roman" w:cs="Times New Roman"/>
                <w:color w:val="000000" w:themeColor="text1"/>
                <w:sz w:val="24"/>
                <w:szCs w:val="24"/>
                <w:lang w:eastAsia="lv-LV"/>
              </w:rPr>
              <w:t> </w:t>
            </w:r>
            <w:r w:rsidRPr="00AA025A">
              <w:rPr>
                <w:rFonts w:ascii="Times New Roman" w:eastAsia="Times New Roman" w:hAnsi="Times New Roman" w:cs="Times New Roman"/>
                <w:color w:val="000000" w:themeColor="text1"/>
                <w:sz w:val="24"/>
                <w:szCs w:val="24"/>
                <w:lang w:eastAsia="lv-LV"/>
              </w:rPr>
              <w:t>gada 31.</w:t>
            </w:r>
            <w:r w:rsidR="00852346">
              <w:rPr>
                <w:rFonts w:ascii="Times New Roman" w:eastAsia="Times New Roman" w:hAnsi="Times New Roman" w:cs="Times New Roman"/>
                <w:color w:val="000000" w:themeColor="text1"/>
                <w:sz w:val="24"/>
                <w:szCs w:val="24"/>
                <w:lang w:eastAsia="lv-LV"/>
              </w:rPr>
              <w:t> </w:t>
            </w:r>
            <w:r w:rsidRPr="00AA025A">
              <w:rPr>
                <w:rFonts w:ascii="Times New Roman" w:eastAsia="Times New Roman" w:hAnsi="Times New Roman" w:cs="Times New Roman"/>
                <w:color w:val="000000" w:themeColor="text1"/>
                <w:sz w:val="24"/>
                <w:szCs w:val="24"/>
                <w:lang w:eastAsia="lv-LV"/>
              </w:rPr>
              <w:t>oktobrim, jo no tās tiek segti maksātnespējas procesa izdevumi</w:t>
            </w:r>
            <w:r w:rsidR="00DC2AF6">
              <w:rPr>
                <w:rFonts w:ascii="Times New Roman" w:eastAsia="Times New Roman" w:hAnsi="Times New Roman" w:cs="Times New Roman"/>
                <w:color w:val="000000" w:themeColor="text1"/>
                <w:sz w:val="24"/>
                <w:szCs w:val="24"/>
                <w:lang w:eastAsia="lv-LV"/>
              </w:rPr>
              <w:t xml:space="preserve"> šajos procesos</w:t>
            </w:r>
            <w:r w:rsidRPr="00AA025A">
              <w:rPr>
                <w:rFonts w:ascii="Times New Roman" w:eastAsia="Times New Roman" w:hAnsi="Times New Roman" w:cs="Times New Roman"/>
                <w:color w:val="000000" w:themeColor="text1"/>
                <w:sz w:val="24"/>
                <w:szCs w:val="24"/>
                <w:lang w:eastAsia="lv-LV"/>
              </w:rPr>
              <w:t xml:space="preserve">. Šādi procesi </w:t>
            </w:r>
            <w:r w:rsidR="004D514B">
              <w:rPr>
                <w:rFonts w:ascii="Times New Roman" w:eastAsia="Times New Roman" w:hAnsi="Times New Roman" w:cs="Times New Roman"/>
                <w:color w:val="000000" w:themeColor="text1"/>
                <w:sz w:val="24"/>
                <w:szCs w:val="24"/>
                <w:lang w:eastAsia="lv-LV"/>
              </w:rPr>
              <w:t>uz 2017. gada augustu</w:t>
            </w:r>
            <w:r w:rsidRPr="00AA025A">
              <w:rPr>
                <w:rFonts w:ascii="Times New Roman" w:eastAsia="Times New Roman" w:hAnsi="Times New Roman" w:cs="Times New Roman"/>
                <w:color w:val="000000" w:themeColor="text1"/>
                <w:sz w:val="24"/>
                <w:szCs w:val="24"/>
                <w:lang w:eastAsia="lv-LV"/>
              </w:rPr>
              <w:t xml:space="preserve"> ir nedaudz vairāk par simtu. </w:t>
            </w:r>
            <w:bookmarkStart w:id="4" w:name="_Hlk491183089"/>
            <w:r w:rsidRPr="00AA025A">
              <w:rPr>
                <w:rFonts w:ascii="Times New Roman" w:eastAsia="Times New Roman" w:hAnsi="Times New Roman" w:cs="Times New Roman"/>
                <w:color w:val="000000" w:themeColor="text1"/>
                <w:sz w:val="24"/>
                <w:szCs w:val="24"/>
                <w:lang w:eastAsia="lv-LV"/>
              </w:rPr>
              <w:t>Tāpat no MPI tiek segts maksātnespējas procesa depozīts</w:t>
            </w:r>
            <w:r w:rsidR="004D514B">
              <w:rPr>
                <w:rFonts w:ascii="Times New Roman" w:eastAsia="Times New Roman" w:hAnsi="Times New Roman" w:cs="Times New Roman"/>
                <w:color w:val="000000" w:themeColor="text1"/>
                <w:sz w:val="24"/>
                <w:szCs w:val="24"/>
                <w:lang w:eastAsia="lv-LV"/>
              </w:rPr>
              <w:t xml:space="preserve"> maksātnespējas procesos, kas pasludināti pēc </w:t>
            </w:r>
            <w:r w:rsidR="004D514B" w:rsidRPr="00AA025A">
              <w:rPr>
                <w:rFonts w:ascii="Times New Roman" w:eastAsia="Times New Roman" w:hAnsi="Times New Roman" w:cs="Times New Roman"/>
                <w:color w:val="000000" w:themeColor="text1"/>
                <w:sz w:val="24"/>
                <w:szCs w:val="24"/>
                <w:lang w:eastAsia="lv-LV"/>
              </w:rPr>
              <w:t>2010.</w:t>
            </w:r>
            <w:r w:rsidR="004D514B">
              <w:rPr>
                <w:rFonts w:ascii="Times New Roman" w:eastAsia="Times New Roman" w:hAnsi="Times New Roman" w:cs="Times New Roman"/>
                <w:color w:val="000000" w:themeColor="text1"/>
                <w:sz w:val="24"/>
                <w:szCs w:val="24"/>
                <w:lang w:eastAsia="lv-LV"/>
              </w:rPr>
              <w:t> </w:t>
            </w:r>
            <w:r w:rsidR="004D514B" w:rsidRPr="00AA025A">
              <w:rPr>
                <w:rFonts w:ascii="Times New Roman" w:eastAsia="Times New Roman" w:hAnsi="Times New Roman" w:cs="Times New Roman"/>
                <w:color w:val="000000" w:themeColor="text1"/>
                <w:sz w:val="24"/>
                <w:szCs w:val="24"/>
                <w:lang w:eastAsia="lv-LV"/>
              </w:rPr>
              <w:t>gada 31.</w:t>
            </w:r>
            <w:r w:rsidR="004D514B">
              <w:rPr>
                <w:rFonts w:ascii="Times New Roman" w:eastAsia="Times New Roman" w:hAnsi="Times New Roman" w:cs="Times New Roman"/>
                <w:color w:val="000000" w:themeColor="text1"/>
                <w:sz w:val="24"/>
                <w:szCs w:val="24"/>
                <w:lang w:eastAsia="lv-LV"/>
              </w:rPr>
              <w:t> </w:t>
            </w:r>
            <w:r w:rsidR="004D514B" w:rsidRPr="00AA025A">
              <w:rPr>
                <w:rFonts w:ascii="Times New Roman" w:eastAsia="Times New Roman" w:hAnsi="Times New Roman" w:cs="Times New Roman"/>
                <w:color w:val="000000" w:themeColor="text1"/>
                <w:sz w:val="24"/>
                <w:szCs w:val="24"/>
                <w:lang w:eastAsia="lv-LV"/>
              </w:rPr>
              <w:t>oktobr</w:t>
            </w:r>
            <w:r w:rsidR="009D042B">
              <w:rPr>
                <w:rFonts w:ascii="Times New Roman" w:eastAsia="Times New Roman" w:hAnsi="Times New Roman" w:cs="Times New Roman"/>
                <w:color w:val="000000" w:themeColor="text1"/>
                <w:sz w:val="24"/>
                <w:szCs w:val="24"/>
                <w:lang w:eastAsia="lv-LV"/>
              </w:rPr>
              <w:t>a</w:t>
            </w:r>
            <w:r w:rsidRPr="00AA025A">
              <w:rPr>
                <w:rFonts w:ascii="Times New Roman" w:eastAsia="Times New Roman" w:hAnsi="Times New Roman" w:cs="Times New Roman"/>
                <w:color w:val="000000" w:themeColor="text1"/>
                <w:sz w:val="24"/>
                <w:szCs w:val="24"/>
                <w:lang w:eastAsia="lv-LV"/>
              </w:rPr>
              <w:t xml:space="preserve">, ja darbinieks no tā ir atbrīvots saskaņā ar </w:t>
            </w:r>
            <w:r w:rsidR="00216C77">
              <w:rPr>
                <w:rFonts w:ascii="Times New Roman" w:eastAsia="Times New Roman" w:hAnsi="Times New Roman" w:cs="Times New Roman"/>
                <w:color w:val="000000" w:themeColor="text1"/>
                <w:sz w:val="24"/>
                <w:szCs w:val="24"/>
                <w:lang w:eastAsia="lv-LV"/>
              </w:rPr>
              <w:t>MNL</w:t>
            </w:r>
            <w:r w:rsidRPr="00AA025A">
              <w:rPr>
                <w:rFonts w:ascii="Times New Roman" w:eastAsia="Times New Roman" w:hAnsi="Times New Roman" w:cs="Times New Roman"/>
                <w:color w:val="000000" w:themeColor="text1"/>
                <w:sz w:val="24"/>
                <w:szCs w:val="24"/>
                <w:lang w:eastAsia="lv-LV"/>
              </w:rPr>
              <w:t xml:space="preserve"> nosacījumiem – šādi gadījumi ir </w:t>
            </w:r>
            <w:r w:rsidR="006C5C73">
              <w:rPr>
                <w:rFonts w:ascii="Times New Roman" w:eastAsia="Times New Roman" w:hAnsi="Times New Roman" w:cs="Times New Roman"/>
                <w:color w:val="000000" w:themeColor="text1"/>
                <w:sz w:val="24"/>
                <w:szCs w:val="24"/>
                <w:lang w:eastAsia="lv-LV"/>
              </w:rPr>
              <w:t>–</w:t>
            </w:r>
            <w:r w:rsidR="00D4553F">
              <w:rPr>
                <w:rFonts w:ascii="Times New Roman" w:eastAsia="Times New Roman" w:hAnsi="Times New Roman" w:cs="Times New Roman"/>
                <w:color w:val="000000" w:themeColor="text1"/>
                <w:sz w:val="24"/>
                <w:szCs w:val="24"/>
                <w:lang w:eastAsia="lv-LV"/>
              </w:rPr>
              <w:t xml:space="preserve"> </w:t>
            </w:r>
            <w:r w:rsidR="006C5C73">
              <w:rPr>
                <w:rFonts w:ascii="Times New Roman" w:eastAsia="Times New Roman" w:hAnsi="Times New Roman" w:cs="Times New Roman"/>
                <w:color w:val="000000" w:themeColor="text1"/>
                <w:sz w:val="24"/>
                <w:szCs w:val="24"/>
                <w:lang w:eastAsia="lv-LV"/>
              </w:rPr>
              <w:t>aptuveni 10 gadījumi</w:t>
            </w:r>
            <w:r w:rsidRPr="00AA025A">
              <w:rPr>
                <w:rFonts w:ascii="Times New Roman" w:eastAsia="Times New Roman" w:hAnsi="Times New Roman" w:cs="Times New Roman"/>
                <w:color w:val="000000" w:themeColor="text1"/>
                <w:sz w:val="24"/>
                <w:szCs w:val="24"/>
                <w:lang w:eastAsia="lv-LV"/>
              </w:rPr>
              <w:t xml:space="preserve"> gadā, kas sastāda apmēram 6000-7000</w:t>
            </w:r>
            <w:r w:rsidR="009D042B">
              <w:rPr>
                <w:rFonts w:ascii="Times New Roman" w:eastAsia="Times New Roman" w:hAnsi="Times New Roman" w:cs="Times New Roman"/>
                <w:color w:val="000000" w:themeColor="text1"/>
                <w:sz w:val="24"/>
                <w:szCs w:val="24"/>
                <w:lang w:eastAsia="lv-LV"/>
              </w:rPr>
              <w:t> </w:t>
            </w:r>
            <w:r w:rsidRPr="00AA1D09">
              <w:rPr>
                <w:rFonts w:ascii="Times New Roman" w:eastAsia="Times New Roman" w:hAnsi="Times New Roman" w:cs="Times New Roman"/>
                <w:i/>
                <w:color w:val="000000" w:themeColor="text1"/>
                <w:sz w:val="24"/>
                <w:szCs w:val="24"/>
                <w:lang w:eastAsia="lv-LV"/>
              </w:rPr>
              <w:t>euro</w:t>
            </w:r>
            <w:r w:rsidRPr="00AA025A">
              <w:rPr>
                <w:rFonts w:ascii="Times New Roman" w:eastAsia="Times New Roman" w:hAnsi="Times New Roman" w:cs="Times New Roman"/>
                <w:color w:val="000000" w:themeColor="text1"/>
                <w:sz w:val="24"/>
                <w:szCs w:val="24"/>
                <w:lang w:eastAsia="lv-LV"/>
              </w:rPr>
              <w:t xml:space="preserve"> gadā.</w:t>
            </w:r>
            <w:bookmarkEnd w:id="4"/>
            <w:r w:rsidRPr="00AA025A">
              <w:rPr>
                <w:rFonts w:ascii="Times New Roman" w:eastAsia="Times New Roman" w:hAnsi="Times New Roman" w:cs="Times New Roman"/>
                <w:color w:val="000000" w:themeColor="text1"/>
                <w:sz w:val="24"/>
                <w:szCs w:val="24"/>
                <w:lang w:eastAsia="lv-LV"/>
              </w:rPr>
              <w:t xml:space="preserve"> Ņemot vērā, ka MPI apakšprogramma ir terminēta, savukārt darbinieki, kuri pie noteiktiem nosacījumiem tiek atbrīvoti no depozīta iemaksas, būs </w:t>
            </w:r>
            <w:r w:rsidR="009D042B">
              <w:rPr>
                <w:rFonts w:ascii="Times New Roman" w:eastAsia="Times New Roman" w:hAnsi="Times New Roman" w:cs="Times New Roman"/>
                <w:color w:val="000000" w:themeColor="text1"/>
                <w:sz w:val="24"/>
                <w:szCs w:val="24"/>
                <w:lang w:eastAsia="lv-LV"/>
              </w:rPr>
              <w:t>arī turpmāk</w:t>
            </w:r>
            <w:r w:rsidRPr="00AA025A">
              <w:rPr>
                <w:rFonts w:ascii="Times New Roman" w:eastAsia="Times New Roman" w:hAnsi="Times New Roman" w:cs="Times New Roman"/>
                <w:color w:val="000000" w:themeColor="text1"/>
                <w:sz w:val="24"/>
                <w:szCs w:val="24"/>
                <w:lang w:eastAsia="lv-LV"/>
              </w:rPr>
              <w:t xml:space="preserve">, piedāvāts </w:t>
            </w:r>
            <w:r w:rsidRPr="00AA025A">
              <w:rPr>
                <w:rFonts w:ascii="Times New Roman" w:eastAsia="Times New Roman" w:hAnsi="Times New Roman" w:cs="Times New Roman"/>
                <w:color w:val="000000" w:themeColor="text1"/>
                <w:sz w:val="24"/>
                <w:szCs w:val="24"/>
                <w:lang w:eastAsia="lv-LV"/>
              </w:rPr>
              <w:lastRenderedPageBreak/>
              <w:t xml:space="preserve">risinājums, ka </w:t>
            </w:r>
            <w:r w:rsidR="007A3898">
              <w:rPr>
                <w:rFonts w:ascii="Times New Roman" w:eastAsia="Times New Roman" w:hAnsi="Times New Roman" w:cs="Times New Roman"/>
                <w:color w:val="000000" w:themeColor="text1"/>
                <w:sz w:val="24"/>
                <w:szCs w:val="24"/>
                <w:lang w:eastAsia="lv-LV"/>
              </w:rPr>
              <w:t xml:space="preserve">maksātnespējas procesa </w:t>
            </w:r>
            <w:r w:rsidRPr="00AA025A">
              <w:rPr>
                <w:rFonts w:ascii="Times New Roman" w:eastAsia="Times New Roman" w:hAnsi="Times New Roman" w:cs="Times New Roman"/>
                <w:color w:val="000000" w:themeColor="text1"/>
                <w:sz w:val="24"/>
                <w:szCs w:val="24"/>
                <w:lang w:eastAsia="lv-LV"/>
              </w:rPr>
              <w:t xml:space="preserve">depozīts (kurš arī ir saistīts ar darbinieku prasījumus segšanu) </w:t>
            </w:r>
            <w:r w:rsidR="007A3898">
              <w:rPr>
                <w:rFonts w:ascii="Times New Roman" w:eastAsia="Times New Roman" w:hAnsi="Times New Roman" w:cs="Times New Roman"/>
                <w:color w:val="000000" w:themeColor="text1"/>
                <w:sz w:val="24"/>
                <w:szCs w:val="24"/>
                <w:lang w:eastAsia="lv-LV"/>
              </w:rPr>
              <w:t xml:space="preserve">šādos gadījumos </w:t>
            </w:r>
            <w:r w:rsidRPr="00AA025A">
              <w:rPr>
                <w:rFonts w:ascii="Times New Roman" w:eastAsia="Times New Roman" w:hAnsi="Times New Roman" w:cs="Times New Roman"/>
                <w:color w:val="000000" w:themeColor="text1"/>
                <w:sz w:val="24"/>
                <w:szCs w:val="24"/>
                <w:lang w:eastAsia="lv-LV"/>
              </w:rPr>
              <w:t>tiek segts no darbinieku prasījumu garantiju fonda līdzekļiem</w:t>
            </w:r>
            <w:r w:rsidR="00F43982">
              <w:rPr>
                <w:rFonts w:ascii="Times New Roman" w:eastAsia="Times New Roman" w:hAnsi="Times New Roman" w:cs="Times New Roman"/>
                <w:color w:val="000000" w:themeColor="text1"/>
                <w:sz w:val="24"/>
                <w:szCs w:val="24"/>
                <w:lang w:eastAsia="lv-LV"/>
              </w:rPr>
              <w:t>, nevis no MPI apakšprogrammas</w:t>
            </w:r>
            <w:r w:rsidRPr="00AA025A">
              <w:rPr>
                <w:rFonts w:ascii="Times New Roman" w:eastAsia="Times New Roman" w:hAnsi="Times New Roman" w:cs="Times New Roman"/>
                <w:color w:val="000000" w:themeColor="text1"/>
                <w:sz w:val="24"/>
                <w:szCs w:val="24"/>
                <w:lang w:eastAsia="lv-LV"/>
              </w:rPr>
              <w:t>.</w:t>
            </w:r>
          </w:p>
          <w:p w14:paraId="28AE41CE" w14:textId="7817C86F" w:rsidR="00AA025A" w:rsidRDefault="00AA025A" w:rsidP="00AA025A">
            <w:pPr>
              <w:spacing w:after="0" w:line="240" w:lineRule="auto"/>
              <w:jc w:val="both"/>
              <w:rPr>
                <w:rFonts w:ascii="Times New Roman" w:eastAsia="Times New Roman" w:hAnsi="Times New Roman" w:cs="Times New Roman"/>
                <w:color w:val="000000" w:themeColor="text1"/>
                <w:sz w:val="24"/>
                <w:szCs w:val="24"/>
                <w:lang w:eastAsia="lv-LV"/>
              </w:rPr>
            </w:pPr>
            <w:r w:rsidRPr="00AA025A">
              <w:rPr>
                <w:rFonts w:ascii="Times New Roman" w:eastAsia="Times New Roman" w:hAnsi="Times New Roman" w:cs="Times New Roman"/>
                <w:color w:val="000000" w:themeColor="text1"/>
                <w:sz w:val="24"/>
                <w:szCs w:val="24"/>
                <w:lang w:eastAsia="lv-LV"/>
              </w:rPr>
              <w:t xml:space="preserve">Lai ieviestu iepriekš minēto priekšlikumu, </w:t>
            </w:r>
            <w:r w:rsidR="00D4553F">
              <w:rPr>
                <w:rFonts w:ascii="Times New Roman" w:eastAsia="Times New Roman" w:hAnsi="Times New Roman" w:cs="Times New Roman"/>
                <w:color w:val="000000" w:themeColor="text1"/>
                <w:sz w:val="24"/>
                <w:szCs w:val="24"/>
                <w:lang w:eastAsia="lv-LV"/>
              </w:rPr>
              <w:t>ir</w:t>
            </w:r>
            <w:r w:rsidRPr="00AA025A">
              <w:rPr>
                <w:rFonts w:ascii="Times New Roman" w:eastAsia="Times New Roman" w:hAnsi="Times New Roman" w:cs="Times New Roman"/>
                <w:color w:val="000000" w:themeColor="text1"/>
                <w:sz w:val="24"/>
                <w:szCs w:val="24"/>
                <w:lang w:eastAsia="lv-LV"/>
              </w:rPr>
              <w:t xml:space="preserve"> sagatavots likumprojekts </w:t>
            </w:r>
            <w:r w:rsidR="00A20652">
              <w:rPr>
                <w:rFonts w:ascii="Times New Roman" w:eastAsia="Times New Roman" w:hAnsi="Times New Roman" w:cs="Times New Roman"/>
                <w:color w:val="000000" w:themeColor="text1"/>
                <w:sz w:val="24"/>
                <w:szCs w:val="24"/>
                <w:lang w:eastAsia="lv-LV"/>
              </w:rPr>
              <w:t>"</w:t>
            </w:r>
            <w:r w:rsidRPr="00AA025A">
              <w:rPr>
                <w:rFonts w:ascii="Times New Roman" w:eastAsia="Times New Roman" w:hAnsi="Times New Roman" w:cs="Times New Roman"/>
                <w:color w:val="000000" w:themeColor="text1"/>
                <w:sz w:val="24"/>
                <w:szCs w:val="24"/>
                <w:lang w:eastAsia="lv-LV"/>
              </w:rPr>
              <w:t xml:space="preserve">Grozījumi likumā </w:t>
            </w:r>
            <w:r w:rsidR="00A20652">
              <w:rPr>
                <w:rFonts w:ascii="Times New Roman" w:eastAsia="Times New Roman" w:hAnsi="Times New Roman" w:cs="Times New Roman"/>
                <w:color w:val="000000" w:themeColor="text1"/>
                <w:sz w:val="24"/>
                <w:szCs w:val="24"/>
                <w:lang w:eastAsia="lv-LV"/>
              </w:rPr>
              <w:t>"</w:t>
            </w:r>
            <w:r w:rsidRPr="00AA025A">
              <w:rPr>
                <w:rFonts w:ascii="Times New Roman" w:eastAsia="Times New Roman" w:hAnsi="Times New Roman" w:cs="Times New Roman"/>
                <w:color w:val="000000" w:themeColor="text1"/>
                <w:sz w:val="24"/>
                <w:szCs w:val="24"/>
                <w:lang w:eastAsia="lv-LV"/>
              </w:rPr>
              <w:t>Par darbinieku aizsardzību darba devēja maksātnespējas gadījumā</w:t>
            </w:r>
            <w:r w:rsidR="00A20652">
              <w:rPr>
                <w:rFonts w:ascii="Times New Roman" w:eastAsia="Times New Roman" w:hAnsi="Times New Roman" w:cs="Times New Roman"/>
                <w:color w:val="000000" w:themeColor="text1"/>
                <w:sz w:val="24"/>
                <w:szCs w:val="24"/>
                <w:lang w:eastAsia="lv-LV"/>
              </w:rPr>
              <w:t>""</w:t>
            </w:r>
            <w:r w:rsidR="00AA1D09">
              <w:rPr>
                <w:rFonts w:ascii="Times New Roman" w:eastAsia="Times New Roman" w:hAnsi="Times New Roman" w:cs="Times New Roman"/>
                <w:color w:val="000000" w:themeColor="text1"/>
                <w:sz w:val="24"/>
                <w:szCs w:val="24"/>
                <w:lang w:eastAsia="lv-LV"/>
              </w:rPr>
              <w:t>, kas ir iesniegts un tiek izskatīts Saeimā (Nr. 1046/Lp12)</w:t>
            </w:r>
            <w:r w:rsidRPr="00AA025A">
              <w:rPr>
                <w:rFonts w:ascii="Times New Roman" w:eastAsia="Times New Roman" w:hAnsi="Times New Roman" w:cs="Times New Roman"/>
                <w:color w:val="000000" w:themeColor="text1"/>
                <w:sz w:val="24"/>
                <w:szCs w:val="24"/>
                <w:lang w:eastAsia="lv-LV"/>
              </w:rPr>
              <w:t xml:space="preserve">. Vienlaikus ir nepieciešams izdarīt grozījumus </w:t>
            </w:r>
            <w:r w:rsidR="00216C77">
              <w:rPr>
                <w:rFonts w:ascii="Times New Roman" w:eastAsia="Times New Roman" w:hAnsi="Times New Roman" w:cs="Times New Roman"/>
                <w:color w:val="000000" w:themeColor="text1"/>
                <w:sz w:val="24"/>
                <w:szCs w:val="24"/>
                <w:lang w:eastAsia="lv-LV"/>
              </w:rPr>
              <w:t>MNL</w:t>
            </w:r>
            <w:r w:rsidRPr="00AA025A">
              <w:rPr>
                <w:rFonts w:ascii="Times New Roman" w:eastAsia="Times New Roman" w:hAnsi="Times New Roman" w:cs="Times New Roman"/>
                <w:color w:val="000000" w:themeColor="text1"/>
                <w:sz w:val="24"/>
                <w:szCs w:val="24"/>
                <w:lang w:eastAsia="lv-LV"/>
              </w:rPr>
              <w:t xml:space="preserve"> 62.</w:t>
            </w:r>
            <w:r w:rsidR="00CF7C8E">
              <w:rPr>
                <w:rFonts w:ascii="Times New Roman" w:eastAsia="Times New Roman" w:hAnsi="Times New Roman" w:cs="Times New Roman"/>
                <w:color w:val="000000" w:themeColor="text1"/>
                <w:sz w:val="24"/>
                <w:szCs w:val="24"/>
                <w:lang w:eastAsia="lv-LV"/>
              </w:rPr>
              <w:t> </w:t>
            </w:r>
            <w:r w:rsidRPr="00AA025A">
              <w:rPr>
                <w:rFonts w:ascii="Times New Roman" w:eastAsia="Times New Roman" w:hAnsi="Times New Roman" w:cs="Times New Roman"/>
                <w:color w:val="000000" w:themeColor="text1"/>
                <w:sz w:val="24"/>
                <w:szCs w:val="24"/>
                <w:lang w:eastAsia="lv-LV"/>
              </w:rPr>
              <w:t>panta 7.</w:t>
            </w:r>
            <w:r w:rsidRPr="00D93AB9">
              <w:rPr>
                <w:rFonts w:ascii="Times New Roman" w:eastAsia="Times New Roman" w:hAnsi="Times New Roman" w:cs="Times New Roman"/>
                <w:color w:val="000000" w:themeColor="text1"/>
                <w:sz w:val="24"/>
                <w:szCs w:val="24"/>
                <w:vertAlign w:val="superscript"/>
                <w:lang w:eastAsia="lv-LV"/>
              </w:rPr>
              <w:t>2</w:t>
            </w:r>
            <w:r w:rsidR="00CF7C8E">
              <w:rPr>
                <w:rFonts w:ascii="Times New Roman" w:eastAsia="Times New Roman" w:hAnsi="Times New Roman" w:cs="Times New Roman"/>
                <w:color w:val="000000" w:themeColor="text1"/>
                <w:sz w:val="24"/>
                <w:szCs w:val="24"/>
                <w:lang w:eastAsia="lv-LV"/>
              </w:rPr>
              <w:t> </w:t>
            </w:r>
            <w:r w:rsidRPr="00AA025A">
              <w:rPr>
                <w:rFonts w:ascii="Times New Roman" w:eastAsia="Times New Roman" w:hAnsi="Times New Roman" w:cs="Times New Roman"/>
                <w:color w:val="000000" w:themeColor="text1"/>
                <w:sz w:val="24"/>
                <w:szCs w:val="24"/>
                <w:lang w:eastAsia="lv-LV"/>
              </w:rPr>
              <w:t xml:space="preserve">daļā un noteikt, ka maksātnespējas procesa depozīts tiek segts no darbinieku prasījumu garantiju fonda gadījumā, ja tiesa saskaņā ar </w:t>
            </w:r>
            <w:r w:rsidR="00216C77">
              <w:rPr>
                <w:rFonts w:ascii="Times New Roman" w:eastAsia="Times New Roman" w:hAnsi="Times New Roman" w:cs="Times New Roman"/>
                <w:color w:val="000000" w:themeColor="text1"/>
                <w:sz w:val="24"/>
                <w:szCs w:val="24"/>
                <w:lang w:eastAsia="lv-LV"/>
              </w:rPr>
              <w:t>MNL</w:t>
            </w:r>
            <w:r w:rsidRPr="00AA025A">
              <w:rPr>
                <w:rFonts w:ascii="Times New Roman" w:eastAsia="Times New Roman" w:hAnsi="Times New Roman" w:cs="Times New Roman"/>
                <w:color w:val="000000" w:themeColor="text1"/>
                <w:sz w:val="24"/>
                <w:szCs w:val="24"/>
                <w:lang w:eastAsia="lv-LV"/>
              </w:rPr>
              <w:t xml:space="preserve"> noteikumiem darbinieku atbrīvo no tā daļējas vai pilnīgas samaksas.</w:t>
            </w:r>
          </w:p>
          <w:p w14:paraId="401F39CD" w14:textId="77777777" w:rsidR="00AA025A" w:rsidRDefault="00AA025A" w:rsidP="00AA025A">
            <w:pPr>
              <w:spacing w:after="0" w:line="240" w:lineRule="auto"/>
              <w:jc w:val="both"/>
              <w:rPr>
                <w:rFonts w:ascii="Times New Roman" w:eastAsia="Times New Roman" w:hAnsi="Times New Roman" w:cs="Times New Roman"/>
                <w:color w:val="000000" w:themeColor="text1"/>
                <w:sz w:val="24"/>
                <w:szCs w:val="24"/>
                <w:lang w:eastAsia="lv-LV"/>
              </w:rPr>
            </w:pPr>
          </w:p>
          <w:p w14:paraId="08F94FA2" w14:textId="0960DF0C" w:rsidR="00AA025A" w:rsidRDefault="00AA025A" w:rsidP="00AA025A">
            <w:pPr>
              <w:spacing w:after="0" w:line="240" w:lineRule="auto"/>
              <w:jc w:val="both"/>
              <w:rPr>
                <w:rFonts w:ascii="Times New Roman" w:eastAsia="Times New Roman" w:hAnsi="Times New Roman" w:cs="Times New Roman"/>
                <w:b/>
                <w:color w:val="000000" w:themeColor="text1"/>
                <w:sz w:val="24"/>
                <w:szCs w:val="24"/>
                <w:lang w:eastAsia="lv-LV"/>
              </w:rPr>
            </w:pPr>
            <w:bookmarkStart w:id="5" w:name="_Hlk497208226"/>
            <w:r w:rsidRPr="00D4553F">
              <w:rPr>
                <w:rFonts w:ascii="Times New Roman" w:eastAsia="Times New Roman" w:hAnsi="Times New Roman" w:cs="Times New Roman"/>
                <w:b/>
                <w:color w:val="000000" w:themeColor="text1"/>
                <w:sz w:val="24"/>
                <w:szCs w:val="24"/>
                <w:lang w:eastAsia="lv-LV"/>
              </w:rPr>
              <w:t>Par Sistēm</w:t>
            </w:r>
            <w:r w:rsidR="00E91D0C">
              <w:rPr>
                <w:rFonts w:ascii="Times New Roman" w:eastAsia="Times New Roman" w:hAnsi="Times New Roman" w:cs="Times New Roman"/>
                <w:b/>
                <w:color w:val="000000" w:themeColor="text1"/>
                <w:sz w:val="24"/>
                <w:szCs w:val="24"/>
                <w:lang w:eastAsia="lv-LV"/>
              </w:rPr>
              <w:t>u</w:t>
            </w:r>
            <w:r w:rsidR="00EB78A9">
              <w:rPr>
                <w:rFonts w:ascii="Times New Roman" w:eastAsia="Times New Roman" w:hAnsi="Times New Roman" w:cs="Times New Roman"/>
                <w:b/>
                <w:color w:val="000000" w:themeColor="text1"/>
                <w:sz w:val="24"/>
                <w:szCs w:val="24"/>
                <w:lang w:eastAsia="lv-LV"/>
              </w:rPr>
              <w:t>, tajā</w:t>
            </w:r>
            <w:r w:rsidRPr="00D4553F">
              <w:rPr>
                <w:rFonts w:ascii="Times New Roman" w:eastAsia="Times New Roman" w:hAnsi="Times New Roman" w:cs="Times New Roman"/>
                <w:b/>
                <w:color w:val="000000" w:themeColor="text1"/>
                <w:sz w:val="24"/>
                <w:szCs w:val="24"/>
                <w:lang w:eastAsia="lv-LV"/>
              </w:rPr>
              <w:t xml:space="preserve"> iekļaujamo ziņu </w:t>
            </w:r>
            <w:r w:rsidR="00EB16A2">
              <w:rPr>
                <w:rFonts w:ascii="Times New Roman" w:eastAsia="Times New Roman" w:hAnsi="Times New Roman" w:cs="Times New Roman"/>
                <w:b/>
                <w:color w:val="000000" w:themeColor="text1"/>
                <w:sz w:val="24"/>
                <w:szCs w:val="24"/>
                <w:lang w:eastAsia="lv-LV"/>
              </w:rPr>
              <w:t xml:space="preserve">apjomu un </w:t>
            </w:r>
            <w:r w:rsidRPr="00D4553F">
              <w:rPr>
                <w:rFonts w:ascii="Times New Roman" w:eastAsia="Times New Roman" w:hAnsi="Times New Roman" w:cs="Times New Roman"/>
                <w:b/>
                <w:color w:val="000000" w:themeColor="text1"/>
                <w:sz w:val="24"/>
                <w:szCs w:val="24"/>
                <w:lang w:eastAsia="lv-LV"/>
              </w:rPr>
              <w:t>avotiem</w:t>
            </w:r>
          </w:p>
          <w:p w14:paraId="476A9D32" w14:textId="712100D3" w:rsidR="0030424F" w:rsidRDefault="00D17711" w:rsidP="00AA025A">
            <w:pPr>
              <w:spacing w:after="0" w:line="240" w:lineRule="auto"/>
              <w:jc w:val="both"/>
              <w:rPr>
                <w:rFonts w:ascii="Times New Roman" w:eastAsia="Times New Roman" w:hAnsi="Times New Roman" w:cs="Times New Roman"/>
                <w:color w:val="000000" w:themeColor="text1"/>
                <w:sz w:val="24"/>
                <w:szCs w:val="24"/>
                <w:lang w:eastAsia="lv-LV"/>
              </w:rPr>
            </w:pPr>
            <w:r w:rsidRPr="00D17711">
              <w:rPr>
                <w:rFonts w:ascii="Times New Roman" w:eastAsia="Times New Roman" w:hAnsi="Times New Roman" w:cs="Times New Roman"/>
                <w:color w:val="000000" w:themeColor="text1"/>
                <w:sz w:val="24"/>
                <w:szCs w:val="24"/>
                <w:lang w:eastAsia="lv-LV"/>
              </w:rPr>
              <w:t xml:space="preserve">Sagatavojot priekšlikumus </w:t>
            </w:r>
            <w:r w:rsidR="00671036">
              <w:rPr>
                <w:rFonts w:ascii="Times New Roman" w:eastAsia="Times New Roman" w:hAnsi="Times New Roman" w:cs="Times New Roman"/>
                <w:color w:val="000000" w:themeColor="text1"/>
                <w:sz w:val="24"/>
                <w:szCs w:val="24"/>
                <w:lang w:eastAsia="lv-LV"/>
              </w:rPr>
              <w:t>Sistēmas</w:t>
            </w:r>
            <w:r w:rsidRPr="00D17711">
              <w:rPr>
                <w:rFonts w:ascii="Times New Roman" w:eastAsia="Times New Roman" w:hAnsi="Times New Roman" w:cs="Times New Roman"/>
                <w:color w:val="000000" w:themeColor="text1"/>
                <w:sz w:val="24"/>
                <w:szCs w:val="24"/>
                <w:lang w:eastAsia="lv-LV"/>
              </w:rPr>
              <w:t xml:space="preserve"> izve</w:t>
            </w:r>
            <w:r w:rsidR="00671036">
              <w:rPr>
                <w:rFonts w:ascii="Times New Roman" w:eastAsia="Times New Roman" w:hAnsi="Times New Roman" w:cs="Times New Roman"/>
                <w:color w:val="000000" w:themeColor="text1"/>
                <w:sz w:val="24"/>
                <w:szCs w:val="24"/>
                <w:lang w:eastAsia="lv-LV"/>
              </w:rPr>
              <w:t>i</w:t>
            </w:r>
            <w:r w:rsidRPr="00D17711">
              <w:rPr>
                <w:rFonts w:ascii="Times New Roman" w:eastAsia="Times New Roman" w:hAnsi="Times New Roman" w:cs="Times New Roman"/>
                <w:color w:val="000000" w:themeColor="text1"/>
                <w:sz w:val="24"/>
                <w:szCs w:val="24"/>
                <w:lang w:eastAsia="lv-LV"/>
              </w:rPr>
              <w:t>dei un darbības nodrošināšanai, tika secināts, ka šīs informācijas sistēmas informācijas un tehnisko resursu funkcionalit</w:t>
            </w:r>
            <w:r w:rsidR="00671036">
              <w:rPr>
                <w:rFonts w:ascii="Times New Roman" w:eastAsia="Times New Roman" w:hAnsi="Times New Roman" w:cs="Times New Roman"/>
                <w:color w:val="000000" w:themeColor="text1"/>
                <w:sz w:val="24"/>
                <w:szCs w:val="24"/>
                <w:lang w:eastAsia="lv-LV"/>
              </w:rPr>
              <w:t>āt</w:t>
            </w:r>
            <w:r w:rsidRPr="00D17711">
              <w:rPr>
                <w:rFonts w:ascii="Times New Roman" w:eastAsia="Times New Roman" w:hAnsi="Times New Roman" w:cs="Times New Roman"/>
                <w:color w:val="000000" w:themeColor="text1"/>
                <w:sz w:val="24"/>
                <w:szCs w:val="24"/>
                <w:lang w:eastAsia="lv-LV"/>
              </w:rPr>
              <w:t xml:space="preserve">i un informācijas apriti visefektīvāk var nodrošināt Tiesu administrācija. Tiesu administrācijai ir ilgstoša </w:t>
            </w:r>
            <w:r w:rsidR="00671036">
              <w:rPr>
                <w:rFonts w:ascii="Times New Roman" w:eastAsia="Times New Roman" w:hAnsi="Times New Roman" w:cs="Times New Roman"/>
                <w:color w:val="000000" w:themeColor="text1"/>
                <w:sz w:val="24"/>
                <w:szCs w:val="24"/>
                <w:lang w:eastAsia="lv-LV"/>
              </w:rPr>
              <w:t xml:space="preserve">un </w:t>
            </w:r>
            <w:r w:rsidRPr="00D17711">
              <w:rPr>
                <w:rFonts w:ascii="Times New Roman" w:eastAsia="Times New Roman" w:hAnsi="Times New Roman" w:cs="Times New Roman"/>
                <w:color w:val="000000" w:themeColor="text1"/>
                <w:sz w:val="24"/>
                <w:szCs w:val="24"/>
                <w:lang w:eastAsia="lv-LV"/>
              </w:rPr>
              <w:t>veiksmīga pieredze valsts informācijas sistēmu darbības nodrošināšanā un attīstīšanā, kā i</w:t>
            </w:r>
            <w:r w:rsidR="00671036">
              <w:rPr>
                <w:rFonts w:ascii="Times New Roman" w:eastAsia="Times New Roman" w:hAnsi="Times New Roman" w:cs="Times New Roman"/>
                <w:color w:val="000000" w:themeColor="text1"/>
                <w:sz w:val="24"/>
                <w:szCs w:val="24"/>
                <w:lang w:eastAsia="lv-LV"/>
              </w:rPr>
              <w:t>nformācijas un komunikāciju tehn</w:t>
            </w:r>
            <w:r w:rsidRPr="00D17711">
              <w:rPr>
                <w:rFonts w:ascii="Times New Roman" w:eastAsia="Times New Roman" w:hAnsi="Times New Roman" w:cs="Times New Roman"/>
                <w:color w:val="000000" w:themeColor="text1"/>
                <w:sz w:val="24"/>
                <w:szCs w:val="24"/>
                <w:lang w:eastAsia="lv-LV"/>
              </w:rPr>
              <w:t>oloģiju infrastruktūras nodrošināšanā tiesu iestādēm, līdz ar to Tiesu administrācija visefektīvāk varēs veikt valsts informācijas sistēmas –</w:t>
            </w:r>
            <w:r w:rsidR="00671036">
              <w:rPr>
                <w:rFonts w:ascii="Times New Roman" w:eastAsia="Times New Roman" w:hAnsi="Times New Roman" w:cs="Times New Roman"/>
                <w:color w:val="000000" w:themeColor="text1"/>
                <w:sz w:val="24"/>
                <w:szCs w:val="24"/>
                <w:lang w:eastAsia="lv-LV"/>
              </w:rPr>
              <w:t xml:space="preserve"> S</w:t>
            </w:r>
            <w:r w:rsidRPr="00D17711">
              <w:rPr>
                <w:rFonts w:ascii="Times New Roman" w:eastAsia="Times New Roman" w:hAnsi="Times New Roman" w:cs="Times New Roman"/>
                <w:color w:val="000000" w:themeColor="text1"/>
                <w:sz w:val="24"/>
                <w:szCs w:val="24"/>
                <w:lang w:eastAsia="lv-LV"/>
              </w:rPr>
              <w:t>istēmas –</w:t>
            </w:r>
            <w:r w:rsidR="00671036">
              <w:rPr>
                <w:rFonts w:ascii="Times New Roman" w:eastAsia="Times New Roman" w:hAnsi="Times New Roman" w:cs="Times New Roman"/>
                <w:color w:val="000000" w:themeColor="text1"/>
                <w:sz w:val="24"/>
                <w:szCs w:val="24"/>
                <w:lang w:eastAsia="lv-LV"/>
              </w:rPr>
              <w:t xml:space="preserve"> </w:t>
            </w:r>
            <w:r w:rsidRPr="00D17711">
              <w:rPr>
                <w:rFonts w:ascii="Times New Roman" w:eastAsia="Times New Roman" w:hAnsi="Times New Roman" w:cs="Times New Roman"/>
                <w:color w:val="000000" w:themeColor="text1"/>
                <w:sz w:val="24"/>
                <w:szCs w:val="24"/>
                <w:lang w:eastAsia="lv-LV"/>
              </w:rPr>
              <w:t>turētāja funkcijas. Tiesu administrācija jau līdz šim savā dar</w:t>
            </w:r>
            <w:r w:rsidR="00671036">
              <w:rPr>
                <w:rFonts w:ascii="Times New Roman" w:eastAsia="Times New Roman" w:hAnsi="Times New Roman" w:cs="Times New Roman"/>
                <w:color w:val="000000" w:themeColor="text1"/>
                <w:sz w:val="24"/>
                <w:szCs w:val="24"/>
                <w:lang w:eastAsia="lv-LV"/>
              </w:rPr>
              <w:t>b</w:t>
            </w:r>
            <w:r w:rsidRPr="00D17711">
              <w:rPr>
                <w:rFonts w:ascii="Times New Roman" w:eastAsia="Times New Roman" w:hAnsi="Times New Roman" w:cs="Times New Roman"/>
                <w:color w:val="000000" w:themeColor="text1"/>
                <w:sz w:val="24"/>
                <w:szCs w:val="24"/>
                <w:lang w:eastAsia="lv-LV"/>
              </w:rPr>
              <w:t>ībā ir nodrošinājusi</w:t>
            </w:r>
            <w:r w:rsidR="00671036">
              <w:rPr>
                <w:rFonts w:ascii="Times New Roman" w:eastAsia="Times New Roman" w:hAnsi="Times New Roman" w:cs="Times New Roman"/>
                <w:color w:val="000000" w:themeColor="text1"/>
                <w:sz w:val="24"/>
                <w:szCs w:val="24"/>
                <w:lang w:eastAsia="lv-LV"/>
              </w:rPr>
              <w:t>,</w:t>
            </w:r>
            <w:r w:rsidRPr="00D17711">
              <w:rPr>
                <w:rFonts w:ascii="Times New Roman" w:eastAsia="Times New Roman" w:hAnsi="Times New Roman" w:cs="Times New Roman"/>
                <w:color w:val="000000" w:themeColor="text1"/>
                <w:sz w:val="24"/>
                <w:szCs w:val="24"/>
                <w:lang w:eastAsia="lv-LV"/>
              </w:rPr>
              <w:t xml:space="preserve"> </w:t>
            </w:r>
            <w:r w:rsidR="00671036">
              <w:rPr>
                <w:rFonts w:ascii="Times New Roman" w:eastAsia="Times New Roman" w:hAnsi="Times New Roman" w:cs="Times New Roman"/>
                <w:color w:val="000000" w:themeColor="text1"/>
                <w:sz w:val="24"/>
                <w:szCs w:val="24"/>
                <w:lang w:eastAsia="lv-LV"/>
              </w:rPr>
              <w:t xml:space="preserve">tai skaitā </w:t>
            </w:r>
            <w:r w:rsidRPr="00D17711">
              <w:rPr>
                <w:rFonts w:ascii="Times New Roman" w:eastAsia="Times New Roman" w:hAnsi="Times New Roman" w:cs="Times New Roman"/>
                <w:color w:val="000000" w:themeColor="text1"/>
                <w:sz w:val="24"/>
                <w:szCs w:val="24"/>
                <w:lang w:eastAsia="lv-LV"/>
              </w:rPr>
              <w:t>administratoru</w:t>
            </w:r>
            <w:r w:rsidR="00671036">
              <w:rPr>
                <w:rFonts w:ascii="Times New Roman" w:eastAsia="Times New Roman" w:hAnsi="Times New Roman" w:cs="Times New Roman"/>
                <w:color w:val="000000" w:themeColor="text1"/>
                <w:sz w:val="24"/>
                <w:szCs w:val="24"/>
                <w:lang w:eastAsia="lv-LV"/>
              </w:rPr>
              <w:t>,</w:t>
            </w:r>
            <w:r w:rsidRPr="00D17711">
              <w:rPr>
                <w:rFonts w:ascii="Times New Roman" w:eastAsia="Times New Roman" w:hAnsi="Times New Roman" w:cs="Times New Roman"/>
                <w:color w:val="000000" w:themeColor="text1"/>
                <w:sz w:val="24"/>
                <w:szCs w:val="24"/>
                <w:lang w:eastAsia="lv-LV"/>
              </w:rPr>
              <w:t xml:space="preserve"> nekustamā īpašuma izsoļu organizēšanu elektronisko izsoļu vietnē. Līdz ar to </w:t>
            </w:r>
            <w:r w:rsidR="0030424F">
              <w:rPr>
                <w:rFonts w:ascii="Times New Roman" w:eastAsia="Times New Roman" w:hAnsi="Times New Roman" w:cs="Times New Roman"/>
                <w:color w:val="000000" w:themeColor="text1"/>
                <w:sz w:val="24"/>
                <w:szCs w:val="24"/>
                <w:lang w:eastAsia="lv-LV"/>
              </w:rPr>
              <w:t>MNL būtu jāp</w:t>
            </w:r>
            <w:r w:rsidR="00A03502">
              <w:rPr>
                <w:rFonts w:ascii="Times New Roman" w:eastAsia="Times New Roman" w:hAnsi="Times New Roman" w:cs="Times New Roman"/>
                <w:color w:val="000000" w:themeColor="text1"/>
                <w:sz w:val="24"/>
                <w:szCs w:val="24"/>
                <w:lang w:eastAsia="lv-LV"/>
              </w:rPr>
              <w:t>recizē</w:t>
            </w:r>
            <w:r w:rsidR="0030424F">
              <w:rPr>
                <w:rFonts w:ascii="Times New Roman" w:eastAsia="Times New Roman" w:hAnsi="Times New Roman" w:cs="Times New Roman"/>
                <w:color w:val="000000" w:themeColor="text1"/>
                <w:sz w:val="24"/>
                <w:szCs w:val="24"/>
                <w:lang w:eastAsia="lv-LV"/>
              </w:rPr>
              <w:t xml:space="preserve"> norādi par to, kura in</w:t>
            </w:r>
            <w:r w:rsidR="00A03502">
              <w:rPr>
                <w:rFonts w:ascii="Times New Roman" w:eastAsia="Times New Roman" w:hAnsi="Times New Roman" w:cs="Times New Roman"/>
                <w:color w:val="000000" w:themeColor="text1"/>
                <w:sz w:val="24"/>
                <w:szCs w:val="24"/>
                <w:lang w:eastAsia="lv-LV"/>
              </w:rPr>
              <w:t>stitūcija ir Sistēmas pārzinis un kura – turētājs.</w:t>
            </w:r>
          </w:p>
          <w:p w14:paraId="1AF79031" w14:textId="11B14B2A" w:rsidR="00D17711" w:rsidRDefault="00D17711" w:rsidP="00AA025A">
            <w:pPr>
              <w:spacing w:after="0" w:line="240" w:lineRule="auto"/>
              <w:jc w:val="both"/>
              <w:rPr>
                <w:rFonts w:ascii="Times New Roman" w:eastAsia="Times New Roman" w:hAnsi="Times New Roman" w:cs="Times New Roman"/>
                <w:color w:val="000000" w:themeColor="text1"/>
                <w:sz w:val="24"/>
                <w:szCs w:val="24"/>
                <w:lang w:eastAsia="lv-LV"/>
              </w:rPr>
            </w:pPr>
          </w:p>
          <w:p w14:paraId="0F7662E6" w14:textId="44AB379F" w:rsidR="00674AA0" w:rsidRDefault="00216C77" w:rsidP="00AA025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MNL</w:t>
            </w:r>
            <w:r w:rsidR="00AA025A">
              <w:rPr>
                <w:rFonts w:ascii="Times New Roman" w:eastAsia="Times New Roman" w:hAnsi="Times New Roman" w:cs="Times New Roman"/>
                <w:color w:val="000000" w:themeColor="text1"/>
                <w:sz w:val="24"/>
                <w:szCs w:val="24"/>
                <w:lang w:eastAsia="lv-LV"/>
              </w:rPr>
              <w:t xml:space="preserve"> </w:t>
            </w:r>
            <w:r w:rsidR="00BB5CC2">
              <w:rPr>
                <w:rFonts w:ascii="Times New Roman" w:eastAsia="Times New Roman" w:hAnsi="Times New Roman" w:cs="Times New Roman"/>
                <w:color w:val="000000" w:themeColor="text1"/>
                <w:sz w:val="24"/>
                <w:szCs w:val="24"/>
                <w:lang w:eastAsia="lv-LV"/>
              </w:rPr>
              <w:t>p</w:t>
            </w:r>
            <w:r w:rsidR="00AA025A">
              <w:rPr>
                <w:rFonts w:ascii="Times New Roman" w:eastAsia="Times New Roman" w:hAnsi="Times New Roman" w:cs="Times New Roman"/>
                <w:color w:val="000000" w:themeColor="text1"/>
                <w:sz w:val="24"/>
                <w:szCs w:val="24"/>
                <w:lang w:eastAsia="lv-LV"/>
              </w:rPr>
              <w:t xml:space="preserve">ārejas noteikumu </w:t>
            </w:r>
            <w:r w:rsidR="00E35759">
              <w:rPr>
                <w:rFonts w:ascii="Times New Roman" w:eastAsia="Times New Roman" w:hAnsi="Times New Roman" w:cs="Times New Roman"/>
                <w:color w:val="000000" w:themeColor="text1"/>
                <w:sz w:val="24"/>
                <w:szCs w:val="24"/>
                <w:lang w:eastAsia="lv-LV"/>
              </w:rPr>
              <w:t>51</w:t>
            </w:r>
            <w:r w:rsidR="00AA025A">
              <w:rPr>
                <w:rFonts w:ascii="Times New Roman" w:eastAsia="Times New Roman" w:hAnsi="Times New Roman" w:cs="Times New Roman"/>
                <w:color w:val="000000" w:themeColor="text1"/>
                <w:sz w:val="24"/>
                <w:szCs w:val="24"/>
                <w:lang w:eastAsia="lv-LV"/>
              </w:rPr>
              <w:t xml:space="preserve">. punktā noteikts, ka 2018. gada 1. jūlijā </w:t>
            </w:r>
            <w:r w:rsidR="00E35759">
              <w:rPr>
                <w:rFonts w:ascii="Times New Roman" w:eastAsia="Times New Roman" w:hAnsi="Times New Roman" w:cs="Times New Roman"/>
                <w:color w:val="000000" w:themeColor="text1"/>
                <w:sz w:val="24"/>
                <w:szCs w:val="24"/>
                <w:lang w:eastAsia="lv-LV"/>
              </w:rPr>
              <w:t xml:space="preserve">stājas spēkā </w:t>
            </w:r>
            <w:r>
              <w:rPr>
                <w:rFonts w:ascii="Times New Roman" w:eastAsia="Times New Roman" w:hAnsi="Times New Roman" w:cs="Times New Roman"/>
                <w:color w:val="000000" w:themeColor="text1"/>
                <w:sz w:val="24"/>
                <w:szCs w:val="24"/>
                <w:lang w:eastAsia="lv-LV"/>
              </w:rPr>
              <w:t>MNL</w:t>
            </w:r>
            <w:r w:rsidR="00E35759">
              <w:rPr>
                <w:rFonts w:ascii="Times New Roman" w:eastAsia="Times New Roman" w:hAnsi="Times New Roman" w:cs="Times New Roman"/>
                <w:color w:val="000000" w:themeColor="text1"/>
                <w:sz w:val="24"/>
                <w:szCs w:val="24"/>
                <w:lang w:eastAsia="lv-LV"/>
              </w:rPr>
              <w:t xml:space="preserve"> 12.</w:t>
            </w:r>
            <w:r w:rsidR="00E35759">
              <w:rPr>
                <w:rFonts w:ascii="Times New Roman" w:eastAsia="Times New Roman" w:hAnsi="Times New Roman" w:cs="Times New Roman"/>
                <w:color w:val="000000" w:themeColor="text1"/>
                <w:sz w:val="24"/>
                <w:szCs w:val="24"/>
                <w:vertAlign w:val="superscript"/>
                <w:lang w:eastAsia="lv-LV"/>
              </w:rPr>
              <w:t>1</w:t>
            </w:r>
            <w:r w:rsidR="0030424F">
              <w:rPr>
                <w:rFonts w:ascii="Times New Roman" w:eastAsia="Times New Roman" w:hAnsi="Times New Roman" w:cs="Times New Roman"/>
                <w:color w:val="000000" w:themeColor="text1"/>
                <w:sz w:val="24"/>
                <w:szCs w:val="24"/>
                <w:lang w:eastAsia="lv-LV"/>
              </w:rPr>
              <w:t> pants</w:t>
            </w:r>
            <w:r w:rsidR="00E35759">
              <w:rPr>
                <w:rFonts w:ascii="Times New Roman" w:eastAsia="Times New Roman" w:hAnsi="Times New Roman" w:cs="Times New Roman"/>
                <w:color w:val="000000" w:themeColor="text1"/>
                <w:sz w:val="24"/>
                <w:szCs w:val="24"/>
                <w:lang w:eastAsia="lv-LV"/>
              </w:rPr>
              <w:t xml:space="preserve">. Sistēmas mērķis ir </w:t>
            </w:r>
            <w:r w:rsidR="004D1A09">
              <w:rPr>
                <w:rFonts w:ascii="Times New Roman" w:eastAsia="Times New Roman" w:hAnsi="Times New Roman" w:cs="Times New Roman"/>
                <w:color w:val="000000" w:themeColor="text1"/>
                <w:sz w:val="24"/>
                <w:szCs w:val="24"/>
                <w:lang w:eastAsia="lv-LV"/>
              </w:rPr>
              <w:t xml:space="preserve">sekmēt Maksātnespējas administrācijas uzdevumu veikšanu, un tajā iekļauj ziņas, kas saistītas ar administratoriem, uzraugošajām personām, maksātnespējas procesiem un tiesiskās aizsardzības procesiem. </w:t>
            </w:r>
            <w:r>
              <w:rPr>
                <w:rFonts w:ascii="Times New Roman" w:eastAsia="Times New Roman" w:hAnsi="Times New Roman" w:cs="Times New Roman"/>
                <w:color w:val="000000" w:themeColor="text1"/>
                <w:sz w:val="24"/>
                <w:szCs w:val="24"/>
                <w:lang w:eastAsia="lv-LV"/>
              </w:rPr>
              <w:t>MNL</w:t>
            </w:r>
            <w:r w:rsidR="004D1A09">
              <w:rPr>
                <w:rFonts w:ascii="Times New Roman" w:eastAsia="Times New Roman" w:hAnsi="Times New Roman" w:cs="Times New Roman"/>
                <w:color w:val="000000" w:themeColor="text1"/>
                <w:sz w:val="24"/>
                <w:szCs w:val="24"/>
                <w:lang w:eastAsia="lv-LV"/>
              </w:rPr>
              <w:t xml:space="preserve"> 12.</w:t>
            </w:r>
            <w:r w:rsidR="004D1A09">
              <w:rPr>
                <w:rFonts w:ascii="Times New Roman" w:eastAsia="Times New Roman" w:hAnsi="Times New Roman" w:cs="Times New Roman"/>
                <w:color w:val="000000" w:themeColor="text1"/>
                <w:sz w:val="24"/>
                <w:szCs w:val="24"/>
                <w:vertAlign w:val="superscript"/>
                <w:lang w:eastAsia="lv-LV"/>
              </w:rPr>
              <w:t>1</w:t>
            </w:r>
            <w:r w:rsidR="004D1A09">
              <w:rPr>
                <w:rFonts w:ascii="Times New Roman" w:eastAsia="Times New Roman" w:hAnsi="Times New Roman" w:cs="Times New Roman"/>
                <w:color w:val="000000" w:themeColor="text1"/>
                <w:sz w:val="24"/>
                <w:szCs w:val="24"/>
                <w:lang w:eastAsia="lv-LV"/>
              </w:rPr>
              <w:t> panta ceturtajā daļā noteikts, ka S</w:t>
            </w:r>
            <w:r w:rsidR="004D1A09" w:rsidRPr="004D1A09">
              <w:rPr>
                <w:rFonts w:ascii="Times New Roman" w:eastAsia="Times New Roman" w:hAnsi="Times New Roman" w:cs="Times New Roman"/>
                <w:color w:val="000000" w:themeColor="text1"/>
                <w:sz w:val="24"/>
                <w:szCs w:val="24"/>
                <w:lang w:eastAsia="lv-LV"/>
              </w:rPr>
              <w:t>istēmā iekļaujamās ziņas par tiesiskās aizsardzības procesa subjektu, maksātnespējīgo juridisko un fizisko personu, administratoru un uzraugošo personu sniedz Latvijas Republikas Uzņēmumu reģistrs.</w:t>
            </w:r>
            <w:r w:rsidR="004D1A09">
              <w:rPr>
                <w:rFonts w:ascii="Times New Roman" w:eastAsia="Times New Roman" w:hAnsi="Times New Roman" w:cs="Times New Roman"/>
                <w:color w:val="000000" w:themeColor="text1"/>
                <w:sz w:val="24"/>
                <w:szCs w:val="24"/>
                <w:lang w:eastAsia="lv-LV"/>
              </w:rPr>
              <w:t xml:space="preserve"> Tomēr, lai Sistēma sekmīgi sasniegtu mērķi, tajā nepieciešams apstrādāt plašāku informācijas </w:t>
            </w:r>
            <w:r w:rsidR="00DF3ECA">
              <w:rPr>
                <w:rFonts w:ascii="Times New Roman" w:eastAsia="Times New Roman" w:hAnsi="Times New Roman" w:cs="Times New Roman"/>
                <w:color w:val="000000" w:themeColor="text1"/>
                <w:sz w:val="24"/>
                <w:szCs w:val="24"/>
                <w:lang w:eastAsia="lv-LV"/>
              </w:rPr>
              <w:t>apjomu</w:t>
            </w:r>
            <w:r w:rsidR="004D1A09">
              <w:rPr>
                <w:rFonts w:ascii="Times New Roman" w:eastAsia="Times New Roman" w:hAnsi="Times New Roman" w:cs="Times New Roman"/>
                <w:color w:val="000000" w:themeColor="text1"/>
                <w:sz w:val="24"/>
                <w:szCs w:val="24"/>
                <w:lang w:eastAsia="lv-LV"/>
              </w:rPr>
              <w:t xml:space="preserve">, nekā Latvijas Republikas Uzņēmumu reģistra rīcībā esošā informācija. </w:t>
            </w:r>
          </w:p>
          <w:p w14:paraId="4E0D994F" w14:textId="52C4AB89" w:rsidR="00674AA0" w:rsidRPr="00674AA0" w:rsidRDefault="00674AA0" w:rsidP="00674AA0">
            <w:p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Lai īstenotu Maksātnespējas likuma 174.</w:t>
            </w:r>
            <w:r w:rsidRPr="00674AA0">
              <w:rPr>
                <w:rFonts w:ascii="Times New Roman" w:eastAsia="Times New Roman" w:hAnsi="Times New Roman" w:cs="Times New Roman"/>
                <w:color w:val="000000" w:themeColor="text1"/>
                <w:sz w:val="24"/>
                <w:szCs w:val="24"/>
                <w:vertAlign w:val="superscript"/>
                <w:lang w:eastAsia="lv-LV"/>
              </w:rPr>
              <w:t>1</w:t>
            </w:r>
            <w:r w:rsidRPr="00674AA0">
              <w:rPr>
                <w:rFonts w:ascii="Times New Roman" w:eastAsia="Times New Roman" w:hAnsi="Times New Roman" w:cs="Times New Roman"/>
                <w:color w:val="000000" w:themeColor="text1"/>
                <w:sz w:val="24"/>
                <w:szCs w:val="24"/>
                <w:lang w:eastAsia="lv-LV"/>
              </w:rPr>
              <w:t xml:space="preserve"> panta </w:t>
            </w:r>
            <w:r w:rsidR="00C05E22">
              <w:rPr>
                <w:rFonts w:ascii="Times New Roman" w:eastAsia="Times New Roman" w:hAnsi="Times New Roman" w:cs="Times New Roman"/>
                <w:color w:val="000000" w:themeColor="text1"/>
                <w:sz w:val="24"/>
                <w:szCs w:val="24"/>
                <w:lang w:eastAsia="lv-LV"/>
              </w:rPr>
              <w:t>1. </w:t>
            </w:r>
            <w:r w:rsidRPr="00674AA0">
              <w:rPr>
                <w:rFonts w:ascii="Times New Roman" w:eastAsia="Times New Roman" w:hAnsi="Times New Roman" w:cs="Times New Roman"/>
                <w:color w:val="000000" w:themeColor="text1"/>
                <w:sz w:val="24"/>
                <w:szCs w:val="24"/>
                <w:lang w:eastAsia="lv-LV"/>
              </w:rPr>
              <w:t>punktā noteikto Maksātnespējas administrācijas uzdevumu veikt administratoru uzraudzību, kā arī lai nodrošinātu maksātnespējas jomu regulējošos normatīvajos aktos noteikto ziņu pieejamību (Maksātnespējas likuma 174.</w:t>
            </w:r>
            <w:r w:rsidRPr="00674AA0">
              <w:rPr>
                <w:rFonts w:ascii="Times New Roman" w:eastAsia="Times New Roman" w:hAnsi="Times New Roman" w:cs="Times New Roman"/>
                <w:color w:val="000000" w:themeColor="text1"/>
                <w:sz w:val="24"/>
                <w:szCs w:val="24"/>
                <w:vertAlign w:val="superscript"/>
                <w:lang w:eastAsia="lv-LV"/>
              </w:rPr>
              <w:t>1</w:t>
            </w:r>
            <w:r w:rsidR="00380914">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panta 14. punkts) no Uzņēmumu</w:t>
            </w:r>
            <w:r w:rsidR="00783E40">
              <w:rPr>
                <w:rFonts w:ascii="Times New Roman" w:eastAsia="Times New Roman" w:hAnsi="Times New Roman" w:cs="Times New Roman"/>
                <w:color w:val="000000" w:themeColor="text1"/>
                <w:sz w:val="24"/>
                <w:szCs w:val="24"/>
                <w:lang w:eastAsia="lv-LV"/>
              </w:rPr>
              <w:t xml:space="preserve"> reģistra informācijas </w:t>
            </w:r>
            <w:r w:rsidR="00783E40">
              <w:rPr>
                <w:rFonts w:ascii="Times New Roman" w:eastAsia="Times New Roman" w:hAnsi="Times New Roman" w:cs="Times New Roman"/>
                <w:color w:val="000000" w:themeColor="text1"/>
                <w:sz w:val="24"/>
                <w:szCs w:val="24"/>
                <w:lang w:eastAsia="lv-LV"/>
              </w:rPr>
              <w:lastRenderedPageBreak/>
              <w:t xml:space="preserve">sistēmas, iespējams, būs </w:t>
            </w:r>
            <w:r w:rsidRPr="00674AA0">
              <w:rPr>
                <w:rFonts w:ascii="Times New Roman" w:eastAsia="Times New Roman" w:hAnsi="Times New Roman" w:cs="Times New Roman"/>
                <w:color w:val="000000" w:themeColor="text1"/>
                <w:sz w:val="24"/>
                <w:szCs w:val="24"/>
                <w:lang w:eastAsia="lv-LV"/>
              </w:rPr>
              <w:t>nepieciešamas šādas ziņas:</w:t>
            </w:r>
          </w:p>
          <w:p w14:paraId="7ABF39C5"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Administratora vārds, uzvārds, amata apliecības numurs, amata apliecības izdošanas datums, amata apliecības derīguma termiņš, prakses vieta, tālruņa numurs, elektroniskā pasta adrese;</w:t>
            </w:r>
          </w:p>
          <w:p w14:paraId="1518451D"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Administratora amata darbības apturēšanas datums un termiņš;</w:t>
            </w:r>
          </w:p>
          <w:p w14:paraId="5F201777"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Administratora atstādināšanas datums un termiņš;</w:t>
            </w:r>
          </w:p>
          <w:p w14:paraId="6D311754"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Administratora lietvedībā esošo un bijušo maksātnespējas procesu skaits;</w:t>
            </w:r>
          </w:p>
          <w:p w14:paraId="0F58EF53" w14:textId="10A6AD79"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Administratora lietvedībā esošo un bijušo tiesiskās aizsardzības procesu skaits, kas uzsākti līdz 2017.</w:t>
            </w:r>
            <w:r w:rsidR="00380914">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gada 1.</w:t>
            </w:r>
            <w:r w:rsidR="00380914">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jūlijam;</w:t>
            </w:r>
          </w:p>
          <w:p w14:paraId="61E1F5BA" w14:textId="7A56D87D" w:rsidR="00674AA0" w:rsidRPr="00674AA0" w:rsidRDefault="0031442C"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U</w:t>
            </w:r>
            <w:r w:rsidR="00674AA0" w:rsidRPr="00674AA0">
              <w:rPr>
                <w:rFonts w:ascii="Times New Roman" w:eastAsia="Times New Roman" w:hAnsi="Times New Roman" w:cs="Times New Roman"/>
                <w:color w:val="000000" w:themeColor="text1"/>
                <w:sz w:val="24"/>
                <w:szCs w:val="24"/>
                <w:lang w:eastAsia="lv-LV"/>
              </w:rPr>
              <w:t>zraugošās personas vārds, uzvārds, piešķirtais identifikācijas numurs, prakses vieta, tālruņa numurs, elektroniskā pasta adrese;</w:t>
            </w:r>
          </w:p>
          <w:p w14:paraId="349CD1B7"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Uzraugošās personas lietvedībā esošo un bijušo tiesiskās aizsardzības procesu skaits un procesu izbeigšanas pamats;</w:t>
            </w:r>
          </w:p>
          <w:p w14:paraId="7F261798"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Parādnieka juridiskās personas nosaukums un reģistrācijas numurs, juridiskā adrese;</w:t>
            </w:r>
          </w:p>
          <w:p w14:paraId="7364124F"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Parādnieka fiziskās personas vārds, uzvārds, personas kods (dzimšanas datums);</w:t>
            </w:r>
          </w:p>
          <w:p w14:paraId="611F56B6"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Tiesiskās aizsardzības procesa parādnieka nosaukums, reģistrācijas numurs, juridiskā adrese;</w:t>
            </w:r>
          </w:p>
          <w:p w14:paraId="0A4E6142"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Maksātnespējas procesa un tiesiskās aizsardzības procesa pasludināšanas datums, procesā ieceltā administratora/uzraugošās personas vārds, uzvārds, izbeigšanas datums;</w:t>
            </w:r>
          </w:p>
          <w:p w14:paraId="7BF5CBFB"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Datums, kad pieņemts lēmums par tiesiskās aizsardzības procesa īstenošanu un apstiprināts plāns un tiesas nosaukums;</w:t>
            </w:r>
          </w:p>
          <w:p w14:paraId="1F9F666E"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Tiesiskās aizsardzības procesa pasākumu plāna metodes, īstenošanas termiņš;</w:t>
            </w:r>
          </w:p>
          <w:p w14:paraId="41294262"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Datums, kad apstiprināti tiesiskās aizsardzības procesa pasākumu plāna grozījumi;</w:t>
            </w:r>
          </w:p>
          <w:p w14:paraId="66E47AD2"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Tiesiskās aizsardzības procesa izbeigšanas pamats (plāna izpilde, pasludināts maksātnespējas process), datums un tiesa;</w:t>
            </w:r>
          </w:p>
          <w:p w14:paraId="6648C698"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Maksātnespējas procesā pilnvarotā administratora vārds, uzvārds;</w:t>
            </w:r>
          </w:p>
          <w:p w14:paraId="10F79C2C" w14:textId="77777777" w:rsidR="00674AA0" w:rsidRPr="00674AA0" w:rsidRDefault="00674AA0" w:rsidP="00674AA0">
            <w:pPr>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Informācija par to, vai parādnieks – juridiskā persona, ir izdevusi pilnvaru vai prokūru.</w:t>
            </w:r>
          </w:p>
          <w:p w14:paraId="062F0D7E" w14:textId="27961F2E" w:rsidR="00674AA0" w:rsidRPr="00674AA0" w:rsidRDefault="00674AA0" w:rsidP="00674AA0">
            <w:p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Lai īstenotu Maksātnespējas likuma 174.</w:t>
            </w:r>
            <w:r w:rsidRPr="00674AA0">
              <w:rPr>
                <w:rFonts w:ascii="Times New Roman" w:eastAsia="Times New Roman" w:hAnsi="Times New Roman" w:cs="Times New Roman"/>
                <w:color w:val="000000" w:themeColor="text1"/>
                <w:sz w:val="24"/>
                <w:szCs w:val="24"/>
                <w:vertAlign w:val="superscript"/>
                <w:lang w:eastAsia="lv-LV"/>
              </w:rPr>
              <w:t>1</w:t>
            </w:r>
            <w:r w:rsidRPr="00674AA0">
              <w:rPr>
                <w:rFonts w:ascii="Times New Roman" w:eastAsia="Times New Roman" w:hAnsi="Times New Roman" w:cs="Times New Roman"/>
                <w:color w:val="000000" w:themeColor="text1"/>
                <w:sz w:val="24"/>
                <w:szCs w:val="24"/>
                <w:lang w:eastAsia="lv-LV"/>
              </w:rPr>
              <w:t xml:space="preserve"> panta </w:t>
            </w:r>
            <w:r w:rsidR="00C05E22">
              <w:rPr>
                <w:rFonts w:ascii="Times New Roman" w:eastAsia="Times New Roman" w:hAnsi="Times New Roman" w:cs="Times New Roman"/>
                <w:color w:val="000000" w:themeColor="text1"/>
                <w:sz w:val="24"/>
                <w:szCs w:val="24"/>
                <w:lang w:eastAsia="lv-LV"/>
              </w:rPr>
              <w:t>1. </w:t>
            </w:r>
            <w:r w:rsidRPr="00674AA0">
              <w:rPr>
                <w:rFonts w:ascii="Times New Roman" w:eastAsia="Times New Roman" w:hAnsi="Times New Roman" w:cs="Times New Roman"/>
                <w:color w:val="000000" w:themeColor="text1"/>
                <w:sz w:val="24"/>
                <w:szCs w:val="24"/>
                <w:lang w:eastAsia="lv-LV"/>
              </w:rPr>
              <w:t>punktā noteikto Maksātnespējas administrācijas uzdevumu veikt administratoru uzraudzību, kā arī lai nodrošinātu maksātnespējas jomu regulējošos normatīvajos aktos noteikto ziņu pieejamību (Maksātnespējas likuma 174.</w:t>
            </w:r>
            <w:r w:rsidRPr="00674AA0">
              <w:rPr>
                <w:rFonts w:ascii="Times New Roman" w:eastAsia="Times New Roman" w:hAnsi="Times New Roman" w:cs="Times New Roman"/>
                <w:color w:val="000000" w:themeColor="text1"/>
                <w:sz w:val="24"/>
                <w:szCs w:val="24"/>
                <w:vertAlign w:val="superscript"/>
                <w:lang w:eastAsia="lv-LV"/>
              </w:rPr>
              <w:t>1</w:t>
            </w:r>
            <w:r w:rsidR="008C2C17">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panta 14. punkts) no Tiesu informatīvās sistēmas</w:t>
            </w:r>
            <w:r w:rsidR="00783E40">
              <w:rPr>
                <w:rFonts w:ascii="Times New Roman" w:eastAsia="Times New Roman" w:hAnsi="Times New Roman" w:cs="Times New Roman"/>
                <w:color w:val="000000" w:themeColor="text1"/>
                <w:sz w:val="24"/>
                <w:szCs w:val="24"/>
                <w:lang w:eastAsia="lv-LV"/>
              </w:rPr>
              <w:t>, iespējams, būs</w:t>
            </w:r>
            <w:r w:rsidRPr="00674AA0">
              <w:rPr>
                <w:rFonts w:ascii="Times New Roman" w:eastAsia="Times New Roman" w:hAnsi="Times New Roman" w:cs="Times New Roman"/>
                <w:color w:val="000000" w:themeColor="text1"/>
                <w:sz w:val="24"/>
                <w:szCs w:val="24"/>
                <w:lang w:eastAsia="lv-LV"/>
              </w:rPr>
              <w:t xml:space="preserve"> nepieciešamas šādas ziņas:</w:t>
            </w:r>
          </w:p>
          <w:p w14:paraId="56255584" w14:textId="77777777" w:rsidR="00674AA0" w:rsidRPr="00674AA0" w:rsidRDefault="00674AA0" w:rsidP="00674AA0">
            <w:pPr>
              <w:numPr>
                <w:ilvl w:val="0"/>
                <w:numId w:val="6"/>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lastRenderedPageBreak/>
              <w:t>Zinas par administratora amata darbības apturēšanas, atstādināšanas no amata, atbrīvošanas no amata, atcelšanas no amata pārsūdzību;</w:t>
            </w:r>
          </w:p>
          <w:p w14:paraId="714E9260" w14:textId="77777777" w:rsidR="00674AA0" w:rsidRPr="00674AA0" w:rsidRDefault="00674AA0" w:rsidP="00674AA0">
            <w:pPr>
              <w:numPr>
                <w:ilvl w:val="0"/>
                <w:numId w:val="6"/>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Ziņas par tiesas lēmuma, ar kuru izskatītas sūdzības par Maksātnespējas administrācijas pieņemto lēmumu, datumu, numuru, rezultātu, pārsūdzību;</w:t>
            </w:r>
          </w:p>
          <w:p w14:paraId="6E525C84" w14:textId="77777777" w:rsidR="00674AA0" w:rsidRPr="00674AA0" w:rsidRDefault="00674AA0" w:rsidP="00674AA0">
            <w:pPr>
              <w:numPr>
                <w:ilvl w:val="0"/>
                <w:numId w:val="6"/>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Tiesas lēmums par administratora neiecelšanu;</w:t>
            </w:r>
          </w:p>
          <w:p w14:paraId="68B426AB" w14:textId="77777777" w:rsidR="00674AA0" w:rsidRPr="00674AA0" w:rsidRDefault="00674AA0" w:rsidP="00674AA0">
            <w:pPr>
              <w:numPr>
                <w:ilvl w:val="0"/>
                <w:numId w:val="6"/>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Tiesas nolēmuma, ar ko atzīts pārkāpums administratora un uzraugošās personas darbībā datums un numurs, tiesas nosaukums, pārkāptās tiesību normas, ziņas par procesu, ziņas par pārsūdzību;</w:t>
            </w:r>
          </w:p>
          <w:p w14:paraId="623C4B8E" w14:textId="77777777" w:rsidR="00674AA0" w:rsidRPr="00674AA0" w:rsidRDefault="00674AA0" w:rsidP="00674AA0">
            <w:pPr>
              <w:numPr>
                <w:ilvl w:val="0"/>
                <w:numId w:val="6"/>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Ziņas par administratora atcelšanu no konkrēta maksātnespējas procesa (datums, numurs, pamats, pārsūdzība);</w:t>
            </w:r>
          </w:p>
          <w:p w14:paraId="3E2B73D5" w14:textId="77777777" w:rsidR="00674AA0" w:rsidRPr="00674AA0" w:rsidRDefault="00674AA0" w:rsidP="00674AA0">
            <w:pPr>
              <w:numPr>
                <w:ilvl w:val="0"/>
                <w:numId w:val="6"/>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Maksātnespējas procesa lietas ierosināšanas datums;</w:t>
            </w:r>
          </w:p>
          <w:p w14:paraId="240785C7" w14:textId="77777777" w:rsidR="00674AA0" w:rsidRPr="00674AA0" w:rsidRDefault="00674AA0" w:rsidP="00674AA0">
            <w:pPr>
              <w:numPr>
                <w:ilvl w:val="0"/>
                <w:numId w:val="6"/>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Parādnieka pārstāvja vārds, uzvārds, amats, personas kods.</w:t>
            </w:r>
          </w:p>
          <w:p w14:paraId="4FA3DD23" w14:textId="6FCCB6BC" w:rsidR="00674AA0" w:rsidRPr="00674AA0" w:rsidRDefault="00674AA0" w:rsidP="00674AA0">
            <w:p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Lai īstenotu Maksātnespējas likuma 173. panta pirmajā daļā noteikto Maksātnespējas administrācijas funkciju aizsargāt darbinieku intereses viņu darba devēju maksātnespējas gadījumā, un pildītu Maksātnespējas likuma 174.</w:t>
            </w:r>
            <w:r w:rsidRPr="00674AA0">
              <w:rPr>
                <w:rFonts w:ascii="Times New Roman" w:eastAsia="Times New Roman" w:hAnsi="Times New Roman" w:cs="Times New Roman"/>
                <w:color w:val="000000" w:themeColor="text1"/>
                <w:sz w:val="24"/>
                <w:szCs w:val="24"/>
                <w:vertAlign w:val="superscript"/>
                <w:lang w:eastAsia="lv-LV"/>
              </w:rPr>
              <w:t>1</w:t>
            </w:r>
            <w:r w:rsidRPr="00674AA0">
              <w:rPr>
                <w:rFonts w:ascii="Times New Roman" w:eastAsia="Times New Roman" w:hAnsi="Times New Roman" w:cs="Times New Roman"/>
                <w:color w:val="000000" w:themeColor="text1"/>
                <w:sz w:val="24"/>
                <w:szCs w:val="24"/>
                <w:lang w:eastAsia="lv-LV"/>
              </w:rPr>
              <w:t xml:space="preserve"> panta 4. punktā noteikto uzdevumu izskatīt iesniegumus par maksātnespējīgo darba devēju darbinieku prasījumu apmierināšanu, likuma </w:t>
            </w:r>
            <w:r w:rsidR="00A20652">
              <w:rPr>
                <w:rFonts w:ascii="Times New Roman" w:eastAsia="Times New Roman" w:hAnsi="Times New Roman" w:cs="Times New Roman"/>
                <w:color w:val="000000" w:themeColor="text1"/>
                <w:sz w:val="24"/>
                <w:szCs w:val="24"/>
                <w:lang w:eastAsia="lv-LV"/>
              </w:rPr>
              <w:t>"</w:t>
            </w:r>
            <w:r w:rsidRPr="00674AA0">
              <w:rPr>
                <w:rFonts w:ascii="Times New Roman" w:eastAsia="Times New Roman" w:hAnsi="Times New Roman" w:cs="Times New Roman"/>
                <w:color w:val="000000" w:themeColor="text1"/>
                <w:sz w:val="24"/>
                <w:szCs w:val="24"/>
                <w:lang w:eastAsia="lv-LV"/>
              </w:rPr>
              <w:t>Par darbinieku aizsardzību darba devēja maksātnespējas gadījumā</w:t>
            </w:r>
            <w:r w:rsidR="00A20652">
              <w:rPr>
                <w:rFonts w:ascii="Times New Roman" w:eastAsia="Times New Roman" w:hAnsi="Times New Roman" w:cs="Times New Roman"/>
                <w:color w:val="000000" w:themeColor="text1"/>
                <w:sz w:val="24"/>
                <w:szCs w:val="24"/>
                <w:lang w:eastAsia="lv-LV"/>
              </w:rPr>
              <w:t>"</w:t>
            </w:r>
            <w:r w:rsidRPr="00674AA0">
              <w:rPr>
                <w:rFonts w:ascii="Times New Roman" w:eastAsia="Times New Roman" w:hAnsi="Times New Roman" w:cs="Times New Roman"/>
                <w:color w:val="000000" w:themeColor="text1"/>
                <w:sz w:val="24"/>
                <w:szCs w:val="24"/>
                <w:lang w:eastAsia="lv-LV"/>
              </w:rPr>
              <w:t xml:space="preserve"> 8. panta otrās daļas 1.</w:t>
            </w:r>
            <w:r w:rsidR="00783E40">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un 2.</w:t>
            </w:r>
            <w:r w:rsidR="00783E40">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punktā noteikto pieņemt un izskatīt maksātnespējīgo darba devēju administratoru iesniegumus par darbinieku prasījumu apmierināšanu un apstiprina no darbinieku prasījumu garantiju fonda līdzekļiem izmaksājamās summas un apmierina darbinieku pra</w:t>
            </w:r>
            <w:r w:rsidR="00783E40">
              <w:rPr>
                <w:rFonts w:ascii="Times New Roman" w:eastAsia="Times New Roman" w:hAnsi="Times New Roman" w:cs="Times New Roman"/>
                <w:color w:val="000000" w:themeColor="text1"/>
                <w:sz w:val="24"/>
                <w:szCs w:val="24"/>
                <w:lang w:eastAsia="lv-LV"/>
              </w:rPr>
              <w:t xml:space="preserve">sījumus no Iedzīvotāju reģistra, iespējams, būs </w:t>
            </w:r>
            <w:r w:rsidRPr="00674AA0">
              <w:rPr>
                <w:rFonts w:ascii="Times New Roman" w:eastAsia="Times New Roman" w:hAnsi="Times New Roman" w:cs="Times New Roman"/>
                <w:color w:val="000000" w:themeColor="text1"/>
                <w:sz w:val="24"/>
                <w:szCs w:val="24"/>
                <w:lang w:eastAsia="lv-LV"/>
              </w:rPr>
              <w:t>nepieciešamas šādas ziņas:</w:t>
            </w:r>
          </w:p>
          <w:p w14:paraId="1E3A27F4" w14:textId="77777777" w:rsidR="0058530C" w:rsidRPr="0058530C" w:rsidRDefault="0058530C" w:rsidP="0058530C">
            <w:pPr>
              <w:numPr>
                <w:ilvl w:val="0"/>
                <w:numId w:val="7"/>
              </w:numPr>
              <w:spacing w:after="0" w:line="240" w:lineRule="auto"/>
              <w:jc w:val="both"/>
              <w:rPr>
                <w:rFonts w:ascii="Times New Roman" w:eastAsia="Times New Roman" w:hAnsi="Times New Roman" w:cs="Times New Roman"/>
                <w:color w:val="000000" w:themeColor="text1"/>
                <w:sz w:val="24"/>
                <w:szCs w:val="24"/>
                <w:lang w:eastAsia="lv-LV"/>
              </w:rPr>
            </w:pPr>
            <w:r w:rsidRPr="0058530C">
              <w:rPr>
                <w:rFonts w:ascii="Times New Roman" w:eastAsia="Times New Roman" w:hAnsi="Times New Roman" w:cs="Times New Roman"/>
                <w:color w:val="000000" w:themeColor="text1"/>
                <w:sz w:val="24"/>
                <w:szCs w:val="24"/>
                <w:lang w:eastAsia="lv-LV"/>
              </w:rPr>
              <w:t>Personas vārds, uzvārds, personas kods, deklarētās dzīvesvietas adrese;</w:t>
            </w:r>
          </w:p>
          <w:p w14:paraId="3CDFF6AF" w14:textId="381B7FC0" w:rsidR="00674AA0" w:rsidRPr="00674AA0" w:rsidRDefault="0058530C" w:rsidP="0058530C">
            <w:pPr>
              <w:numPr>
                <w:ilvl w:val="0"/>
                <w:numId w:val="7"/>
              </w:numPr>
              <w:spacing w:after="0" w:line="240" w:lineRule="auto"/>
              <w:jc w:val="both"/>
              <w:rPr>
                <w:rFonts w:ascii="Times New Roman" w:eastAsia="Times New Roman" w:hAnsi="Times New Roman" w:cs="Times New Roman"/>
                <w:color w:val="000000" w:themeColor="text1"/>
                <w:sz w:val="24"/>
                <w:szCs w:val="24"/>
                <w:lang w:eastAsia="lv-LV"/>
              </w:rPr>
            </w:pPr>
            <w:r w:rsidRPr="0058530C">
              <w:rPr>
                <w:rFonts w:ascii="Times New Roman" w:eastAsia="Times New Roman" w:hAnsi="Times New Roman" w:cs="Times New Roman"/>
                <w:color w:val="000000" w:themeColor="text1"/>
                <w:sz w:val="24"/>
                <w:szCs w:val="24"/>
                <w:lang w:eastAsia="lv-LV"/>
              </w:rPr>
              <w:t>Norāde, vai personai Iedzīvotāju reģistrā ir reģistrēts miršanas fakts.</w:t>
            </w:r>
          </w:p>
          <w:p w14:paraId="77076AE4" w14:textId="3B4A8C06" w:rsidR="00674AA0" w:rsidRPr="00674AA0" w:rsidRDefault="00674AA0" w:rsidP="00674AA0">
            <w:p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Lai īstenotu Maksātnespējas likuma 173.</w:t>
            </w:r>
            <w:r w:rsidR="00783E40">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panta pirmajā daļā noteikto Maksātnespējas administrācijas funkciju aizsargāt darbinieku intereses viņu darba devēju maksātnespējas gadījumā, un pildītu Maksātnespējas likuma 174.</w:t>
            </w:r>
            <w:r w:rsidRPr="00674AA0">
              <w:rPr>
                <w:rFonts w:ascii="Times New Roman" w:eastAsia="Times New Roman" w:hAnsi="Times New Roman" w:cs="Times New Roman"/>
                <w:color w:val="000000" w:themeColor="text1"/>
                <w:sz w:val="24"/>
                <w:szCs w:val="24"/>
                <w:vertAlign w:val="superscript"/>
                <w:lang w:eastAsia="lv-LV"/>
              </w:rPr>
              <w:t>1</w:t>
            </w:r>
            <w:r w:rsidR="00783E40">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panta 4.</w:t>
            </w:r>
            <w:r w:rsidR="00380914">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punktā noteikto uzdevumu izskatīt iesniegumus par maksātnespējīgo darba devēju darbinieku prasījumu apmierināšanu no Sociālās apdrošināšanas informācijas sistēmas</w:t>
            </w:r>
            <w:r w:rsidR="00783E40">
              <w:rPr>
                <w:rFonts w:ascii="Times New Roman" w:eastAsia="Times New Roman" w:hAnsi="Times New Roman" w:cs="Times New Roman"/>
                <w:color w:val="000000" w:themeColor="text1"/>
                <w:sz w:val="24"/>
                <w:szCs w:val="24"/>
                <w:lang w:eastAsia="lv-LV"/>
              </w:rPr>
              <w:t>, iespējams, būs</w:t>
            </w:r>
            <w:r w:rsidRPr="00674AA0">
              <w:rPr>
                <w:rFonts w:ascii="Times New Roman" w:eastAsia="Times New Roman" w:hAnsi="Times New Roman" w:cs="Times New Roman"/>
                <w:color w:val="000000" w:themeColor="text1"/>
                <w:sz w:val="24"/>
                <w:szCs w:val="24"/>
                <w:lang w:eastAsia="lv-LV"/>
              </w:rPr>
              <w:t xml:space="preserve"> nepieciešamas ziņas par darbinieka attaisnoto prombūtni.</w:t>
            </w:r>
          </w:p>
          <w:p w14:paraId="729CAC6E" w14:textId="480D52B7" w:rsidR="00674AA0" w:rsidRPr="00674AA0" w:rsidRDefault="00674AA0" w:rsidP="00674AA0">
            <w:p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Lai īstenotu Maksātnespējas likuma 174.</w:t>
            </w:r>
            <w:r w:rsidRPr="00674AA0">
              <w:rPr>
                <w:rFonts w:ascii="Times New Roman" w:eastAsia="Times New Roman" w:hAnsi="Times New Roman" w:cs="Times New Roman"/>
                <w:color w:val="000000" w:themeColor="text1"/>
                <w:sz w:val="24"/>
                <w:szCs w:val="24"/>
                <w:vertAlign w:val="superscript"/>
                <w:lang w:eastAsia="lv-LV"/>
              </w:rPr>
              <w:t>1</w:t>
            </w:r>
            <w:r w:rsidRPr="00674AA0">
              <w:rPr>
                <w:rFonts w:ascii="Times New Roman" w:eastAsia="Times New Roman" w:hAnsi="Times New Roman" w:cs="Times New Roman"/>
                <w:color w:val="000000" w:themeColor="text1"/>
                <w:sz w:val="24"/>
                <w:szCs w:val="24"/>
                <w:lang w:eastAsia="lv-LV"/>
              </w:rPr>
              <w:t xml:space="preserve"> panta </w:t>
            </w:r>
            <w:r w:rsidR="008C4F8D">
              <w:rPr>
                <w:rFonts w:ascii="Times New Roman" w:eastAsia="Times New Roman" w:hAnsi="Times New Roman" w:cs="Times New Roman"/>
                <w:color w:val="000000" w:themeColor="text1"/>
                <w:sz w:val="24"/>
                <w:szCs w:val="24"/>
                <w:lang w:eastAsia="lv-LV"/>
              </w:rPr>
              <w:t>1. </w:t>
            </w:r>
            <w:r w:rsidRPr="00674AA0">
              <w:rPr>
                <w:rFonts w:ascii="Times New Roman" w:eastAsia="Times New Roman" w:hAnsi="Times New Roman" w:cs="Times New Roman"/>
                <w:color w:val="000000" w:themeColor="text1"/>
                <w:sz w:val="24"/>
                <w:szCs w:val="24"/>
                <w:lang w:eastAsia="lv-LV"/>
              </w:rPr>
              <w:t>punktā noteikto Maksātnespējas administrācijas uzdevumu veikt administratoru uzraudzību, kā arī lai īstenotu Maksātnespējas likuma 173.</w:t>
            </w:r>
            <w:r w:rsidR="00783E40">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 xml:space="preserve">panta pirmajā daļā noteikto Maksātnespējas administrācijas funkciju aizsargāt darbinieku intereses viņu darba devēju maksātnespējas </w:t>
            </w:r>
            <w:r w:rsidRPr="00674AA0">
              <w:rPr>
                <w:rFonts w:ascii="Times New Roman" w:eastAsia="Times New Roman" w:hAnsi="Times New Roman" w:cs="Times New Roman"/>
                <w:color w:val="000000" w:themeColor="text1"/>
                <w:sz w:val="24"/>
                <w:szCs w:val="24"/>
                <w:lang w:eastAsia="lv-LV"/>
              </w:rPr>
              <w:lastRenderedPageBreak/>
              <w:t>gadījumā, un pildītu Maksātnespējas likuma 174.</w:t>
            </w:r>
            <w:r w:rsidRPr="00674AA0">
              <w:rPr>
                <w:rFonts w:ascii="Times New Roman" w:eastAsia="Times New Roman" w:hAnsi="Times New Roman" w:cs="Times New Roman"/>
                <w:color w:val="000000" w:themeColor="text1"/>
                <w:sz w:val="24"/>
                <w:szCs w:val="24"/>
                <w:vertAlign w:val="superscript"/>
                <w:lang w:eastAsia="lv-LV"/>
              </w:rPr>
              <w:t>1</w:t>
            </w:r>
            <w:r w:rsidR="00783E40">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panta 4.</w:t>
            </w:r>
            <w:r w:rsidR="00783E40">
              <w:rPr>
                <w:rFonts w:ascii="Times New Roman" w:eastAsia="Times New Roman" w:hAnsi="Times New Roman" w:cs="Times New Roman"/>
                <w:color w:val="000000" w:themeColor="text1"/>
                <w:sz w:val="24"/>
                <w:szCs w:val="24"/>
                <w:lang w:eastAsia="lv-LV"/>
              </w:rPr>
              <w:t> </w:t>
            </w:r>
            <w:r w:rsidRPr="00674AA0">
              <w:rPr>
                <w:rFonts w:ascii="Times New Roman" w:eastAsia="Times New Roman" w:hAnsi="Times New Roman" w:cs="Times New Roman"/>
                <w:color w:val="000000" w:themeColor="text1"/>
                <w:sz w:val="24"/>
                <w:szCs w:val="24"/>
                <w:lang w:eastAsia="lv-LV"/>
              </w:rPr>
              <w:t>punktā noteikto uzdevumu izskatīt iesniegumus par maksātnespējīgo darba devēju darbinieku prasījumu apmierināšanu no Datu noliktavas sistēmas</w:t>
            </w:r>
            <w:r w:rsidR="00783E40">
              <w:rPr>
                <w:rFonts w:ascii="Times New Roman" w:eastAsia="Times New Roman" w:hAnsi="Times New Roman" w:cs="Times New Roman"/>
                <w:color w:val="000000" w:themeColor="text1"/>
                <w:sz w:val="24"/>
                <w:szCs w:val="24"/>
                <w:lang w:eastAsia="lv-LV"/>
              </w:rPr>
              <w:t>, iespējams, būs</w:t>
            </w:r>
            <w:r w:rsidRPr="00674AA0">
              <w:rPr>
                <w:rFonts w:ascii="Times New Roman" w:eastAsia="Times New Roman" w:hAnsi="Times New Roman" w:cs="Times New Roman"/>
                <w:color w:val="000000" w:themeColor="text1"/>
                <w:sz w:val="24"/>
                <w:szCs w:val="24"/>
                <w:lang w:eastAsia="lv-LV"/>
              </w:rPr>
              <w:t xml:space="preserve"> nepieciešamas šādas ziņas:</w:t>
            </w:r>
          </w:p>
          <w:p w14:paraId="7F8FDEAF" w14:textId="77777777" w:rsidR="00674AA0" w:rsidRPr="00674AA0" w:rsidRDefault="00674AA0" w:rsidP="00674AA0">
            <w:pPr>
              <w:numPr>
                <w:ilvl w:val="0"/>
                <w:numId w:val="8"/>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Maksātnespējīgās juridiskās personas pārskata gada apgrozījums no gada pārskata datiem;</w:t>
            </w:r>
          </w:p>
          <w:p w14:paraId="4D5EE0FA" w14:textId="77777777" w:rsidR="00674AA0" w:rsidRPr="00674AA0" w:rsidRDefault="00674AA0" w:rsidP="00674AA0">
            <w:pPr>
              <w:numPr>
                <w:ilvl w:val="0"/>
                <w:numId w:val="8"/>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Ziņas par to, vai maksātnespējīgajai juridiskajai personai ir aktīva vai apturēta saimnieciskā darbība;</w:t>
            </w:r>
          </w:p>
          <w:p w14:paraId="4BE9A4F8" w14:textId="77777777" w:rsidR="00674AA0" w:rsidRPr="00674AA0" w:rsidRDefault="00674AA0" w:rsidP="00674AA0">
            <w:pPr>
              <w:numPr>
                <w:ilvl w:val="0"/>
                <w:numId w:val="8"/>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Nodarbināto skaits maksātnespējīgajā juridiskajā personā;</w:t>
            </w:r>
          </w:p>
          <w:p w14:paraId="5D6AA93D" w14:textId="77777777" w:rsidR="00674AA0" w:rsidRPr="00674AA0" w:rsidRDefault="00674AA0" w:rsidP="00674AA0">
            <w:pPr>
              <w:numPr>
                <w:ilvl w:val="0"/>
                <w:numId w:val="8"/>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Ziņas par to, vai maksātnespējīgā darba devēja darbinieks ir pensionārs, vai tam ir noteikta invaliditāte;</w:t>
            </w:r>
          </w:p>
          <w:p w14:paraId="5FEB7F9F" w14:textId="77777777" w:rsidR="00674AA0" w:rsidRPr="00674AA0" w:rsidRDefault="00674AA0" w:rsidP="00674AA0">
            <w:pPr>
              <w:numPr>
                <w:ilvl w:val="0"/>
                <w:numId w:val="8"/>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Laika periods, kurā darbinieks ir reģistrēts darba ņēmēja statusā pie maksātnespējīgā darba devēja;</w:t>
            </w:r>
          </w:p>
          <w:p w14:paraId="688BD744" w14:textId="77777777" w:rsidR="00674AA0" w:rsidRPr="00674AA0" w:rsidRDefault="00674AA0" w:rsidP="00674AA0">
            <w:pPr>
              <w:numPr>
                <w:ilvl w:val="0"/>
                <w:numId w:val="8"/>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Maksātnespējīgā darba devēja aprēķinātā darba alga (bruto);</w:t>
            </w:r>
          </w:p>
          <w:p w14:paraId="57CE4A1B" w14:textId="270AD1F7" w:rsidR="00674AA0" w:rsidRPr="00674AA0" w:rsidRDefault="00674AA0" w:rsidP="00674AA0">
            <w:pPr>
              <w:numPr>
                <w:ilvl w:val="0"/>
                <w:numId w:val="8"/>
              </w:numPr>
              <w:spacing w:after="0" w:line="240" w:lineRule="auto"/>
              <w:jc w:val="both"/>
              <w:rPr>
                <w:rFonts w:ascii="Times New Roman" w:eastAsia="Times New Roman" w:hAnsi="Times New Roman" w:cs="Times New Roman"/>
                <w:color w:val="000000" w:themeColor="text1"/>
                <w:sz w:val="24"/>
                <w:szCs w:val="24"/>
                <w:lang w:eastAsia="lv-LV"/>
              </w:rPr>
            </w:pPr>
            <w:r w:rsidRPr="00674AA0">
              <w:rPr>
                <w:rFonts w:ascii="Times New Roman" w:eastAsia="Times New Roman" w:hAnsi="Times New Roman" w:cs="Times New Roman"/>
                <w:color w:val="000000" w:themeColor="text1"/>
                <w:sz w:val="24"/>
                <w:szCs w:val="24"/>
                <w:lang w:eastAsia="lv-LV"/>
              </w:rPr>
              <w:t>Maksātnespējīgā darba devēja iedzīvotāju ienākumu nodokļa un valsts sociālās apdrošināšanas obligāto iemaksu maksājumi par darbinieku.</w:t>
            </w:r>
          </w:p>
          <w:p w14:paraId="29F2AFB7" w14:textId="159B7B37" w:rsidR="00674AA0" w:rsidRDefault="00674AA0" w:rsidP="00AA025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Norādītās ziņas ir uzskaitītas provizoriski. </w:t>
            </w:r>
            <w:r w:rsidR="003A55EF">
              <w:rPr>
                <w:rFonts w:ascii="Times New Roman" w:eastAsia="Times New Roman" w:hAnsi="Times New Roman" w:cs="Times New Roman"/>
                <w:color w:val="000000" w:themeColor="text1"/>
                <w:sz w:val="24"/>
                <w:szCs w:val="24"/>
                <w:lang w:eastAsia="lv-LV"/>
              </w:rPr>
              <w:t>V</w:t>
            </w:r>
            <w:r>
              <w:rPr>
                <w:rFonts w:ascii="Times New Roman" w:eastAsia="Times New Roman" w:hAnsi="Times New Roman" w:cs="Times New Roman"/>
                <w:color w:val="000000" w:themeColor="text1"/>
                <w:sz w:val="24"/>
                <w:szCs w:val="24"/>
                <w:lang w:eastAsia="lv-LV"/>
              </w:rPr>
              <w:t xml:space="preserve">eicot nepieciešamās darbības ziņu apmaiņai starp valsts informācijas sistēmām, tiks nodotas tās ziņas, kuru nodošana neprasa </w:t>
            </w:r>
            <w:r w:rsidR="00783E40">
              <w:rPr>
                <w:rFonts w:ascii="Times New Roman" w:eastAsia="Times New Roman" w:hAnsi="Times New Roman" w:cs="Times New Roman"/>
                <w:color w:val="000000" w:themeColor="text1"/>
                <w:sz w:val="24"/>
                <w:szCs w:val="24"/>
                <w:lang w:eastAsia="lv-LV"/>
              </w:rPr>
              <w:t>papildu līdzekļus no valsts budžeta valsts informācijas sistēmu pielāgošanai</w:t>
            </w:r>
            <w:r w:rsidR="0031442C">
              <w:rPr>
                <w:rFonts w:ascii="Times New Roman" w:eastAsia="Times New Roman" w:hAnsi="Times New Roman" w:cs="Times New Roman"/>
                <w:color w:val="000000" w:themeColor="text1"/>
                <w:sz w:val="24"/>
                <w:szCs w:val="24"/>
                <w:lang w:eastAsia="lv-LV"/>
              </w:rPr>
              <w:t>, tai skaitā ziņas, kuras nepieciešamas MNL 12.</w:t>
            </w:r>
            <w:r w:rsidR="0031442C">
              <w:rPr>
                <w:rFonts w:ascii="Times New Roman" w:eastAsia="Times New Roman" w:hAnsi="Times New Roman" w:cs="Times New Roman"/>
                <w:color w:val="000000" w:themeColor="text1"/>
                <w:sz w:val="24"/>
                <w:szCs w:val="24"/>
                <w:vertAlign w:val="superscript"/>
                <w:lang w:eastAsia="lv-LV"/>
              </w:rPr>
              <w:t>2</w:t>
            </w:r>
            <w:r w:rsidR="0031442C">
              <w:rPr>
                <w:rFonts w:ascii="Times New Roman" w:eastAsia="Times New Roman" w:hAnsi="Times New Roman" w:cs="Times New Roman"/>
                <w:color w:val="000000" w:themeColor="text1"/>
                <w:sz w:val="24"/>
                <w:szCs w:val="24"/>
                <w:lang w:eastAsia="lv-LV"/>
              </w:rPr>
              <w:t xml:space="preserve"> panta </w:t>
            </w:r>
            <w:r w:rsidR="008C2C17">
              <w:rPr>
                <w:rFonts w:ascii="Times New Roman" w:eastAsia="Times New Roman" w:hAnsi="Times New Roman" w:cs="Times New Roman"/>
                <w:color w:val="000000" w:themeColor="text1"/>
                <w:sz w:val="24"/>
                <w:szCs w:val="24"/>
                <w:lang w:eastAsia="lv-LV"/>
              </w:rPr>
              <w:t>īstenošanai</w:t>
            </w:r>
            <w:r>
              <w:rPr>
                <w:rFonts w:ascii="Times New Roman" w:eastAsia="Times New Roman" w:hAnsi="Times New Roman" w:cs="Times New Roman"/>
                <w:color w:val="000000" w:themeColor="text1"/>
                <w:sz w:val="24"/>
                <w:szCs w:val="24"/>
                <w:lang w:eastAsia="lv-LV"/>
              </w:rPr>
              <w:t>.</w:t>
            </w:r>
          </w:p>
          <w:p w14:paraId="5F70AB61" w14:textId="61AC4C29" w:rsidR="00AA025A" w:rsidRDefault="00EB16A2" w:rsidP="00AA025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Ņemot vērā to, ka tiesību norma būtiski jāpapildina, tā izteikta jaunā redakcijā.</w:t>
            </w:r>
          </w:p>
          <w:bookmarkEnd w:id="5"/>
          <w:p w14:paraId="006B848E" w14:textId="77777777" w:rsidR="00EB16A2" w:rsidRDefault="00EB16A2" w:rsidP="00AA025A">
            <w:pPr>
              <w:spacing w:after="0" w:line="240" w:lineRule="auto"/>
              <w:jc w:val="both"/>
              <w:rPr>
                <w:rFonts w:ascii="Times New Roman" w:eastAsia="Times New Roman" w:hAnsi="Times New Roman" w:cs="Times New Roman"/>
                <w:color w:val="000000" w:themeColor="text1"/>
                <w:sz w:val="24"/>
                <w:szCs w:val="24"/>
                <w:lang w:eastAsia="lv-LV"/>
              </w:rPr>
            </w:pPr>
          </w:p>
          <w:p w14:paraId="37C8E6AC" w14:textId="5284253A" w:rsidR="00EB16A2" w:rsidRPr="00D4553F" w:rsidRDefault="00EB16A2" w:rsidP="00AA025A">
            <w:pPr>
              <w:spacing w:after="0" w:line="240" w:lineRule="auto"/>
              <w:jc w:val="both"/>
              <w:rPr>
                <w:rFonts w:ascii="Times New Roman" w:eastAsia="Times New Roman" w:hAnsi="Times New Roman" w:cs="Times New Roman"/>
                <w:b/>
                <w:color w:val="000000" w:themeColor="text1"/>
                <w:sz w:val="24"/>
                <w:szCs w:val="24"/>
                <w:lang w:eastAsia="lv-LV"/>
              </w:rPr>
            </w:pPr>
            <w:bookmarkStart w:id="6" w:name="_Hlk497389628"/>
            <w:r w:rsidRPr="00D4553F">
              <w:rPr>
                <w:rFonts w:ascii="Times New Roman" w:eastAsia="Times New Roman" w:hAnsi="Times New Roman" w:cs="Times New Roman"/>
                <w:b/>
                <w:color w:val="000000" w:themeColor="text1"/>
                <w:sz w:val="24"/>
                <w:szCs w:val="24"/>
                <w:lang w:eastAsia="lv-LV"/>
              </w:rPr>
              <w:t xml:space="preserve">Par Maksātnespējas administrācijas tiesībām saņemt informāciju no </w:t>
            </w:r>
            <w:r w:rsidR="00671036">
              <w:rPr>
                <w:rFonts w:ascii="Times New Roman" w:eastAsia="Times New Roman" w:hAnsi="Times New Roman" w:cs="Times New Roman"/>
                <w:b/>
                <w:color w:val="000000" w:themeColor="text1"/>
                <w:sz w:val="24"/>
                <w:szCs w:val="24"/>
                <w:lang w:eastAsia="lv-LV"/>
              </w:rPr>
              <w:t>v</w:t>
            </w:r>
            <w:r w:rsidRPr="00D4553F">
              <w:rPr>
                <w:rFonts w:ascii="Times New Roman" w:eastAsia="Times New Roman" w:hAnsi="Times New Roman" w:cs="Times New Roman"/>
                <w:b/>
                <w:color w:val="000000" w:themeColor="text1"/>
                <w:sz w:val="24"/>
                <w:szCs w:val="24"/>
                <w:lang w:eastAsia="lv-LV"/>
              </w:rPr>
              <w:t>alsts informācijas sistēmām</w:t>
            </w:r>
          </w:p>
          <w:p w14:paraId="4B3E72BE" w14:textId="5DB884FA" w:rsidR="00E20A9C" w:rsidRPr="00E20A9C" w:rsidRDefault="00E20A9C" w:rsidP="00E20A9C">
            <w:pPr>
              <w:spacing w:after="0" w:line="240" w:lineRule="auto"/>
              <w:jc w:val="both"/>
              <w:rPr>
                <w:rFonts w:ascii="Times New Roman" w:eastAsia="Times New Roman" w:hAnsi="Times New Roman" w:cs="Times New Roman"/>
                <w:color w:val="000000" w:themeColor="text1"/>
                <w:sz w:val="24"/>
                <w:szCs w:val="24"/>
                <w:lang w:eastAsia="lv-LV"/>
              </w:rPr>
            </w:pPr>
            <w:r w:rsidRPr="00380914">
              <w:rPr>
                <w:rFonts w:ascii="Times New Roman" w:eastAsia="Times New Roman" w:hAnsi="Times New Roman" w:cs="Times New Roman"/>
                <w:color w:val="000000" w:themeColor="text1"/>
                <w:sz w:val="24"/>
                <w:szCs w:val="24"/>
                <w:lang w:eastAsia="lv-LV"/>
              </w:rPr>
              <w:t>Maksātnespējas likuma 174.</w:t>
            </w:r>
            <w:r w:rsidRPr="00380914">
              <w:rPr>
                <w:rFonts w:ascii="Times New Roman" w:eastAsia="Times New Roman" w:hAnsi="Times New Roman" w:cs="Times New Roman"/>
                <w:color w:val="000000" w:themeColor="text1"/>
                <w:sz w:val="24"/>
                <w:szCs w:val="24"/>
                <w:vertAlign w:val="superscript"/>
                <w:lang w:eastAsia="lv-LV"/>
              </w:rPr>
              <w:t>2</w:t>
            </w:r>
            <w:r w:rsidRPr="00380914">
              <w:rPr>
                <w:rFonts w:ascii="Times New Roman" w:eastAsia="Times New Roman" w:hAnsi="Times New Roman" w:cs="Times New Roman"/>
                <w:color w:val="000000" w:themeColor="text1"/>
                <w:sz w:val="24"/>
                <w:szCs w:val="24"/>
                <w:lang w:eastAsia="lv-LV"/>
              </w:rPr>
              <w:t> panta pirmās daļas 1. punktā noteikts, ka Maksātnespējas administrācijai ir tiesības pieprasīt no valsts un pašvaldību institūcijām un bez maksas saņemt no tām jebkuru Maksātnespējas administrācijas funkciju izpildei nepieciešamo ar tiesiskās aizsardzības procesu vai maksātnespējas procesu saistīto informāciju.</w:t>
            </w:r>
            <w:r w:rsidRPr="00E20A9C">
              <w:rPr>
                <w:rFonts w:ascii="Times New Roman" w:eastAsia="Times New Roman" w:hAnsi="Times New Roman" w:cs="Times New Roman"/>
                <w:color w:val="000000" w:themeColor="text1"/>
                <w:sz w:val="24"/>
                <w:szCs w:val="24"/>
                <w:lang w:eastAsia="lv-LV"/>
              </w:rPr>
              <w:t xml:space="preserve"> Ņemot vērā to, ka tiesiskās aizsardzības procesa un maksātnespējas procesa uzraudzības mērķa sasniegšanai Maksātnespējas administrācijai informācija ir jāiegūst operatīvi, sevišķi Sistēmas sekmīgai funkcionēšanai un mērķa sasniegšanai, ir nepieciešams noteikt konkrētas institūcijas, no kurām Maksātnespējas administrācija ir tiesīga </w:t>
            </w:r>
            <w:r w:rsidR="003A55EF">
              <w:rPr>
                <w:rFonts w:ascii="Times New Roman" w:eastAsia="Times New Roman" w:hAnsi="Times New Roman" w:cs="Times New Roman"/>
                <w:color w:val="000000" w:themeColor="text1"/>
                <w:sz w:val="24"/>
                <w:szCs w:val="24"/>
                <w:lang w:eastAsia="lv-LV"/>
              </w:rPr>
              <w:t>pieprasīt</w:t>
            </w:r>
            <w:r w:rsidR="003A55EF" w:rsidRPr="00E20A9C">
              <w:rPr>
                <w:rFonts w:ascii="Times New Roman" w:eastAsia="Times New Roman" w:hAnsi="Times New Roman" w:cs="Times New Roman"/>
                <w:color w:val="000000" w:themeColor="text1"/>
                <w:sz w:val="24"/>
                <w:szCs w:val="24"/>
                <w:lang w:eastAsia="lv-LV"/>
              </w:rPr>
              <w:t xml:space="preserve"> </w:t>
            </w:r>
            <w:r w:rsidRPr="00E20A9C">
              <w:rPr>
                <w:rFonts w:ascii="Times New Roman" w:eastAsia="Times New Roman" w:hAnsi="Times New Roman" w:cs="Times New Roman"/>
                <w:color w:val="000000" w:themeColor="text1"/>
                <w:sz w:val="24"/>
                <w:szCs w:val="24"/>
                <w:lang w:eastAsia="lv-LV"/>
              </w:rPr>
              <w:t>informāciju.</w:t>
            </w:r>
          </w:p>
          <w:p w14:paraId="7720C5EF" w14:textId="30512927" w:rsidR="00E20A9C" w:rsidRDefault="00E20A9C" w:rsidP="00E20A9C">
            <w:pPr>
              <w:spacing w:after="0" w:line="240" w:lineRule="auto"/>
              <w:jc w:val="both"/>
              <w:rPr>
                <w:rFonts w:ascii="Times New Roman" w:eastAsia="Times New Roman" w:hAnsi="Times New Roman" w:cs="Times New Roman"/>
                <w:color w:val="000000" w:themeColor="text1"/>
                <w:sz w:val="24"/>
                <w:szCs w:val="24"/>
                <w:lang w:eastAsia="lv-LV"/>
              </w:rPr>
            </w:pPr>
            <w:r w:rsidRPr="00E20A9C">
              <w:rPr>
                <w:rFonts w:ascii="Times New Roman" w:eastAsia="Times New Roman" w:hAnsi="Times New Roman" w:cs="Times New Roman"/>
                <w:color w:val="000000" w:themeColor="text1"/>
                <w:sz w:val="24"/>
                <w:szCs w:val="24"/>
                <w:lang w:eastAsia="lv-LV"/>
              </w:rPr>
              <w:t xml:space="preserve">Maksātnespējas administrācijai nepieciešama </w:t>
            </w:r>
            <w:r>
              <w:rPr>
                <w:rFonts w:ascii="Times New Roman" w:eastAsia="Times New Roman" w:hAnsi="Times New Roman" w:cs="Times New Roman"/>
                <w:color w:val="000000" w:themeColor="text1"/>
                <w:sz w:val="24"/>
                <w:szCs w:val="24"/>
                <w:lang w:eastAsia="lv-LV"/>
              </w:rPr>
              <w:t>i</w:t>
            </w:r>
            <w:r w:rsidRPr="00E20A9C">
              <w:rPr>
                <w:rFonts w:ascii="Times New Roman" w:eastAsia="Times New Roman" w:hAnsi="Times New Roman" w:cs="Times New Roman"/>
                <w:color w:val="000000" w:themeColor="text1"/>
                <w:sz w:val="24"/>
                <w:szCs w:val="24"/>
                <w:lang w:eastAsia="lv-LV"/>
              </w:rPr>
              <w:t xml:space="preserve">nformācija no Latvijas Republikas Uzņēmumu reģistra uzdevumu veikšanai, jo minētā iestāde ved publiskos reģistrus. Informācija no Valsts ieņēmumu dienesta, Pilsonības un migrācijas lietu pārvaldes un Valsts sociālās apdrošināšanas aģentūras Maksātnespējas administrācijai nepieciešama maksātnespējīgo juridisko personu darbinieku prasījumu </w:t>
            </w:r>
            <w:r w:rsidRPr="00E20A9C">
              <w:rPr>
                <w:rFonts w:ascii="Times New Roman" w:eastAsia="Times New Roman" w:hAnsi="Times New Roman" w:cs="Times New Roman"/>
                <w:color w:val="000000" w:themeColor="text1"/>
                <w:sz w:val="24"/>
                <w:szCs w:val="24"/>
                <w:lang w:eastAsia="lv-LV"/>
              </w:rPr>
              <w:lastRenderedPageBreak/>
              <w:t xml:space="preserve">apstrādāšanai. Maksātnespējas administrācijai </w:t>
            </w:r>
            <w:r>
              <w:rPr>
                <w:rFonts w:ascii="Times New Roman" w:eastAsia="Times New Roman" w:hAnsi="Times New Roman" w:cs="Times New Roman"/>
                <w:color w:val="000000" w:themeColor="text1"/>
                <w:sz w:val="24"/>
                <w:szCs w:val="24"/>
                <w:lang w:eastAsia="lv-LV"/>
              </w:rPr>
              <w:t>nepieciešama i</w:t>
            </w:r>
            <w:r w:rsidRPr="00E20A9C">
              <w:rPr>
                <w:rFonts w:ascii="Times New Roman" w:eastAsia="Times New Roman" w:hAnsi="Times New Roman" w:cs="Times New Roman"/>
                <w:color w:val="000000" w:themeColor="text1"/>
                <w:sz w:val="24"/>
                <w:szCs w:val="24"/>
                <w:lang w:eastAsia="lv-LV"/>
              </w:rPr>
              <w:t>nformācija no Tiesu administrācijas</w:t>
            </w:r>
            <w:r w:rsidR="003D6B37">
              <w:rPr>
                <w:rFonts w:ascii="Times New Roman" w:eastAsia="Times New Roman" w:hAnsi="Times New Roman" w:cs="Times New Roman"/>
                <w:color w:val="000000" w:themeColor="text1"/>
                <w:sz w:val="24"/>
                <w:szCs w:val="24"/>
                <w:lang w:eastAsia="lv-LV"/>
              </w:rPr>
              <w:t xml:space="preserve"> MNL </w:t>
            </w:r>
            <w:r w:rsidR="00181FE8">
              <w:rPr>
                <w:rFonts w:ascii="Times New Roman" w:eastAsia="Times New Roman" w:hAnsi="Times New Roman" w:cs="Times New Roman"/>
                <w:color w:val="000000" w:themeColor="text1"/>
                <w:sz w:val="24"/>
                <w:szCs w:val="24"/>
                <w:lang w:eastAsia="lv-LV"/>
              </w:rPr>
              <w:t>174.</w:t>
            </w:r>
            <w:r w:rsidR="00181FE8">
              <w:rPr>
                <w:rFonts w:ascii="Times New Roman" w:eastAsia="Times New Roman" w:hAnsi="Times New Roman" w:cs="Times New Roman"/>
                <w:color w:val="000000" w:themeColor="text1"/>
                <w:sz w:val="24"/>
                <w:szCs w:val="24"/>
                <w:vertAlign w:val="superscript"/>
                <w:lang w:eastAsia="lv-LV"/>
              </w:rPr>
              <w:t>1</w:t>
            </w:r>
            <w:r w:rsidR="00181FE8">
              <w:rPr>
                <w:rFonts w:ascii="Times New Roman" w:eastAsia="Times New Roman" w:hAnsi="Times New Roman" w:cs="Times New Roman"/>
                <w:color w:val="000000" w:themeColor="text1"/>
                <w:sz w:val="24"/>
                <w:szCs w:val="24"/>
                <w:lang w:eastAsia="lv-LV"/>
              </w:rPr>
              <w:t> pantā noteikto uzdevumu izpildei</w:t>
            </w:r>
            <w:r w:rsidRPr="00E20A9C">
              <w:rPr>
                <w:rFonts w:ascii="Times New Roman" w:eastAsia="Times New Roman" w:hAnsi="Times New Roman" w:cs="Times New Roman"/>
                <w:color w:val="000000" w:themeColor="text1"/>
                <w:sz w:val="24"/>
                <w:szCs w:val="24"/>
                <w:lang w:eastAsia="lv-LV"/>
              </w:rPr>
              <w:t>.</w:t>
            </w:r>
          </w:p>
          <w:bookmarkEnd w:id="6"/>
          <w:p w14:paraId="5A3735CB" w14:textId="1DA3F1E7" w:rsidR="008D120E" w:rsidRDefault="008D120E" w:rsidP="00E20A9C">
            <w:pPr>
              <w:spacing w:after="0" w:line="240" w:lineRule="auto"/>
              <w:jc w:val="both"/>
              <w:rPr>
                <w:rFonts w:ascii="Times New Roman" w:eastAsia="Times New Roman" w:hAnsi="Times New Roman" w:cs="Times New Roman"/>
                <w:color w:val="000000" w:themeColor="text1"/>
                <w:sz w:val="24"/>
                <w:szCs w:val="24"/>
                <w:lang w:eastAsia="lv-LV"/>
              </w:rPr>
            </w:pPr>
          </w:p>
          <w:p w14:paraId="6DEE4B8D" w14:textId="09270068" w:rsidR="008D120E" w:rsidRPr="00D4553F" w:rsidRDefault="008D120E" w:rsidP="00C324CF">
            <w:pPr>
              <w:spacing w:after="0" w:line="240" w:lineRule="auto"/>
              <w:jc w:val="both"/>
              <w:rPr>
                <w:rFonts w:ascii="Times New Roman" w:eastAsia="Times New Roman" w:hAnsi="Times New Roman" w:cs="Times New Roman"/>
                <w:b/>
                <w:color w:val="000000" w:themeColor="text1"/>
                <w:sz w:val="24"/>
                <w:szCs w:val="24"/>
                <w:lang w:eastAsia="lv-LV"/>
              </w:rPr>
            </w:pPr>
            <w:r w:rsidRPr="00D4553F">
              <w:rPr>
                <w:rFonts w:ascii="Times New Roman" w:eastAsia="Times New Roman" w:hAnsi="Times New Roman" w:cs="Times New Roman"/>
                <w:b/>
                <w:color w:val="000000" w:themeColor="text1"/>
                <w:sz w:val="24"/>
                <w:szCs w:val="24"/>
                <w:lang w:eastAsia="lv-LV"/>
              </w:rPr>
              <w:t xml:space="preserve">Par Maksātnespējas administrācijas tiesībām </w:t>
            </w:r>
            <w:r>
              <w:rPr>
                <w:rFonts w:ascii="Times New Roman" w:eastAsia="Times New Roman" w:hAnsi="Times New Roman" w:cs="Times New Roman"/>
                <w:b/>
                <w:color w:val="000000" w:themeColor="text1"/>
                <w:sz w:val="24"/>
                <w:szCs w:val="24"/>
                <w:lang w:eastAsia="lv-LV"/>
              </w:rPr>
              <w:t>pieprasīt un saņemt informāciju, kas nepieciešama</w:t>
            </w:r>
            <w:r w:rsidRPr="00D4553F">
              <w:rPr>
                <w:rFonts w:ascii="Times New Roman" w:eastAsia="Times New Roman" w:hAnsi="Times New Roman" w:cs="Times New Roman"/>
                <w:b/>
                <w:color w:val="000000" w:themeColor="text1"/>
                <w:sz w:val="24"/>
                <w:szCs w:val="24"/>
                <w:lang w:eastAsia="lv-LV"/>
              </w:rPr>
              <w:t xml:space="preserve"> eksaminācijas </w:t>
            </w:r>
            <w:r>
              <w:rPr>
                <w:rFonts w:ascii="Times New Roman" w:eastAsia="Times New Roman" w:hAnsi="Times New Roman" w:cs="Times New Roman"/>
                <w:b/>
                <w:color w:val="000000" w:themeColor="text1"/>
                <w:sz w:val="24"/>
                <w:szCs w:val="24"/>
                <w:lang w:eastAsia="lv-LV"/>
              </w:rPr>
              <w:t xml:space="preserve">komisijai </w:t>
            </w:r>
            <w:r w:rsidRPr="00D4553F">
              <w:rPr>
                <w:rFonts w:ascii="Times New Roman" w:eastAsia="Times New Roman" w:hAnsi="Times New Roman" w:cs="Times New Roman"/>
                <w:b/>
                <w:color w:val="000000" w:themeColor="text1"/>
                <w:sz w:val="24"/>
                <w:szCs w:val="24"/>
                <w:lang w:eastAsia="lv-LV"/>
              </w:rPr>
              <w:t>un disciplinārlietu komisijai</w:t>
            </w:r>
            <w:r>
              <w:rPr>
                <w:rFonts w:ascii="Times New Roman" w:eastAsia="Times New Roman" w:hAnsi="Times New Roman" w:cs="Times New Roman"/>
                <w:b/>
                <w:color w:val="000000" w:themeColor="text1"/>
                <w:sz w:val="24"/>
                <w:szCs w:val="24"/>
                <w:lang w:eastAsia="lv-LV"/>
              </w:rPr>
              <w:t xml:space="preserve"> to funkciju izpildei</w:t>
            </w:r>
            <w:r w:rsidR="00DD4959">
              <w:rPr>
                <w:rFonts w:ascii="Times New Roman" w:eastAsia="Times New Roman" w:hAnsi="Times New Roman" w:cs="Times New Roman"/>
                <w:b/>
                <w:color w:val="000000" w:themeColor="text1"/>
                <w:sz w:val="24"/>
                <w:szCs w:val="24"/>
                <w:lang w:eastAsia="lv-LV"/>
              </w:rPr>
              <w:t>, un nodot to attiecīgajai komisijai</w:t>
            </w:r>
          </w:p>
          <w:p w14:paraId="3DDE9AD6" w14:textId="3DCA3960" w:rsidR="0024044A" w:rsidRDefault="0024044A" w:rsidP="0024044A">
            <w:pPr>
              <w:spacing w:after="0" w:line="240" w:lineRule="auto"/>
              <w:jc w:val="both"/>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 MNL 16.</w:t>
            </w:r>
            <w:r>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lang w:eastAsia="lv-LV"/>
              </w:rPr>
              <w:t xml:space="preserve"> panta pirmajā daļā noteiktā izriet, ka eksaminācijas komisija ir neatkarīga un koleģiāla institūcija. Savukārt no Ministru kabineta 2017. gada 30. maija noteikumiem Nr. 288 </w:t>
            </w:r>
            <w:r w:rsidR="00A20652">
              <w:rPr>
                <w:rFonts w:ascii="Times New Roman" w:eastAsia="Times New Roman" w:hAnsi="Times New Roman" w:cs="Times New Roman"/>
                <w:color w:val="000000" w:themeColor="text1"/>
                <w:sz w:val="24"/>
                <w:szCs w:val="24"/>
                <w:lang w:eastAsia="lv-LV"/>
              </w:rPr>
              <w:t>"</w:t>
            </w:r>
            <w:r w:rsidRPr="00D4553F">
              <w:rPr>
                <w:rFonts w:ascii="Times New Roman" w:eastAsia="Times New Roman" w:hAnsi="Times New Roman" w:cs="Times New Roman"/>
                <w:bCs/>
                <w:color w:val="000000" w:themeColor="text1"/>
                <w:sz w:val="24"/>
                <w:szCs w:val="24"/>
                <w:lang w:eastAsia="lv-LV"/>
              </w:rPr>
              <w:t>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00A20652">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bCs/>
                <w:color w:val="000000" w:themeColor="text1"/>
                <w:sz w:val="24"/>
                <w:szCs w:val="24"/>
                <w:lang w:eastAsia="lv-LV"/>
              </w:rPr>
              <w:t xml:space="preserve"> izriet, ka Maksātnespējas administrācija veic nepieciešamās darbības eksaminācijas komisijas funkciju izpilde</w:t>
            </w:r>
            <w:r w:rsidR="00380611">
              <w:rPr>
                <w:rFonts w:ascii="Times New Roman" w:eastAsia="Times New Roman" w:hAnsi="Times New Roman" w:cs="Times New Roman"/>
                <w:bCs/>
                <w:color w:val="000000" w:themeColor="text1"/>
                <w:sz w:val="24"/>
                <w:szCs w:val="24"/>
                <w:lang w:eastAsia="lv-LV"/>
              </w:rPr>
              <w:t xml:space="preserve">s nodrošināšanai, tai skaitā apkopo un pārbauda lēmuma pieņemšanai </w:t>
            </w:r>
            <w:r>
              <w:rPr>
                <w:rFonts w:ascii="Times New Roman" w:eastAsia="Times New Roman" w:hAnsi="Times New Roman" w:cs="Times New Roman"/>
                <w:bCs/>
                <w:color w:val="000000" w:themeColor="text1"/>
                <w:sz w:val="24"/>
                <w:szCs w:val="24"/>
                <w:lang w:eastAsia="lv-LV"/>
              </w:rPr>
              <w:t>nepieciešamo informāciju.</w:t>
            </w:r>
          </w:p>
          <w:p w14:paraId="41823FD2" w14:textId="4A2D9E1F" w:rsidR="00380611" w:rsidRPr="0024044A" w:rsidRDefault="00380611" w:rsidP="0024044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Tomēr pašlaik MNL regulējums neparedz Maksātnespējas administrācijai tiesības šo informāciju nodot eksaminācijas komisijai.</w:t>
            </w:r>
          </w:p>
          <w:p w14:paraId="5AA2E99E" w14:textId="0D2FC8B7" w:rsidR="0024044A" w:rsidRPr="00380611" w:rsidRDefault="00380611" w:rsidP="00C324C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Tāpat saskaņā ar MNL 31.</w:t>
            </w:r>
            <w:r>
              <w:rPr>
                <w:rFonts w:ascii="Times New Roman" w:eastAsia="Times New Roman" w:hAnsi="Times New Roman" w:cs="Times New Roman"/>
                <w:color w:val="000000" w:themeColor="text1"/>
                <w:sz w:val="24"/>
                <w:szCs w:val="24"/>
                <w:vertAlign w:val="superscript"/>
                <w:lang w:eastAsia="lv-LV"/>
              </w:rPr>
              <w:t>4</w:t>
            </w:r>
            <w:r>
              <w:rPr>
                <w:rFonts w:ascii="Times New Roman" w:eastAsia="Times New Roman" w:hAnsi="Times New Roman" w:cs="Times New Roman"/>
                <w:color w:val="000000" w:themeColor="text1"/>
                <w:sz w:val="24"/>
                <w:szCs w:val="24"/>
                <w:lang w:eastAsia="lv-LV"/>
              </w:rPr>
              <w:t> panta pirmo un piekto daļu arī disciplinārlietu komisija ir neatkarīga un koleģiāla institūcija, kuras darbu nodrošina un organizē Maksātnespējas administrācija.</w:t>
            </w:r>
          </w:p>
          <w:p w14:paraId="3EF41969" w14:textId="0A80046B" w:rsidR="00380611" w:rsidRDefault="00380611" w:rsidP="00C324C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Arī attiecībā uz disciplinārlietu komisiju Maksātnespējas administrācijai MNL nav noteiktas tiesības par tās rīcībā esošās informācijas nodošanu.</w:t>
            </w:r>
          </w:p>
          <w:p w14:paraId="342056DE" w14:textId="0E4921C9" w:rsidR="0024044A" w:rsidRDefault="00380611" w:rsidP="00E20A9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Ievērojot minēto, likumprojektā ietvertas normas, kas noteic </w:t>
            </w:r>
            <w:r w:rsidR="0031442C">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aksātnespējas administrācijai tiesības </w:t>
            </w:r>
            <w:r w:rsidRPr="00380611">
              <w:rPr>
                <w:rFonts w:ascii="Times New Roman" w:eastAsia="Times New Roman" w:hAnsi="Times New Roman" w:cs="Times New Roman"/>
                <w:color w:val="000000" w:themeColor="text1"/>
                <w:sz w:val="24"/>
                <w:szCs w:val="24"/>
                <w:lang w:eastAsia="lv-LV"/>
              </w:rPr>
              <w:t>pieprasīt un saņemt informāciju par administratoru un personu, kura vēlas ieņemt administratora amatu, un n</w:t>
            </w:r>
            <w:r>
              <w:rPr>
                <w:rFonts w:ascii="Times New Roman" w:eastAsia="Times New Roman" w:hAnsi="Times New Roman" w:cs="Times New Roman"/>
                <w:color w:val="000000" w:themeColor="text1"/>
                <w:sz w:val="24"/>
                <w:szCs w:val="24"/>
                <w:lang w:eastAsia="lv-LV"/>
              </w:rPr>
              <w:t xml:space="preserve">odot to eksaminācijas komisijai, kā arī </w:t>
            </w:r>
            <w:r w:rsidRPr="00380611">
              <w:rPr>
                <w:rFonts w:ascii="Times New Roman" w:eastAsia="Times New Roman" w:hAnsi="Times New Roman" w:cs="Times New Roman"/>
                <w:color w:val="000000" w:themeColor="text1"/>
                <w:sz w:val="24"/>
                <w:szCs w:val="24"/>
                <w:lang w:eastAsia="lv-LV"/>
              </w:rPr>
              <w:t>pieprasīt un saņemt informāciju par uzraugošo personu, administratoru un personu, kura vēlas ieņemt administratora amatu, un nodot to disciplinārlietu komisijai</w:t>
            </w:r>
            <w:r>
              <w:rPr>
                <w:rFonts w:ascii="Times New Roman" w:eastAsia="Times New Roman" w:hAnsi="Times New Roman" w:cs="Times New Roman"/>
                <w:color w:val="000000" w:themeColor="text1"/>
                <w:sz w:val="24"/>
                <w:szCs w:val="24"/>
                <w:lang w:eastAsia="lv-LV"/>
              </w:rPr>
              <w:t>.</w:t>
            </w:r>
          </w:p>
          <w:p w14:paraId="04728CE7" w14:textId="03F97C2C" w:rsidR="0031442C" w:rsidRDefault="0031442C" w:rsidP="00E20A9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Nepieciešamo ziņu apjomu vai to sniedzēju nav iespējams noteikt iepriekš, ņemot vērā eksaminācijas komisijas un disciplinārlietu komisijas darbības īpatnības, piemēram, nepieciešamību izvērtēt administratora vai personas, kura vēlas ieņemt administratora amatu, reputāciju, un nepieciešamību izvērtēt administratora vai uzraugošās personas rīcības ētiskumu.</w:t>
            </w:r>
          </w:p>
          <w:p w14:paraId="151D5957" w14:textId="2A65DA4F" w:rsidR="0031442C" w:rsidRDefault="0031442C" w:rsidP="00E20A9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Tādējādi ar normu tiek saglabāta esošā kārtība, ka nepieciešamības gadījumā Maksātnespējas administrācija katrā gadījumā individuāli pieprasīs kompetentai institūcijai sniegt informāciju, neiesaistot Sistēmu.</w:t>
            </w:r>
          </w:p>
          <w:p w14:paraId="5F6E4D26" w14:textId="77777777" w:rsidR="00993843" w:rsidRDefault="00993843" w:rsidP="00E20A9C">
            <w:pPr>
              <w:spacing w:after="0" w:line="240" w:lineRule="auto"/>
              <w:jc w:val="both"/>
              <w:rPr>
                <w:rFonts w:ascii="Times New Roman" w:eastAsia="Times New Roman" w:hAnsi="Times New Roman" w:cs="Times New Roman"/>
                <w:color w:val="000000" w:themeColor="text1"/>
                <w:sz w:val="24"/>
                <w:szCs w:val="24"/>
                <w:lang w:eastAsia="lv-LV"/>
              </w:rPr>
            </w:pPr>
          </w:p>
          <w:p w14:paraId="52D6273C" w14:textId="77777777" w:rsidR="00993843" w:rsidRDefault="00993843" w:rsidP="00E20A9C">
            <w:pPr>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lastRenderedPageBreak/>
              <w:t>Par precizējošiem jautājumiem saistībā ar disciplinārlietu izskatīšanu</w:t>
            </w:r>
          </w:p>
          <w:p w14:paraId="79300848" w14:textId="2F52FC3D" w:rsidR="00EC67B5" w:rsidRDefault="00993843" w:rsidP="00993843">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Saskaņā ar MNL pašreizējo regulējumu disciplinārlietu komisija mēneša laikā pieņem kādu no MNL 31.</w:t>
            </w:r>
            <w:r>
              <w:rPr>
                <w:rFonts w:ascii="Times New Roman" w:eastAsia="Times New Roman" w:hAnsi="Times New Roman" w:cs="Times New Roman"/>
                <w:color w:val="000000" w:themeColor="text1"/>
                <w:sz w:val="24"/>
                <w:szCs w:val="24"/>
                <w:vertAlign w:val="superscript"/>
                <w:lang w:eastAsia="lv-LV"/>
              </w:rPr>
              <w:t>6</w:t>
            </w:r>
            <w:r>
              <w:rPr>
                <w:rFonts w:ascii="Times New Roman" w:eastAsia="Times New Roman" w:hAnsi="Times New Roman" w:cs="Times New Roman"/>
                <w:color w:val="000000" w:themeColor="text1"/>
                <w:sz w:val="24"/>
                <w:szCs w:val="24"/>
                <w:lang w:eastAsia="lv-LV"/>
              </w:rPr>
              <w:t xml:space="preserve"> panta pirmajā daļā noteiktiem lēmumiem. </w:t>
            </w:r>
            <w:r w:rsidR="00EC67B5">
              <w:rPr>
                <w:rFonts w:ascii="Times New Roman" w:eastAsia="Times New Roman" w:hAnsi="Times New Roman" w:cs="Times New Roman"/>
                <w:color w:val="000000" w:themeColor="text1"/>
                <w:sz w:val="24"/>
                <w:szCs w:val="24"/>
                <w:lang w:eastAsia="lv-LV"/>
              </w:rPr>
              <w:t>Attiecīgi pēc minētā termiņa iestāšanās vairs nav iespējams saukt uzraugošo personu vai administratoru pie disciplināratbildības.</w:t>
            </w:r>
          </w:p>
          <w:p w14:paraId="58AF7861" w14:textId="7CBC1EF6" w:rsidR="00993843" w:rsidRPr="00993843" w:rsidRDefault="00993843" w:rsidP="00993843">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Tomēr ar </w:t>
            </w:r>
            <w:r w:rsidR="00EC67B5">
              <w:rPr>
                <w:rFonts w:ascii="Times New Roman" w:eastAsia="Times New Roman" w:hAnsi="Times New Roman" w:cs="Times New Roman"/>
                <w:color w:val="000000" w:themeColor="text1"/>
                <w:sz w:val="24"/>
                <w:szCs w:val="24"/>
                <w:lang w:eastAsia="lv-LV"/>
              </w:rPr>
              <w:t>mēneša</w:t>
            </w:r>
            <w:r>
              <w:rPr>
                <w:rFonts w:ascii="Times New Roman" w:eastAsia="Times New Roman" w:hAnsi="Times New Roman" w:cs="Times New Roman"/>
                <w:color w:val="000000" w:themeColor="text1"/>
                <w:sz w:val="24"/>
                <w:szCs w:val="24"/>
                <w:lang w:eastAsia="lv-LV"/>
              </w:rPr>
              <w:t xml:space="preserve"> termiņu var nebūt pietiekami lēmuma pieņemšanai, </w:t>
            </w:r>
            <w:r w:rsidRPr="00993843">
              <w:rPr>
                <w:rFonts w:ascii="Times New Roman" w:eastAsia="Times New Roman" w:hAnsi="Times New Roman" w:cs="Times New Roman"/>
                <w:color w:val="000000" w:themeColor="text1"/>
                <w:sz w:val="24"/>
                <w:szCs w:val="24"/>
                <w:lang w:eastAsia="lv-LV"/>
              </w:rPr>
              <w:t>it īpaši, ja lēmuma pieņemšanai vajadzēs iegūt papildu informāciju, papildu paskaidrojumu</w:t>
            </w:r>
            <w:r>
              <w:rPr>
                <w:rFonts w:ascii="Times New Roman" w:eastAsia="Times New Roman" w:hAnsi="Times New Roman" w:cs="Times New Roman"/>
                <w:color w:val="000000" w:themeColor="text1"/>
                <w:sz w:val="24"/>
                <w:szCs w:val="24"/>
                <w:lang w:eastAsia="lv-LV"/>
              </w:rPr>
              <w:t>s</w:t>
            </w:r>
            <w:r w:rsidRPr="00993843">
              <w:rPr>
                <w:rFonts w:ascii="Times New Roman" w:eastAsia="Times New Roman" w:hAnsi="Times New Roman" w:cs="Times New Roman"/>
                <w:color w:val="000000" w:themeColor="text1"/>
                <w:sz w:val="24"/>
                <w:szCs w:val="24"/>
                <w:lang w:eastAsia="lv-LV"/>
              </w:rPr>
              <w:t xml:space="preserve">, lietpratēja atzinumu, kā arī </w:t>
            </w:r>
            <w:r w:rsidR="00EC67B5" w:rsidRPr="00993843">
              <w:rPr>
                <w:rFonts w:ascii="Times New Roman" w:eastAsia="Times New Roman" w:hAnsi="Times New Roman" w:cs="Times New Roman"/>
                <w:color w:val="000000" w:themeColor="text1"/>
                <w:sz w:val="24"/>
                <w:szCs w:val="24"/>
                <w:lang w:eastAsia="lv-LV"/>
              </w:rPr>
              <w:t>citu iespējamu objektīvu</w:t>
            </w:r>
            <w:r w:rsidRPr="00993843">
              <w:rPr>
                <w:rFonts w:ascii="Times New Roman" w:eastAsia="Times New Roman" w:hAnsi="Times New Roman" w:cs="Times New Roman"/>
                <w:color w:val="000000" w:themeColor="text1"/>
                <w:sz w:val="24"/>
                <w:szCs w:val="24"/>
                <w:lang w:eastAsia="lv-LV"/>
              </w:rPr>
              <w:t xml:space="preserve"> iemeslu dēļ.</w:t>
            </w:r>
            <w:r w:rsidR="00EC67B5">
              <w:rPr>
                <w:rFonts w:ascii="Times New Roman" w:eastAsia="Times New Roman" w:hAnsi="Times New Roman" w:cs="Times New Roman"/>
                <w:color w:val="000000" w:themeColor="text1"/>
                <w:sz w:val="24"/>
                <w:szCs w:val="24"/>
                <w:lang w:eastAsia="lv-LV"/>
              </w:rPr>
              <w:t xml:space="preserve"> Tādējādi, lai nodrošinātu, ka </w:t>
            </w:r>
            <w:r w:rsidR="00EC67B5" w:rsidRPr="00EC67B5">
              <w:rPr>
                <w:rFonts w:ascii="Times New Roman" w:eastAsia="Times New Roman" w:hAnsi="Times New Roman" w:cs="Times New Roman"/>
                <w:color w:val="000000" w:themeColor="text1"/>
                <w:sz w:val="24"/>
                <w:szCs w:val="24"/>
                <w:lang w:eastAsia="lv-LV"/>
              </w:rPr>
              <w:t>uzraugoš</w:t>
            </w:r>
            <w:r w:rsidR="00EC67B5">
              <w:rPr>
                <w:rFonts w:ascii="Times New Roman" w:eastAsia="Times New Roman" w:hAnsi="Times New Roman" w:cs="Times New Roman"/>
                <w:color w:val="000000" w:themeColor="text1"/>
                <w:sz w:val="24"/>
                <w:szCs w:val="24"/>
                <w:lang w:eastAsia="lv-LV"/>
              </w:rPr>
              <w:t>ā</w:t>
            </w:r>
            <w:r w:rsidR="00EC67B5" w:rsidRPr="00EC67B5">
              <w:rPr>
                <w:rFonts w:ascii="Times New Roman" w:eastAsia="Times New Roman" w:hAnsi="Times New Roman" w:cs="Times New Roman"/>
                <w:color w:val="000000" w:themeColor="text1"/>
                <w:sz w:val="24"/>
                <w:szCs w:val="24"/>
                <w:lang w:eastAsia="lv-LV"/>
              </w:rPr>
              <w:t xml:space="preserve"> person</w:t>
            </w:r>
            <w:r w:rsidR="00EC67B5">
              <w:rPr>
                <w:rFonts w:ascii="Times New Roman" w:eastAsia="Times New Roman" w:hAnsi="Times New Roman" w:cs="Times New Roman"/>
                <w:color w:val="000000" w:themeColor="text1"/>
                <w:sz w:val="24"/>
                <w:szCs w:val="24"/>
                <w:lang w:eastAsia="lv-LV"/>
              </w:rPr>
              <w:t>a</w:t>
            </w:r>
            <w:r w:rsidR="00EC67B5" w:rsidRPr="00EC67B5">
              <w:rPr>
                <w:rFonts w:ascii="Times New Roman" w:eastAsia="Times New Roman" w:hAnsi="Times New Roman" w:cs="Times New Roman"/>
                <w:color w:val="000000" w:themeColor="text1"/>
                <w:sz w:val="24"/>
                <w:szCs w:val="24"/>
                <w:lang w:eastAsia="lv-LV"/>
              </w:rPr>
              <w:t xml:space="preserve"> vai administrator</w:t>
            </w:r>
            <w:r w:rsidR="00EC67B5">
              <w:rPr>
                <w:rFonts w:ascii="Times New Roman" w:eastAsia="Times New Roman" w:hAnsi="Times New Roman" w:cs="Times New Roman"/>
                <w:color w:val="000000" w:themeColor="text1"/>
                <w:sz w:val="24"/>
                <w:szCs w:val="24"/>
                <w:lang w:eastAsia="lv-LV"/>
              </w:rPr>
              <w:t>s nepamatoti neizvairītos no saukšanas pie disciplināratbildības, likumprojektā paredzētas disciplinārlietu komisijas tiesības pagarināt lēmuma pieņemšanas termiņu.</w:t>
            </w:r>
          </w:p>
        </w:tc>
      </w:tr>
      <w:tr w:rsidR="007E537C" w:rsidRPr="007E537C" w14:paraId="5D3A21EB"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22E824" w14:textId="77777777" w:rsidR="004D15A9" w:rsidRPr="007E537C"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2308F76" w14:textId="77777777" w:rsidR="004D15A9" w:rsidRPr="007E537C"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BFC684D" w14:textId="28B73662" w:rsidR="004D15A9" w:rsidRPr="007E537C" w:rsidRDefault="00622024" w:rsidP="007E537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Tieslietu ministrija, Maksātnespējas administrācija.</w:t>
            </w:r>
          </w:p>
        </w:tc>
      </w:tr>
      <w:tr w:rsidR="007E537C" w:rsidRPr="007E537C" w14:paraId="1B83B6C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A342D4F" w14:textId="77777777" w:rsidR="004D15A9" w:rsidRPr="007E537C"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EBAE99E" w14:textId="77777777" w:rsidR="004D15A9" w:rsidRPr="007E537C"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3A13BE6" w14:textId="77777777" w:rsidR="004D15A9" w:rsidRPr="007E537C" w:rsidRDefault="00D4341A" w:rsidP="00515CEE">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Nav.</w:t>
            </w:r>
          </w:p>
        </w:tc>
      </w:tr>
      <w:tr w:rsidR="005D4E8A" w:rsidRPr="004D15A9" w14:paraId="16773B2C" w14:textId="77777777" w:rsidTr="00D313D5">
        <w:trPr>
          <w:trHeight w:val="128"/>
        </w:trPr>
        <w:tc>
          <w:tcPr>
            <w:tcW w:w="5000" w:type="pct"/>
            <w:gridSpan w:val="3"/>
            <w:tcBorders>
              <w:top w:val="outset" w:sz="6" w:space="0" w:color="414142"/>
              <w:left w:val="nil"/>
              <w:bottom w:val="outset" w:sz="6" w:space="0" w:color="414142"/>
              <w:right w:val="nil"/>
            </w:tcBorders>
          </w:tcPr>
          <w:p w14:paraId="401D8919" w14:textId="77777777" w:rsidR="00031256" w:rsidRDefault="0081203F" w:rsidP="0081203F">
            <w:pPr>
              <w:tabs>
                <w:tab w:val="left" w:pos="990"/>
              </w:tabs>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b/>
            </w:r>
          </w:p>
          <w:p w14:paraId="2708C4EB" w14:textId="3FB93B1C" w:rsidR="00210312" w:rsidRPr="004D15A9" w:rsidRDefault="00210312" w:rsidP="0081203F">
            <w:pPr>
              <w:tabs>
                <w:tab w:val="left" w:pos="990"/>
              </w:tabs>
              <w:spacing w:after="0" w:line="240" w:lineRule="auto"/>
              <w:rPr>
                <w:rFonts w:ascii="Times New Roman" w:eastAsia="Times New Roman" w:hAnsi="Times New Roman" w:cs="Times New Roman"/>
                <w:color w:val="414142"/>
                <w:sz w:val="24"/>
                <w:szCs w:val="24"/>
                <w:lang w:eastAsia="lv-LV"/>
              </w:rPr>
            </w:pPr>
          </w:p>
        </w:tc>
      </w:tr>
      <w:tr w:rsidR="004D15A9" w:rsidRPr="007E537C" w14:paraId="000154ED"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7725CB9E" w14:textId="77777777" w:rsidR="004D15A9" w:rsidRPr="007E537C"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7E537C">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7E537C" w:rsidRPr="007E537C" w14:paraId="5B462E1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E23CA8F" w14:textId="77777777" w:rsidR="004D15A9" w:rsidRPr="007E537C"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E1EAE36" w14:textId="77777777" w:rsidR="004D15A9" w:rsidRPr="007E537C"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A0E224A" w14:textId="77777777" w:rsidR="004D15A9" w:rsidRPr="007E537C" w:rsidRDefault="00D4341A" w:rsidP="00D4341A">
            <w:pPr>
              <w:spacing w:after="0" w:line="240" w:lineRule="auto"/>
              <w:jc w:val="both"/>
              <w:rPr>
                <w:rFonts w:ascii="Times New Roman" w:eastAsia="Times New Roman" w:hAnsi="Times New Roman" w:cs="Times New Roman"/>
                <w:color w:val="000000" w:themeColor="text1"/>
                <w:sz w:val="24"/>
                <w:szCs w:val="24"/>
                <w:lang w:eastAsia="lv-LV"/>
              </w:rPr>
            </w:pPr>
            <w:r w:rsidRPr="007E537C">
              <w:rPr>
                <w:rFonts w:ascii="Times New Roman" w:eastAsia="Times New Roman" w:hAnsi="Times New Roman" w:cs="Times New Roman"/>
                <w:color w:val="000000" w:themeColor="text1"/>
                <w:sz w:val="24"/>
                <w:szCs w:val="24"/>
                <w:lang w:eastAsia="lv-LV"/>
              </w:rPr>
              <w:t>Personas, kuras iesaistītas tiesiskās aizsardzības, fiziskās personas un juridiskās personas maksātnespējas procesa norisē.</w:t>
            </w:r>
          </w:p>
        </w:tc>
      </w:tr>
      <w:tr w:rsidR="005757F4" w:rsidRPr="005757F4" w14:paraId="6B868B66"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E635E48" w14:textId="77777777" w:rsidR="004D15A9" w:rsidRPr="0062202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622024">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524CAE5" w14:textId="77777777" w:rsidR="004D15A9" w:rsidRPr="0062202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622024">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DB7D9F6" w14:textId="623DCB2F" w:rsidR="004847CB" w:rsidRDefault="004847CB" w:rsidP="005757F4">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Likumprojektam būs pozitīva ietekme uz tautsaimniecību. Savlaicīga kreditoru prasījumu strīdu izskatīšana veicinās kreditoru kā sabiedrības daļas vēlmi aktīvi iesaistīties maksātnespējas procesa norisē, jo galīgo risinājumu būs iespējams saņemt pirms izbeigts juridiskās personas maksātnespējas process. Stimulējoša atlīdzība motivēs administratorus aktīvāk un pilnvērtīgāk iesaistīties savu pienākumu pildīšanā. Kopumā likumprojekts pozitīvi ietekmēs ekonomisko vidi, tā kā veicinās efektīvāku maksātnespējas procesa norisi, tādējādi pozitīvi ietekmējot uzņēmējdarbības vidi kopumā.</w:t>
            </w:r>
          </w:p>
          <w:p w14:paraId="5F888BC1" w14:textId="1D02B83C" w:rsidR="005757F4" w:rsidRDefault="005757F4" w:rsidP="005757F4">
            <w:pPr>
              <w:spacing w:after="0" w:line="240" w:lineRule="auto"/>
              <w:jc w:val="both"/>
              <w:rPr>
                <w:rFonts w:ascii="Times New Roman" w:eastAsia="Times New Roman" w:hAnsi="Times New Roman" w:cs="Times New Roman"/>
                <w:color w:val="000000" w:themeColor="text1"/>
                <w:sz w:val="24"/>
                <w:szCs w:val="24"/>
                <w:lang w:eastAsia="lv-LV"/>
              </w:rPr>
            </w:pPr>
            <w:r w:rsidRPr="00622024">
              <w:rPr>
                <w:rFonts w:ascii="Times New Roman" w:eastAsia="Times New Roman" w:hAnsi="Times New Roman" w:cs="Times New Roman"/>
                <w:color w:val="000000" w:themeColor="text1"/>
                <w:sz w:val="24"/>
                <w:szCs w:val="24"/>
                <w:lang w:eastAsia="lv-LV"/>
              </w:rPr>
              <w:t xml:space="preserve">Personām, kuras vēlēsies iesniegt </w:t>
            </w:r>
            <w:r w:rsidR="001C27AA">
              <w:rPr>
                <w:rFonts w:ascii="Times New Roman" w:eastAsia="Times New Roman" w:hAnsi="Times New Roman" w:cs="Times New Roman"/>
                <w:color w:val="000000" w:themeColor="text1"/>
                <w:sz w:val="24"/>
                <w:szCs w:val="24"/>
                <w:lang w:eastAsia="lv-LV"/>
              </w:rPr>
              <w:t>"</w:t>
            </w:r>
            <w:r w:rsidRPr="00622024">
              <w:rPr>
                <w:rFonts w:ascii="Times New Roman" w:eastAsia="Times New Roman" w:hAnsi="Times New Roman" w:cs="Times New Roman"/>
                <w:color w:val="000000" w:themeColor="text1"/>
                <w:sz w:val="24"/>
                <w:szCs w:val="24"/>
                <w:lang w:eastAsia="lv-LV"/>
              </w:rPr>
              <w:t>ģimenes maksātnespējas procesa</w:t>
            </w:r>
            <w:r w:rsidR="001C27AA">
              <w:rPr>
                <w:rFonts w:ascii="Times New Roman" w:eastAsia="Times New Roman" w:hAnsi="Times New Roman" w:cs="Times New Roman"/>
                <w:color w:val="000000" w:themeColor="text1"/>
                <w:sz w:val="24"/>
                <w:szCs w:val="24"/>
                <w:lang w:eastAsia="lv-LV"/>
              </w:rPr>
              <w:t>"</w:t>
            </w:r>
            <w:r w:rsidRPr="00622024">
              <w:rPr>
                <w:rFonts w:ascii="Times New Roman" w:eastAsia="Times New Roman" w:hAnsi="Times New Roman" w:cs="Times New Roman"/>
                <w:color w:val="000000" w:themeColor="text1"/>
                <w:sz w:val="24"/>
                <w:szCs w:val="24"/>
                <w:lang w:eastAsia="lv-LV"/>
              </w:rPr>
              <w:t xml:space="preserve"> pieteikumu, palielināsies fiziskās personas maksātnespējas procesa depozīta apmērs par vienu minimālo mēnešalgu par katru ieinteresēto personu.</w:t>
            </w:r>
          </w:p>
          <w:p w14:paraId="14665FC8" w14:textId="0A6510D2" w:rsidR="00622024" w:rsidRPr="00CB6B12" w:rsidRDefault="005757F4" w:rsidP="00622024">
            <w:pPr>
              <w:spacing w:after="0" w:line="240" w:lineRule="auto"/>
              <w:jc w:val="both"/>
              <w:rPr>
                <w:rFonts w:ascii="Times New Roman" w:eastAsia="Times New Roman" w:hAnsi="Times New Roman" w:cs="Times New Roman"/>
                <w:color w:val="000000" w:themeColor="text1"/>
                <w:sz w:val="24"/>
                <w:szCs w:val="24"/>
                <w:lang w:eastAsia="lv-LV"/>
              </w:rPr>
            </w:pPr>
            <w:r w:rsidRPr="00CB6B12">
              <w:rPr>
                <w:rFonts w:ascii="Times New Roman" w:eastAsia="Times New Roman" w:hAnsi="Times New Roman" w:cs="Times New Roman"/>
                <w:color w:val="000000" w:themeColor="text1"/>
                <w:sz w:val="24"/>
                <w:szCs w:val="24"/>
                <w:lang w:eastAsia="lv-LV"/>
              </w:rPr>
              <w:t>Personām, kuras vēlēsies otro reizi gada laikā iesniegt tiesiskās aizsardzības procesa pieteikumu, papildus būs jāiemaksā juridiskās personas maksātnespējas procesa depozīts (divas minimāl</w:t>
            </w:r>
            <w:r w:rsidR="00622024" w:rsidRPr="00CB6B12">
              <w:rPr>
                <w:rFonts w:ascii="Times New Roman" w:eastAsia="Times New Roman" w:hAnsi="Times New Roman" w:cs="Times New Roman"/>
                <w:color w:val="000000" w:themeColor="text1"/>
                <w:sz w:val="24"/>
                <w:szCs w:val="24"/>
                <w:lang w:eastAsia="lv-LV"/>
              </w:rPr>
              <w:t xml:space="preserve">ās </w:t>
            </w:r>
            <w:r w:rsidR="00EC5A40" w:rsidRPr="00CB6B12">
              <w:rPr>
                <w:rFonts w:ascii="Times New Roman" w:eastAsia="Times New Roman" w:hAnsi="Times New Roman" w:cs="Times New Roman"/>
                <w:color w:val="000000" w:themeColor="text1"/>
                <w:sz w:val="24"/>
                <w:szCs w:val="24"/>
                <w:lang w:eastAsia="lv-LV"/>
              </w:rPr>
              <w:t>mēnešalgas).</w:t>
            </w:r>
          </w:p>
          <w:p w14:paraId="66CD56C6" w14:textId="7BF994CF" w:rsidR="00F2482B" w:rsidRDefault="006E14AC" w:rsidP="00622024">
            <w:pPr>
              <w:spacing w:after="0" w:line="240" w:lineRule="auto"/>
              <w:jc w:val="both"/>
              <w:rPr>
                <w:rFonts w:ascii="Times New Roman" w:eastAsia="Times New Roman" w:hAnsi="Times New Roman" w:cs="Times New Roman"/>
                <w:color w:val="000000" w:themeColor="text1"/>
                <w:sz w:val="24"/>
                <w:szCs w:val="24"/>
                <w:lang w:eastAsia="lv-LV"/>
              </w:rPr>
            </w:pPr>
            <w:r w:rsidRPr="00CB6B12">
              <w:rPr>
                <w:rFonts w:ascii="Times New Roman" w:eastAsia="Times New Roman" w:hAnsi="Times New Roman" w:cs="Times New Roman"/>
                <w:color w:val="000000" w:themeColor="text1"/>
                <w:sz w:val="24"/>
                <w:szCs w:val="24"/>
                <w:lang w:eastAsia="lv-LV"/>
              </w:rPr>
              <w:t>Tiesas izsniegs maksātnespējas</w:t>
            </w:r>
            <w:r>
              <w:rPr>
                <w:rFonts w:ascii="Times New Roman" w:eastAsia="Times New Roman" w:hAnsi="Times New Roman" w:cs="Times New Roman"/>
                <w:color w:val="000000" w:themeColor="text1"/>
                <w:sz w:val="24"/>
                <w:szCs w:val="24"/>
                <w:lang w:eastAsia="lv-LV"/>
              </w:rPr>
              <w:t xml:space="preserve"> procesā ieceltajam administratoram informāciju par parādnieku bez maksas.</w:t>
            </w:r>
            <w:r w:rsidR="00F2482B">
              <w:rPr>
                <w:rFonts w:ascii="Times New Roman" w:eastAsia="Times New Roman" w:hAnsi="Times New Roman" w:cs="Times New Roman"/>
                <w:color w:val="000000" w:themeColor="text1"/>
                <w:sz w:val="24"/>
                <w:szCs w:val="24"/>
                <w:lang w:eastAsia="lv-LV"/>
              </w:rPr>
              <w:t xml:space="preserve"> Šāda </w:t>
            </w:r>
            <w:r w:rsidR="003C45B1">
              <w:rPr>
                <w:rFonts w:ascii="Times New Roman" w:eastAsia="Times New Roman" w:hAnsi="Times New Roman" w:cs="Times New Roman"/>
                <w:color w:val="000000" w:themeColor="text1"/>
                <w:sz w:val="24"/>
                <w:szCs w:val="24"/>
                <w:lang w:eastAsia="lv-LV"/>
              </w:rPr>
              <w:t xml:space="preserve">informācijas izsniegšanas kārtības maiņa </w:t>
            </w:r>
            <w:r w:rsidR="00F2482B">
              <w:rPr>
                <w:rFonts w:ascii="Times New Roman" w:eastAsia="Times New Roman" w:hAnsi="Times New Roman" w:cs="Times New Roman"/>
                <w:color w:val="000000" w:themeColor="text1"/>
                <w:sz w:val="24"/>
                <w:szCs w:val="24"/>
                <w:lang w:eastAsia="lv-LV"/>
              </w:rPr>
              <w:t xml:space="preserve">samazinās administratīvo slogu administratoriem un atvieglos </w:t>
            </w:r>
            <w:r w:rsidR="00F2482B">
              <w:rPr>
                <w:rFonts w:ascii="Times New Roman" w:eastAsia="Times New Roman" w:hAnsi="Times New Roman" w:cs="Times New Roman"/>
                <w:color w:val="000000" w:themeColor="text1"/>
                <w:sz w:val="24"/>
                <w:szCs w:val="24"/>
                <w:lang w:eastAsia="lv-LV"/>
              </w:rPr>
              <w:lastRenderedPageBreak/>
              <w:t>efektīvāku maksātnespējas procesa norisi</w:t>
            </w:r>
            <w:r w:rsidR="003C45B1">
              <w:rPr>
                <w:rFonts w:ascii="Times New Roman" w:eastAsia="Times New Roman" w:hAnsi="Times New Roman" w:cs="Times New Roman"/>
                <w:color w:val="000000" w:themeColor="text1"/>
                <w:sz w:val="24"/>
                <w:szCs w:val="24"/>
                <w:lang w:eastAsia="lv-LV"/>
              </w:rPr>
              <w:t>, vienlaikus nemainot tiesas pienākumus</w:t>
            </w:r>
            <w:r w:rsidR="00F2482B">
              <w:rPr>
                <w:rFonts w:ascii="Times New Roman" w:eastAsia="Times New Roman" w:hAnsi="Times New Roman" w:cs="Times New Roman"/>
                <w:color w:val="000000" w:themeColor="text1"/>
                <w:sz w:val="24"/>
                <w:szCs w:val="24"/>
                <w:lang w:eastAsia="lv-LV"/>
              </w:rPr>
              <w:t>.</w:t>
            </w:r>
          </w:p>
          <w:p w14:paraId="6938C825" w14:textId="1D63505E" w:rsidR="00AE48B9" w:rsidRDefault="006E14AC" w:rsidP="00C82B8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Piemērojot dalītu fiziskās personas maksātnespējas procesa</w:t>
            </w:r>
            <w:r w:rsidR="003C45B1">
              <w:rPr>
                <w:rFonts w:ascii="Times New Roman" w:eastAsia="Times New Roman" w:hAnsi="Times New Roman" w:cs="Times New Roman"/>
                <w:color w:val="000000" w:themeColor="text1"/>
                <w:sz w:val="24"/>
                <w:szCs w:val="24"/>
                <w:lang w:eastAsia="lv-LV"/>
              </w:rPr>
              <w:t xml:space="preserve"> depozīta</w:t>
            </w:r>
            <w:r>
              <w:rPr>
                <w:rFonts w:ascii="Times New Roman" w:eastAsia="Times New Roman" w:hAnsi="Times New Roman" w:cs="Times New Roman"/>
                <w:color w:val="000000" w:themeColor="text1"/>
                <w:sz w:val="24"/>
                <w:szCs w:val="24"/>
                <w:lang w:eastAsia="lv-LV"/>
              </w:rPr>
              <w:t xml:space="preserve"> izmaksāšanas kārtību, Maksātnespējas administrācija viena procesa ietvaros pieņems vienu papildu lēmumu.</w:t>
            </w:r>
          </w:p>
          <w:p w14:paraId="2AFDF401" w14:textId="2D7EEED6" w:rsidR="00614124" w:rsidRPr="005757F4" w:rsidRDefault="003C45B1" w:rsidP="00CD534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Informācijas apjoms, ko sniegs Valsts ieņēmumu dienests, Valsts sociālās apdrošināšanas aģentūra, Tiesu administrācija un Pilsonības un migrācijas lietu pārvalde, nemainīsies salīdzinājumā ar pašlaik sniedzamo, bet mainīsies sniegšanas veids.</w:t>
            </w:r>
          </w:p>
        </w:tc>
      </w:tr>
      <w:tr w:rsidR="00AB7056" w:rsidRPr="00AB7056" w14:paraId="2539C26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39EBB5F"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B86F3F8"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34550CE" w14:textId="10B579E2" w:rsidR="00614124" w:rsidRPr="006E14AC" w:rsidRDefault="003C45B1" w:rsidP="00614124">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D33248" w:rsidRPr="00D33248" w14:paraId="3B9813F1"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33E2F162" w14:textId="77777777" w:rsidR="004D15A9" w:rsidRPr="00D3324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45316E4" w14:textId="77777777" w:rsidR="004D15A9" w:rsidRPr="00D3324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2A1FDF3" w14:textId="62583454" w:rsidR="004D15A9" w:rsidRPr="00D33248" w:rsidRDefault="00D33248" w:rsidP="00D33248">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Nav</w:t>
            </w:r>
            <w:r w:rsidR="008C4F8D">
              <w:rPr>
                <w:rFonts w:ascii="Times New Roman" w:eastAsia="Times New Roman" w:hAnsi="Times New Roman" w:cs="Times New Roman"/>
                <w:color w:val="000000" w:themeColor="text1"/>
                <w:sz w:val="24"/>
                <w:szCs w:val="24"/>
                <w:lang w:eastAsia="lv-LV"/>
              </w:rPr>
              <w:t>.</w:t>
            </w:r>
          </w:p>
        </w:tc>
      </w:tr>
      <w:tr w:rsidR="00031256" w:rsidRPr="004D15A9" w14:paraId="7C96242A" w14:textId="77777777" w:rsidTr="00D313D5">
        <w:trPr>
          <w:trHeight w:val="345"/>
        </w:trPr>
        <w:tc>
          <w:tcPr>
            <w:tcW w:w="5000" w:type="pct"/>
            <w:gridSpan w:val="3"/>
            <w:tcBorders>
              <w:top w:val="outset" w:sz="6" w:space="0" w:color="414142"/>
              <w:left w:val="nil"/>
              <w:bottom w:val="single" w:sz="6" w:space="0" w:color="auto"/>
              <w:right w:val="nil"/>
            </w:tcBorders>
          </w:tcPr>
          <w:p w14:paraId="00010F25" w14:textId="77777777" w:rsidR="00031256" w:rsidRDefault="00031256" w:rsidP="00DA596D">
            <w:pPr>
              <w:spacing w:after="0" w:line="240" w:lineRule="auto"/>
              <w:rPr>
                <w:rFonts w:ascii="Times New Roman" w:eastAsia="Times New Roman" w:hAnsi="Times New Roman" w:cs="Times New Roman"/>
                <w:color w:val="414142"/>
                <w:sz w:val="24"/>
                <w:szCs w:val="24"/>
                <w:lang w:eastAsia="lv-LV"/>
              </w:rPr>
            </w:pPr>
          </w:p>
          <w:p w14:paraId="5441D506" w14:textId="2772F3D6" w:rsidR="00210312" w:rsidRPr="004D15A9" w:rsidRDefault="00210312" w:rsidP="00DA596D">
            <w:pPr>
              <w:spacing w:after="0" w:line="240" w:lineRule="auto"/>
              <w:rPr>
                <w:rFonts w:ascii="Times New Roman" w:eastAsia="Times New Roman" w:hAnsi="Times New Roman" w:cs="Times New Roman"/>
                <w:color w:val="414142"/>
                <w:sz w:val="24"/>
                <w:szCs w:val="24"/>
                <w:lang w:eastAsia="lv-LV"/>
              </w:rPr>
            </w:pPr>
          </w:p>
        </w:tc>
      </w:tr>
      <w:tr w:rsidR="004D15A9" w:rsidRPr="00AB7056" w14:paraId="515D8A3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26F6490F" w14:textId="6F45FAB4" w:rsidR="004D15A9" w:rsidRPr="00AB7056"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B705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F15874" w:rsidRPr="00F15874" w14:paraId="6FB19C46"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tbl>
            <w:tblPr>
              <w:tblW w:w="4999" w:type="pc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2106"/>
              <w:gridCol w:w="295"/>
              <w:gridCol w:w="1551"/>
              <w:gridCol w:w="1636"/>
              <w:gridCol w:w="1411"/>
              <w:gridCol w:w="1018"/>
              <w:gridCol w:w="1042"/>
            </w:tblGrid>
            <w:tr w:rsidR="00E20A9C" w:rsidRPr="00D25916" w14:paraId="648744E5" w14:textId="77777777" w:rsidTr="00D4553F">
              <w:trPr>
                <w:trHeight w:val="63"/>
              </w:trPr>
              <w:tc>
                <w:tcPr>
                  <w:tcW w:w="1325" w:type="pct"/>
                  <w:gridSpan w:val="2"/>
                  <w:vMerge w:val="restart"/>
                  <w:vAlign w:val="center"/>
                </w:tcPr>
                <w:p w14:paraId="21CB1E53" w14:textId="77777777" w:rsidR="00E20A9C" w:rsidRPr="00D25916" w:rsidRDefault="00E20A9C" w:rsidP="00E20A9C">
                  <w:pPr>
                    <w:pStyle w:val="Paraststmeklis"/>
                    <w:jc w:val="center"/>
                    <w:rPr>
                      <w:b/>
                      <w:bCs/>
                    </w:rPr>
                  </w:pPr>
                  <w:r w:rsidRPr="00D25916">
                    <w:rPr>
                      <w:b/>
                      <w:bCs/>
                    </w:rPr>
                    <w:t>Rādītāji</w:t>
                  </w:r>
                </w:p>
              </w:tc>
              <w:tc>
                <w:tcPr>
                  <w:tcW w:w="1759" w:type="pct"/>
                  <w:gridSpan w:val="2"/>
                  <w:vMerge w:val="restart"/>
                  <w:vAlign w:val="center"/>
                </w:tcPr>
                <w:p w14:paraId="085710C0" w14:textId="77777777" w:rsidR="00E20A9C" w:rsidRPr="00D25916" w:rsidRDefault="00E20A9C" w:rsidP="00E20A9C">
                  <w:pPr>
                    <w:pStyle w:val="Paraststmeklis"/>
                    <w:jc w:val="center"/>
                    <w:rPr>
                      <w:b/>
                      <w:bCs/>
                    </w:rPr>
                  </w:pPr>
                  <w:r w:rsidRPr="00D25916">
                    <w:rPr>
                      <w:b/>
                      <w:bCs/>
                    </w:rPr>
                    <w:t>2017. gads</w:t>
                  </w:r>
                </w:p>
              </w:tc>
              <w:tc>
                <w:tcPr>
                  <w:tcW w:w="1916" w:type="pct"/>
                  <w:gridSpan w:val="3"/>
                  <w:vAlign w:val="center"/>
                </w:tcPr>
                <w:p w14:paraId="0F2A4AE1" w14:textId="77777777" w:rsidR="00E20A9C" w:rsidRPr="00D25916" w:rsidRDefault="00E20A9C" w:rsidP="00E20A9C">
                  <w:pPr>
                    <w:pStyle w:val="Paraststmeklis"/>
                    <w:jc w:val="center"/>
                  </w:pPr>
                  <w:r w:rsidRPr="00D25916">
                    <w:t>Turpmākie trīs gadi (</w:t>
                  </w:r>
                  <w:r w:rsidRPr="00AF609D">
                    <w:rPr>
                      <w:i/>
                    </w:rPr>
                    <w:t>euro</w:t>
                  </w:r>
                  <w:r w:rsidRPr="00D25916">
                    <w:t>)</w:t>
                  </w:r>
                </w:p>
              </w:tc>
            </w:tr>
            <w:tr w:rsidR="00E20A9C" w:rsidRPr="00D25916" w14:paraId="7F59F178" w14:textId="77777777" w:rsidTr="00D4553F">
              <w:trPr>
                <w:trHeight w:val="63"/>
              </w:trPr>
              <w:tc>
                <w:tcPr>
                  <w:tcW w:w="1325" w:type="pct"/>
                  <w:gridSpan w:val="2"/>
                  <w:vMerge/>
                  <w:vAlign w:val="center"/>
                </w:tcPr>
                <w:p w14:paraId="346AF702" w14:textId="77777777" w:rsidR="00E20A9C" w:rsidRPr="00A16F25" w:rsidRDefault="00E20A9C" w:rsidP="00E20A9C">
                  <w:pPr>
                    <w:rPr>
                      <w:rFonts w:ascii="Times New Roman" w:hAnsi="Times New Roman"/>
                      <w:b/>
                      <w:bCs/>
                      <w:sz w:val="24"/>
                      <w:szCs w:val="24"/>
                    </w:rPr>
                  </w:pPr>
                </w:p>
              </w:tc>
              <w:tc>
                <w:tcPr>
                  <w:tcW w:w="1759" w:type="pct"/>
                  <w:gridSpan w:val="2"/>
                  <w:vMerge/>
                  <w:vAlign w:val="center"/>
                </w:tcPr>
                <w:p w14:paraId="0692DE33" w14:textId="77777777" w:rsidR="00E20A9C" w:rsidRPr="00A16F25" w:rsidRDefault="00E20A9C" w:rsidP="00E20A9C">
                  <w:pPr>
                    <w:rPr>
                      <w:rFonts w:ascii="Times New Roman" w:hAnsi="Times New Roman"/>
                      <w:b/>
                      <w:bCs/>
                      <w:sz w:val="24"/>
                      <w:szCs w:val="24"/>
                    </w:rPr>
                  </w:pPr>
                </w:p>
              </w:tc>
              <w:tc>
                <w:tcPr>
                  <w:tcW w:w="779" w:type="pct"/>
                  <w:vAlign w:val="center"/>
                </w:tcPr>
                <w:p w14:paraId="4B62EF2B" w14:textId="77777777" w:rsidR="00E20A9C" w:rsidRPr="00D25916" w:rsidRDefault="00E20A9C" w:rsidP="00E20A9C">
                  <w:pPr>
                    <w:pStyle w:val="Paraststmeklis"/>
                    <w:jc w:val="center"/>
                    <w:rPr>
                      <w:b/>
                      <w:bCs/>
                    </w:rPr>
                  </w:pPr>
                  <w:r w:rsidRPr="00D25916">
                    <w:rPr>
                      <w:b/>
                      <w:bCs/>
                    </w:rPr>
                    <w:t>2018</w:t>
                  </w:r>
                </w:p>
              </w:tc>
              <w:tc>
                <w:tcPr>
                  <w:tcW w:w="562" w:type="pct"/>
                  <w:vAlign w:val="center"/>
                </w:tcPr>
                <w:p w14:paraId="2D7E17A5" w14:textId="77777777" w:rsidR="00E20A9C" w:rsidRPr="00D25916" w:rsidRDefault="00E20A9C" w:rsidP="00E20A9C">
                  <w:pPr>
                    <w:pStyle w:val="Paraststmeklis"/>
                    <w:jc w:val="center"/>
                    <w:rPr>
                      <w:b/>
                      <w:bCs/>
                    </w:rPr>
                  </w:pPr>
                  <w:r w:rsidRPr="00D25916">
                    <w:rPr>
                      <w:b/>
                      <w:bCs/>
                    </w:rPr>
                    <w:t>2019</w:t>
                  </w:r>
                </w:p>
              </w:tc>
              <w:tc>
                <w:tcPr>
                  <w:tcW w:w="575" w:type="pct"/>
                  <w:vAlign w:val="center"/>
                </w:tcPr>
                <w:p w14:paraId="595DD24E" w14:textId="77777777" w:rsidR="00E20A9C" w:rsidRPr="00D25916" w:rsidRDefault="00E20A9C" w:rsidP="00E20A9C">
                  <w:pPr>
                    <w:pStyle w:val="Paraststmeklis"/>
                    <w:jc w:val="center"/>
                    <w:rPr>
                      <w:b/>
                      <w:bCs/>
                    </w:rPr>
                  </w:pPr>
                  <w:r w:rsidRPr="00D25916">
                    <w:rPr>
                      <w:b/>
                      <w:bCs/>
                    </w:rPr>
                    <w:t>2020</w:t>
                  </w:r>
                </w:p>
              </w:tc>
            </w:tr>
            <w:tr w:rsidR="00E20A9C" w:rsidRPr="00D25916" w14:paraId="3D9FD803" w14:textId="77777777" w:rsidTr="00D4553F">
              <w:trPr>
                <w:trHeight w:val="63"/>
              </w:trPr>
              <w:tc>
                <w:tcPr>
                  <w:tcW w:w="1325" w:type="pct"/>
                  <w:gridSpan w:val="2"/>
                  <w:vMerge/>
                  <w:vAlign w:val="center"/>
                </w:tcPr>
                <w:p w14:paraId="38918174" w14:textId="77777777" w:rsidR="00E20A9C" w:rsidRPr="00A16F25" w:rsidRDefault="00E20A9C" w:rsidP="00E20A9C">
                  <w:pPr>
                    <w:rPr>
                      <w:rFonts w:ascii="Times New Roman" w:hAnsi="Times New Roman"/>
                      <w:b/>
                      <w:bCs/>
                      <w:sz w:val="24"/>
                      <w:szCs w:val="24"/>
                    </w:rPr>
                  </w:pPr>
                </w:p>
              </w:tc>
              <w:tc>
                <w:tcPr>
                  <w:tcW w:w="856" w:type="pct"/>
                  <w:vAlign w:val="center"/>
                </w:tcPr>
                <w:p w14:paraId="41201888" w14:textId="77777777" w:rsidR="00E20A9C" w:rsidRPr="00D25916" w:rsidRDefault="00E20A9C" w:rsidP="00E20A9C">
                  <w:pPr>
                    <w:pStyle w:val="Paraststmeklis"/>
                    <w:jc w:val="center"/>
                  </w:pPr>
                  <w:r w:rsidRPr="00D25916">
                    <w:t>Saskaņā ar valsts budžetu kārtējam gadam</w:t>
                  </w:r>
                </w:p>
              </w:tc>
              <w:tc>
                <w:tcPr>
                  <w:tcW w:w="903" w:type="pct"/>
                  <w:vAlign w:val="center"/>
                </w:tcPr>
                <w:p w14:paraId="0759E7A3" w14:textId="77777777" w:rsidR="00E20A9C" w:rsidRPr="00D25916" w:rsidRDefault="00E20A9C" w:rsidP="00E20A9C">
                  <w:pPr>
                    <w:pStyle w:val="Paraststmeklis"/>
                    <w:jc w:val="center"/>
                  </w:pPr>
                  <w:r w:rsidRPr="00D25916">
                    <w:t>Izmaiņas kārtējā gadā, salīdzinot ar budžetu kārtējam gadam</w:t>
                  </w:r>
                </w:p>
              </w:tc>
              <w:tc>
                <w:tcPr>
                  <w:tcW w:w="779" w:type="pct"/>
                  <w:vAlign w:val="center"/>
                </w:tcPr>
                <w:p w14:paraId="1F17FD9B" w14:textId="77777777" w:rsidR="00E20A9C" w:rsidRPr="00D25916" w:rsidRDefault="00E20A9C" w:rsidP="00E20A9C">
                  <w:pPr>
                    <w:pStyle w:val="Paraststmeklis"/>
                    <w:jc w:val="center"/>
                  </w:pPr>
                  <w:r w:rsidRPr="00D25916">
                    <w:t xml:space="preserve">Izmaiņas, salīdzinot ar kārtējo </w:t>
                  </w:r>
                  <w:r>
                    <w:t>2017.</w:t>
                  </w:r>
                  <w:r w:rsidRPr="00D25916">
                    <w:t xml:space="preserve"> gadu</w:t>
                  </w:r>
                </w:p>
              </w:tc>
              <w:tc>
                <w:tcPr>
                  <w:tcW w:w="562" w:type="pct"/>
                  <w:vAlign w:val="center"/>
                </w:tcPr>
                <w:p w14:paraId="7668EF48" w14:textId="77777777" w:rsidR="00E20A9C" w:rsidRPr="00D25916" w:rsidRDefault="00E20A9C" w:rsidP="00E20A9C">
                  <w:pPr>
                    <w:pStyle w:val="Paraststmeklis"/>
                    <w:jc w:val="center"/>
                  </w:pPr>
                  <w:r w:rsidRPr="00D25916">
                    <w:t xml:space="preserve">Izmaiņas, salīdzinot ar kārtējo </w:t>
                  </w:r>
                  <w:r>
                    <w:t>2017.</w:t>
                  </w:r>
                  <w:r w:rsidRPr="00D25916">
                    <w:t xml:space="preserve"> gadu</w:t>
                  </w:r>
                </w:p>
              </w:tc>
              <w:tc>
                <w:tcPr>
                  <w:tcW w:w="575" w:type="pct"/>
                  <w:vAlign w:val="center"/>
                </w:tcPr>
                <w:p w14:paraId="32B0A467" w14:textId="77777777" w:rsidR="00E20A9C" w:rsidRPr="00D25916" w:rsidRDefault="00E20A9C" w:rsidP="00E20A9C">
                  <w:pPr>
                    <w:pStyle w:val="Paraststmeklis"/>
                    <w:jc w:val="center"/>
                  </w:pPr>
                  <w:r w:rsidRPr="00D25916">
                    <w:t xml:space="preserve">Izmaiņas, salīdzinot ar kārtējo </w:t>
                  </w:r>
                  <w:r>
                    <w:t>2017.</w:t>
                  </w:r>
                  <w:r w:rsidRPr="00D25916">
                    <w:t xml:space="preserve"> gadu</w:t>
                  </w:r>
                </w:p>
              </w:tc>
            </w:tr>
            <w:tr w:rsidR="00E20A9C" w:rsidRPr="00D25916" w14:paraId="5EED535E" w14:textId="77777777" w:rsidTr="00D4553F">
              <w:trPr>
                <w:trHeight w:val="63"/>
              </w:trPr>
              <w:tc>
                <w:tcPr>
                  <w:tcW w:w="1325" w:type="pct"/>
                  <w:gridSpan w:val="2"/>
                  <w:vAlign w:val="center"/>
                </w:tcPr>
                <w:p w14:paraId="382EC7B4" w14:textId="77777777" w:rsidR="00E20A9C" w:rsidRPr="00D25916" w:rsidRDefault="00E20A9C" w:rsidP="00E20A9C">
                  <w:pPr>
                    <w:pStyle w:val="Paraststmeklis"/>
                    <w:jc w:val="center"/>
                  </w:pPr>
                  <w:r w:rsidRPr="00D25916">
                    <w:t>1</w:t>
                  </w:r>
                </w:p>
              </w:tc>
              <w:tc>
                <w:tcPr>
                  <w:tcW w:w="856" w:type="pct"/>
                  <w:vAlign w:val="center"/>
                </w:tcPr>
                <w:p w14:paraId="75B00B58" w14:textId="77777777" w:rsidR="00E20A9C" w:rsidRPr="00D25916" w:rsidRDefault="00E20A9C" w:rsidP="00E20A9C">
                  <w:pPr>
                    <w:pStyle w:val="Paraststmeklis"/>
                    <w:jc w:val="center"/>
                  </w:pPr>
                  <w:r w:rsidRPr="00D25916">
                    <w:t>2</w:t>
                  </w:r>
                </w:p>
              </w:tc>
              <w:tc>
                <w:tcPr>
                  <w:tcW w:w="903" w:type="pct"/>
                  <w:vAlign w:val="center"/>
                </w:tcPr>
                <w:p w14:paraId="7DB02FB1" w14:textId="77777777" w:rsidR="00E20A9C" w:rsidRPr="00D25916" w:rsidRDefault="00E20A9C" w:rsidP="00E20A9C">
                  <w:pPr>
                    <w:pStyle w:val="Paraststmeklis"/>
                    <w:jc w:val="center"/>
                  </w:pPr>
                  <w:r w:rsidRPr="00D25916">
                    <w:t>3</w:t>
                  </w:r>
                </w:p>
              </w:tc>
              <w:tc>
                <w:tcPr>
                  <w:tcW w:w="779" w:type="pct"/>
                  <w:vAlign w:val="center"/>
                </w:tcPr>
                <w:p w14:paraId="6B229BE6" w14:textId="77777777" w:rsidR="00E20A9C" w:rsidRPr="00D25916" w:rsidRDefault="00E20A9C" w:rsidP="00E20A9C">
                  <w:pPr>
                    <w:pStyle w:val="Paraststmeklis"/>
                    <w:jc w:val="center"/>
                  </w:pPr>
                  <w:r w:rsidRPr="00D25916">
                    <w:t>4</w:t>
                  </w:r>
                </w:p>
              </w:tc>
              <w:tc>
                <w:tcPr>
                  <w:tcW w:w="562" w:type="pct"/>
                  <w:vAlign w:val="center"/>
                </w:tcPr>
                <w:p w14:paraId="29C3B779" w14:textId="77777777" w:rsidR="00E20A9C" w:rsidRPr="00D25916" w:rsidRDefault="00E20A9C" w:rsidP="00E20A9C">
                  <w:pPr>
                    <w:pStyle w:val="Paraststmeklis"/>
                    <w:jc w:val="center"/>
                  </w:pPr>
                  <w:r w:rsidRPr="00D25916">
                    <w:t>5</w:t>
                  </w:r>
                </w:p>
              </w:tc>
              <w:tc>
                <w:tcPr>
                  <w:tcW w:w="575" w:type="pct"/>
                  <w:vAlign w:val="center"/>
                </w:tcPr>
                <w:p w14:paraId="54626C9B" w14:textId="77777777" w:rsidR="00E20A9C" w:rsidRPr="00D25916" w:rsidRDefault="00E20A9C" w:rsidP="00E20A9C">
                  <w:pPr>
                    <w:pStyle w:val="Paraststmeklis"/>
                    <w:jc w:val="center"/>
                  </w:pPr>
                  <w:r w:rsidRPr="00D25916">
                    <w:t>6</w:t>
                  </w:r>
                </w:p>
              </w:tc>
            </w:tr>
            <w:tr w:rsidR="00E20A9C" w:rsidRPr="00A16F25" w14:paraId="00525A01" w14:textId="77777777" w:rsidTr="00D4553F">
              <w:trPr>
                <w:trHeight w:val="63"/>
              </w:trPr>
              <w:tc>
                <w:tcPr>
                  <w:tcW w:w="1325" w:type="pct"/>
                  <w:gridSpan w:val="2"/>
                </w:tcPr>
                <w:p w14:paraId="51A42DEA" w14:textId="77777777" w:rsidR="00E20A9C" w:rsidRPr="00D25916" w:rsidRDefault="00E20A9C" w:rsidP="00E20A9C">
                  <w:pPr>
                    <w:pStyle w:val="Paraststmeklis"/>
                  </w:pPr>
                  <w:r w:rsidRPr="00D25916">
                    <w:t>1. Budžeta ieņēmumi:</w:t>
                  </w:r>
                </w:p>
              </w:tc>
              <w:tc>
                <w:tcPr>
                  <w:tcW w:w="856" w:type="pct"/>
                </w:tcPr>
                <w:p w14:paraId="22825203"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903" w:type="pct"/>
                </w:tcPr>
                <w:p w14:paraId="7C90F50F"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60163496" w14:textId="77777777" w:rsidR="00E20A9C" w:rsidRPr="00A16F25" w:rsidRDefault="00E20A9C"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62" w:type="pct"/>
                </w:tcPr>
                <w:p w14:paraId="4EEC4D4F" w14:textId="77777777" w:rsidR="00E20A9C" w:rsidRPr="00A16F25" w:rsidRDefault="00E20A9C"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75" w:type="pct"/>
                </w:tcPr>
                <w:p w14:paraId="5A5EC257" w14:textId="77777777" w:rsidR="00E20A9C" w:rsidRPr="00A16F25" w:rsidRDefault="00E20A9C" w:rsidP="00E20A9C">
                  <w:pPr>
                    <w:spacing w:line="270" w:lineRule="atLeast"/>
                    <w:jc w:val="center"/>
                    <w:rPr>
                      <w:rFonts w:ascii="Times New Roman" w:hAnsi="Times New Roman"/>
                      <w:sz w:val="24"/>
                      <w:szCs w:val="24"/>
                    </w:rPr>
                  </w:pPr>
                  <w:r>
                    <w:rPr>
                      <w:rFonts w:ascii="Times New Roman" w:hAnsi="Times New Roman"/>
                      <w:sz w:val="24"/>
                      <w:szCs w:val="24"/>
                    </w:rPr>
                    <w:t>53 300</w:t>
                  </w:r>
                </w:p>
              </w:tc>
            </w:tr>
            <w:tr w:rsidR="00E20A9C" w:rsidRPr="00A16F25" w14:paraId="5487906E" w14:textId="77777777" w:rsidTr="00D4553F">
              <w:trPr>
                <w:trHeight w:val="1025"/>
              </w:trPr>
              <w:tc>
                <w:tcPr>
                  <w:tcW w:w="1325" w:type="pct"/>
                  <w:gridSpan w:val="2"/>
                </w:tcPr>
                <w:p w14:paraId="72537608" w14:textId="77777777" w:rsidR="00E20A9C" w:rsidRPr="00D25916" w:rsidRDefault="00E20A9C" w:rsidP="00E20A9C">
                  <w:pPr>
                    <w:pStyle w:val="Paraststmeklis"/>
                    <w:spacing w:before="0" w:beforeAutospacing="0" w:after="0" w:afterAutospacing="0"/>
                    <w:ind w:left="330" w:hanging="330"/>
                  </w:pPr>
                  <w:r>
                    <w:t>1.1. valsts pamatbudžets, tai skaitā ieņēmumi no maksas pakalpojumiem un citi pašu ieņēmumi</w:t>
                  </w:r>
                </w:p>
              </w:tc>
              <w:tc>
                <w:tcPr>
                  <w:tcW w:w="856" w:type="pct"/>
                </w:tcPr>
                <w:p w14:paraId="06E40E6B" w14:textId="77777777" w:rsidR="00E20A9C" w:rsidRPr="00A16F25" w:rsidRDefault="00E20A9C" w:rsidP="00E20A9C">
                  <w:pPr>
                    <w:spacing w:line="270" w:lineRule="atLeast"/>
                    <w:jc w:val="center"/>
                    <w:rPr>
                      <w:rFonts w:ascii="Times New Roman" w:hAnsi="Times New Roman"/>
                      <w:sz w:val="24"/>
                      <w:szCs w:val="24"/>
                    </w:rPr>
                  </w:pPr>
                </w:p>
                <w:p w14:paraId="7609C3F5" w14:textId="77777777" w:rsidR="00E20A9C" w:rsidRPr="00A16F25" w:rsidRDefault="00E20A9C" w:rsidP="00E20A9C">
                  <w:pPr>
                    <w:spacing w:line="270" w:lineRule="atLeast"/>
                    <w:jc w:val="center"/>
                    <w:rPr>
                      <w:rFonts w:ascii="Times New Roman" w:hAnsi="Times New Roman"/>
                      <w:sz w:val="24"/>
                      <w:szCs w:val="24"/>
                    </w:rPr>
                  </w:pPr>
                </w:p>
              </w:tc>
              <w:tc>
                <w:tcPr>
                  <w:tcW w:w="903" w:type="pct"/>
                </w:tcPr>
                <w:p w14:paraId="6FAF8AD5" w14:textId="77777777" w:rsidR="00E20A9C" w:rsidRPr="00A16F25" w:rsidRDefault="00E20A9C" w:rsidP="00E20A9C">
                  <w:pPr>
                    <w:spacing w:line="270" w:lineRule="atLeast"/>
                    <w:rPr>
                      <w:rFonts w:ascii="Times New Roman" w:hAnsi="Times New Roman"/>
                      <w:sz w:val="24"/>
                      <w:szCs w:val="24"/>
                    </w:rPr>
                  </w:pPr>
                </w:p>
                <w:p w14:paraId="3C6DFEE5" w14:textId="77777777" w:rsidR="00E20A9C" w:rsidRPr="00A16F25" w:rsidRDefault="00E20A9C" w:rsidP="00E20A9C">
                  <w:pPr>
                    <w:spacing w:line="270" w:lineRule="atLeast"/>
                    <w:jc w:val="center"/>
                    <w:rPr>
                      <w:rFonts w:ascii="Times New Roman" w:hAnsi="Times New Roman"/>
                      <w:sz w:val="24"/>
                      <w:szCs w:val="24"/>
                    </w:rPr>
                  </w:pPr>
                </w:p>
                <w:p w14:paraId="62D87839" w14:textId="77777777" w:rsidR="00E20A9C" w:rsidRPr="00A16F25" w:rsidRDefault="00E20A9C" w:rsidP="00E20A9C">
                  <w:pPr>
                    <w:spacing w:line="270" w:lineRule="atLeast"/>
                    <w:jc w:val="center"/>
                    <w:rPr>
                      <w:rFonts w:ascii="Times New Roman" w:hAnsi="Times New Roman"/>
                      <w:sz w:val="24"/>
                      <w:szCs w:val="24"/>
                    </w:rPr>
                  </w:pPr>
                </w:p>
                <w:p w14:paraId="2589052A" w14:textId="77777777" w:rsidR="00E20A9C" w:rsidRPr="00A16F25" w:rsidRDefault="00E20A9C" w:rsidP="00E20A9C">
                  <w:pPr>
                    <w:spacing w:line="270" w:lineRule="atLeast"/>
                    <w:jc w:val="center"/>
                    <w:rPr>
                      <w:rFonts w:ascii="Times New Roman" w:hAnsi="Times New Roman"/>
                      <w:sz w:val="24"/>
                      <w:szCs w:val="24"/>
                    </w:rPr>
                  </w:pPr>
                </w:p>
              </w:tc>
              <w:tc>
                <w:tcPr>
                  <w:tcW w:w="779" w:type="pct"/>
                </w:tcPr>
                <w:p w14:paraId="1497E9A9" w14:textId="77777777" w:rsidR="00E20A9C" w:rsidRPr="00A16F25" w:rsidRDefault="00E20A9C"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62" w:type="pct"/>
                </w:tcPr>
                <w:p w14:paraId="22EBC439" w14:textId="77777777" w:rsidR="00E20A9C" w:rsidRPr="00A16F25" w:rsidRDefault="00E20A9C"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75" w:type="pct"/>
                </w:tcPr>
                <w:p w14:paraId="49D391A7" w14:textId="77777777" w:rsidR="00E20A9C" w:rsidRPr="00A16F25" w:rsidRDefault="00E20A9C" w:rsidP="00E20A9C">
                  <w:pPr>
                    <w:spacing w:line="270" w:lineRule="atLeast"/>
                    <w:rPr>
                      <w:rFonts w:ascii="Times New Roman" w:hAnsi="Times New Roman"/>
                      <w:sz w:val="24"/>
                      <w:szCs w:val="24"/>
                    </w:rPr>
                  </w:pPr>
                  <w:r>
                    <w:rPr>
                      <w:rFonts w:ascii="Times New Roman" w:hAnsi="Times New Roman"/>
                      <w:sz w:val="24"/>
                      <w:szCs w:val="24"/>
                    </w:rPr>
                    <w:t xml:space="preserve">   53 300</w:t>
                  </w:r>
                </w:p>
              </w:tc>
            </w:tr>
            <w:tr w:rsidR="00E20A9C" w:rsidRPr="00A16F25" w14:paraId="201D3F13" w14:textId="77777777" w:rsidTr="00D4553F">
              <w:trPr>
                <w:trHeight w:val="63"/>
              </w:trPr>
              <w:tc>
                <w:tcPr>
                  <w:tcW w:w="1325" w:type="pct"/>
                  <w:gridSpan w:val="2"/>
                </w:tcPr>
                <w:p w14:paraId="6FBCA0DA" w14:textId="77777777" w:rsidR="00E20A9C" w:rsidRPr="00D25916" w:rsidRDefault="00E20A9C" w:rsidP="00E20A9C">
                  <w:pPr>
                    <w:pStyle w:val="Paraststmeklis"/>
                  </w:pPr>
                  <w:r w:rsidRPr="00D25916">
                    <w:t>1.2. valsts speciālais budžets</w:t>
                  </w:r>
                </w:p>
              </w:tc>
              <w:tc>
                <w:tcPr>
                  <w:tcW w:w="856" w:type="pct"/>
                </w:tcPr>
                <w:p w14:paraId="3273C3AE"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903" w:type="pct"/>
                </w:tcPr>
                <w:p w14:paraId="1E26C70D"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50AEF339"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62" w:type="pct"/>
                </w:tcPr>
                <w:p w14:paraId="62B59FB5"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75" w:type="pct"/>
                </w:tcPr>
                <w:p w14:paraId="6CBCBFF6"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r>
            <w:tr w:rsidR="00E20A9C" w:rsidRPr="00A16F25" w14:paraId="4C1EC513" w14:textId="77777777" w:rsidTr="00D4553F">
              <w:trPr>
                <w:trHeight w:val="63"/>
              </w:trPr>
              <w:tc>
                <w:tcPr>
                  <w:tcW w:w="1325" w:type="pct"/>
                  <w:gridSpan w:val="2"/>
                </w:tcPr>
                <w:p w14:paraId="1D097560" w14:textId="77777777" w:rsidR="00E20A9C" w:rsidRPr="00D25916" w:rsidRDefault="00E20A9C" w:rsidP="00E20A9C">
                  <w:pPr>
                    <w:pStyle w:val="Paraststmeklis"/>
                  </w:pPr>
                  <w:r w:rsidRPr="00D25916">
                    <w:t>1.3. pašvaldību budžets</w:t>
                  </w:r>
                </w:p>
              </w:tc>
              <w:tc>
                <w:tcPr>
                  <w:tcW w:w="856" w:type="pct"/>
                </w:tcPr>
                <w:p w14:paraId="0EE8A391"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903" w:type="pct"/>
                </w:tcPr>
                <w:p w14:paraId="0DD7B44A"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272C40B8"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62" w:type="pct"/>
                </w:tcPr>
                <w:p w14:paraId="67BB9168"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75" w:type="pct"/>
                </w:tcPr>
                <w:p w14:paraId="21C63653"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r>
            <w:tr w:rsidR="00E20A9C" w:rsidRPr="002301D5" w14:paraId="2C87D127" w14:textId="77777777" w:rsidTr="00D4553F">
              <w:trPr>
                <w:trHeight w:val="63"/>
              </w:trPr>
              <w:tc>
                <w:tcPr>
                  <w:tcW w:w="1325" w:type="pct"/>
                  <w:gridSpan w:val="2"/>
                </w:tcPr>
                <w:p w14:paraId="537B4936" w14:textId="77777777" w:rsidR="00E20A9C" w:rsidRPr="00D25916" w:rsidRDefault="00E20A9C" w:rsidP="00E20A9C">
                  <w:pPr>
                    <w:pStyle w:val="Paraststmeklis"/>
                  </w:pPr>
                  <w:r w:rsidRPr="00D25916">
                    <w:t>2. Budžeta izdevumi:</w:t>
                  </w:r>
                </w:p>
              </w:tc>
              <w:tc>
                <w:tcPr>
                  <w:tcW w:w="856" w:type="pct"/>
                </w:tcPr>
                <w:p w14:paraId="3BB47841"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903" w:type="pct"/>
                </w:tcPr>
                <w:p w14:paraId="15763513"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72DEDD1C" w14:textId="2A8E31F3" w:rsidR="00E20A9C" w:rsidRPr="00A16F25" w:rsidRDefault="000735A7"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62" w:type="pct"/>
                </w:tcPr>
                <w:p w14:paraId="6AD578C0" w14:textId="77777777" w:rsidR="00E20A9C" w:rsidRPr="002301D5" w:rsidRDefault="00E20A9C" w:rsidP="00E20A9C">
                  <w:pPr>
                    <w:spacing w:line="270" w:lineRule="atLeast"/>
                    <w:jc w:val="center"/>
                    <w:rPr>
                      <w:rFonts w:ascii="Times New Roman" w:hAnsi="Times New Roman"/>
                      <w:sz w:val="24"/>
                      <w:szCs w:val="24"/>
                    </w:rPr>
                  </w:pPr>
                  <w:r>
                    <w:rPr>
                      <w:rFonts w:ascii="Times New Roman" w:hAnsi="Times New Roman"/>
                      <w:sz w:val="24"/>
                      <w:szCs w:val="20"/>
                    </w:rPr>
                    <w:t>0</w:t>
                  </w:r>
                </w:p>
              </w:tc>
              <w:tc>
                <w:tcPr>
                  <w:tcW w:w="575" w:type="pct"/>
                </w:tcPr>
                <w:p w14:paraId="1A864813" w14:textId="4C2E2D51" w:rsidR="00E20A9C" w:rsidRPr="002301D5" w:rsidRDefault="00E20A9C" w:rsidP="00E20A9C">
                  <w:pPr>
                    <w:spacing w:line="270" w:lineRule="atLeast"/>
                    <w:jc w:val="center"/>
                    <w:rPr>
                      <w:rFonts w:ascii="Times New Roman" w:hAnsi="Times New Roman"/>
                      <w:sz w:val="24"/>
                      <w:szCs w:val="24"/>
                    </w:rPr>
                  </w:pPr>
                  <w:r>
                    <w:rPr>
                      <w:rFonts w:ascii="Times New Roman" w:hAnsi="Times New Roman"/>
                      <w:sz w:val="24"/>
                      <w:szCs w:val="20"/>
                    </w:rPr>
                    <w:t xml:space="preserve">52 </w:t>
                  </w:r>
                  <w:r w:rsidR="0008331E">
                    <w:rPr>
                      <w:rFonts w:ascii="Times New Roman" w:hAnsi="Times New Roman"/>
                      <w:sz w:val="24"/>
                      <w:szCs w:val="20"/>
                    </w:rPr>
                    <w:t>827</w:t>
                  </w:r>
                </w:p>
              </w:tc>
            </w:tr>
            <w:tr w:rsidR="00E20A9C" w:rsidRPr="002301D5" w14:paraId="380D19B4" w14:textId="77777777" w:rsidTr="00D4553F">
              <w:trPr>
                <w:trHeight w:val="471"/>
              </w:trPr>
              <w:tc>
                <w:tcPr>
                  <w:tcW w:w="1325" w:type="pct"/>
                  <w:gridSpan w:val="2"/>
                </w:tcPr>
                <w:p w14:paraId="716F8D3F" w14:textId="77777777" w:rsidR="00E20A9C" w:rsidRPr="00D25916" w:rsidRDefault="00E20A9C" w:rsidP="00E20A9C">
                  <w:pPr>
                    <w:pStyle w:val="Paraststmeklis"/>
                    <w:spacing w:before="0" w:beforeAutospacing="0" w:after="0" w:afterAutospacing="0"/>
                  </w:pPr>
                  <w:r w:rsidRPr="00D25916">
                    <w:t>2.1. valsts pamatbudžets</w:t>
                  </w:r>
                </w:p>
                <w:p w14:paraId="5F8AA00C" w14:textId="77777777" w:rsidR="00E20A9C" w:rsidRPr="00D25916" w:rsidRDefault="00E20A9C" w:rsidP="00E20A9C">
                  <w:pPr>
                    <w:pStyle w:val="Paraststmeklis"/>
                    <w:spacing w:before="0" w:beforeAutospacing="0" w:after="0" w:afterAutospacing="0"/>
                    <w:ind w:left="330" w:hanging="330"/>
                  </w:pPr>
                </w:p>
              </w:tc>
              <w:tc>
                <w:tcPr>
                  <w:tcW w:w="856" w:type="pct"/>
                </w:tcPr>
                <w:p w14:paraId="642AD76E"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903" w:type="pct"/>
                </w:tcPr>
                <w:p w14:paraId="5A978674"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020DF4C6" w14:textId="57F689BB" w:rsidR="00E20A9C" w:rsidRPr="00A16F25" w:rsidRDefault="000735A7"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62" w:type="pct"/>
                </w:tcPr>
                <w:p w14:paraId="6C74013B" w14:textId="77777777" w:rsidR="00E20A9C" w:rsidRPr="00A16F25" w:rsidRDefault="00E20A9C" w:rsidP="00E20A9C">
                  <w:pPr>
                    <w:spacing w:line="270" w:lineRule="atLeast"/>
                    <w:jc w:val="center"/>
                    <w:rPr>
                      <w:rFonts w:ascii="Times New Roman" w:hAnsi="Times New Roman"/>
                      <w:sz w:val="24"/>
                      <w:szCs w:val="24"/>
                    </w:rPr>
                  </w:pPr>
                  <w:r>
                    <w:rPr>
                      <w:rFonts w:ascii="Times New Roman" w:hAnsi="Times New Roman"/>
                      <w:sz w:val="24"/>
                      <w:szCs w:val="20"/>
                    </w:rPr>
                    <w:t>0</w:t>
                  </w:r>
                </w:p>
              </w:tc>
              <w:tc>
                <w:tcPr>
                  <w:tcW w:w="575" w:type="pct"/>
                </w:tcPr>
                <w:p w14:paraId="39602235" w14:textId="3A7EA748" w:rsidR="00E20A9C" w:rsidRPr="002301D5" w:rsidRDefault="00E20A9C" w:rsidP="00E20A9C">
                  <w:pPr>
                    <w:spacing w:line="270" w:lineRule="atLeast"/>
                    <w:jc w:val="center"/>
                    <w:rPr>
                      <w:rFonts w:ascii="Times New Roman" w:hAnsi="Times New Roman"/>
                      <w:sz w:val="24"/>
                      <w:szCs w:val="24"/>
                    </w:rPr>
                  </w:pPr>
                  <w:r>
                    <w:rPr>
                      <w:rFonts w:ascii="Times New Roman" w:hAnsi="Times New Roman"/>
                      <w:sz w:val="24"/>
                      <w:szCs w:val="20"/>
                    </w:rPr>
                    <w:t xml:space="preserve">52 </w:t>
                  </w:r>
                  <w:r w:rsidR="0008331E">
                    <w:rPr>
                      <w:rFonts w:ascii="Times New Roman" w:hAnsi="Times New Roman"/>
                      <w:sz w:val="24"/>
                      <w:szCs w:val="20"/>
                    </w:rPr>
                    <w:t>827</w:t>
                  </w:r>
                </w:p>
              </w:tc>
            </w:tr>
            <w:tr w:rsidR="00E20A9C" w:rsidRPr="00A16F25" w14:paraId="426E5DF4" w14:textId="77777777" w:rsidTr="00D4553F">
              <w:trPr>
                <w:trHeight w:val="63"/>
              </w:trPr>
              <w:tc>
                <w:tcPr>
                  <w:tcW w:w="1325" w:type="pct"/>
                  <w:gridSpan w:val="2"/>
                </w:tcPr>
                <w:p w14:paraId="699FEF0C" w14:textId="77777777" w:rsidR="00E20A9C" w:rsidRPr="00D25916" w:rsidRDefault="00E20A9C" w:rsidP="00E20A9C">
                  <w:pPr>
                    <w:pStyle w:val="Paraststmeklis"/>
                  </w:pPr>
                  <w:r w:rsidRPr="00D25916">
                    <w:t>2.2. valsts speciālais budžets</w:t>
                  </w:r>
                </w:p>
              </w:tc>
              <w:tc>
                <w:tcPr>
                  <w:tcW w:w="856" w:type="pct"/>
                </w:tcPr>
                <w:p w14:paraId="37A28556"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903" w:type="pct"/>
                </w:tcPr>
                <w:p w14:paraId="70E2163F"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2C7C5F35"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62" w:type="pct"/>
                </w:tcPr>
                <w:p w14:paraId="3A5D3285"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75" w:type="pct"/>
                </w:tcPr>
                <w:p w14:paraId="2467EFFC"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r>
            <w:tr w:rsidR="00E20A9C" w:rsidRPr="00A16F25" w14:paraId="4D1DC785" w14:textId="77777777" w:rsidTr="00D4553F">
              <w:trPr>
                <w:trHeight w:val="63"/>
              </w:trPr>
              <w:tc>
                <w:tcPr>
                  <w:tcW w:w="1325" w:type="pct"/>
                  <w:gridSpan w:val="2"/>
                </w:tcPr>
                <w:p w14:paraId="1F173774" w14:textId="77777777" w:rsidR="00E20A9C" w:rsidRPr="00D25916" w:rsidRDefault="00E20A9C" w:rsidP="00E20A9C">
                  <w:pPr>
                    <w:pStyle w:val="Paraststmeklis"/>
                  </w:pPr>
                  <w:r w:rsidRPr="00D25916">
                    <w:t>2.3. pašvaldību budžets</w:t>
                  </w:r>
                </w:p>
              </w:tc>
              <w:tc>
                <w:tcPr>
                  <w:tcW w:w="856" w:type="pct"/>
                </w:tcPr>
                <w:p w14:paraId="58B72080"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903" w:type="pct"/>
                </w:tcPr>
                <w:p w14:paraId="0466B3A8"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7306EFBF"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62" w:type="pct"/>
                </w:tcPr>
                <w:p w14:paraId="6C2869AC"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75" w:type="pct"/>
                </w:tcPr>
                <w:p w14:paraId="656ACBEA"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r>
            <w:tr w:rsidR="00E20A9C" w:rsidRPr="002301D5" w14:paraId="1E8890C2" w14:textId="77777777" w:rsidTr="00D4553F">
              <w:trPr>
                <w:trHeight w:val="63"/>
              </w:trPr>
              <w:tc>
                <w:tcPr>
                  <w:tcW w:w="1325" w:type="pct"/>
                  <w:gridSpan w:val="2"/>
                </w:tcPr>
                <w:p w14:paraId="0A7C084B" w14:textId="77777777" w:rsidR="00E20A9C" w:rsidRPr="00D25916" w:rsidRDefault="00E20A9C" w:rsidP="00E20A9C">
                  <w:pPr>
                    <w:pStyle w:val="Paraststmeklis"/>
                  </w:pPr>
                  <w:r w:rsidRPr="00D25916">
                    <w:lastRenderedPageBreak/>
                    <w:t>3. Finansiālā ietekme:</w:t>
                  </w:r>
                </w:p>
              </w:tc>
              <w:tc>
                <w:tcPr>
                  <w:tcW w:w="856" w:type="pct"/>
                  <w:vAlign w:val="center"/>
                </w:tcPr>
                <w:p w14:paraId="5356E9F4"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903" w:type="pct"/>
                </w:tcPr>
                <w:p w14:paraId="485A2522"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454F6DFB" w14:textId="4986981E" w:rsidR="00E20A9C" w:rsidRPr="00A16F25" w:rsidRDefault="000735A7"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62" w:type="pct"/>
                </w:tcPr>
                <w:p w14:paraId="133B0DDA" w14:textId="77777777" w:rsidR="00E20A9C" w:rsidRPr="002301D5" w:rsidRDefault="00E20A9C"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75" w:type="pct"/>
                </w:tcPr>
                <w:p w14:paraId="5B8F2B9A" w14:textId="749D5B27" w:rsidR="00E20A9C" w:rsidRPr="002301D5" w:rsidRDefault="0008331E" w:rsidP="00E20A9C">
                  <w:pPr>
                    <w:spacing w:line="270" w:lineRule="atLeast"/>
                    <w:jc w:val="center"/>
                    <w:rPr>
                      <w:rFonts w:ascii="Times New Roman" w:hAnsi="Times New Roman"/>
                      <w:sz w:val="24"/>
                      <w:szCs w:val="24"/>
                    </w:rPr>
                  </w:pPr>
                  <w:r>
                    <w:rPr>
                      <w:rFonts w:ascii="Times New Roman" w:hAnsi="Times New Roman"/>
                      <w:sz w:val="24"/>
                      <w:szCs w:val="24"/>
                    </w:rPr>
                    <w:t>473</w:t>
                  </w:r>
                </w:p>
              </w:tc>
            </w:tr>
            <w:tr w:rsidR="00E20A9C" w:rsidRPr="00A16F25" w14:paraId="2B963C8F" w14:textId="77777777" w:rsidTr="00D4553F">
              <w:trPr>
                <w:trHeight w:val="283"/>
              </w:trPr>
              <w:tc>
                <w:tcPr>
                  <w:tcW w:w="1325" w:type="pct"/>
                  <w:gridSpan w:val="2"/>
                </w:tcPr>
                <w:p w14:paraId="782625D6" w14:textId="77777777" w:rsidR="00E20A9C" w:rsidRPr="00D25916" w:rsidRDefault="00E20A9C" w:rsidP="00E20A9C">
                  <w:pPr>
                    <w:pStyle w:val="Paraststmeklis"/>
                  </w:pPr>
                  <w:r w:rsidRPr="00D25916">
                    <w:t>3.1. valsts pamatbudžets</w:t>
                  </w:r>
                </w:p>
              </w:tc>
              <w:tc>
                <w:tcPr>
                  <w:tcW w:w="856" w:type="pct"/>
                </w:tcPr>
                <w:p w14:paraId="6A8667E5"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903" w:type="pct"/>
                </w:tcPr>
                <w:p w14:paraId="414C9E6C"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33667418" w14:textId="1064E9DD" w:rsidR="00E20A9C" w:rsidRPr="00A16F25" w:rsidRDefault="000735A7"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62" w:type="pct"/>
                </w:tcPr>
                <w:p w14:paraId="7C8094E8" w14:textId="77777777" w:rsidR="00E20A9C" w:rsidRPr="00A16F25" w:rsidRDefault="00E20A9C"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75" w:type="pct"/>
                </w:tcPr>
                <w:p w14:paraId="6BDD8077" w14:textId="3EFEB475" w:rsidR="00E20A9C" w:rsidRPr="00A16F25" w:rsidRDefault="0008331E" w:rsidP="00E20A9C">
                  <w:pPr>
                    <w:spacing w:line="270" w:lineRule="atLeast"/>
                    <w:jc w:val="center"/>
                    <w:rPr>
                      <w:rFonts w:ascii="Times New Roman" w:hAnsi="Times New Roman"/>
                      <w:sz w:val="24"/>
                      <w:szCs w:val="24"/>
                    </w:rPr>
                  </w:pPr>
                  <w:r>
                    <w:rPr>
                      <w:rFonts w:ascii="Times New Roman" w:hAnsi="Times New Roman"/>
                      <w:sz w:val="24"/>
                      <w:szCs w:val="24"/>
                    </w:rPr>
                    <w:t>473</w:t>
                  </w:r>
                </w:p>
              </w:tc>
            </w:tr>
            <w:tr w:rsidR="00E20A9C" w:rsidRPr="00A16F25" w14:paraId="762F3E65" w14:textId="77777777" w:rsidTr="00D4553F">
              <w:trPr>
                <w:trHeight w:val="145"/>
              </w:trPr>
              <w:tc>
                <w:tcPr>
                  <w:tcW w:w="1325" w:type="pct"/>
                  <w:gridSpan w:val="2"/>
                </w:tcPr>
                <w:p w14:paraId="3D9E0002" w14:textId="77777777" w:rsidR="00E20A9C" w:rsidRPr="00D25916" w:rsidRDefault="00E20A9C" w:rsidP="00E20A9C">
                  <w:pPr>
                    <w:pStyle w:val="Paraststmeklis"/>
                  </w:pPr>
                  <w:r w:rsidRPr="00D25916">
                    <w:t>3.2. speciālais budžets</w:t>
                  </w:r>
                </w:p>
              </w:tc>
              <w:tc>
                <w:tcPr>
                  <w:tcW w:w="856" w:type="pct"/>
                </w:tcPr>
                <w:p w14:paraId="71732032"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903" w:type="pct"/>
                </w:tcPr>
                <w:p w14:paraId="68A70557"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6A84B916"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62" w:type="pct"/>
                </w:tcPr>
                <w:p w14:paraId="00BD8312"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75" w:type="pct"/>
                </w:tcPr>
                <w:p w14:paraId="015A099B"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r>
            <w:tr w:rsidR="00E20A9C" w:rsidRPr="00A16F25" w14:paraId="42FB2EDC" w14:textId="77777777" w:rsidTr="00D4553F">
              <w:trPr>
                <w:trHeight w:val="138"/>
              </w:trPr>
              <w:tc>
                <w:tcPr>
                  <w:tcW w:w="1325" w:type="pct"/>
                  <w:gridSpan w:val="2"/>
                </w:tcPr>
                <w:p w14:paraId="0D79B226" w14:textId="77777777" w:rsidR="00E20A9C" w:rsidRPr="00D25916" w:rsidRDefault="00E20A9C" w:rsidP="00E20A9C">
                  <w:pPr>
                    <w:pStyle w:val="Paraststmeklis"/>
                  </w:pPr>
                  <w:r w:rsidRPr="00D25916">
                    <w:t>3.3. pašvaldību budžets</w:t>
                  </w:r>
                </w:p>
              </w:tc>
              <w:tc>
                <w:tcPr>
                  <w:tcW w:w="856" w:type="pct"/>
                </w:tcPr>
                <w:p w14:paraId="10B413EE"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903" w:type="pct"/>
                </w:tcPr>
                <w:p w14:paraId="676D46CF"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664259A0"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62" w:type="pct"/>
                </w:tcPr>
                <w:p w14:paraId="1A753495"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75" w:type="pct"/>
                </w:tcPr>
                <w:p w14:paraId="1D6EE95C"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r>
            <w:tr w:rsidR="00E20A9C" w:rsidRPr="00A16F25" w14:paraId="5A97CAF8" w14:textId="77777777" w:rsidTr="00D4553F">
              <w:trPr>
                <w:trHeight w:val="158"/>
              </w:trPr>
              <w:tc>
                <w:tcPr>
                  <w:tcW w:w="1325" w:type="pct"/>
                  <w:gridSpan w:val="2"/>
                  <w:vMerge w:val="restart"/>
                </w:tcPr>
                <w:p w14:paraId="39418FDB" w14:textId="5087FAD4" w:rsidR="00E20A9C" w:rsidRPr="00D25916" w:rsidRDefault="00E20A9C" w:rsidP="00E20A9C">
                  <w:pPr>
                    <w:pStyle w:val="Paraststmeklis"/>
                  </w:pPr>
                  <w:r w:rsidRPr="00D25916">
                    <w:t xml:space="preserve">4. Finanšu līdzekļi papildu izdevumu finansēšanai (kompensējošu izdevumu samazinājumu norāda ar </w:t>
                  </w:r>
                  <w:r w:rsidR="00D4553F">
                    <w:t>“</w:t>
                  </w:r>
                  <w:r w:rsidRPr="00D25916">
                    <w:t>+</w:t>
                  </w:r>
                  <w:r w:rsidR="00D4553F">
                    <w:t>”</w:t>
                  </w:r>
                  <w:r w:rsidRPr="00D25916">
                    <w:t xml:space="preserve"> zīmi)</w:t>
                  </w:r>
                </w:p>
              </w:tc>
              <w:tc>
                <w:tcPr>
                  <w:tcW w:w="856" w:type="pct"/>
                  <w:vMerge w:val="restart"/>
                </w:tcPr>
                <w:p w14:paraId="2338878C" w14:textId="77777777" w:rsidR="00E20A9C" w:rsidRPr="00D25916" w:rsidRDefault="00E20A9C" w:rsidP="00E20A9C">
                  <w:pPr>
                    <w:pStyle w:val="Paraststmeklis"/>
                    <w:jc w:val="center"/>
                  </w:pPr>
                  <w:r w:rsidRPr="00D25916">
                    <w:t>X</w:t>
                  </w:r>
                </w:p>
              </w:tc>
              <w:tc>
                <w:tcPr>
                  <w:tcW w:w="903" w:type="pct"/>
                </w:tcPr>
                <w:p w14:paraId="4AB4C82C"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1470104F"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62" w:type="pct"/>
                </w:tcPr>
                <w:p w14:paraId="2A2E75C0"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575" w:type="pct"/>
                </w:tcPr>
                <w:p w14:paraId="5368126D"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r>
            <w:tr w:rsidR="00E20A9C" w:rsidRPr="00A16F25" w14:paraId="5EF00399" w14:textId="77777777" w:rsidTr="00D4553F">
              <w:trPr>
                <w:trHeight w:val="63"/>
              </w:trPr>
              <w:tc>
                <w:tcPr>
                  <w:tcW w:w="1325" w:type="pct"/>
                  <w:gridSpan w:val="2"/>
                  <w:vMerge/>
                  <w:vAlign w:val="center"/>
                </w:tcPr>
                <w:p w14:paraId="0C52711A" w14:textId="77777777" w:rsidR="00E20A9C" w:rsidRPr="00A16F25" w:rsidRDefault="00E20A9C" w:rsidP="00E20A9C">
                  <w:pPr>
                    <w:rPr>
                      <w:rFonts w:ascii="Times New Roman" w:hAnsi="Times New Roman"/>
                      <w:sz w:val="24"/>
                      <w:szCs w:val="24"/>
                    </w:rPr>
                  </w:pPr>
                </w:p>
              </w:tc>
              <w:tc>
                <w:tcPr>
                  <w:tcW w:w="856" w:type="pct"/>
                  <w:vMerge/>
                  <w:vAlign w:val="center"/>
                </w:tcPr>
                <w:p w14:paraId="51C9A03A" w14:textId="77777777" w:rsidR="00E20A9C" w:rsidRPr="00A16F25" w:rsidRDefault="00E20A9C" w:rsidP="00E20A9C">
                  <w:pPr>
                    <w:jc w:val="center"/>
                    <w:rPr>
                      <w:rFonts w:ascii="Times New Roman" w:hAnsi="Times New Roman"/>
                      <w:sz w:val="24"/>
                      <w:szCs w:val="24"/>
                    </w:rPr>
                  </w:pPr>
                </w:p>
              </w:tc>
              <w:tc>
                <w:tcPr>
                  <w:tcW w:w="903" w:type="pct"/>
                </w:tcPr>
                <w:p w14:paraId="3F14AA3C" w14:textId="77777777" w:rsidR="00E20A9C" w:rsidRPr="00A16F25" w:rsidRDefault="00E20A9C" w:rsidP="00E20A9C">
                  <w:pPr>
                    <w:spacing w:line="270" w:lineRule="atLeast"/>
                    <w:jc w:val="center"/>
                    <w:rPr>
                      <w:rFonts w:ascii="Times New Roman" w:hAnsi="Times New Roman"/>
                      <w:sz w:val="24"/>
                      <w:szCs w:val="24"/>
                    </w:rPr>
                  </w:pPr>
                </w:p>
              </w:tc>
              <w:tc>
                <w:tcPr>
                  <w:tcW w:w="779" w:type="pct"/>
                </w:tcPr>
                <w:p w14:paraId="16D39F7C" w14:textId="77777777" w:rsidR="00E20A9C" w:rsidRPr="00A16F25" w:rsidRDefault="00E20A9C" w:rsidP="00E20A9C">
                  <w:pPr>
                    <w:spacing w:line="270" w:lineRule="atLeast"/>
                    <w:jc w:val="center"/>
                    <w:rPr>
                      <w:rFonts w:ascii="Times New Roman" w:hAnsi="Times New Roman"/>
                      <w:sz w:val="24"/>
                      <w:szCs w:val="24"/>
                    </w:rPr>
                  </w:pPr>
                </w:p>
              </w:tc>
              <w:tc>
                <w:tcPr>
                  <w:tcW w:w="562" w:type="pct"/>
                </w:tcPr>
                <w:p w14:paraId="4F9A09CC" w14:textId="77777777" w:rsidR="00E20A9C" w:rsidRPr="00A16F25" w:rsidRDefault="00E20A9C" w:rsidP="00E20A9C">
                  <w:pPr>
                    <w:spacing w:line="270" w:lineRule="atLeast"/>
                    <w:jc w:val="center"/>
                    <w:rPr>
                      <w:rFonts w:ascii="Times New Roman" w:hAnsi="Times New Roman"/>
                      <w:sz w:val="24"/>
                      <w:szCs w:val="24"/>
                    </w:rPr>
                  </w:pPr>
                </w:p>
              </w:tc>
              <w:tc>
                <w:tcPr>
                  <w:tcW w:w="575" w:type="pct"/>
                </w:tcPr>
                <w:p w14:paraId="6376C853" w14:textId="77777777" w:rsidR="00E20A9C" w:rsidRPr="00A16F25" w:rsidRDefault="00E20A9C" w:rsidP="00E20A9C">
                  <w:pPr>
                    <w:spacing w:line="270" w:lineRule="atLeast"/>
                    <w:jc w:val="center"/>
                    <w:rPr>
                      <w:rFonts w:ascii="Times New Roman" w:hAnsi="Times New Roman"/>
                      <w:sz w:val="24"/>
                      <w:szCs w:val="24"/>
                    </w:rPr>
                  </w:pPr>
                </w:p>
              </w:tc>
            </w:tr>
            <w:tr w:rsidR="00E20A9C" w:rsidRPr="00A16F25" w14:paraId="43B0262C" w14:textId="77777777" w:rsidTr="00D4553F">
              <w:trPr>
                <w:trHeight w:val="63"/>
              </w:trPr>
              <w:tc>
                <w:tcPr>
                  <w:tcW w:w="1325" w:type="pct"/>
                  <w:gridSpan w:val="2"/>
                  <w:vMerge/>
                  <w:vAlign w:val="center"/>
                </w:tcPr>
                <w:p w14:paraId="38C6F08E" w14:textId="77777777" w:rsidR="00E20A9C" w:rsidRPr="00A16F25" w:rsidRDefault="00E20A9C" w:rsidP="00E20A9C">
                  <w:pPr>
                    <w:rPr>
                      <w:rFonts w:ascii="Times New Roman" w:hAnsi="Times New Roman"/>
                      <w:sz w:val="24"/>
                      <w:szCs w:val="24"/>
                    </w:rPr>
                  </w:pPr>
                </w:p>
              </w:tc>
              <w:tc>
                <w:tcPr>
                  <w:tcW w:w="856" w:type="pct"/>
                  <w:vMerge/>
                  <w:vAlign w:val="center"/>
                </w:tcPr>
                <w:p w14:paraId="4307479C" w14:textId="77777777" w:rsidR="00E20A9C" w:rsidRPr="00A16F25" w:rsidRDefault="00E20A9C" w:rsidP="00E20A9C">
                  <w:pPr>
                    <w:jc w:val="center"/>
                    <w:rPr>
                      <w:rFonts w:ascii="Times New Roman" w:hAnsi="Times New Roman"/>
                      <w:sz w:val="24"/>
                      <w:szCs w:val="24"/>
                    </w:rPr>
                  </w:pPr>
                </w:p>
              </w:tc>
              <w:tc>
                <w:tcPr>
                  <w:tcW w:w="903" w:type="pct"/>
                </w:tcPr>
                <w:p w14:paraId="09530537" w14:textId="77777777" w:rsidR="00E20A9C" w:rsidRPr="00A16F25" w:rsidRDefault="00E20A9C" w:rsidP="00E20A9C">
                  <w:pPr>
                    <w:spacing w:line="270" w:lineRule="atLeast"/>
                    <w:jc w:val="center"/>
                    <w:rPr>
                      <w:rFonts w:ascii="Times New Roman" w:hAnsi="Times New Roman"/>
                      <w:sz w:val="24"/>
                      <w:szCs w:val="24"/>
                    </w:rPr>
                  </w:pPr>
                </w:p>
              </w:tc>
              <w:tc>
                <w:tcPr>
                  <w:tcW w:w="779" w:type="pct"/>
                </w:tcPr>
                <w:p w14:paraId="50FBC4C7" w14:textId="77777777" w:rsidR="00E20A9C" w:rsidRPr="00A16F25" w:rsidRDefault="00E20A9C" w:rsidP="00E20A9C">
                  <w:pPr>
                    <w:spacing w:line="270" w:lineRule="atLeast"/>
                    <w:jc w:val="center"/>
                    <w:rPr>
                      <w:rFonts w:ascii="Times New Roman" w:hAnsi="Times New Roman"/>
                      <w:sz w:val="24"/>
                      <w:szCs w:val="24"/>
                    </w:rPr>
                  </w:pPr>
                </w:p>
              </w:tc>
              <w:tc>
                <w:tcPr>
                  <w:tcW w:w="562" w:type="pct"/>
                </w:tcPr>
                <w:p w14:paraId="65B8F02A" w14:textId="77777777" w:rsidR="00E20A9C" w:rsidRPr="00A16F25" w:rsidRDefault="00E20A9C" w:rsidP="00E20A9C">
                  <w:pPr>
                    <w:spacing w:line="270" w:lineRule="atLeast"/>
                    <w:jc w:val="center"/>
                    <w:rPr>
                      <w:rFonts w:ascii="Times New Roman" w:hAnsi="Times New Roman"/>
                      <w:sz w:val="24"/>
                      <w:szCs w:val="24"/>
                    </w:rPr>
                  </w:pPr>
                </w:p>
              </w:tc>
              <w:tc>
                <w:tcPr>
                  <w:tcW w:w="575" w:type="pct"/>
                </w:tcPr>
                <w:p w14:paraId="02E26E5A" w14:textId="77777777" w:rsidR="00E20A9C" w:rsidRPr="00A16F25" w:rsidRDefault="00E20A9C" w:rsidP="00E20A9C">
                  <w:pPr>
                    <w:spacing w:line="270" w:lineRule="atLeast"/>
                    <w:jc w:val="center"/>
                    <w:rPr>
                      <w:rFonts w:ascii="Times New Roman" w:hAnsi="Times New Roman"/>
                      <w:sz w:val="24"/>
                      <w:szCs w:val="24"/>
                    </w:rPr>
                  </w:pPr>
                </w:p>
              </w:tc>
            </w:tr>
            <w:tr w:rsidR="00E20A9C" w:rsidRPr="002301D5" w14:paraId="580E31A5" w14:textId="77777777" w:rsidTr="00D4553F">
              <w:trPr>
                <w:trHeight w:val="290"/>
              </w:trPr>
              <w:tc>
                <w:tcPr>
                  <w:tcW w:w="1325" w:type="pct"/>
                  <w:gridSpan w:val="2"/>
                </w:tcPr>
                <w:p w14:paraId="57B537A8" w14:textId="77777777" w:rsidR="00E20A9C" w:rsidRPr="00D25916" w:rsidRDefault="00E20A9C" w:rsidP="00E20A9C">
                  <w:pPr>
                    <w:pStyle w:val="Paraststmeklis"/>
                  </w:pPr>
                  <w:r w:rsidRPr="00D25916">
                    <w:t>5. Precizēta finansiālā ietekme:</w:t>
                  </w:r>
                </w:p>
              </w:tc>
              <w:tc>
                <w:tcPr>
                  <w:tcW w:w="856" w:type="pct"/>
                  <w:vMerge w:val="restart"/>
                </w:tcPr>
                <w:p w14:paraId="5E25186C" w14:textId="77777777" w:rsidR="00E20A9C" w:rsidRPr="00D25916" w:rsidRDefault="00E20A9C" w:rsidP="00E20A9C">
                  <w:pPr>
                    <w:pStyle w:val="Paraststmeklis"/>
                    <w:jc w:val="center"/>
                  </w:pPr>
                  <w:r w:rsidRPr="00D25916">
                    <w:t>X</w:t>
                  </w:r>
                </w:p>
                <w:p w14:paraId="5026D2C1" w14:textId="77777777" w:rsidR="00E20A9C" w:rsidRPr="00A16F25" w:rsidRDefault="00E20A9C" w:rsidP="00E20A9C">
                  <w:pPr>
                    <w:rPr>
                      <w:rFonts w:ascii="Times New Roman" w:hAnsi="Times New Roman"/>
                      <w:sz w:val="24"/>
                      <w:szCs w:val="24"/>
                    </w:rPr>
                  </w:pPr>
                </w:p>
                <w:p w14:paraId="7C70290D" w14:textId="77777777" w:rsidR="00E20A9C" w:rsidRPr="00A16F25" w:rsidRDefault="00E20A9C" w:rsidP="00E20A9C">
                  <w:pPr>
                    <w:jc w:val="center"/>
                    <w:rPr>
                      <w:rFonts w:ascii="Times New Roman" w:hAnsi="Times New Roman"/>
                      <w:sz w:val="24"/>
                      <w:szCs w:val="24"/>
                    </w:rPr>
                  </w:pPr>
                  <w:r w:rsidRPr="00A16F25">
                    <w:rPr>
                      <w:rFonts w:ascii="Times New Roman" w:hAnsi="Times New Roman"/>
                      <w:sz w:val="24"/>
                      <w:szCs w:val="24"/>
                    </w:rPr>
                    <w:t>X</w:t>
                  </w:r>
                </w:p>
              </w:tc>
              <w:tc>
                <w:tcPr>
                  <w:tcW w:w="903" w:type="pct"/>
                </w:tcPr>
                <w:p w14:paraId="75E3C9FC"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3EC8C8E6" w14:textId="783F2324" w:rsidR="00E20A9C" w:rsidRPr="002301D5" w:rsidRDefault="000735A7"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62" w:type="pct"/>
                </w:tcPr>
                <w:p w14:paraId="37CFFF3D" w14:textId="77777777" w:rsidR="00E20A9C" w:rsidRPr="002301D5" w:rsidRDefault="00E20A9C"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75" w:type="pct"/>
                </w:tcPr>
                <w:p w14:paraId="417F9F47" w14:textId="6ED11A66" w:rsidR="00E20A9C" w:rsidRPr="002301D5" w:rsidRDefault="0008331E" w:rsidP="00E20A9C">
                  <w:pPr>
                    <w:spacing w:line="270" w:lineRule="atLeast"/>
                    <w:jc w:val="center"/>
                    <w:rPr>
                      <w:rFonts w:ascii="Times New Roman" w:hAnsi="Times New Roman"/>
                      <w:sz w:val="24"/>
                      <w:szCs w:val="24"/>
                    </w:rPr>
                  </w:pPr>
                  <w:r>
                    <w:rPr>
                      <w:rFonts w:ascii="Times New Roman" w:hAnsi="Times New Roman"/>
                      <w:sz w:val="24"/>
                      <w:szCs w:val="24"/>
                    </w:rPr>
                    <w:t>473</w:t>
                  </w:r>
                </w:p>
              </w:tc>
            </w:tr>
            <w:tr w:rsidR="00E20A9C" w:rsidRPr="002301D5" w14:paraId="0614C9F8" w14:textId="77777777" w:rsidTr="00D4553F">
              <w:trPr>
                <w:trHeight w:val="283"/>
              </w:trPr>
              <w:tc>
                <w:tcPr>
                  <w:tcW w:w="1325" w:type="pct"/>
                  <w:gridSpan w:val="2"/>
                </w:tcPr>
                <w:p w14:paraId="33937264" w14:textId="77777777" w:rsidR="00E20A9C" w:rsidRPr="00D25916" w:rsidRDefault="00E20A9C" w:rsidP="00E20A9C">
                  <w:pPr>
                    <w:pStyle w:val="Paraststmeklis"/>
                  </w:pPr>
                  <w:r w:rsidRPr="00D25916">
                    <w:t>5.1. valsts pamatbudžets</w:t>
                  </w:r>
                </w:p>
              </w:tc>
              <w:tc>
                <w:tcPr>
                  <w:tcW w:w="856" w:type="pct"/>
                  <w:vMerge/>
                  <w:vAlign w:val="center"/>
                </w:tcPr>
                <w:p w14:paraId="3A982BF0" w14:textId="77777777" w:rsidR="00E20A9C" w:rsidRPr="00A16F25" w:rsidRDefault="00E20A9C" w:rsidP="00E20A9C">
                  <w:pPr>
                    <w:jc w:val="center"/>
                    <w:rPr>
                      <w:rFonts w:ascii="Times New Roman" w:hAnsi="Times New Roman"/>
                      <w:color w:val="FF0000"/>
                      <w:sz w:val="24"/>
                      <w:szCs w:val="24"/>
                    </w:rPr>
                  </w:pPr>
                </w:p>
              </w:tc>
              <w:tc>
                <w:tcPr>
                  <w:tcW w:w="903" w:type="pct"/>
                </w:tcPr>
                <w:p w14:paraId="7ADA6635" w14:textId="77777777" w:rsidR="00E20A9C" w:rsidRPr="00A16F25" w:rsidRDefault="00E20A9C" w:rsidP="00E20A9C">
                  <w:pPr>
                    <w:spacing w:line="270" w:lineRule="atLeast"/>
                    <w:jc w:val="center"/>
                    <w:rPr>
                      <w:rFonts w:ascii="Times New Roman" w:hAnsi="Times New Roman"/>
                      <w:sz w:val="24"/>
                      <w:szCs w:val="24"/>
                    </w:rPr>
                  </w:pPr>
                  <w:r w:rsidRPr="00A16F25">
                    <w:rPr>
                      <w:rFonts w:ascii="Times New Roman" w:hAnsi="Times New Roman"/>
                      <w:sz w:val="24"/>
                      <w:szCs w:val="24"/>
                    </w:rPr>
                    <w:t>0</w:t>
                  </w:r>
                </w:p>
              </w:tc>
              <w:tc>
                <w:tcPr>
                  <w:tcW w:w="779" w:type="pct"/>
                </w:tcPr>
                <w:p w14:paraId="278FFF29" w14:textId="3B302777" w:rsidR="00E20A9C" w:rsidRPr="002301D5" w:rsidRDefault="000735A7"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62" w:type="pct"/>
                </w:tcPr>
                <w:p w14:paraId="5A3C7DC4" w14:textId="77777777" w:rsidR="00E20A9C" w:rsidRPr="002301D5" w:rsidRDefault="00E20A9C" w:rsidP="00E20A9C">
                  <w:pPr>
                    <w:spacing w:line="270" w:lineRule="atLeast"/>
                    <w:jc w:val="center"/>
                    <w:rPr>
                      <w:rFonts w:ascii="Times New Roman" w:hAnsi="Times New Roman"/>
                      <w:sz w:val="24"/>
                      <w:szCs w:val="24"/>
                    </w:rPr>
                  </w:pPr>
                  <w:r>
                    <w:rPr>
                      <w:rFonts w:ascii="Times New Roman" w:hAnsi="Times New Roman"/>
                      <w:sz w:val="24"/>
                      <w:szCs w:val="24"/>
                    </w:rPr>
                    <w:t>0</w:t>
                  </w:r>
                </w:p>
              </w:tc>
              <w:tc>
                <w:tcPr>
                  <w:tcW w:w="575" w:type="pct"/>
                </w:tcPr>
                <w:p w14:paraId="5DB1B90B" w14:textId="327BBE63" w:rsidR="00E20A9C" w:rsidRPr="002301D5" w:rsidRDefault="00685388" w:rsidP="00E20A9C">
                  <w:pPr>
                    <w:spacing w:line="270" w:lineRule="atLeast"/>
                    <w:jc w:val="center"/>
                    <w:rPr>
                      <w:rFonts w:ascii="Times New Roman" w:hAnsi="Times New Roman"/>
                      <w:sz w:val="24"/>
                      <w:szCs w:val="24"/>
                    </w:rPr>
                  </w:pPr>
                  <w:r>
                    <w:rPr>
                      <w:rFonts w:ascii="Times New Roman" w:hAnsi="Times New Roman"/>
                      <w:sz w:val="24"/>
                      <w:szCs w:val="24"/>
                    </w:rPr>
                    <w:t>473</w:t>
                  </w:r>
                </w:p>
              </w:tc>
            </w:tr>
            <w:tr w:rsidR="00E20A9C" w:rsidRPr="00A16F25" w14:paraId="244E29AF" w14:textId="77777777" w:rsidTr="00D4553F">
              <w:trPr>
                <w:trHeight w:val="145"/>
              </w:trPr>
              <w:tc>
                <w:tcPr>
                  <w:tcW w:w="1325" w:type="pct"/>
                  <w:gridSpan w:val="2"/>
                </w:tcPr>
                <w:p w14:paraId="6694E2F1" w14:textId="77777777" w:rsidR="00E20A9C" w:rsidRPr="00D25916" w:rsidRDefault="00E20A9C" w:rsidP="00E20A9C">
                  <w:pPr>
                    <w:pStyle w:val="Paraststmeklis"/>
                  </w:pPr>
                  <w:r w:rsidRPr="00D25916">
                    <w:t>5.2. speciālais budžets</w:t>
                  </w:r>
                </w:p>
              </w:tc>
              <w:tc>
                <w:tcPr>
                  <w:tcW w:w="856" w:type="pct"/>
                  <w:vMerge/>
                  <w:vAlign w:val="center"/>
                </w:tcPr>
                <w:p w14:paraId="78D32C10" w14:textId="77777777" w:rsidR="00E20A9C" w:rsidRPr="00A16F25" w:rsidRDefault="00E20A9C" w:rsidP="00E20A9C">
                  <w:pPr>
                    <w:jc w:val="center"/>
                    <w:rPr>
                      <w:rFonts w:ascii="Times New Roman" w:hAnsi="Times New Roman"/>
                      <w:color w:val="FF0000"/>
                      <w:sz w:val="24"/>
                      <w:szCs w:val="24"/>
                    </w:rPr>
                  </w:pPr>
                </w:p>
              </w:tc>
              <w:tc>
                <w:tcPr>
                  <w:tcW w:w="903" w:type="pct"/>
                </w:tcPr>
                <w:p w14:paraId="584E4CF5" w14:textId="77777777" w:rsidR="00E20A9C" w:rsidRPr="00630966" w:rsidRDefault="00E20A9C" w:rsidP="00E20A9C">
                  <w:pPr>
                    <w:spacing w:line="270" w:lineRule="atLeast"/>
                    <w:jc w:val="center"/>
                    <w:rPr>
                      <w:rFonts w:ascii="Times New Roman" w:hAnsi="Times New Roman"/>
                      <w:sz w:val="24"/>
                      <w:szCs w:val="24"/>
                    </w:rPr>
                  </w:pPr>
                </w:p>
              </w:tc>
              <w:tc>
                <w:tcPr>
                  <w:tcW w:w="779" w:type="pct"/>
                </w:tcPr>
                <w:p w14:paraId="4EEB499D" w14:textId="77777777" w:rsidR="00E20A9C" w:rsidRPr="00630966" w:rsidRDefault="00E20A9C" w:rsidP="00E20A9C">
                  <w:pPr>
                    <w:spacing w:line="270" w:lineRule="atLeast"/>
                    <w:jc w:val="center"/>
                    <w:rPr>
                      <w:rFonts w:ascii="Times New Roman" w:hAnsi="Times New Roman"/>
                      <w:sz w:val="24"/>
                      <w:szCs w:val="24"/>
                    </w:rPr>
                  </w:pPr>
                </w:p>
              </w:tc>
              <w:tc>
                <w:tcPr>
                  <w:tcW w:w="562" w:type="pct"/>
                </w:tcPr>
                <w:p w14:paraId="3373FA7B" w14:textId="77777777" w:rsidR="00E20A9C" w:rsidRPr="00630966" w:rsidRDefault="00E20A9C" w:rsidP="00E20A9C">
                  <w:pPr>
                    <w:spacing w:line="270" w:lineRule="atLeast"/>
                    <w:jc w:val="center"/>
                    <w:rPr>
                      <w:rFonts w:ascii="Times New Roman" w:hAnsi="Times New Roman"/>
                      <w:sz w:val="24"/>
                      <w:szCs w:val="24"/>
                    </w:rPr>
                  </w:pPr>
                </w:p>
              </w:tc>
              <w:tc>
                <w:tcPr>
                  <w:tcW w:w="575" w:type="pct"/>
                </w:tcPr>
                <w:p w14:paraId="035D107C" w14:textId="77777777" w:rsidR="00E20A9C" w:rsidRPr="00630966" w:rsidRDefault="00E20A9C" w:rsidP="00E20A9C">
                  <w:pPr>
                    <w:spacing w:line="270" w:lineRule="atLeast"/>
                    <w:jc w:val="center"/>
                    <w:rPr>
                      <w:rFonts w:ascii="Times New Roman" w:hAnsi="Times New Roman"/>
                      <w:sz w:val="24"/>
                      <w:szCs w:val="24"/>
                    </w:rPr>
                  </w:pPr>
                </w:p>
              </w:tc>
            </w:tr>
            <w:tr w:rsidR="00E20A9C" w:rsidRPr="00A16F25" w14:paraId="4DA85EF9" w14:textId="77777777" w:rsidTr="00D4553F">
              <w:trPr>
                <w:trHeight w:val="138"/>
              </w:trPr>
              <w:tc>
                <w:tcPr>
                  <w:tcW w:w="1325" w:type="pct"/>
                  <w:gridSpan w:val="2"/>
                </w:tcPr>
                <w:p w14:paraId="65A1E0BC" w14:textId="77777777" w:rsidR="00E20A9C" w:rsidRPr="00D25916" w:rsidRDefault="00E20A9C" w:rsidP="00E20A9C">
                  <w:pPr>
                    <w:pStyle w:val="Paraststmeklis"/>
                  </w:pPr>
                  <w:r w:rsidRPr="00D25916">
                    <w:t>5.3. pašvaldību budžets</w:t>
                  </w:r>
                </w:p>
              </w:tc>
              <w:tc>
                <w:tcPr>
                  <w:tcW w:w="856" w:type="pct"/>
                  <w:vMerge/>
                  <w:vAlign w:val="center"/>
                </w:tcPr>
                <w:p w14:paraId="0E37750D" w14:textId="77777777" w:rsidR="00E20A9C" w:rsidRPr="00A16F25" w:rsidRDefault="00E20A9C" w:rsidP="00E20A9C">
                  <w:pPr>
                    <w:jc w:val="center"/>
                    <w:rPr>
                      <w:rFonts w:ascii="Times New Roman" w:hAnsi="Times New Roman"/>
                      <w:color w:val="FF0000"/>
                      <w:sz w:val="24"/>
                      <w:szCs w:val="24"/>
                    </w:rPr>
                  </w:pPr>
                </w:p>
              </w:tc>
              <w:tc>
                <w:tcPr>
                  <w:tcW w:w="903" w:type="pct"/>
                </w:tcPr>
                <w:p w14:paraId="009224A8" w14:textId="77777777" w:rsidR="00E20A9C" w:rsidRPr="00630966" w:rsidRDefault="00E20A9C" w:rsidP="00E20A9C">
                  <w:pPr>
                    <w:spacing w:line="270" w:lineRule="atLeast"/>
                    <w:jc w:val="center"/>
                    <w:rPr>
                      <w:rFonts w:ascii="Times New Roman" w:hAnsi="Times New Roman"/>
                      <w:sz w:val="24"/>
                      <w:szCs w:val="24"/>
                    </w:rPr>
                  </w:pPr>
                </w:p>
              </w:tc>
              <w:tc>
                <w:tcPr>
                  <w:tcW w:w="779" w:type="pct"/>
                </w:tcPr>
                <w:p w14:paraId="0194E59A" w14:textId="77777777" w:rsidR="00E20A9C" w:rsidRPr="00630966" w:rsidRDefault="00E20A9C" w:rsidP="00E20A9C">
                  <w:pPr>
                    <w:spacing w:line="270" w:lineRule="atLeast"/>
                    <w:jc w:val="center"/>
                    <w:rPr>
                      <w:rFonts w:ascii="Times New Roman" w:hAnsi="Times New Roman"/>
                      <w:sz w:val="24"/>
                      <w:szCs w:val="24"/>
                    </w:rPr>
                  </w:pPr>
                </w:p>
              </w:tc>
              <w:tc>
                <w:tcPr>
                  <w:tcW w:w="562" w:type="pct"/>
                </w:tcPr>
                <w:p w14:paraId="4838EAA3" w14:textId="77777777" w:rsidR="00E20A9C" w:rsidRPr="00630966" w:rsidRDefault="00E20A9C" w:rsidP="00E20A9C">
                  <w:pPr>
                    <w:spacing w:line="270" w:lineRule="atLeast"/>
                    <w:jc w:val="center"/>
                    <w:rPr>
                      <w:rFonts w:ascii="Times New Roman" w:hAnsi="Times New Roman"/>
                      <w:sz w:val="24"/>
                      <w:szCs w:val="24"/>
                    </w:rPr>
                  </w:pPr>
                </w:p>
              </w:tc>
              <w:tc>
                <w:tcPr>
                  <w:tcW w:w="575" w:type="pct"/>
                </w:tcPr>
                <w:p w14:paraId="4A8E3C33" w14:textId="77777777" w:rsidR="00E20A9C" w:rsidRPr="00630966" w:rsidRDefault="00E20A9C" w:rsidP="00E20A9C">
                  <w:pPr>
                    <w:spacing w:line="270" w:lineRule="atLeast"/>
                    <w:jc w:val="center"/>
                    <w:rPr>
                      <w:rFonts w:ascii="Times New Roman" w:hAnsi="Times New Roman"/>
                      <w:sz w:val="24"/>
                      <w:szCs w:val="24"/>
                    </w:rPr>
                  </w:pPr>
                </w:p>
              </w:tc>
            </w:tr>
            <w:tr w:rsidR="00E20A9C" w:rsidRPr="00C664EF" w14:paraId="65B01597" w14:textId="77777777" w:rsidTr="00D4553F">
              <w:trPr>
                <w:trHeight w:val="3087"/>
              </w:trPr>
              <w:tc>
                <w:tcPr>
                  <w:tcW w:w="5000" w:type="pct"/>
                  <w:gridSpan w:val="7"/>
                </w:tcPr>
                <w:p w14:paraId="4F504641" w14:textId="0F4A622C" w:rsidR="00E20A9C" w:rsidRDefault="00E20A9C" w:rsidP="00E20A9C">
                  <w:pPr>
                    <w:spacing w:line="270" w:lineRule="atLeast"/>
                    <w:rPr>
                      <w:rFonts w:ascii="Times New Roman" w:hAnsi="Times New Roman"/>
                      <w:sz w:val="24"/>
                      <w:szCs w:val="24"/>
                    </w:rPr>
                  </w:pPr>
                  <w:r w:rsidRPr="00A16F25">
                    <w:rPr>
                      <w:rFonts w:ascii="Times New Roman" w:hAnsi="Times New Roman"/>
                      <w:sz w:val="24"/>
                      <w:szCs w:val="24"/>
                    </w:rPr>
                    <w:t>6.</w:t>
                  </w:r>
                  <w:r w:rsidR="00A20652">
                    <w:rPr>
                      <w:rFonts w:ascii="Times New Roman" w:hAnsi="Times New Roman"/>
                      <w:sz w:val="24"/>
                      <w:szCs w:val="24"/>
                    </w:rPr>
                    <w:t> </w:t>
                  </w:r>
                  <w:r w:rsidRPr="00A16F25">
                    <w:rPr>
                      <w:rFonts w:ascii="Times New Roman" w:hAnsi="Times New Roman"/>
                      <w:sz w:val="24"/>
                      <w:szCs w:val="24"/>
                    </w:rPr>
                    <w:t>Detalizēts ieņēmumu un izdevumu aprēķins (ja nepieciešams, detalizētu ieņēmumu un izdevumu aprēķinu var pievienot anotācijas pielikumā).</w:t>
                  </w:r>
                </w:p>
                <w:p w14:paraId="55A4169C" w14:textId="77777777" w:rsidR="00E20A9C" w:rsidRDefault="00E20A9C" w:rsidP="00E20A9C">
                  <w:pPr>
                    <w:spacing w:line="270" w:lineRule="atLeast"/>
                    <w:rPr>
                      <w:rFonts w:ascii="Times New Roman" w:hAnsi="Times New Roman"/>
                      <w:sz w:val="24"/>
                      <w:szCs w:val="24"/>
                    </w:rPr>
                  </w:pPr>
                  <w:r>
                    <w:rPr>
                      <w:rFonts w:ascii="Times New Roman" w:hAnsi="Times New Roman"/>
                      <w:sz w:val="24"/>
                      <w:szCs w:val="24"/>
                    </w:rPr>
                    <w:t>Ieņēmumu prognoze par administratīvo pārkāpumu lietu izskatīšanu: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083"/>
                    <w:gridCol w:w="2123"/>
                    <w:gridCol w:w="2352"/>
                  </w:tblGrid>
                  <w:tr w:rsidR="00E20A9C" w:rsidRPr="00FD0E18" w14:paraId="06880AF9" w14:textId="77777777" w:rsidTr="00D4553F">
                    <w:trPr>
                      <w:jc w:val="center"/>
                    </w:trPr>
                    <w:tc>
                      <w:tcPr>
                        <w:tcW w:w="1016" w:type="dxa"/>
                        <w:tcBorders>
                          <w:top w:val="single" w:sz="4" w:space="0" w:color="auto"/>
                          <w:left w:val="single" w:sz="4" w:space="0" w:color="auto"/>
                          <w:bottom w:val="single" w:sz="4" w:space="0" w:color="auto"/>
                          <w:right w:val="single" w:sz="4" w:space="0" w:color="auto"/>
                        </w:tcBorders>
                      </w:tcPr>
                      <w:p w14:paraId="13044733"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 Gads</w:t>
                        </w:r>
                      </w:p>
                    </w:tc>
                    <w:tc>
                      <w:tcPr>
                        <w:tcW w:w="1083" w:type="dxa"/>
                        <w:tcBorders>
                          <w:top w:val="single" w:sz="4" w:space="0" w:color="auto"/>
                          <w:left w:val="single" w:sz="4" w:space="0" w:color="auto"/>
                          <w:bottom w:val="single" w:sz="4" w:space="0" w:color="auto"/>
                          <w:right w:val="single" w:sz="4" w:space="0" w:color="auto"/>
                        </w:tcBorders>
                      </w:tcPr>
                      <w:p w14:paraId="262C31EA"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Lēmumu skaits</w:t>
                        </w:r>
                      </w:p>
                    </w:tc>
                    <w:tc>
                      <w:tcPr>
                        <w:tcW w:w="2123" w:type="dxa"/>
                        <w:tcBorders>
                          <w:top w:val="single" w:sz="4" w:space="0" w:color="auto"/>
                          <w:left w:val="single" w:sz="4" w:space="0" w:color="auto"/>
                          <w:bottom w:val="single" w:sz="4" w:space="0" w:color="auto"/>
                          <w:right w:val="single" w:sz="4" w:space="0" w:color="auto"/>
                        </w:tcBorders>
                      </w:tcPr>
                      <w:p w14:paraId="0883B54E"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Kopējā uzlikto naudas sodu summa (</w:t>
                        </w:r>
                        <w:r>
                          <w:rPr>
                            <w:rFonts w:ascii="Times New Roman" w:hAnsi="Times New Roman" w:cs="Times New Roman"/>
                            <w:i/>
                          </w:rPr>
                          <w:t>e</w:t>
                        </w:r>
                        <w:r w:rsidRPr="00FD0E18">
                          <w:rPr>
                            <w:rFonts w:ascii="Times New Roman" w:hAnsi="Times New Roman" w:cs="Times New Roman"/>
                            <w:i/>
                          </w:rPr>
                          <w:t>uro</w:t>
                        </w:r>
                        <w:r w:rsidRPr="00FD0E18">
                          <w:rPr>
                            <w:rFonts w:ascii="Times New Roman" w:hAnsi="Times New Roman" w:cs="Times New Roman"/>
                          </w:rPr>
                          <w:t>)</w:t>
                        </w:r>
                        <w:r>
                          <w:rPr>
                            <w:rFonts w:ascii="Times New Roman" w:hAnsi="Times New Roman" w:cs="Times New Roman"/>
                          </w:rPr>
                          <w:t xml:space="preserve"> </w:t>
                        </w:r>
                        <w:r w:rsidRPr="00FD0E18">
                          <w:rPr>
                            <w:rFonts w:ascii="Times New Roman" w:hAnsi="Times New Roman" w:cs="Times New Roman"/>
                          </w:rPr>
                          <w:t xml:space="preserve">(lēmumu skaits x 650 </w:t>
                        </w:r>
                        <w:r w:rsidRPr="00FD0E18">
                          <w:rPr>
                            <w:rFonts w:ascii="Times New Roman" w:hAnsi="Times New Roman" w:cs="Times New Roman"/>
                            <w:i/>
                          </w:rPr>
                          <w:t>euro</w:t>
                        </w:r>
                        <w:r w:rsidRPr="00FD0E18">
                          <w:rPr>
                            <w:rFonts w:ascii="Times New Roman" w:hAnsi="Times New Roman" w:cs="Times New Roman"/>
                          </w:rPr>
                          <w:t>)</w:t>
                        </w:r>
                      </w:p>
                    </w:tc>
                    <w:tc>
                      <w:tcPr>
                        <w:tcW w:w="2352" w:type="dxa"/>
                        <w:tcBorders>
                          <w:top w:val="single" w:sz="4" w:space="0" w:color="auto"/>
                          <w:left w:val="single" w:sz="4" w:space="0" w:color="auto"/>
                          <w:bottom w:val="single" w:sz="4" w:space="0" w:color="auto"/>
                          <w:right w:val="single" w:sz="4" w:space="0" w:color="auto"/>
                        </w:tcBorders>
                      </w:tcPr>
                      <w:p w14:paraId="3FCF15E7"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Iekasējamās summas saskaņā ar % sadalījumu pa gadiem (</w:t>
                        </w:r>
                        <w:r>
                          <w:rPr>
                            <w:rFonts w:ascii="Times New Roman" w:hAnsi="Times New Roman" w:cs="Times New Roman"/>
                            <w:i/>
                          </w:rPr>
                          <w:t>e</w:t>
                        </w:r>
                        <w:r w:rsidRPr="00FD0E18">
                          <w:rPr>
                            <w:rFonts w:ascii="Times New Roman" w:hAnsi="Times New Roman" w:cs="Times New Roman"/>
                            <w:i/>
                          </w:rPr>
                          <w:t>uro</w:t>
                        </w:r>
                        <w:r w:rsidRPr="00FD0E18">
                          <w:rPr>
                            <w:rFonts w:ascii="Times New Roman" w:hAnsi="Times New Roman" w:cs="Times New Roman"/>
                          </w:rPr>
                          <w:t>)</w:t>
                        </w:r>
                      </w:p>
                    </w:tc>
                  </w:tr>
                  <w:tr w:rsidR="00E20A9C" w:rsidRPr="00FD0E18" w14:paraId="67E541E5" w14:textId="77777777" w:rsidTr="00D4553F">
                    <w:trPr>
                      <w:jc w:val="center"/>
                    </w:trPr>
                    <w:tc>
                      <w:tcPr>
                        <w:tcW w:w="1016" w:type="dxa"/>
                        <w:tcBorders>
                          <w:top w:val="single" w:sz="4" w:space="0" w:color="auto"/>
                          <w:left w:val="single" w:sz="4" w:space="0" w:color="auto"/>
                          <w:bottom w:val="single" w:sz="4" w:space="0" w:color="auto"/>
                          <w:right w:val="single" w:sz="4" w:space="0" w:color="auto"/>
                        </w:tcBorders>
                      </w:tcPr>
                      <w:p w14:paraId="2C19B3F2" w14:textId="77777777" w:rsidR="00E20A9C" w:rsidRPr="00FD0E18" w:rsidRDefault="00E20A9C" w:rsidP="00E20A9C">
                        <w:pPr>
                          <w:spacing w:before="100" w:beforeAutospacing="1" w:after="100" w:afterAutospacing="1"/>
                          <w:rPr>
                            <w:rFonts w:ascii="Times New Roman" w:hAnsi="Times New Roman" w:cs="Times New Roman"/>
                          </w:rPr>
                        </w:pPr>
                        <w:r>
                          <w:rPr>
                            <w:rFonts w:ascii="Times New Roman" w:hAnsi="Times New Roman" w:cs="Times New Roman"/>
                          </w:rPr>
                          <w:t>2020</w:t>
                        </w:r>
                      </w:p>
                    </w:tc>
                    <w:tc>
                      <w:tcPr>
                        <w:tcW w:w="1083" w:type="dxa"/>
                        <w:tcBorders>
                          <w:top w:val="single" w:sz="4" w:space="0" w:color="auto"/>
                          <w:left w:val="single" w:sz="4" w:space="0" w:color="auto"/>
                          <w:bottom w:val="single" w:sz="4" w:space="0" w:color="auto"/>
                          <w:right w:val="single" w:sz="4" w:space="0" w:color="auto"/>
                        </w:tcBorders>
                      </w:tcPr>
                      <w:p w14:paraId="71191B4F"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205</w:t>
                        </w:r>
                      </w:p>
                    </w:tc>
                    <w:tc>
                      <w:tcPr>
                        <w:tcW w:w="2123" w:type="dxa"/>
                        <w:tcBorders>
                          <w:top w:val="single" w:sz="4" w:space="0" w:color="auto"/>
                          <w:left w:val="single" w:sz="4" w:space="0" w:color="auto"/>
                          <w:bottom w:val="single" w:sz="4" w:space="0" w:color="auto"/>
                          <w:right w:val="single" w:sz="4" w:space="0" w:color="auto"/>
                        </w:tcBorders>
                      </w:tcPr>
                      <w:p w14:paraId="6B39A214"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133 250</w:t>
                        </w:r>
                      </w:p>
                    </w:tc>
                    <w:tc>
                      <w:tcPr>
                        <w:tcW w:w="2352" w:type="dxa"/>
                        <w:tcBorders>
                          <w:top w:val="single" w:sz="4" w:space="0" w:color="auto"/>
                          <w:left w:val="single" w:sz="4" w:space="0" w:color="auto"/>
                          <w:bottom w:val="single" w:sz="4" w:space="0" w:color="auto"/>
                          <w:right w:val="single" w:sz="4" w:space="0" w:color="auto"/>
                        </w:tcBorders>
                      </w:tcPr>
                      <w:p w14:paraId="1D0BC730"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53 300</w:t>
                        </w:r>
                      </w:p>
                    </w:tc>
                  </w:tr>
                  <w:tr w:rsidR="00E20A9C" w:rsidRPr="00FD0E18" w14:paraId="36A3E242" w14:textId="77777777" w:rsidTr="00D4553F">
                    <w:trPr>
                      <w:trHeight w:val="360"/>
                      <w:jc w:val="center"/>
                    </w:trPr>
                    <w:tc>
                      <w:tcPr>
                        <w:tcW w:w="1016" w:type="dxa"/>
                        <w:tcBorders>
                          <w:top w:val="single" w:sz="4" w:space="0" w:color="auto"/>
                          <w:left w:val="single" w:sz="4" w:space="0" w:color="auto"/>
                          <w:bottom w:val="single" w:sz="4" w:space="0" w:color="auto"/>
                          <w:right w:val="single" w:sz="4" w:space="0" w:color="auto"/>
                        </w:tcBorders>
                      </w:tcPr>
                      <w:p w14:paraId="611DD6A4" w14:textId="77777777" w:rsidR="00E20A9C" w:rsidRPr="00FD0E18" w:rsidRDefault="00E20A9C" w:rsidP="00E20A9C">
                        <w:pPr>
                          <w:spacing w:before="100" w:beforeAutospacing="1" w:after="100" w:afterAutospacing="1"/>
                          <w:rPr>
                            <w:rFonts w:ascii="Times New Roman" w:hAnsi="Times New Roman" w:cs="Times New Roman"/>
                          </w:rPr>
                        </w:pPr>
                        <w:r>
                          <w:rPr>
                            <w:rFonts w:ascii="Times New Roman" w:hAnsi="Times New Roman" w:cs="Times New Roman"/>
                          </w:rPr>
                          <w:t>2021</w:t>
                        </w:r>
                      </w:p>
                    </w:tc>
                    <w:tc>
                      <w:tcPr>
                        <w:tcW w:w="1083" w:type="dxa"/>
                        <w:tcBorders>
                          <w:top w:val="single" w:sz="4" w:space="0" w:color="auto"/>
                          <w:left w:val="single" w:sz="4" w:space="0" w:color="auto"/>
                          <w:bottom w:val="single" w:sz="4" w:space="0" w:color="auto"/>
                          <w:right w:val="single" w:sz="4" w:space="0" w:color="auto"/>
                        </w:tcBorders>
                      </w:tcPr>
                      <w:p w14:paraId="50C0335C"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205</w:t>
                        </w:r>
                      </w:p>
                    </w:tc>
                    <w:tc>
                      <w:tcPr>
                        <w:tcW w:w="2123" w:type="dxa"/>
                        <w:tcBorders>
                          <w:top w:val="single" w:sz="4" w:space="0" w:color="auto"/>
                          <w:left w:val="single" w:sz="4" w:space="0" w:color="auto"/>
                          <w:bottom w:val="single" w:sz="4" w:space="0" w:color="auto"/>
                          <w:right w:val="single" w:sz="4" w:space="0" w:color="auto"/>
                        </w:tcBorders>
                      </w:tcPr>
                      <w:p w14:paraId="787F2BD5"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133 250</w:t>
                        </w:r>
                      </w:p>
                    </w:tc>
                    <w:tc>
                      <w:tcPr>
                        <w:tcW w:w="2352" w:type="dxa"/>
                        <w:tcBorders>
                          <w:top w:val="single" w:sz="4" w:space="0" w:color="auto"/>
                          <w:left w:val="single" w:sz="4" w:space="0" w:color="auto"/>
                          <w:bottom w:val="single" w:sz="4" w:space="0" w:color="auto"/>
                          <w:right w:val="single" w:sz="4" w:space="0" w:color="auto"/>
                        </w:tcBorders>
                      </w:tcPr>
                      <w:p w14:paraId="41C17B4C"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58 630</w:t>
                        </w:r>
                      </w:p>
                    </w:tc>
                  </w:tr>
                  <w:tr w:rsidR="00E20A9C" w:rsidRPr="00FD0E18" w14:paraId="4798C445" w14:textId="77777777" w:rsidTr="00D4553F">
                    <w:trPr>
                      <w:jc w:val="center"/>
                    </w:trPr>
                    <w:tc>
                      <w:tcPr>
                        <w:tcW w:w="1016" w:type="dxa"/>
                        <w:tcBorders>
                          <w:top w:val="single" w:sz="4" w:space="0" w:color="auto"/>
                          <w:left w:val="single" w:sz="4" w:space="0" w:color="auto"/>
                          <w:bottom w:val="single" w:sz="4" w:space="0" w:color="auto"/>
                          <w:right w:val="single" w:sz="4" w:space="0" w:color="auto"/>
                        </w:tcBorders>
                      </w:tcPr>
                      <w:p w14:paraId="482BDB0A" w14:textId="77777777" w:rsidR="00E20A9C" w:rsidRPr="00FD0E18" w:rsidRDefault="00E20A9C" w:rsidP="00E20A9C">
                        <w:pPr>
                          <w:spacing w:before="100" w:beforeAutospacing="1" w:after="100" w:afterAutospacing="1"/>
                          <w:rPr>
                            <w:rFonts w:ascii="Times New Roman" w:hAnsi="Times New Roman" w:cs="Times New Roman"/>
                          </w:rPr>
                        </w:pPr>
                        <w:r>
                          <w:rPr>
                            <w:rFonts w:ascii="Times New Roman" w:hAnsi="Times New Roman" w:cs="Times New Roman"/>
                          </w:rPr>
                          <w:t>2022</w:t>
                        </w:r>
                        <w:r w:rsidRPr="00FD0E18">
                          <w:rPr>
                            <w:rFonts w:ascii="Times New Roman" w:hAnsi="Times New Roman" w:cs="Times New Roman"/>
                          </w:rPr>
                          <w:t xml:space="preserve"> un turpmāk</w:t>
                        </w:r>
                      </w:p>
                    </w:tc>
                    <w:tc>
                      <w:tcPr>
                        <w:tcW w:w="1083" w:type="dxa"/>
                        <w:tcBorders>
                          <w:top w:val="single" w:sz="4" w:space="0" w:color="auto"/>
                          <w:left w:val="single" w:sz="4" w:space="0" w:color="auto"/>
                          <w:bottom w:val="single" w:sz="4" w:space="0" w:color="auto"/>
                          <w:right w:val="single" w:sz="4" w:space="0" w:color="auto"/>
                        </w:tcBorders>
                      </w:tcPr>
                      <w:p w14:paraId="557ED909"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205</w:t>
                        </w:r>
                      </w:p>
                    </w:tc>
                    <w:tc>
                      <w:tcPr>
                        <w:tcW w:w="2123" w:type="dxa"/>
                        <w:tcBorders>
                          <w:top w:val="single" w:sz="4" w:space="0" w:color="auto"/>
                          <w:left w:val="single" w:sz="4" w:space="0" w:color="auto"/>
                          <w:bottom w:val="single" w:sz="4" w:space="0" w:color="auto"/>
                          <w:right w:val="single" w:sz="4" w:space="0" w:color="auto"/>
                        </w:tcBorders>
                      </w:tcPr>
                      <w:p w14:paraId="7E591644"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133 250</w:t>
                        </w:r>
                      </w:p>
                    </w:tc>
                    <w:tc>
                      <w:tcPr>
                        <w:tcW w:w="2352" w:type="dxa"/>
                        <w:tcBorders>
                          <w:top w:val="single" w:sz="4" w:space="0" w:color="auto"/>
                          <w:left w:val="single" w:sz="4" w:space="0" w:color="auto"/>
                          <w:bottom w:val="single" w:sz="4" w:space="0" w:color="auto"/>
                          <w:right w:val="single" w:sz="4" w:space="0" w:color="auto"/>
                        </w:tcBorders>
                      </w:tcPr>
                      <w:p w14:paraId="3AB83367" w14:textId="77777777" w:rsidR="00E20A9C" w:rsidRPr="00FD0E18" w:rsidRDefault="00E20A9C" w:rsidP="00E20A9C">
                        <w:pPr>
                          <w:spacing w:before="100" w:beforeAutospacing="1" w:after="100" w:afterAutospacing="1"/>
                          <w:jc w:val="center"/>
                          <w:rPr>
                            <w:rFonts w:ascii="Times New Roman" w:hAnsi="Times New Roman" w:cs="Times New Roman"/>
                          </w:rPr>
                        </w:pPr>
                        <w:r w:rsidRPr="00FD0E18">
                          <w:rPr>
                            <w:rFonts w:ascii="Times New Roman" w:hAnsi="Times New Roman" w:cs="Times New Roman"/>
                          </w:rPr>
                          <w:t>63 960</w:t>
                        </w:r>
                      </w:p>
                    </w:tc>
                  </w:tr>
                </w:tbl>
                <w:p w14:paraId="4AAE5A57" w14:textId="77777777" w:rsidR="00E20A9C" w:rsidRDefault="00E20A9C" w:rsidP="00E20A9C">
                  <w:pPr>
                    <w:spacing w:after="0" w:line="240" w:lineRule="auto"/>
                    <w:ind w:left="181" w:right="237" w:firstLine="283"/>
                    <w:jc w:val="both"/>
                    <w:rPr>
                      <w:rFonts w:ascii="Times New Roman" w:hAnsi="Times New Roman"/>
                      <w:sz w:val="24"/>
                      <w:szCs w:val="24"/>
                    </w:rPr>
                  </w:pPr>
                  <w:r>
                    <w:rPr>
                      <w:rFonts w:ascii="Times New Roman" w:hAnsi="Times New Roman"/>
                      <w:sz w:val="24"/>
                      <w:szCs w:val="24"/>
                    </w:rPr>
                    <w:t>Lēmumu skaits prognozēts, ņemot vērā Maksātnespējas administrācijas iepriekšējo pieredzi, pārņemot administratīvo pārkāpumu lietas par maksātnespējas procesa un tiesiskās aizsardzības procesa noteikumu pārkāpšanu no Valsts policijas, kuras rādītāji bija divas lietas gadā pretstatā Maksātnespējas administrācijas 113 lietām 2015. gadā un 143 lietām 2016. gadā. Saskaņā ar Sodu reģistrā pieejamo informāciju, 2016. gadā Valsts policijai ir bijušas 32 lietas par maksātnespējas procesa pieteikuma neiesniegšanu.</w:t>
                  </w:r>
                </w:p>
                <w:p w14:paraId="1DCC9C31" w14:textId="6532FECE" w:rsidR="00E20A9C" w:rsidRDefault="00E20A9C" w:rsidP="00E20A9C">
                  <w:pPr>
                    <w:spacing w:after="0" w:line="240" w:lineRule="auto"/>
                    <w:ind w:left="181" w:right="237" w:firstLine="426"/>
                    <w:jc w:val="both"/>
                    <w:rPr>
                      <w:rFonts w:ascii="Times New Roman" w:hAnsi="Times New Roman"/>
                      <w:sz w:val="24"/>
                      <w:szCs w:val="24"/>
                    </w:rPr>
                  </w:pPr>
                  <w:r>
                    <w:rPr>
                      <w:rFonts w:ascii="Times New Roman" w:hAnsi="Times New Roman"/>
                      <w:sz w:val="24"/>
                      <w:szCs w:val="24"/>
                    </w:rPr>
                    <w:t>Kopējās uzliktās naudas sodu summas rādītājs veidots, pieņemot, ka naudas sods uzlikts vidējā apmērā no minimālā un maksimālā naudas soda (min 300 un max 1000 – vidējais 650</w:t>
                  </w:r>
                  <w:r w:rsidR="00A20652">
                    <w:rPr>
                      <w:rFonts w:ascii="Times New Roman" w:hAnsi="Times New Roman"/>
                      <w:sz w:val="24"/>
                      <w:szCs w:val="24"/>
                    </w:rPr>
                    <w:t> </w:t>
                  </w:r>
                  <w:r>
                    <w:rPr>
                      <w:rFonts w:ascii="Times New Roman" w:hAnsi="Times New Roman"/>
                      <w:i/>
                      <w:sz w:val="24"/>
                      <w:szCs w:val="24"/>
                    </w:rPr>
                    <w:t>euro</w:t>
                  </w:r>
                  <w:r>
                    <w:rPr>
                      <w:rFonts w:ascii="Times New Roman" w:hAnsi="Times New Roman"/>
                      <w:sz w:val="24"/>
                      <w:szCs w:val="24"/>
                    </w:rPr>
                    <w:t>).</w:t>
                  </w:r>
                </w:p>
                <w:p w14:paraId="4D90BC72" w14:textId="55183F25" w:rsidR="00E20A9C" w:rsidRDefault="00E20A9C" w:rsidP="00E20A9C">
                  <w:pPr>
                    <w:spacing w:after="0" w:line="240" w:lineRule="auto"/>
                    <w:ind w:left="181" w:right="237" w:firstLine="426"/>
                    <w:jc w:val="both"/>
                    <w:rPr>
                      <w:rFonts w:ascii="Times New Roman" w:hAnsi="Times New Roman"/>
                      <w:sz w:val="24"/>
                      <w:szCs w:val="24"/>
                    </w:rPr>
                  </w:pPr>
                  <w:r w:rsidRPr="00990FD3">
                    <w:rPr>
                      <w:rFonts w:ascii="Times New Roman" w:hAnsi="Times New Roman"/>
                      <w:sz w:val="24"/>
                      <w:szCs w:val="24"/>
                    </w:rPr>
                    <w:t>Iekasējamā summas prognoze 20</w:t>
                  </w:r>
                  <w:r>
                    <w:rPr>
                      <w:rFonts w:ascii="Times New Roman" w:hAnsi="Times New Roman"/>
                      <w:sz w:val="24"/>
                      <w:szCs w:val="24"/>
                    </w:rPr>
                    <w:t>20</w:t>
                  </w:r>
                  <w:r w:rsidRPr="00990FD3">
                    <w:rPr>
                      <w:rFonts w:ascii="Times New Roman" w:hAnsi="Times New Roman"/>
                      <w:sz w:val="24"/>
                      <w:szCs w:val="24"/>
                    </w:rPr>
                    <w:t>.</w:t>
                  </w:r>
                  <w:r>
                    <w:rPr>
                      <w:rFonts w:ascii="Times New Roman" w:hAnsi="Times New Roman"/>
                      <w:sz w:val="24"/>
                      <w:szCs w:val="24"/>
                    </w:rPr>
                    <w:t> </w:t>
                  </w:r>
                  <w:r w:rsidRPr="00990FD3">
                    <w:rPr>
                      <w:rFonts w:ascii="Times New Roman" w:hAnsi="Times New Roman"/>
                      <w:sz w:val="24"/>
                      <w:szCs w:val="24"/>
                    </w:rPr>
                    <w:t>gadā veidota 40</w:t>
                  </w:r>
                  <w:r w:rsidR="00A20652">
                    <w:rPr>
                      <w:rFonts w:ascii="Times New Roman" w:hAnsi="Times New Roman"/>
                      <w:sz w:val="24"/>
                      <w:szCs w:val="24"/>
                    </w:rPr>
                    <w:t> </w:t>
                  </w:r>
                  <w:r w:rsidRPr="00990FD3">
                    <w:rPr>
                      <w:rFonts w:ascii="Times New Roman" w:hAnsi="Times New Roman"/>
                      <w:sz w:val="24"/>
                      <w:szCs w:val="24"/>
                    </w:rPr>
                    <w:t>% apmērā no kārtējā gadā uzlikto naudas sodu summas. 20</w:t>
                  </w:r>
                  <w:r>
                    <w:rPr>
                      <w:rFonts w:ascii="Times New Roman" w:hAnsi="Times New Roman"/>
                      <w:sz w:val="24"/>
                      <w:szCs w:val="24"/>
                    </w:rPr>
                    <w:t>21</w:t>
                  </w:r>
                  <w:r w:rsidRPr="00990FD3">
                    <w:rPr>
                      <w:rFonts w:ascii="Times New Roman" w:hAnsi="Times New Roman"/>
                      <w:sz w:val="24"/>
                      <w:szCs w:val="24"/>
                    </w:rPr>
                    <w:t>.</w:t>
                  </w:r>
                  <w:r>
                    <w:rPr>
                      <w:rFonts w:ascii="Times New Roman" w:hAnsi="Times New Roman"/>
                      <w:sz w:val="24"/>
                      <w:szCs w:val="24"/>
                    </w:rPr>
                    <w:t> </w:t>
                  </w:r>
                  <w:r w:rsidRPr="00990FD3">
                    <w:rPr>
                      <w:rFonts w:ascii="Times New Roman" w:hAnsi="Times New Roman"/>
                      <w:sz w:val="24"/>
                      <w:szCs w:val="24"/>
                    </w:rPr>
                    <w:t>gadā – 40</w:t>
                  </w:r>
                  <w:r w:rsidR="00A20652">
                    <w:rPr>
                      <w:rFonts w:ascii="Times New Roman" w:hAnsi="Times New Roman"/>
                      <w:sz w:val="24"/>
                      <w:szCs w:val="24"/>
                    </w:rPr>
                    <w:t> </w:t>
                  </w:r>
                  <w:r w:rsidRPr="00990FD3">
                    <w:rPr>
                      <w:rFonts w:ascii="Times New Roman" w:hAnsi="Times New Roman"/>
                      <w:sz w:val="24"/>
                      <w:szCs w:val="24"/>
                    </w:rPr>
                    <w:t>% apmērā no kārtējā gadā uzlikto naudas sodu summas + 10</w:t>
                  </w:r>
                  <w:r w:rsidR="00A20652">
                    <w:rPr>
                      <w:rFonts w:ascii="Times New Roman" w:hAnsi="Times New Roman"/>
                      <w:sz w:val="24"/>
                      <w:szCs w:val="24"/>
                    </w:rPr>
                    <w:t> </w:t>
                  </w:r>
                  <w:r w:rsidRPr="00990FD3">
                    <w:rPr>
                      <w:rFonts w:ascii="Times New Roman" w:hAnsi="Times New Roman"/>
                      <w:sz w:val="24"/>
                      <w:szCs w:val="24"/>
                    </w:rPr>
                    <w:t>% no 20</w:t>
                  </w:r>
                  <w:r>
                    <w:rPr>
                      <w:rFonts w:ascii="Times New Roman" w:hAnsi="Times New Roman"/>
                      <w:sz w:val="24"/>
                      <w:szCs w:val="24"/>
                    </w:rPr>
                    <w:t>20</w:t>
                  </w:r>
                  <w:r w:rsidRPr="00990FD3">
                    <w:rPr>
                      <w:rFonts w:ascii="Times New Roman" w:hAnsi="Times New Roman"/>
                      <w:sz w:val="24"/>
                      <w:szCs w:val="24"/>
                    </w:rPr>
                    <w:t>.</w:t>
                  </w:r>
                  <w:r>
                    <w:rPr>
                      <w:rFonts w:ascii="Times New Roman" w:hAnsi="Times New Roman"/>
                      <w:sz w:val="24"/>
                      <w:szCs w:val="24"/>
                    </w:rPr>
                    <w:t> </w:t>
                  </w:r>
                  <w:r w:rsidRPr="00990FD3">
                    <w:rPr>
                      <w:rFonts w:ascii="Times New Roman" w:hAnsi="Times New Roman"/>
                      <w:sz w:val="24"/>
                      <w:szCs w:val="24"/>
                    </w:rPr>
                    <w:t>gadā uzliktā naudas soda summas (lietas, kas 20</w:t>
                  </w:r>
                  <w:r>
                    <w:rPr>
                      <w:rFonts w:ascii="Times New Roman" w:hAnsi="Times New Roman"/>
                      <w:sz w:val="24"/>
                      <w:szCs w:val="24"/>
                    </w:rPr>
                    <w:t>20</w:t>
                  </w:r>
                  <w:r w:rsidRPr="00990FD3">
                    <w:rPr>
                      <w:rFonts w:ascii="Times New Roman" w:hAnsi="Times New Roman"/>
                      <w:sz w:val="24"/>
                      <w:szCs w:val="24"/>
                    </w:rPr>
                    <w:t>.</w:t>
                  </w:r>
                  <w:r>
                    <w:rPr>
                      <w:rFonts w:ascii="Times New Roman" w:hAnsi="Times New Roman"/>
                      <w:sz w:val="24"/>
                      <w:szCs w:val="24"/>
                    </w:rPr>
                    <w:t> </w:t>
                  </w:r>
                  <w:r w:rsidRPr="00990FD3">
                    <w:rPr>
                      <w:rFonts w:ascii="Times New Roman" w:hAnsi="Times New Roman"/>
                      <w:sz w:val="24"/>
                      <w:szCs w:val="24"/>
                    </w:rPr>
                    <w:t>gadā nodotas piespiedu izpildei tiesu izpildītājiem, lēmumu apstrīdēšanas u.c.). 20</w:t>
                  </w:r>
                  <w:r>
                    <w:rPr>
                      <w:rFonts w:ascii="Times New Roman" w:hAnsi="Times New Roman"/>
                      <w:sz w:val="24"/>
                      <w:szCs w:val="24"/>
                    </w:rPr>
                    <w:t>22</w:t>
                  </w:r>
                  <w:r w:rsidRPr="00990FD3">
                    <w:rPr>
                      <w:rFonts w:ascii="Times New Roman" w:hAnsi="Times New Roman"/>
                      <w:sz w:val="24"/>
                      <w:szCs w:val="24"/>
                    </w:rPr>
                    <w:t>.</w:t>
                  </w:r>
                  <w:r>
                    <w:rPr>
                      <w:rFonts w:ascii="Times New Roman" w:hAnsi="Times New Roman"/>
                      <w:sz w:val="24"/>
                      <w:szCs w:val="24"/>
                    </w:rPr>
                    <w:t> </w:t>
                  </w:r>
                  <w:r w:rsidRPr="00990FD3">
                    <w:rPr>
                      <w:rFonts w:ascii="Times New Roman" w:hAnsi="Times New Roman"/>
                      <w:sz w:val="24"/>
                      <w:szCs w:val="24"/>
                    </w:rPr>
                    <w:t xml:space="preserve">gadā </w:t>
                  </w:r>
                  <w:r w:rsidRPr="00990FD3">
                    <w:rPr>
                      <w:rFonts w:ascii="Times New Roman" w:hAnsi="Times New Roman"/>
                      <w:sz w:val="24"/>
                      <w:szCs w:val="24"/>
                    </w:rPr>
                    <w:lastRenderedPageBreak/>
                    <w:t>40% apmērā no kārtējā gadā uzlikto naudas soda summas + 10</w:t>
                  </w:r>
                  <w:r w:rsidR="00A20652">
                    <w:rPr>
                      <w:rFonts w:ascii="Times New Roman" w:hAnsi="Times New Roman"/>
                      <w:sz w:val="24"/>
                      <w:szCs w:val="24"/>
                    </w:rPr>
                    <w:t> </w:t>
                  </w:r>
                  <w:r w:rsidRPr="00990FD3">
                    <w:rPr>
                      <w:rFonts w:ascii="Times New Roman" w:hAnsi="Times New Roman"/>
                      <w:sz w:val="24"/>
                      <w:szCs w:val="24"/>
                    </w:rPr>
                    <w:t>% no 20</w:t>
                  </w:r>
                  <w:r>
                    <w:rPr>
                      <w:rFonts w:ascii="Times New Roman" w:hAnsi="Times New Roman"/>
                      <w:sz w:val="24"/>
                      <w:szCs w:val="24"/>
                    </w:rPr>
                    <w:t>21</w:t>
                  </w:r>
                  <w:r w:rsidRPr="00990FD3">
                    <w:rPr>
                      <w:rFonts w:ascii="Times New Roman" w:hAnsi="Times New Roman"/>
                      <w:sz w:val="24"/>
                      <w:szCs w:val="24"/>
                    </w:rPr>
                    <w:t>.</w:t>
                  </w:r>
                  <w:r>
                    <w:rPr>
                      <w:rFonts w:ascii="Times New Roman" w:hAnsi="Times New Roman"/>
                      <w:sz w:val="24"/>
                      <w:szCs w:val="24"/>
                    </w:rPr>
                    <w:t> </w:t>
                  </w:r>
                  <w:r w:rsidRPr="00990FD3">
                    <w:rPr>
                      <w:rFonts w:ascii="Times New Roman" w:hAnsi="Times New Roman"/>
                      <w:sz w:val="24"/>
                      <w:szCs w:val="24"/>
                    </w:rPr>
                    <w:t>gadā uzliktās naudas soda summas (lietas, kas 20</w:t>
                  </w:r>
                  <w:r>
                    <w:rPr>
                      <w:rFonts w:ascii="Times New Roman" w:hAnsi="Times New Roman"/>
                      <w:sz w:val="24"/>
                      <w:szCs w:val="24"/>
                    </w:rPr>
                    <w:t>21</w:t>
                  </w:r>
                  <w:r w:rsidRPr="00990FD3">
                    <w:rPr>
                      <w:rFonts w:ascii="Times New Roman" w:hAnsi="Times New Roman"/>
                      <w:sz w:val="24"/>
                      <w:szCs w:val="24"/>
                    </w:rPr>
                    <w:t>.</w:t>
                  </w:r>
                  <w:r>
                    <w:rPr>
                      <w:rFonts w:ascii="Times New Roman" w:hAnsi="Times New Roman"/>
                      <w:sz w:val="24"/>
                      <w:szCs w:val="24"/>
                    </w:rPr>
                    <w:t> </w:t>
                  </w:r>
                  <w:r w:rsidRPr="00990FD3">
                    <w:rPr>
                      <w:rFonts w:ascii="Times New Roman" w:hAnsi="Times New Roman"/>
                      <w:sz w:val="24"/>
                      <w:szCs w:val="24"/>
                    </w:rPr>
                    <w:t>gadā nodotas piespiedu izpildei tiesu izpildītājiem, lēmumu apstrīdēšanas u.c.) + 10</w:t>
                  </w:r>
                  <w:r w:rsidR="00A20652">
                    <w:rPr>
                      <w:rFonts w:ascii="Times New Roman" w:hAnsi="Times New Roman"/>
                      <w:sz w:val="24"/>
                      <w:szCs w:val="24"/>
                    </w:rPr>
                    <w:t> </w:t>
                  </w:r>
                  <w:r w:rsidRPr="00990FD3">
                    <w:rPr>
                      <w:rFonts w:ascii="Times New Roman" w:hAnsi="Times New Roman"/>
                      <w:sz w:val="24"/>
                      <w:szCs w:val="24"/>
                    </w:rPr>
                    <w:t>% no 20</w:t>
                  </w:r>
                  <w:r>
                    <w:rPr>
                      <w:rFonts w:ascii="Times New Roman" w:hAnsi="Times New Roman"/>
                      <w:sz w:val="24"/>
                      <w:szCs w:val="24"/>
                    </w:rPr>
                    <w:t>20</w:t>
                  </w:r>
                  <w:r w:rsidRPr="00990FD3">
                    <w:rPr>
                      <w:rFonts w:ascii="Times New Roman" w:hAnsi="Times New Roman"/>
                      <w:sz w:val="24"/>
                      <w:szCs w:val="24"/>
                    </w:rPr>
                    <w:t>.</w:t>
                  </w:r>
                  <w:r>
                    <w:rPr>
                      <w:rFonts w:ascii="Times New Roman" w:hAnsi="Times New Roman"/>
                      <w:sz w:val="24"/>
                      <w:szCs w:val="24"/>
                    </w:rPr>
                    <w:t> </w:t>
                  </w:r>
                  <w:r w:rsidRPr="00990FD3">
                    <w:rPr>
                      <w:rFonts w:ascii="Times New Roman" w:hAnsi="Times New Roman"/>
                      <w:sz w:val="24"/>
                      <w:szCs w:val="24"/>
                    </w:rPr>
                    <w:t>gadā uzliktā naudas soda summas (lietas, kas 20</w:t>
                  </w:r>
                  <w:r>
                    <w:rPr>
                      <w:rFonts w:ascii="Times New Roman" w:hAnsi="Times New Roman"/>
                      <w:sz w:val="24"/>
                      <w:szCs w:val="24"/>
                    </w:rPr>
                    <w:t>20</w:t>
                  </w:r>
                  <w:r w:rsidRPr="00990FD3">
                    <w:rPr>
                      <w:rFonts w:ascii="Times New Roman" w:hAnsi="Times New Roman"/>
                      <w:sz w:val="24"/>
                      <w:szCs w:val="24"/>
                    </w:rPr>
                    <w:t>.</w:t>
                  </w:r>
                  <w:r>
                    <w:rPr>
                      <w:rFonts w:ascii="Times New Roman" w:hAnsi="Times New Roman"/>
                      <w:sz w:val="24"/>
                      <w:szCs w:val="24"/>
                    </w:rPr>
                    <w:t> </w:t>
                  </w:r>
                  <w:r w:rsidRPr="00990FD3">
                    <w:rPr>
                      <w:rFonts w:ascii="Times New Roman" w:hAnsi="Times New Roman"/>
                      <w:sz w:val="24"/>
                      <w:szCs w:val="24"/>
                    </w:rPr>
                    <w:t>g</w:t>
                  </w:r>
                  <w:r>
                    <w:rPr>
                      <w:rFonts w:ascii="Times New Roman" w:hAnsi="Times New Roman"/>
                      <w:sz w:val="24"/>
                      <w:szCs w:val="24"/>
                    </w:rPr>
                    <w:t>adā</w:t>
                  </w:r>
                  <w:r w:rsidRPr="00990FD3">
                    <w:rPr>
                      <w:rFonts w:ascii="Times New Roman" w:hAnsi="Times New Roman"/>
                      <w:sz w:val="24"/>
                      <w:szCs w:val="24"/>
                    </w:rPr>
                    <w:t xml:space="preserve"> nodotas piespiedu izpildei tiesu izpildītājiem, lēmumu apstrīdēšanas u.c.).</w:t>
                  </w:r>
                </w:p>
                <w:p w14:paraId="449A478B" w14:textId="77777777" w:rsidR="00E20A9C" w:rsidRPr="00990FD3" w:rsidRDefault="00E20A9C" w:rsidP="00E20A9C">
                  <w:pPr>
                    <w:spacing w:after="0" w:line="240" w:lineRule="auto"/>
                    <w:ind w:left="181" w:right="238"/>
                    <w:jc w:val="both"/>
                    <w:rPr>
                      <w:rFonts w:ascii="Times New Roman" w:hAnsi="Times New Roman"/>
                      <w:sz w:val="24"/>
                      <w:szCs w:val="24"/>
                    </w:rPr>
                  </w:pPr>
                  <w:r w:rsidRPr="00990FD3">
                    <w:rPr>
                      <w:rFonts w:ascii="Times New Roman" w:hAnsi="Times New Roman"/>
                      <w:sz w:val="24"/>
                      <w:szCs w:val="24"/>
                    </w:rPr>
                    <w:t>Aprēķins.</w:t>
                  </w:r>
                </w:p>
                <w:p w14:paraId="6DB76913" w14:textId="45870940" w:rsidR="00E20A9C" w:rsidRPr="00841384" w:rsidRDefault="00E20A9C" w:rsidP="00E20A9C">
                  <w:pPr>
                    <w:spacing w:after="0" w:line="240" w:lineRule="auto"/>
                    <w:ind w:left="181" w:right="238"/>
                    <w:jc w:val="both"/>
                    <w:rPr>
                      <w:rFonts w:ascii="Times New Roman" w:hAnsi="Times New Roman"/>
                      <w:i/>
                      <w:sz w:val="24"/>
                      <w:szCs w:val="24"/>
                    </w:rPr>
                  </w:pPr>
                  <w:r>
                    <w:rPr>
                      <w:rFonts w:ascii="Times New Roman" w:hAnsi="Times New Roman"/>
                      <w:sz w:val="24"/>
                      <w:szCs w:val="24"/>
                    </w:rPr>
                    <w:t>2020</w:t>
                  </w:r>
                  <w:r w:rsidRPr="00990FD3">
                    <w:rPr>
                      <w:rFonts w:ascii="Times New Roman" w:hAnsi="Times New Roman"/>
                      <w:sz w:val="24"/>
                      <w:szCs w:val="24"/>
                    </w:rPr>
                    <w:t>.</w:t>
                  </w:r>
                  <w:r>
                    <w:t> </w:t>
                  </w:r>
                  <w:r w:rsidRPr="00990FD3">
                    <w:rPr>
                      <w:rFonts w:ascii="Times New Roman" w:hAnsi="Times New Roman"/>
                      <w:sz w:val="24"/>
                      <w:szCs w:val="24"/>
                    </w:rPr>
                    <w:t>gads 205 lēmumi * 650</w:t>
                  </w:r>
                  <w:r w:rsidR="00A20652">
                    <w:rPr>
                      <w:rFonts w:ascii="Times New Roman" w:hAnsi="Times New Roman"/>
                      <w:sz w:val="24"/>
                      <w:szCs w:val="24"/>
                    </w:rPr>
                    <w:t> </w:t>
                  </w:r>
                  <w:r w:rsidRPr="00841384">
                    <w:rPr>
                      <w:rFonts w:ascii="Times New Roman" w:hAnsi="Times New Roman"/>
                      <w:i/>
                      <w:sz w:val="24"/>
                      <w:szCs w:val="24"/>
                    </w:rPr>
                    <w:t>euro</w:t>
                  </w:r>
                  <w:r w:rsidRPr="00990FD3">
                    <w:rPr>
                      <w:rFonts w:ascii="Times New Roman" w:hAnsi="Times New Roman"/>
                      <w:sz w:val="24"/>
                      <w:szCs w:val="24"/>
                    </w:rPr>
                    <w:t>/</w:t>
                  </w:r>
                  <w:r>
                    <w:rPr>
                      <w:rFonts w:ascii="Times New Roman" w:hAnsi="Times New Roman"/>
                      <w:sz w:val="24"/>
                      <w:szCs w:val="24"/>
                    </w:rPr>
                    <w:t>vidēji = 133</w:t>
                  </w:r>
                  <w:r w:rsidR="00F37F06">
                    <w:rPr>
                      <w:rFonts w:ascii="Times New Roman" w:hAnsi="Times New Roman"/>
                      <w:sz w:val="24"/>
                      <w:szCs w:val="24"/>
                    </w:rPr>
                    <w:t> </w:t>
                  </w:r>
                  <w:r>
                    <w:rPr>
                      <w:rFonts w:ascii="Times New Roman" w:hAnsi="Times New Roman"/>
                      <w:sz w:val="24"/>
                      <w:szCs w:val="24"/>
                    </w:rPr>
                    <w:t>250 * 40</w:t>
                  </w:r>
                  <w:r w:rsidR="00F37F06">
                    <w:rPr>
                      <w:rFonts w:ascii="Times New Roman" w:hAnsi="Times New Roman"/>
                      <w:sz w:val="24"/>
                      <w:szCs w:val="24"/>
                    </w:rPr>
                    <w:t> </w:t>
                  </w:r>
                  <w:r>
                    <w:rPr>
                      <w:rFonts w:ascii="Times New Roman" w:hAnsi="Times New Roman"/>
                      <w:sz w:val="24"/>
                      <w:szCs w:val="24"/>
                    </w:rPr>
                    <w:t>% = 53</w:t>
                  </w:r>
                  <w:r w:rsidR="00841384">
                    <w:rPr>
                      <w:rFonts w:ascii="Times New Roman" w:hAnsi="Times New Roman"/>
                      <w:sz w:val="24"/>
                      <w:szCs w:val="24"/>
                    </w:rPr>
                    <w:t> </w:t>
                  </w:r>
                  <w:r>
                    <w:rPr>
                      <w:rFonts w:ascii="Times New Roman" w:hAnsi="Times New Roman"/>
                      <w:sz w:val="24"/>
                      <w:szCs w:val="24"/>
                    </w:rPr>
                    <w:t>300</w:t>
                  </w:r>
                  <w:r w:rsidR="00841384">
                    <w:rPr>
                      <w:rFonts w:ascii="Times New Roman" w:hAnsi="Times New Roman"/>
                      <w:sz w:val="24"/>
                      <w:szCs w:val="24"/>
                    </w:rPr>
                    <w:t> </w:t>
                  </w:r>
                  <w:r w:rsidR="00841384">
                    <w:rPr>
                      <w:rFonts w:ascii="Times New Roman" w:hAnsi="Times New Roman"/>
                      <w:i/>
                      <w:sz w:val="24"/>
                      <w:szCs w:val="24"/>
                    </w:rPr>
                    <w:t>euro</w:t>
                  </w:r>
                </w:p>
                <w:p w14:paraId="3046E5FB" w14:textId="60AC644F" w:rsidR="00E20A9C" w:rsidRPr="00990FD3" w:rsidRDefault="00E20A9C" w:rsidP="00E20A9C">
                  <w:pPr>
                    <w:spacing w:after="0" w:line="240" w:lineRule="auto"/>
                    <w:ind w:left="181" w:right="238"/>
                    <w:jc w:val="both"/>
                    <w:rPr>
                      <w:rFonts w:ascii="Times New Roman" w:hAnsi="Times New Roman"/>
                      <w:sz w:val="24"/>
                      <w:szCs w:val="24"/>
                    </w:rPr>
                  </w:pPr>
                  <w:r>
                    <w:rPr>
                      <w:rFonts w:ascii="Times New Roman" w:hAnsi="Times New Roman"/>
                      <w:sz w:val="24"/>
                      <w:szCs w:val="24"/>
                    </w:rPr>
                    <w:t>2021</w:t>
                  </w:r>
                  <w:r w:rsidRPr="00990FD3">
                    <w:rPr>
                      <w:rFonts w:ascii="Times New Roman" w:hAnsi="Times New Roman"/>
                      <w:sz w:val="24"/>
                      <w:szCs w:val="24"/>
                    </w:rPr>
                    <w:t>.</w:t>
                  </w:r>
                  <w:r>
                    <w:rPr>
                      <w:rFonts w:ascii="Times New Roman" w:hAnsi="Times New Roman"/>
                      <w:sz w:val="24"/>
                      <w:szCs w:val="24"/>
                    </w:rPr>
                    <w:t> </w:t>
                  </w:r>
                  <w:r w:rsidRPr="00990FD3">
                    <w:rPr>
                      <w:rFonts w:ascii="Times New Roman" w:hAnsi="Times New Roman"/>
                      <w:sz w:val="24"/>
                      <w:szCs w:val="24"/>
                    </w:rPr>
                    <w:t>gads 205 lēmumi * 650</w:t>
                  </w:r>
                  <w:r w:rsidR="00A20652">
                    <w:rPr>
                      <w:rFonts w:ascii="Times New Roman" w:hAnsi="Times New Roman"/>
                      <w:sz w:val="24"/>
                      <w:szCs w:val="24"/>
                    </w:rPr>
                    <w:t> </w:t>
                  </w:r>
                  <w:r w:rsidRPr="00841384">
                    <w:rPr>
                      <w:rFonts w:ascii="Times New Roman" w:hAnsi="Times New Roman"/>
                      <w:i/>
                      <w:sz w:val="24"/>
                      <w:szCs w:val="24"/>
                    </w:rPr>
                    <w:t>euro</w:t>
                  </w:r>
                  <w:r w:rsidRPr="00990FD3">
                    <w:rPr>
                      <w:rFonts w:ascii="Times New Roman" w:hAnsi="Times New Roman"/>
                      <w:sz w:val="24"/>
                      <w:szCs w:val="24"/>
                    </w:rPr>
                    <w:t>/vidēji = 133</w:t>
                  </w:r>
                  <w:r w:rsidR="00F37F06">
                    <w:rPr>
                      <w:rFonts w:ascii="Times New Roman" w:hAnsi="Times New Roman"/>
                      <w:sz w:val="24"/>
                      <w:szCs w:val="24"/>
                    </w:rPr>
                    <w:t> </w:t>
                  </w:r>
                  <w:r w:rsidRPr="00990FD3">
                    <w:rPr>
                      <w:rFonts w:ascii="Times New Roman" w:hAnsi="Times New Roman"/>
                      <w:sz w:val="24"/>
                      <w:szCs w:val="24"/>
                    </w:rPr>
                    <w:t>250 * 40</w:t>
                  </w:r>
                  <w:r w:rsidR="00F37F06">
                    <w:rPr>
                      <w:rFonts w:ascii="Times New Roman" w:hAnsi="Times New Roman"/>
                      <w:sz w:val="24"/>
                      <w:szCs w:val="24"/>
                    </w:rPr>
                    <w:t> </w:t>
                  </w:r>
                  <w:r w:rsidRPr="00990FD3">
                    <w:rPr>
                      <w:rFonts w:ascii="Times New Roman" w:hAnsi="Times New Roman"/>
                      <w:sz w:val="24"/>
                      <w:szCs w:val="24"/>
                    </w:rPr>
                    <w:t>% = 53</w:t>
                  </w:r>
                  <w:r w:rsidR="00F37F06">
                    <w:rPr>
                      <w:rFonts w:ascii="Times New Roman" w:hAnsi="Times New Roman"/>
                      <w:sz w:val="24"/>
                      <w:szCs w:val="24"/>
                    </w:rPr>
                    <w:t> </w:t>
                  </w:r>
                  <w:r w:rsidRPr="00990FD3">
                    <w:rPr>
                      <w:rFonts w:ascii="Times New Roman" w:hAnsi="Times New Roman"/>
                      <w:sz w:val="24"/>
                      <w:szCs w:val="24"/>
                    </w:rPr>
                    <w:t>300 + (2018.</w:t>
                  </w:r>
                  <w:r>
                    <w:rPr>
                      <w:rFonts w:ascii="Times New Roman" w:hAnsi="Times New Roman"/>
                      <w:sz w:val="24"/>
                      <w:szCs w:val="24"/>
                    </w:rPr>
                    <w:t> </w:t>
                  </w:r>
                  <w:r w:rsidRPr="00990FD3">
                    <w:rPr>
                      <w:rFonts w:ascii="Times New Roman" w:hAnsi="Times New Roman"/>
                      <w:sz w:val="24"/>
                      <w:szCs w:val="24"/>
                    </w:rPr>
                    <w:t>gads 53</w:t>
                  </w:r>
                  <w:r w:rsidR="00F37F06">
                    <w:rPr>
                      <w:rFonts w:ascii="Times New Roman" w:hAnsi="Times New Roman"/>
                      <w:sz w:val="24"/>
                      <w:szCs w:val="24"/>
                    </w:rPr>
                    <w:t> </w:t>
                  </w:r>
                  <w:r w:rsidRPr="00990FD3">
                    <w:rPr>
                      <w:rFonts w:ascii="Times New Roman" w:hAnsi="Times New Roman"/>
                      <w:sz w:val="24"/>
                      <w:szCs w:val="24"/>
                    </w:rPr>
                    <w:t>300 * 10</w:t>
                  </w:r>
                  <w:r w:rsidR="00F37F06">
                    <w:rPr>
                      <w:rFonts w:ascii="Times New Roman" w:hAnsi="Times New Roman"/>
                      <w:sz w:val="24"/>
                      <w:szCs w:val="24"/>
                    </w:rPr>
                    <w:t> </w:t>
                  </w:r>
                  <w:r w:rsidRPr="00990FD3">
                    <w:rPr>
                      <w:rFonts w:ascii="Times New Roman" w:hAnsi="Times New Roman"/>
                      <w:sz w:val="24"/>
                      <w:szCs w:val="24"/>
                    </w:rPr>
                    <w:t>% = 5330</w:t>
                  </w:r>
                  <w:r w:rsidR="00F37F06">
                    <w:rPr>
                      <w:rFonts w:ascii="Times New Roman" w:hAnsi="Times New Roman"/>
                      <w:sz w:val="24"/>
                      <w:szCs w:val="24"/>
                    </w:rPr>
                    <w:t> </w:t>
                  </w:r>
                  <w:r w:rsidRPr="00841384">
                    <w:rPr>
                      <w:rFonts w:ascii="Times New Roman" w:hAnsi="Times New Roman"/>
                      <w:i/>
                      <w:sz w:val="24"/>
                      <w:szCs w:val="24"/>
                    </w:rPr>
                    <w:t>euro</w:t>
                  </w:r>
                  <w:r w:rsidRPr="00990FD3">
                    <w:rPr>
                      <w:rFonts w:ascii="Times New Roman" w:hAnsi="Times New Roman"/>
                      <w:sz w:val="24"/>
                      <w:szCs w:val="24"/>
                    </w:rPr>
                    <w:t>) = 58</w:t>
                  </w:r>
                  <w:r w:rsidR="00F37F06">
                    <w:rPr>
                      <w:rFonts w:ascii="Times New Roman" w:hAnsi="Times New Roman"/>
                      <w:sz w:val="24"/>
                      <w:szCs w:val="24"/>
                    </w:rPr>
                    <w:t> </w:t>
                  </w:r>
                  <w:r w:rsidRPr="00990FD3">
                    <w:rPr>
                      <w:rFonts w:ascii="Times New Roman" w:hAnsi="Times New Roman"/>
                      <w:sz w:val="24"/>
                      <w:szCs w:val="24"/>
                    </w:rPr>
                    <w:t>630</w:t>
                  </w:r>
                  <w:r w:rsidR="00841384" w:rsidRPr="00841384">
                    <w:rPr>
                      <w:rFonts w:ascii="Times New Roman" w:hAnsi="Times New Roman"/>
                      <w:sz w:val="24"/>
                      <w:szCs w:val="24"/>
                    </w:rPr>
                    <w:t> </w:t>
                  </w:r>
                  <w:r w:rsidR="00841384" w:rsidRPr="00841384">
                    <w:rPr>
                      <w:rFonts w:ascii="Times New Roman" w:hAnsi="Times New Roman"/>
                      <w:i/>
                      <w:sz w:val="24"/>
                      <w:szCs w:val="24"/>
                    </w:rPr>
                    <w:t>euro</w:t>
                  </w:r>
                </w:p>
                <w:p w14:paraId="2AF18D33" w14:textId="51C353CA" w:rsidR="00E20A9C" w:rsidRPr="00A16F25" w:rsidRDefault="00E20A9C" w:rsidP="00E20A9C">
                  <w:pPr>
                    <w:spacing w:after="0" w:line="240" w:lineRule="auto"/>
                    <w:ind w:left="181" w:right="238"/>
                    <w:jc w:val="both"/>
                    <w:rPr>
                      <w:rFonts w:ascii="Times New Roman" w:hAnsi="Times New Roman"/>
                      <w:sz w:val="24"/>
                      <w:szCs w:val="24"/>
                    </w:rPr>
                  </w:pPr>
                  <w:r>
                    <w:rPr>
                      <w:rFonts w:ascii="Times New Roman" w:hAnsi="Times New Roman"/>
                      <w:sz w:val="24"/>
                      <w:szCs w:val="24"/>
                    </w:rPr>
                    <w:t>2022</w:t>
                  </w:r>
                  <w:r w:rsidRPr="00990FD3">
                    <w:rPr>
                      <w:rFonts w:ascii="Times New Roman" w:hAnsi="Times New Roman"/>
                      <w:sz w:val="24"/>
                      <w:szCs w:val="24"/>
                    </w:rPr>
                    <w:t>.</w:t>
                  </w:r>
                  <w:r>
                    <w:rPr>
                      <w:rFonts w:ascii="Times New Roman" w:hAnsi="Times New Roman"/>
                      <w:sz w:val="24"/>
                      <w:szCs w:val="24"/>
                    </w:rPr>
                    <w:t> </w:t>
                  </w:r>
                  <w:r w:rsidRPr="00990FD3">
                    <w:rPr>
                      <w:rFonts w:ascii="Times New Roman" w:hAnsi="Times New Roman"/>
                      <w:sz w:val="24"/>
                      <w:szCs w:val="24"/>
                    </w:rPr>
                    <w:t>gads 205 lēmumi * 650</w:t>
                  </w:r>
                  <w:r w:rsidR="00F37F06">
                    <w:rPr>
                      <w:rFonts w:ascii="Times New Roman" w:hAnsi="Times New Roman"/>
                      <w:sz w:val="24"/>
                      <w:szCs w:val="24"/>
                    </w:rPr>
                    <w:t> </w:t>
                  </w:r>
                  <w:r w:rsidRPr="00841384">
                    <w:rPr>
                      <w:rFonts w:ascii="Times New Roman" w:hAnsi="Times New Roman"/>
                      <w:i/>
                      <w:sz w:val="24"/>
                      <w:szCs w:val="24"/>
                    </w:rPr>
                    <w:t>euro</w:t>
                  </w:r>
                  <w:r w:rsidRPr="00990FD3">
                    <w:rPr>
                      <w:rFonts w:ascii="Times New Roman" w:hAnsi="Times New Roman"/>
                      <w:sz w:val="24"/>
                      <w:szCs w:val="24"/>
                    </w:rPr>
                    <w:t>/vidēji = 133</w:t>
                  </w:r>
                  <w:r w:rsidR="00F37F06">
                    <w:rPr>
                      <w:rFonts w:ascii="Times New Roman" w:hAnsi="Times New Roman"/>
                      <w:sz w:val="24"/>
                      <w:szCs w:val="24"/>
                    </w:rPr>
                    <w:t> </w:t>
                  </w:r>
                  <w:r w:rsidRPr="00990FD3">
                    <w:rPr>
                      <w:rFonts w:ascii="Times New Roman" w:hAnsi="Times New Roman"/>
                      <w:sz w:val="24"/>
                      <w:szCs w:val="24"/>
                    </w:rPr>
                    <w:t>250 * 40</w:t>
                  </w:r>
                  <w:r w:rsidR="00F37F06">
                    <w:rPr>
                      <w:rFonts w:ascii="Times New Roman" w:hAnsi="Times New Roman"/>
                      <w:sz w:val="24"/>
                      <w:szCs w:val="24"/>
                    </w:rPr>
                    <w:t> </w:t>
                  </w:r>
                  <w:r w:rsidRPr="00990FD3">
                    <w:rPr>
                      <w:rFonts w:ascii="Times New Roman" w:hAnsi="Times New Roman"/>
                      <w:sz w:val="24"/>
                      <w:szCs w:val="24"/>
                    </w:rPr>
                    <w:t>% = 53</w:t>
                  </w:r>
                  <w:r w:rsidR="00F37F06">
                    <w:rPr>
                      <w:rFonts w:ascii="Times New Roman" w:hAnsi="Times New Roman"/>
                      <w:sz w:val="24"/>
                      <w:szCs w:val="24"/>
                    </w:rPr>
                    <w:t> </w:t>
                  </w:r>
                  <w:r w:rsidRPr="00990FD3">
                    <w:rPr>
                      <w:rFonts w:ascii="Times New Roman" w:hAnsi="Times New Roman"/>
                      <w:sz w:val="24"/>
                      <w:szCs w:val="24"/>
                    </w:rPr>
                    <w:t>300 + (2019.</w:t>
                  </w:r>
                  <w:r>
                    <w:rPr>
                      <w:rFonts w:ascii="Times New Roman" w:hAnsi="Times New Roman"/>
                      <w:sz w:val="24"/>
                      <w:szCs w:val="24"/>
                    </w:rPr>
                    <w:t> </w:t>
                  </w:r>
                  <w:r w:rsidRPr="00990FD3">
                    <w:rPr>
                      <w:rFonts w:ascii="Times New Roman" w:hAnsi="Times New Roman"/>
                      <w:sz w:val="24"/>
                      <w:szCs w:val="24"/>
                    </w:rPr>
                    <w:t>gads 53</w:t>
                  </w:r>
                  <w:r w:rsidR="00F37F06">
                    <w:rPr>
                      <w:rFonts w:ascii="Times New Roman" w:hAnsi="Times New Roman"/>
                      <w:sz w:val="24"/>
                      <w:szCs w:val="24"/>
                    </w:rPr>
                    <w:t> </w:t>
                  </w:r>
                  <w:r w:rsidRPr="00990FD3">
                    <w:rPr>
                      <w:rFonts w:ascii="Times New Roman" w:hAnsi="Times New Roman"/>
                      <w:sz w:val="24"/>
                      <w:szCs w:val="24"/>
                    </w:rPr>
                    <w:t>300 * 10% = 5330</w:t>
                  </w:r>
                  <w:r w:rsidR="00F37F06">
                    <w:rPr>
                      <w:rFonts w:ascii="Times New Roman" w:hAnsi="Times New Roman"/>
                      <w:sz w:val="24"/>
                      <w:szCs w:val="24"/>
                    </w:rPr>
                    <w:t> </w:t>
                  </w:r>
                  <w:r w:rsidRPr="00841384">
                    <w:rPr>
                      <w:rFonts w:ascii="Times New Roman" w:hAnsi="Times New Roman"/>
                      <w:i/>
                      <w:sz w:val="24"/>
                      <w:szCs w:val="24"/>
                    </w:rPr>
                    <w:t>euro</w:t>
                  </w:r>
                  <w:r w:rsidRPr="00990FD3">
                    <w:rPr>
                      <w:rFonts w:ascii="Times New Roman" w:hAnsi="Times New Roman"/>
                      <w:sz w:val="24"/>
                      <w:szCs w:val="24"/>
                    </w:rPr>
                    <w:t xml:space="preserve"> (2018.</w:t>
                  </w:r>
                  <w:r>
                    <w:rPr>
                      <w:rFonts w:ascii="Times New Roman" w:hAnsi="Times New Roman"/>
                      <w:sz w:val="24"/>
                      <w:szCs w:val="24"/>
                    </w:rPr>
                    <w:t> </w:t>
                  </w:r>
                  <w:r w:rsidRPr="00990FD3">
                    <w:rPr>
                      <w:rFonts w:ascii="Times New Roman" w:hAnsi="Times New Roman"/>
                      <w:sz w:val="24"/>
                      <w:szCs w:val="24"/>
                    </w:rPr>
                    <w:t>gads 53</w:t>
                  </w:r>
                  <w:r w:rsidR="00F37F06">
                    <w:rPr>
                      <w:rFonts w:ascii="Times New Roman" w:hAnsi="Times New Roman"/>
                      <w:sz w:val="24"/>
                      <w:szCs w:val="24"/>
                    </w:rPr>
                    <w:t> </w:t>
                  </w:r>
                  <w:r w:rsidRPr="00990FD3">
                    <w:rPr>
                      <w:rFonts w:ascii="Times New Roman" w:hAnsi="Times New Roman"/>
                      <w:sz w:val="24"/>
                      <w:szCs w:val="24"/>
                    </w:rPr>
                    <w:t>300 * 10% = 5330</w:t>
                  </w:r>
                  <w:r w:rsidR="00F37F06">
                    <w:rPr>
                      <w:rFonts w:ascii="Times New Roman" w:hAnsi="Times New Roman"/>
                      <w:sz w:val="24"/>
                      <w:szCs w:val="24"/>
                    </w:rPr>
                    <w:t> </w:t>
                  </w:r>
                  <w:r w:rsidRPr="00841384">
                    <w:rPr>
                      <w:rFonts w:ascii="Times New Roman" w:hAnsi="Times New Roman"/>
                      <w:i/>
                      <w:sz w:val="24"/>
                      <w:szCs w:val="24"/>
                    </w:rPr>
                    <w:t>euro</w:t>
                  </w:r>
                  <w:r w:rsidRPr="00990FD3">
                    <w:rPr>
                      <w:rFonts w:ascii="Times New Roman" w:hAnsi="Times New Roman"/>
                      <w:sz w:val="24"/>
                      <w:szCs w:val="24"/>
                    </w:rPr>
                    <w:t>) = 53</w:t>
                  </w:r>
                  <w:r w:rsidR="00F37F06">
                    <w:rPr>
                      <w:rFonts w:ascii="Times New Roman" w:hAnsi="Times New Roman"/>
                      <w:sz w:val="24"/>
                      <w:szCs w:val="24"/>
                    </w:rPr>
                    <w:t> </w:t>
                  </w:r>
                  <w:r w:rsidRPr="00990FD3">
                    <w:rPr>
                      <w:rFonts w:ascii="Times New Roman" w:hAnsi="Times New Roman"/>
                      <w:sz w:val="24"/>
                      <w:szCs w:val="24"/>
                    </w:rPr>
                    <w:t>300 + 5330 + 5330 = 63</w:t>
                  </w:r>
                  <w:r>
                    <w:rPr>
                      <w:rFonts w:ascii="Times New Roman" w:hAnsi="Times New Roman"/>
                      <w:sz w:val="24"/>
                      <w:szCs w:val="24"/>
                    </w:rPr>
                    <w:t> </w:t>
                  </w:r>
                  <w:r w:rsidRPr="00990FD3">
                    <w:rPr>
                      <w:rFonts w:ascii="Times New Roman" w:hAnsi="Times New Roman"/>
                      <w:sz w:val="24"/>
                      <w:szCs w:val="24"/>
                    </w:rPr>
                    <w:t>960</w:t>
                  </w:r>
                  <w:r w:rsidR="00841384" w:rsidRPr="00841384">
                    <w:rPr>
                      <w:rFonts w:ascii="Times New Roman" w:hAnsi="Times New Roman"/>
                      <w:sz w:val="24"/>
                      <w:szCs w:val="24"/>
                    </w:rPr>
                    <w:t> </w:t>
                  </w:r>
                  <w:r w:rsidR="00841384" w:rsidRPr="00841384">
                    <w:rPr>
                      <w:rFonts w:ascii="Times New Roman" w:hAnsi="Times New Roman"/>
                      <w:i/>
                      <w:sz w:val="24"/>
                      <w:szCs w:val="24"/>
                    </w:rPr>
                    <w:t>euro</w:t>
                  </w:r>
                </w:p>
                <w:p w14:paraId="0FC2AE27" w14:textId="77777777" w:rsidR="00E20A9C" w:rsidRDefault="00E20A9C" w:rsidP="00E20A9C">
                  <w:pPr>
                    <w:spacing w:after="0"/>
                    <w:ind w:left="113" w:firstLine="340"/>
                    <w:jc w:val="both"/>
                    <w:rPr>
                      <w:rFonts w:ascii="Times New Roman" w:hAnsi="Times New Roman"/>
                      <w:sz w:val="24"/>
                      <w:szCs w:val="20"/>
                    </w:rPr>
                  </w:pPr>
                  <w:r>
                    <w:rPr>
                      <w:rFonts w:ascii="Times New Roman" w:hAnsi="Times New Roman"/>
                      <w:sz w:val="24"/>
                      <w:szCs w:val="20"/>
                    </w:rPr>
                    <w:t>Izdevumu aprēķins:</w:t>
                  </w:r>
                </w:p>
                <w:p w14:paraId="3A9FD2BA" w14:textId="554ACC16" w:rsidR="00E20A9C" w:rsidRPr="004813CA" w:rsidRDefault="00E20A9C" w:rsidP="00841384">
                  <w:pPr>
                    <w:spacing w:after="0" w:line="240" w:lineRule="auto"/>
                    <w:ind w:left="113" w:firstLine="340"/>
                    <w:jc w:val="both"/>
                    <w:rPr>
                      <w:rFonts w:ascii="Times New Roman" w:hAnsi="Times New Roman"/>
                      <w:b/>
                      <w:sz w:val="24"/>
                      <w:szCs w:val="20"/>
                      <w:u w:val="single"/>
                    </w:rPr>
                  </w:pPr>
                  <w:r w:rsidRPr="00E50163">
                    <w:rPr>
                      <w:rFonts w:ascii="Times New Roman" w:hAnsi="Times New Roman"/>
                      <w:sz w:val="24"/>
                      <w:szCs w:val="20"/>
                    </w:rPr>
                    <w:t>Papildus nepieciešamais finansējums</w:t>
                  </w:r>
                  <w:r>
                    <w:rPr>
                      <w:rFonts w:ascii="Times New Roman" w:hAnsi="Times New Roman"/>
                      <w:sz w:val="24"/>
                      <w:szCs w:val="20"/>
                    </w:rPr>
                    <w:t xml:space="preserve"> </w:t>
                  </w:r>
                  <w:r w:rsidRPr="00A22462">
                    <w:rPr>
                      <w:rFonts w:ascii="Times New Roman" w:hAnsi="Times New Roman" w:cs="Times New Roman"/>
                      <w:sz w:val="24"/>
                      <w:szCs w:val="24"/>
                    </w:rPr>
                    <w:t>Tieslietu ministrijai budžeta apakšprogrammā</w:t>
                  </w:r>
                  <w:r>
                    <w:rPr>
                      <w:rFonts w:ascii="Times New Roman" w:hAnsi="Times New Roman" w:cs="Times New Roman"/>
                      <w:sz w:val="24"/>
                      <w:szCs w:val="24"/>
                    </w:rPr>
                    <w:t xml:space="preserve"> 06.03.00</w:t>
                  </w:r>
                  <w:r w:rsidRPr="00A22462">
                    <w:rPr>
                      <w:rFonts w:ascii="Times New Roman" w:hAnsi="Times New Roman" w:cs="Times New Roman"/>
                      <w:sz w:val="24"/>
                      <w:szCs w:val="24"/>
                    </w:rPr>
                    <w:t xml:space="preserve">. </w:t>
                  </w:r>
                  <w:r w:rsidR="00F37F06">
                    <w:rPr>
                      <w:rFonts w:ascii="Times New Roman" w:hAnsi="Times New Roman" w:cs="Times New Roman"/>
                      <w:sz w:val="24"/>
                      <w:szCs w:val="24"/>
                    </w:rPr>
                    <w:t>"</w:t>
                  </w:r>
                  <w:r>
                    <w:rPr>
                      <w:rFonts w:ascii="Times New Roman" w:hAnsi="Times New Roman" w:cs="Times New Roman"/>
                      <w:sz w:val="24"/>
                      <w:szCs w:val="24"/>
                    </w:rPr>
                    <w:t>Maksātnespējas procesa pārvaldība</w:t>
                  </w:r>
                  <w:r w:rsidR="00F37F06">
                    <w:rPr>
                      <w:rFonts w:ascii="Times New Roman" w:hAnsi="Times New Roman" w:cs="Times New Roman"/>
                      <w:sz w:val="24"/>
                      <w:szCs w:val="24"/>
                    </w:rPr>
                    <w:t>"</w:t>
                  </w:r>
                  <w:r>
                    <w:rPr>
                      <w:rFonts w:ascii="Times New Roman" w:hAnsi="Times New Roman" w:cs="Times New Roman"/>
                      <w:sz w:val="24"/>
                      <w:szCs w:val="24"/>
                    </w:rPr>
                    <w:t xml:space="preserve"> </w:t>
                  </w:r>
                  <w:r w:rsidRPr="00A16F25">
                    <w:rPr>
                      <w:rFonts w:ascii="Times New Roman" w:hAnsi="Times New Roman"/>
                      <w:b/>
                      <w:sz w:val="24"/>
                      <w:szCs w:val="20"/>
                      <w:u w:val="single"/>
                    </w:rPr>
                    <w:t>20</w:t>
                  </w:r>
                  <w:r>
                    <w:rPr>
                      <w:rFonts w:ascii="Times New Roman" w:hAnsi="Times New Roman"/>
                      <w:b/>
                      <w:sz w:val="24"/>
                      <w:szCs w:val="20"/>
                      <w:u w:val="single"/>
                    </w:rPr>
                    <w:t>20</w:t>
                  </w:r>
                  <w:r w:rsidRPr="00A16F25">
                    <w:rPr>
                      <w:rFonts w:ascii="Times New Roman" w:hAnsi="Times New Roman"/>
                      <w:b/>
                      <w:sz w:val="24"/>
                      <w:szCs w:val="20"/>
                      <w:u w:val="single"/>
                    </w:rPr>
                    <w:t>.</w:t>
                  </w:r>
                  <w:r w:rsidR="00F37F06">
                    <w:rPr>
                      <w:rFonts w:ascii="Times New Roman" w:hAnsi="Times New Roman"/>
                      <w:b/>
                      <w:sz w:val="24"/>
                      <w:szCs w:val="20"/>
                      <w:u w:val="single"/>
                    </w:rPr>
                    <w:t> </w:t>
                  </w:r>
                  <w:r w:rsidRPr="00A16F25">
                    <w:rPr>
                      <w:rFonts w:ascii="Times New Roman" w:hAnsi="Times New Roman"/>
                      <w:b/>
                      <w:sz w:val="24"/>
                      <w:szCs w:val="20"/>
                      <w:u w:val="single"/>
                    </w:rPr>
                    <w:t>gad</w:t>
                  </w:r>
                  <w:r>
                    <w:rPr>
                      <w:rFonts w:ascii="Times New Roman" w:hAnsi="Times New Roman"/>
                      <w:b/>
                      <w:sz w:val="24"/>
                      <w:szCs w:val="20"/>
                      <w:u w:val="single"/>
                    </w:rPr>
                    <w:t>ā</w:t>
                  </w:r>
                  <w:r w:rsidRPr="00A16F25">
                    <w:rPr>
                      <w:rFonts w:ascii="Times New Roman" w:hAnsi="Times New Roman"/>
                      <w:b/>
                      <w:sz w:val="24"/>
                      <w:szCs w:val="20"/>
                      <w:u w:val="single"/>
                    </w:rPr>
                    <w:t xml:space="preserve"> – </w:t>
                  </w:r>
                  <w:r>
                    <w:rPr>
                      <w:rFonts w:ascii="Times New Roman" w:hAnsi="Times New Roman"/>
                      <w:b/>
                      <w:sz w:val="24"/>
                      <w:szCs w:val="20"/>
                      <w:u w:val="single"/>
                    </w:rPr>
                    <w:t>52</w:t>
                  </w:r>
                  <w:r w:rsidR="00F37F06">
                    <w:rPr>
                      <w:rFonts w:ascii="Times New Roman" w:hAnsi="Times New Roman"/>
                      <w:b/>
                      <w:sz w:val="24"/>
                      <w:szCs w:val="20"/>
                      <w:u w:val="single"/>
                    </w:rPr>
                    <w:t> </w:t>
                  </w:r>
                  <w:r w:rsidR="00CA4BE5">
                    <w:rPr>
                      <w:rFonts w:ascii="Times New Roman" w:hAnsi="Times New Roman"/>
                      <w:b/>
                      <w:sz w:val="24"/>
                      <w:szCs w:val="20"/>
                      <w:u w:val="single"/>
                    </w:rPr>
                    <w:t>827</w:t>
                  </w:r>
                  <w:r w:rsidR="00F37F06">
                    <w:rPr>
                      <w:rFonts w:ascii="Times New Roman" w:hAnsi="Times New Roman"/>
                      <w:b/>
                      <w:sz w:val="24"/>
                      <w:szCs w:val="20"/>
                      <w:u w:val="single"/>
                    </w:rPr>
                    <w:t> </w:t>
                  </w:r>
                  <w:r w:rsidRPr="00A16F25">
                    <w:rPr>
                      <w:rFonts w:ascii="Times New Roman" w:hAnsi="Times New Roman"/>
                      <w:b/>
                      <w:i/>
                      <w:sz w:val="24"/>
                      <w:szCs w:val="20"/>
                      <w:u w:val="single"/>
                    </w:rPr>
                    <w:t>euro</w:t>
                  </w:r>
                  <w:r>
                    <w:rPr>
                      <w:rFonts w:ascii="Times New Roman" w:hAnsi="Times New Roman"/>
                      <w:b/>
                      <w:sz w:val="24"/>
                      <w:szCs w:val="20"/>
                      <w:u w:val="single"/>
                    </w:rPr>
                    <w:t>:</w:t>
                  </w:r>
                </w:p>
                <w:p w14:paraId="20640B21" w14:textId="5974417B" w:rsidR="00E20A9C" w:rsidRPr="00A16F25" w:rsidRDefault="00E20A9C" w:rsidP="00841384">
                  <w:pPr>
                    <w:spacing w:after="0" w:line="240" w:lineRule="auto"/>
                    <w:ind w:left="113" w:firstLine="340"/>
                    <w:jc w:val="both"/>
                    <w:rPr>
                      <w:rFonts w:ascii="Times New Roman" w:hAnsi="Times New Roman"/>
                      <w:sz w:val="24"/>
                      <w:szCs w:val="20"/>
                    </w:rPr>
                  </w:pPr>
                  <w:r w:rsidRPr="00A16F25">
                    <w:rPr>
                      <w:rFonts w:ascii="Times New Roman" w:hAnsi="Times New Roman"/>
                      <w:b/>
                      <w:sz w:val="24"/>
                      <w:szCs w:val="20"/>
                    </w:rPr>
                    <w:t>Atlīdzība</w:t>
                  </w:r>
                  <w:r>
                    <w:rPr>
                      <w:rFonts w:ascii="Times New Roman" w:hAnsi="Times New Roman"/>
                      <w:b/>
                      <w:sz w:val="24"/>
                      <w:szCs w:val="20"/>
                    </w:rPr>
                    <w:t xml:space="preserve">i (IKK 1000) </w:t>
                  </w:r>
                  <w:r w:rsidR="00F37F06">
                    <w:rPr>
                      <w:rFonts w:ascii="Times New Roman" w:hAnsi="Times New Roman"/>
                      <w:b/>
                      <w:sz w:val="24"/>
                      <w:szCs w:val="20"/>
                    </w:rPr>
                    <w:t>–</w:t>
                  </w:r>
                  <w:r w:rsidRPr="00A16F25">
                    <w:rPr>
                      <w:rFonts w:ascii="Times New Roman" w:hAnsi="Times New Roman"/>
                      <w:b/>
                      <w:sz w:val="24"/>
                      <w:szCs w:val="20"/>
                    </w:rPr>
                    <w:t xml:space="preserve"> </w:t>
                  </w:r>
                  <w:r>
                    <w:rPr>
                      <w:rFonts w:ascii="Times New Roman" w:hAnsi="Times New Roman"/>
                      <w:b/>
                      <w:sz w:val="24"/>
                      <w:szCs w:val="20"/>
                    </w:rPr>
                    <w:t>47</w:t>
                  </w:r>
                  <w:r w:rsidR="00F37F06">
                    <w:rPr>
                      <w:rFonts w:ascii="Times New Roman" w:hAnsi="Times New Roman"/>
                      <w:b/>
                      <w:sz w:val="24"/>
                      <w:szCs w:val="20"/>
                    </w:rPr>
                    <w:t> </w:t>
                  </w:r>
                  <w:r w:rsidR="00CA4BE5">
                    <w:rPr>
                      <w:rFonts w:ascii="Times New Roman" w:hAnsi="Times New Roman"/>
                      <w:b/>
                      <w:sz w:val="24"/>
                      <w:szCs w:val="20"/>
                    </w:rPr>
                    <w:t>911</w:t>
                  </w:r>
                  <w:r w:rsidR="00F37F06">
                    <w:rPr>
                      <w:rFonts w:ascii="Times New Roman" w:hAnsi="Times New Roman"/>
                      <w:b/>
                      <w:sz w:val="24"/>
                      <w:szCs w:val="20"/>
                    </w:rPr>
                    <w:t> </w:t>
                  </w:r>
                  <w:r w:rsidRPr="00A16F25">
                    <w:rPr>
                      <w:rFonts w:ascii="Times New Roman" w:hAnsi="Times New Roman"/>
                      <w:b/>
                      <w:i/>
                      <w:sz w:val="24"/>
                      <w:szCs w:val="20"/>
                    </w:rPr>
                    <w:t>euro</w:t>
                  </w:r>
                  <w:r w:rsidRPr="00A16F25">
                    <w:rPr>
                      <w:rFonts w:ascii="Times New Roman" w:hAnsi="Times New Roman"/>
                      <w:sz w:val="24"/>
                      <w:szCs w:val="20"/>
                    </w:rPr>
                    <w:t>:</w:t>
                  </w:r>
                </w:p>
                <w:p w14:paraId="390BB77F" w14:textId="7995A4BE" w:rsidR="00E20A9C" w:rsidRPr="00AF609D" w:rsidRDefault="00E20A9C" w:rsidP="00F37F06">
                  <w:pPr>
                    <w:pStyle w:val="Sarakstarindkopa"/>
                    <w:spacing w:after="0" w:line="240" w:lineRule="auto"/>
                    <w:ind w:left="113" w:firstLine="340"/>
                    <w:jc w:val="both"/>
                    <w:rPr>
                      <w:rFonts w:ascii="Times New Roman" w:hAnsi="Times New Roman"/>
                      <w:sz w:val="24"/>
                      <w:szCs w:val="20"/>
                    </w:rPr>
                  </w:pPr>
                  <w:r>
                    <w:rPr>
                      <w:rFonts w:ascii="Times New Roman" w:hAnsi="Times New Roman"/>
                      <w:sz w:val="24"/>
                      <w:szCs w:val="20"/>
                    </w:rPr>
                    <w:t>2</w:t>
                  </w:r>
                  <w:r w:rsidRPr="00AF609D">
                    <w:rPr>
                      <w:rFonts w:ascii="Times New Roman" w:hAnsi="Times New Roman"/>
                      <w:sz w:val="24"/>
                      <w:szCs w:val="20"/>
                    </w:rPr>
                    <w:t xml:space="preserve"> juriskonsult</w:t>
                  </w:r>
                  <w:r>
                    <w:rPr>
                      <w:rFonts w:ascii="Times New Roman" w:hAnsi="Times New Roman"/>
                      <w:sz w:val="24"/>
                      <w:szCs w:val="20"/>
                    </w:rPr>
                    <w:t>i (26.3 amatu saime, III B amatu līmenis, 10 mēnešalgu grupa)</w:t>
                  </w:r>
                  <w:r w:rsidRPr="00AF609D">
                    <w:rPr>
                      <w:rFonts w:ascii="Times New Roman" w:hAnsi="Times New Roman"/>
                      <w:sz w:val="24"/>
                      <w:szCs w:val="20"/>
                    </w:rPr>
                    <w:t xml:space="preserve"> </w:t>
                  </w:r>
                  <w:r>
                    <w:rPr>
                      <w:rFonts w:ascii="Times New Roman" w:hAnsi="Times New Roman"/>
                      <w:sz w:val="24"/>
                      <w:szCs w:val="20"/>
                    </w:rPr>
                    <w:t>1287</w:t>
                  </w:r>
                  <w:r w:rsidR="00F37F06">
                    <w:rPr>
                      <w:rFonts w:ascii="Times New Roman" w:hAnsi="Times New Roman"/>
                      <w:sz w:val="24"/>
                      <w:szCs w:val="20"/>
                    </w:rPr>
                    <w:t> </w:t>
                  </w:r>
                  <w:r w:rsidRPr="00AF609D">
                    <w:rPr>
                      <w:rFonts w:ascii="Times New Roman" w:hAnsi="Times New Roman"/>
                      <w:i/>
                      <w:sz w:val="24"/>
                      <w:szCs w:val="20"/>
                    </w:rPr>
                    <w:t>euro</w:t>
                  </w:r>
                  <w:r>
                    <w:rPr>
                      <w:rFonts w:ascii="Times New Roman" w:hAnsi="Times New Roman"/>
                      <w:i/>
                      <w:sz w:val="24"/>
                      <w:szCs w:val="20"/>
                    </w:rPr>
                    <w:t xml:space="preserve"> </w:t>
                  </w:r>
                  <w:r w:rsidRPr="00AF609D">
                    <w:rPr>
                      <w:rFonts w:ascii="Times New Roman" w:hAnsi="Times New Roman"/>
                      <w:sz w:val="24"/>
                      <w:szCs w:val="20"/>
                    </w:rPr>
                    <w:t>*</w:t>
                  </w:r>
                  <w:r>
                    <w:rPr>
                      <w:rFonts w:ascii="Times New Roman" w:hAnsi="Times New Roman"/>
                      <w:sz w:val="24"/>
                      <w:szCs w:val="20"/>
                    </w:rPr>
                    <w:t xml:space="preserve"> 12 </w:t>
                  </w:r>
                  <w:r w:rsidRPr="00AF609D">
                    <w:rPr>
                      <w:rFonts w:ascii="Times New Roman" w:hAnsi="Times New Roman"/>
                      <w:sz w:val="24"/>
                      <w:szCs w:val="20"/>
                    </w:rPr>
                    <w:t>mēn.</w:t>
                  </w:r>
                  <w:r>
                    <w:rPr>
                      <w:rFonts w:ascii="Times New Roman" w:hAnsi="Times New Roman"/>
                      <w:sz w:val="24"/>
                      <w:szCs w:val="20"/>
                    </w:rPr>
                    <w:t xml:space="preserve"> </w:t>
                  </w:r>
                  <w:r w:rsidRPr="00AF609D">
                    <w:rPr>
                      <w:rFonts w:ascii="Times New Roman" w:hAnsi="Times New Roman"/>
                      <w:sz w:val="24"/>
                      <w:szCs w:val="20"/>
                    </w:rPr>
                    <w:t xml:space="preserve">= </w:t>
                  </w:r>
                  <w:r>
                    <w:rPr>
                      <w:rFonts w:ascii="Times New Roman" w:hAnsi="Times New Roman"/>
                      <w:sz w:val="24"/>
                      <w:szCs w:val="20"/>
                    </w:rPr>
                    <w:t>30</w:t>
                  </w:r>
                  <w:r w:rsidR="00F37F06">
                    <w:rPr>
                      <w:rFonts w:ascii="Times New Roman" w:hAnsi="Times New Roman"/>
                      <w:sz w:val="24"/>
                      <w:szCs w:val="20"/>
                    </w:rPr>
                    <w:t> </w:t>
                  </w:r>
                  <w:r>
                    <w:rPr>
                      <w:rFonts w:ascii="Times New Roman" w:hAnsi="Times New Roman"/>
                      <w:sz w:val="24"/>
                      <w:szCs w:val="20"/>
                    </w:rPr>
                    <w:t>888</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w:t>
                  </w:r>
                </w:p>
                <w:p w14:paraId="118B5A0F" w14:textId="7EB55588" w:rsidR="00E20A9C" w:rsidRPr="00A16F25"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Vispārējā piemaksa 10</w:t>
                  </w:r>
                  <w:r w:rsidR="00F37F06">
                    <w:rPr>
                      <w:rFonts w:ascii="Times New Roman" w:hAnsi="Times New Roman"/>
                      <w:sz w:val="24"/>
                      <w:szCs w:val="20"/>
                    </w:rPr>
                    <w:t> </w:t>
                  </w:r>
                  <w:r w:rsidRPr="00AF609D">
                    <w:rPr>
                      <w:rFonts w:ascii="Times New Roman" w:hAnsi="Times New Roman"/>
                      <w:sz w:val="24"/>
                      <w:szCs w:val="20"/>
                    </w:rPr>
                    <w:t>% apmērā no plānot</w:t>
                  </w:r>
                  <w:r w:rsidR="008C4F8D">
                    <w:rPr>
                      <w:rFonts w:ascii="Times New Roman" w:hAnsi="Times New Roman"/>
                      <w:sz w:val="24"/>
                      <w:szCs w:val="20"/>
                    </w:rPr>
                    <w:t>o</w:t>
                  </w:r>
                  <w:r w:rsidRPr="00AF609D">
                    <w:rPr>
                      <w:rFonts w:ascii="Times New Roman" w:hAnsi="Times New Roman"/>
                      <w:sz w:val="24"/>
                      <w:szCs w:val="20"/>
                    </w:rPr>
                    <w:t xml:space="preserve"> amata vietu skaitam plānotās mēn</w:t>
                  </w:r>
                  <w:r>
                    <w:rPr>
                      <w:rFonts w:ascii="Times New Roman" w:hAnsi="Times New Roman"/>
                      <w:sz w:val="24"/>
                      <w:szCs w:val="20"/>
                    </w:rPr>
                    <w:t xml:space="preserve">ešalgu </w:t>
                  </w:r>
                  <w:r w:rsidRPr="00A16F25">
                    <w:rPr>
                      <w:rFonts w:ascii="Times New Roman" w:hAnsi="Times New Roman"/>
                      <w:sz w:val="24"/>
                      <w:szCs w:val="20"/>
                    </w:rPr>
                    <w:t xml:space="preserve">kopsummas </w:t>
                  </w:r>
                  <w:r>
                    <w:rPr>
                      <w:rFonts w:ascii="Times New Roman" w:hAnsi="Times New Roman"/>
                      <w:sz w:val="24"/>
                      <w:szCs w:val="20"/>
                    </w:rPr>
                    <w:t>30</w:t>
                  </w:r>
                  <w:r w:rsidR="00F37F06">
                    <w:rPr>
                      <w:rFonts w:ascii="Times New Roman" w:hAnsi="Times New Roman"/>
                      <w:sz w:val="24"/>
                      <w:szCs w:val="20"/>
                    </w:rPr>
                    <w:t> </w:t>
                  </w:r>
                  <w:r>
                    <w:rPr>
                      <w:rFonts w:ascii="Times New Roman" w:hAnsi="Times New Roman"/>
                      <w:sz w:val="24"/>
                      <w:szCs w:val="20"/>
                    </w:rPr>
                    <w:t>888</w:t>
                  </w:r>
                  <w:r w:rsidR="00F37F06">
                    <w:rPr>
                      <w:rFonts w:ascii="Times New Roman" w:hAnsi="Times New Roman"/>
                      <w:sz w:val="24"/>
                      <w:szCs w:val="20"/>
                    </w:rPr>
                    <w:t> </w:t>
                  </w:r>
                  <w:r w:rsidRPr="00A16F25">
                    <w:rPr>
                      <w:rFonts w:ascii="Times New Roman" w:hAnsi="Times New Roman"/>
                      <w:i/>
                      <w:sz w:val="24"/>
                      <w:szCs w:val="20"/>
                    </w:rPr>
                    <w:t>euro</w:t>
                  </w:r>
                  <w:r w:rsidRPr="00A16F25">
                    <w:rPr>
                      <w:rFonts w:ascii="Times New Roman" w:hAnsi="Times New Roman"/>
                      <w:sz w:val="24"/>
                      <w:szCs w:val="20"/>
                    </w:rPr>
                    <w:t xml:space="preserve"> * 10</w:t>
                  </w:r>
                  <w:r w:rsidR="00F37F06">
                    <w:rPr>
                      <w:rFonts w:ascii="Times New Roman" w:hAnsi="Times New Roman"/>
                      <w:sz w:val="24"/>
                      <w:szCs w:val="20"/>
                    </w:rPr>
                    <w:t> </w:t>
                  </w:r>
                  <w:r w:rsidRPr="00A16F25">
                    <w:rPr>
                      <w:rFonts w:ascii="Times New Roman" w:hAnsi="Times New Roman"/>
                      <w:sz w:val="24"/>
                      <w:szCs w:val="20"/>
                    </w:rPr>
                    <w:t xml:space="preserve">% = </w:t>
                  </w:r>
                  <w:r>
                    <w:rPr>
                      <w:rFonts w:ascii="Times New Roman" w:hAnsi="Times New Roman"/>
                      <w:sz w:val="24"/>
                      <w:szCs w:val="20"/>
                    </w:rPr>
                    <w:t>3089</w:t>
                  </w:r>
                  <w:r w:rsidR="00F37F06">
                    <w:rPr>
                      <w:rFonts w:ascii="Times New Roman" w:hAnsi="Times New Roman"/>
                      <w:sz w:val="24"/>
                      <w:szCs w:val="20"/>
                    </w:rPr>
                    <w:t> </w:t>
                  </w:r>
                  <w:r w:rsidRPr="00A16F25">
                    <w:rPr>
                      <w:rFonts w:ascii="Times New Roman" w:hAnsi="Times New Roman"/>
                      <w:i/>
                      <w:sz w:val="24"/>
                      <w:szCs w:val="20"/>
                    </w:rPr>
                    <w:t>euro</w:t>
                  </w:r>
                  <w:r w:rsidRPr="00A16F25">
                    <w:rPr>
                      <w:rFonts w:ascii="Times New Roman" w:hAnsi="Times New Roman"/>
                      <w:sz w:val="24"/>
                      <w:szCs w:val="20"/>
                    </w:rPr>
                    <w:t>;</w:t>
                  </w:r>
                </w:p>
                <w:p w14:paraId="2A0A998A" w14:textId="58F91F9C" w:rsidR="00E20A9C"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Prēmijas un naudas balvas 10</w:t>
                  </w:r>
                  <w:r w:rsidR="00F37F06">
                    <w:rPr>
                      <w:rFonts w:ascii="Times New Roman" w:hAnsi="Times New Roman"/>
                      <w:sz w:val="24"/>
                      <w:szCs w:val="20"/>
                    </w:rPr>
                    <w:t> </w:t>
                  </w:r>
                  <w:r w:rsidRPr="00AF609D">
                    <w:rPr>
                      <w:rFonts w:ascii="Times New Roman" w:hAnsi="Times New Roman"/>
                      <w:sz w:val="24"/>
                      <w:szCs w:val="20"/>
                    </w:rPr>
                    <w:t xml:space="preserve">% apmērā no plānoto amata vietu skaitam plānotās mēnešalgu </w:t>
                  </w:r>
                  <w:r>
                    <w:rPr>
                      <w:rFonts w:ascii="Times New Roman" w:hAnsi="Times New Roman"/>
                      <w:sz w:val="24"/>
                      <w:szCs w:val="20"/>
                    </w:rPr>
                    <w:t>kopsummas 30</w:t>
                  </w:r>
                  <w:r w:rsidR="00F37F06">
                    <w:rPr>
                      <w:rFonts w:ascii="Times New Roman" w:hAnsi="Times New Roman"/>
                      <w:sz w:val="24"/>
                      <w:szCs w:val="20"/>
                    </w:rPr>
                    <w:t> </w:t>
                  </w:r>
                  <w:r>
                    <w:rPr>
                      <w:rFonts w:ascii="Times New Roman" w:hAnsi="Times New Roman"/>
                      <w:sz w:val="24"/>
                      <w:szCs w:val="20"/>
                    </w:rPr>
                    <w:t>888</w:t>
                  </w:r>
                  <w:r w:rsidR="00F37F06">
                    <w:rPr>
                      <w:rFonts w:ascii="Times New Roman" w:hAnsi="Times New Roman"/>
                      <w:sz w:val="24"/>
                      <w:szCs w:val="20"/>
                    </w:rPr>
                    <w:t> </w:t>
                  </w:r>
                  <w:r w:rsidRPr="00BB2D67">
                    <w:rPr>
                      <w:rFonts w:ascii="Times New Roman" w:hAnsi="Times New Roman"/>
                      <w:i/>
                      <w:sz w:val="24"/>
                      <w:szCs w:val="20"/>
                    </w:rPr>
                    <w:t>euro</w:t>
                  </w:r>
                  <w:r>
                    <w:rPr>
                      <w:rFonts w:ascii="Times New Roman" w:hAnsi="Times New Roman"/>
                      <w:sz w:val="24"/>
                      <w:szCs w:val="20"/>
                    </w:rPr>
                    <w:t xml:space="preserve"> * 10</w:t>
                  </w:r>
                  <w:r w:rsidR="00F37F06">
                    <w:rPr>
                      <w:rFonts w:ascii="Times New Roman" w:hAnsi="Times New Roman"/>
                      <w:sz w:val="24"/>
                      <w:szCs w:val="20"/>
                    </w:rPr>
                    <w:t> </w:t>
                  </w:r>
                  <w:r>
                    <w:rPr>
                      <w:rFonts w:ascii="Times New Roman" w:hAnsi="Times New Roman"/>
                      <w:sz w:val="24"/>
                      <w:szCs w:val="20"/>
                    </w:rPr>
                    <w:t>% = 3089</w:t>
                  </w:r>
                  <w:r w:rsidR="00F37F06">
                    <w:rPr>
                      <w:rFonts w:ascii="Times New Roman" w:hAnsi="Times New Roman"/>
                      <w:sz w:val="24"/>
                      <w:szCs w:val="20"/>
                    </w:rPr>
                    <w:t> </w:t>
                  </w:r>
                  <w:r w:rsidRPr="00BB2D67">
                    <w:rPr>
                      <w:rFonts w:ascii="Times New Roman" w:hAnsi="Times New Roman"/>
                      <w:i/>
                      <w:sz w:val="24"/>
                      <w:szCs w:val="20"/>
                    </w:rPr>
                    <w:t>euro</w:t>
                  </w:r>
                  <w:r>
                    <w:rPr>
                      <w:rFonts w:ascii="Times New Roman" w:hAnsi="Times New Roman"/>
                      <w:sz w:val="24"/>
                      <w:szCs w:val="20"/>
                    </w:rPr>
                    <w:t>;</w:t>
                  </w:r>
                </w:p>
                <w:p w14:paraId="73B0FD6D" w14:textId="1E55377C" w:rsidR="00E20A9C" w:rsidRPr="00AF609D"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Sociālās garantijas, plāno 5</w:t>
                  </w:r>
                  <w:r w:rsidR="00F37F06">
                    <w:rPr>
                      <w:rFonts w:ascii="Times New Roman" w:hAnsi="Times New Roman"/>
                      <w:sz w:val="24"/>
                      <w:szCs w:val="20"/>
                    </w:rPr>
                    <w:t> </w:t>
                  </w:r>
                  <w:r w:rsidRPr="00AF609D">
                    <w:rPr>
                      <w:rFonts w:ascii="Times New Roman" w:hAnsi="Times New Roman"/>
                      <w:sz w:val="24"/>
                      <w:szCs w:val="20"/>
                    </w:rPr>
                    <w:t xml:space="preserve">% apmērā no plānoto amata vietu skaitam plānotās mēnešalgu kopsummas </w:t>
                  </w:r>
                  <w:r>
                    <w:rPr>
                      <w:rFonts w:ascii="Times New Roman" w:hAnsi="Times New Roman"/>
                      <w:sz w:val="24"/>
                      <w:szCs w:val="20"/>
                    </w:rPr>
                    <w:t>30</w:t>
                  </w:r>
                  <w:r w:rsidR="00F37F06">
                    <w:rPr>
                      <w:rFonts w:ascii="Times New Roman" w:hAnsi="Times New Roman"/>
                      <w:sz w:val="24"/>
                      <w:szCs w:val="20"/>
                    </w:rPr>
                    <w:t> </w:t>
                  </w:r>
                  <w:r>
                    <w:rPr>
                      <w:rFonts w:ascii="Times New Roman" w:hAnsi="Times New Roman"/>
                      <w:sz w:val="24"/>
                      <w:szCs w:val="20"/>
                    </w:rPr>
                    <w:t>888</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 5</w:t>
                  </w:r>
                  <w:r w:rsidR="00F37F06">
                    <w:rPr>
                      <w:rFonts w:ascii="Times New Roman" w:hAnsi="Times New Roman"/>
                      <w:sz w:val="24"/>
                      <w:szCs w:val="20"/>
                    </w:rPr>
                    <w:t> </w:t>
                  </w:r>
                  <w:r w:rsidRPr="00AF609D">
                    <w:rPr>
                      <w:rFonts w:ascii="Times New Roman" w:hAnsi="Times New Roman"/>
                      <w:sz w:val="24"/>
                      <w:szCs w:val="20"/>
                    </w:rPr>
                    <w:t xml:space="preserve">% = </w:t>
                  </w:r>
                  <w:r>
                    <w:rPr>
                      <w:rFonts w:ascii="Times New Roman" w:hAnsi="Times New Roman"/>
                      <w:sz w:val="24"/>
                      <w:szCs w:val="20"/>
                    </w:rPr>
                    <w:t>1544</w:t>
                  </w:r>
                  <w:r w:rsidR="00F37F06">
                    <w:rPr>
                      <w:rFonts w:ascii="Times New Roman" w:hAnsi="Times New Roman"/>
                      <w:sz w:val="24"/>
                      <w:szCs w:val="20"/>
                    </w:rPr>
                    <w:t> </w:t>
                  </w:r>
                  <w:r w:rsidRPr="00AF609D">
                    <w:rPr>
                      <w:rFonts w:ascii="Times New Roman" w:hAnsi="Times New Roman"/>
                      <w:i/>
                      <w:sz w:val="24"/>
                      <w:szCs w:val="20"/>
                    </w:rPr>
                    <w:t>euro</w:t>
                  </w:r>
                  <w:r w:rsidR="00F37F06">
                    <w:rPr>
                      <w:rFonts w:ascii="Times New Roman" w:hAnsi="Times New Roman"/>
                      <w:i/>
                      <w:sz w:val="24"/>
                      <w:szCs w:val="20"/>
                    </w:rPr>
                    <w:t>.</w:t>
                  </w:r>
                </w:p>
                <w:p w14:paraId="67F72493" w14:textId="44772186" w:rsidR="00E20A9C"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Darba devēja valsts sociālās apdrošināšanas obligātās iemaksas</w:t>
                  </w:r>
                  <w:r>
                    <w:rPr>
                      <w:rFonts w:ascii="Times New Roman" w:hAnsi="Times New Roman"/>
                      <w:sz w:val="24"/>
                      <w:szCs w:val="20"/>
                    </w:rPr>
                    <w:t xml:space="preserve"> (30</w:t>
                  </w:r>
                  <w:r w:rsidR="00F37F06">
                    <w:rPr>
                      <w:rFonts w:ascii="Times New Roman" w:hAnsi="Times New Roman"/>
                      <w:sz w:val="24"/>
                      <w:szCs w:val="20"/>
                    </w:rPr>
                    <w:t> </w:t>
                  </w:r>
                  <w:r>
                    <w:rPr>
                      <w:rFonts w:ascii="Times New Roman" w:hAnsi="Times New Roman"/>
                      <w:sz w:val="24"/>
                      <w:szCs w:val="20"/>
                    </w:rPr>
                    <w:t>888</w:t>
                  </w:r>
                  <w:r w:rsidR="00F37F06">
                    <w:rPr>
                      <w:rFonts w:ascii="Times New Roman" w:hAnsi="Times New Roman"/>
                      <w:sz w:val="24"/>
                      <w:szCs w:val="20"/>
                    </w:rPr>
                    <w:t> </w:t>
                  </w:r>
                  <w:r w:rsidRPr="00BB2D67">
                    <w:rPr>
                      <w:rFonts w:ascii="Times New Roman" w:hAnsi="Times New Roman"/>
                      <w:i/>
                      <w:sz w:val="24"/>
                      <w:szCs w:val="20"/>
                    </w:rPr>
                    <w:t>euro</w:t>
                  </w:r>
                  <w:r>
                    <w:rPr>
                      <w:rFonts w:ascii="Times New Roman" w:hAnsi="Times New Roman"/>
                      <w:sz w:val="24"/>
                      <w:szCs w:val="20"/>
                    </w:rPr>
                    <w:t xml:space="preserve"> +3089</w:t>
                  </w:r>
                  <w:r w:rsidR="00F37F06">
                    <w:rPr>
                      <w:rFonts w:ascii="Times New Roman" w:hAnsi="Times New Roman"/>
                      <w:sz w:val="24"/>
                      <w:szCs w:val="20"/>
                    </w:rPr>
                    <w:t> </w:t>
                  </w:r>
                  <w:r w:rsidRPr="00BB2D67">
                    <w:rPr>
                      <w:rFonts w:ascii="Times New Roman" w:hAnsi="Times New Roman"/>
                      <w:i/>
                      <w:sz w:val="24"/>
                      <w:szCs w:val="20"/>
                    </w:rPr>
                    <w:t>euro</w:t>
                  </w:r>
                  <w:r>
                    <w:rPr>
                      <w:rFonts w:ascii="Times New Roman" w:hAnsi="Times New Roman"/>
                      <w:sz w:val="24"/>
                      <w:szCs w:val="20"/>
                    </w:rPr>
                    <w:t xml:space="preserve"> +3089</w:t>
                  </w:r>
                  <w:r w:rsidR="00F37F06">
                    <w:rPr>
                      <w:rFonts w:ascii="Times New Roman" w:hAnsi="Times New Roman"/>
                      <w:sz w:val="24"/>
                      <w:szCs w:val="20"/>
                    </w:rPr>
                    <w:t> </w:t>
                  </w:r>
                  <w:r w:rsidRPr="00BB2D67">
                    <w:rPr>
                      <w:rFonts w:ascii="Times New Roman" w:hAnsi="Times New Roman"/>
                      <w:i/>
                      <w:sz w:val="24"/>
                      <w:szCs w:val="20"/>
                    </w:rPr>
                    <w:t>euro</w:t>
                  </w:r>
                  <w:r>
                    <w:rPr>
                      <w:rFonts w:ascii="Times New Roman" w:hAnsi="Times New Roman"/>
                      <w:sz w:val="24"/>
                      <w:szCs w:val="20"/>
                    </w:rPr>
                    <w:t xml:space="preserve"> +1544</w:t>
                  </w:r>
                  <w:r w:rsidR="00F37F06">
                    <w:rPr>
                      <w:rFonts w:ascii="Times New Roman" w:hAnsi="Times New Roman"/>
                      <w:sz w:val="24"/>
                      <w:szCs w:val="20"/>
                    </w:rPr>
                    <w:t> </w:t>
                  </w:r>
                  <w:r w:rsidRPr="00BB2D67">
                    <w:rPr>
                      <w:rFonts w:ascii="Times New Roman" w:hAnsi="Times New Roman"/>
                      <w:i/>
                      <w:sz w:val="24"/>
                      <w:szCs w:val="20"/>
                    </w:rPr>
                    <w:t>euro</w:t>
                  </w:r>
                  <w:r>
                    <w:rPr>
                      <w:rFonts w:ascii="Times New Roman" w:hAnsi="Times New Roman"/>
                      <w:sz w:val="24"/>
                      <w:szCs w:val="20"/>
                    </w:rPr>
                    <w:t>) *</w:t>
                  </w:r>
                  <w:r w:rsidRPr="00AF609D">
                    <w:rPr>
                      <w:rFonts w:ascii="Times New Roman" w:hAnsi="Times New Roman"/>
                      <w:sz w:val="24"/>
                      <w:szCs w:val="20"/>
                    </w:rPr>
                    <w:t xml:space="preserve"> </w:t>
                  </w:r>
                  <w:r w:rsidR="005274BC" w:rsidRPr="00AF609D">
                    <w:rPr>
                      <w:rFonts w:ascii="Times New Roman" w:hAnsi="Times New Roman"/>
                      <w:sz w:val="24"/>
                      <w:szCs w:val="20"/>
                    </w:rPr>
                    <w:t>2</w:t>
                  </w:r>
                  <w:r w:rsidR="005274BC">
                    <w:rPr>
                      <w:rFonts w:ascii="Times New Roman" w:hAnsi="Times New Roman"/>
                      <w:sz w:val="24"/>
                      <w:szCs w:val="20"/>
                    </w:rPr>
                    <w:t>4</w:t>
                  </w:r>
                  <w:r w:rsidR="00F37F06">
                    <w:rPr>
                      <w:rFonts w:ascii="Times New Roman" w:hAnsi="Times New Roman"/>
                      <w:sz w:val="24"/>
                      <w:szCs w:val="20"/>
                    </w:rPr>
                    <w:t>,</w:t>
                  </w:r>
                  <w:r w:rsidR="005274BC">
                    <w:rPr>
                      <w:rFonts w:ascii="Times New Roman" w:hAnsi="Times New Roman"/>
                      <w:sz w:val="24"/>
                      <w:szCs w:val="20"/>
                    </w:rPr>
                    <w:t>0</w:t>
                  </w:r>
                  <w:r w:rsidR="005274BC" w:rsidRPr="00AF609D">
                    <w:rPr>
                      <w:rFonts w:ascii="Times New Roman" w:hAnsi="Times New Roman"/>
                      <w:sz w:val="24"/>
                      <w:szCs w:val="20"/>
                    </w:rPr>
                    <w:t>9</w:t>
                  </w:r>
                  <w:r w:rsidR="00F37F06">
                    <w:rPr>
                      <w:rFonts w:ascii="Times New Roman" w:hAnsi="Times New Roman"/>
                      <w:sz w:val="24"/>
                      <w:szCs w:val="20"/>
                    </w:rPr>
                    <w:t> </w:t>
                  </w:r>
                  <w:r w:rsidRPr="00AF609D">
                    <w:rPr>
                      <w:rFonts w:ascii="Times New Roman" w:hAnsi="Times New Roman"/>
                      <w:sz w:val="24"/>
                      <w:szCs w:val="20"/>
                    </w:rPr>
                    <w:t xml:space="preserve">% = </w:t>
                  </w:r>
                  <w:r>
                    <w:rPr>
                      <w:rFonts w:ascii="Times New Roman" w:hAnsi="Times New Roman"/>
                      <w:sz w:val="24"/>
                      <w:szCs w:val="20"/>
                    </w:rPr>
                    <w:t>9</w:t>
                  </w:r>
                  <w:r w:rsidR="005274BC">
                    <w:rPr>
                      <w:rFonts w:ascii="Times New Roman" w:hAnsi="Times New Roman"/>
                      <w:sz w:val="24"/>
                      <w:szCs w:val="20"/>
                    </w:rPr>
                    <w:t>301</w:t>
                  </w:r>
                  <w:r w:rsidR="00F37F06">
                    <w:rPr>
                      <w:rFonts w:ascii="Times New Roman" w:hAnsi="Times New Roman"/>
                      <w:sz w:val="24"/>
                      <w:szCs w:val="20"/>
                    </w:rPr>
                    <w:t> </w:t>
                  </w:r>
                  <w:r w:rsidR="005274BC" w:rsidRPr="00AF609D">
                    <w:rPr>
                      <w:rFonts w:ascii="Times New Roman" w:hAnsi="Times New Roman"/>
                      <w:i/>
                      <w:sz w:val="24"/>
                      <w:szCs w:val="20"/>
                    </w:rPr>
                    <w:t>euro</w:t>
                  </w:r>
                  <w:r>
                    <w:rPr>
                      <w:rFonts w:ascii="Times New Roman" w:hAnsi="Times New Roman"/>
                      <w:sz w:val="24"/>
                      <w:szCs w:val="20"/>
                    </w:rPr>
                    <w:t>.</w:t>
                  </w:r>
                </w:p>
                <w:p w14:paraId="18034EF9" w14:textId="17561D4D" w:rsidR="00E20A9C" w:rsidRPr="00A16F25" w:rsidRDefault="00E20A9C" w:rsidP="00E20A9C">
                  <w:pPr>
                    <w:spacing w:after="0" w:line="240" w:lineRule="auto"/>
                    <w:ind w:left="113" w:firstLine="340"/>
                    <w:jc w:val="both"/>
                    <w:rPr>
                      <w:rFonts w:ascii="Times New Roman" w:hAnsi="Times New Roman"/>
                      <w:b/>
                      <w:sz w:val="24"/>
                      <w:szCs w:val="20"/>
                    </w:rPr>
                  </w:pPr>
                  <w:r w:rsidRPr="00A16F25">
                    <w:rPr>
                      <w:rFonts w:ascii="Times New Roman" w:hAnsi="Times New Roman"/>
                      <w:b/>
                      <w:sz w:val="24"/>
                      <w:szCs w:val="20"/>
                    </w:rPr>
                    <w:t>Prec</w:t>
                  </w:r>
                  <w:r>
                    <w:rPr>
                      <w:rFonts w:ascii="Times New Roman" w:hAnsi="Times New Roman"/>
                      <w:b/>
                      <w:sz w:val="24"/>
                      <w:szCs w:val="20"/>
                    </w:rPr>
                    <w:t>ēm</w:t>
                  </w:r>
                  <w:r w:rsidRPr="00A16F25">
                    <w:rPr>
                      <w:rFonts w:ascii="Times New Roman" w:hAnsi="Times New Roman"/>
                      <w:b/>
                      <w:sz w:val="24"/>
                      <w:szCs w:val="20"/>
                    </w:rPr>
                    <w:t xml:space="preserve"> un pakalpojumi</w:t>
                  </w:r>
                  <w:r>
                    <w:rPr>
                      <w:rFonts w:ascii="Times New Roman" w:hAnsi="Times New Roman"/>
                      <w:b/>
                      <w:sz w:val="24"/>
                      <w:szCs w:val="20"/>
                    </w:rPr>
                    <w:t>em (IKK 2000) -</w:t>
                  </w:r>
                  <w:r w:rsidRPr="00A16F25">
                    <w:rPr>
                      <w:rFonts w:ascii="Times New Roman" w:hAnsi="Times New Roman"/>
                      <w:b/>
                      <w:sz w:val="24"/>
                      <w:szCs w:val="20"/>
                    </w:rPr>
                    <w:t xml:space="preserve"> </w:t>
                  </w:r>
                  <w:r>
                    <w:rPr>
                      <w:rFonts w:ascii="Times New Roman" w:hAnsi="Times New Roman"/>
                      <w:b/>
                      <w:sz w:val="24"/>
                      <w:szCs w:val="20"/>
                    </w:rPr>
                    <w:t>2916</w:t>
                  </w:r>
                  <w:r w:rsidR="00F37F06">
                    <w:rPr>
                      <w:rFonts w:ascii="Times New Roman" w:hAnsi="Times New Roman"/>
                      <w:b/>
                      <w:sz w:val="24"/>
                      <w:szCs w:val="20"/>
                    </w:rPr>
                    <w:t> </w:t>
                  </w:r>
                  <w:r w:rsidRPr="00A16F25">
                    <w:rPr>
                      <w:rFonts w:ascii="Times New Roman" w:hAnsi="Times New Roman"/>
                      <w:b/>
                      <w:i/>
                      <w:sz w:val="24"/>
                      <w:szCs w:val="20"/>
                    </w:rPr>
                    <w:t>euro</w:t>
                  </w:r>
                  <w:r w:rsidR="00865B97">
                    <w:rPr>
                      <w:rFonts w:ascii="Times New Roman" w:hAnsi="Times New Roman"/>
                      <w:b/>
                      <w:sz w:val="24"/>
                      <w:szCs w:val="20"/>
                    </w:rPr>
                    <w:t>, t.sk. vienreizējie izdevumi – 780</w:t>
                  </w:r>
                  <w:r w:rsidR="00F37F06">
                    <w:rPr>
                      <w:rFonts w:ascii="Times New Roman" w:hAnsi="Times New Roman"/>
                      <w:b/>
                      <w:sz w:val="24"/>
                      <w:szCs w:val="20"/>
                    </w:rPr>
                    <w:t> </w:t>
                  </w:r>
                  <w:r w:rsidR="00865B97" w:rsidRPr="002665A8">
                    <w:rPr>
                      <w:rFonts w:ascii="Times New Roman" w:hAnsi="Times New Roman"/>
                      <w:b/>
                      <w:i/>
                      <w:sz w:val="24"/>
                      <w:szCs w:val="20"/>
                    </w:rPr>
                    <w:t>euro</w:t>
                  </w:r>
                  <w:r w:rsidR="00865B97">
                    <w:rPr>
                      <w:rFonts w:ascii="Times New Roman" w:hAnsi="Times New Roman"/>
                      <w:b/>
                      <w:sz w:val="24"/>
                      <w:szCs w:val="20"/>
                    </w:rPr>
                    <w:t xml:space="preserve"> apmērā</w:t>
                  </w:r>
                  <w:r w:rsidRPr="00A16F25">
                    <w:rPr>
                      <w:rFonts w:ascii="Times New Roman" w:hAnsi="Times New Roman"/>
                      <w:b/>
                      <w:sz w:val="24"/>
                      <w:szCs w:val="20"/>
                    </w:rPr>
                    <w:t xml:space="preserve">: </w:t>
                  </w:r>
                </w:p>
                <w:p w14:paraId="51F96087" w14:textId="1EE7182A" w:rsidR="00E20A9C" w:rsidRPr="00C664EF" w:rsidRDefault="00E20A9C" w:rsidP="00E20A9C">
                  <w:pPr>
                    <w:pStyle w:val="Sarakstarindkopa"/>
                    <w:spacing w:after="0" w:line="240" w:lineRule="auto"/>
                    <w:ind w:left="113" w:firstLine="340"/>
                    <w:jc w:val="both"/>
                  </w:pPr>
                  <w:r w:rsidRPr="00AF609D">
                    <w:rPr>
                      <w:rFonts w:ascii="Times New Roman" w:hAnsi="Times New Roman"/>
                      <w:sz w:val="24"/>
                      <w:szCs w:val="20"/>
                    </w:rPr>
                    <w:t>Sakaru pakalpojumi (t.sk.</w:t>
                  </w:r>
                  <w:r>
                    <w:rPr>
                      <w:rFonts w:ascii="Times New Roman" w:hAnsi="Times New Roman"/>
                      <w:sz w:val="24"/>
                      <w:szCs w:val="20"/>
                    </w:rPr>
                    <w:t xml:space="preserve"> </w:t>
                  </w:r>
                  <w:r w:rsidRPr="00AF609D">
                    <w:rPr>
                      <w:rFonts w:ascii="Times New Roman" w:hAnsi="Times New Roman"/>
                      <w:sz w:val="24"/>
                      <w:szCs w:val="20"/>
                    </w:rPr>
                    <w:t xml:space="preserve">internets) </w:t>
                  </w:r>
                  <w:r>
                    <w:rPr>
                      <w:rFonts w:ascii="Times New Roman" w:hAnsi="Times New Roman"/>
                      <w:sz w:val="24"/>
                      <w:szCs w:val="20"/>
                    </w:rPr>
                    <w:t>2</w:t>
                  </w:r>
                  <w:r w:rsidRPr="00AF609D">
                    <w:rPr>
                      <w:rFonts w:ascii="Times New Roman" w:hAnsi="Times New Roman"/>
                      <w:sz w:val="24"/>
                      <w:szCs w:val="20"/>
                    </w:rPr>
                    <w:t xml:space="preserve"> </w:t>
                  </w:r>
                  <w:r w:rsidRPr="003A71E2">
                    <w:rPr>
                      <w:rFonts w:ascii="Times New Roman" w:hAnsi="Times New Roman"/>
                      <w:sz w:val="24"/>
                      <w:szCs w:val="20"/>
                    </w:rPr>
                    <w:t>juriskonsulti</w:t>
                  </w:r>
                  <w:r w:rsidRPr="00AF609D">
                    <w:rPr>
                      <w:rFonts w:ascii="Times New Roman" w:hAnsi="Times New Roman"/>
                      <w:sz w:val="24"/>
                      <w:szCs w:val="20"/>
                    </w:rPr>
                    <w:t xml:space="preserve"> * 15</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 </w:t>
                  </w:r>
                  <w:r>
                    <w:rPr>
                      <w:rFonts w:ascii="Times New Roman" w:hAnsi="Times New Roman"/>
                      <w:sz w:val="24"/>
                      <w:szCs w:val="20"/>
                    </w:rPr>
                    <w:t>12</w:t>
                  </w:r>
                  <w:r w:rsidRPr="00AF609D">
                    <w:rPr>
                      <w:rFonts w:ascii="Times New Roman" w:hAnsi="Times New Roman"/>
                      <w:sz w:val="24"/>
                      <w:szCs w:val="20"/>
                    </w:rPr>
                    <w:t xml:space="preserve"> mēn = </w:t>
                  </w:r>
                  <w:r>
                    <w:rPr>
                      <w:rFonts w:ascii="Times New Roman" w:hAnsi="Times New Roman"/>
                      <w:sz w:val="24"/>
                      <w:szCs w:val="20"/>
                    </w:rPr>
                    <w:t>360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w:t>
                  </w:r>
                </w:p>
                <w:p w14:paraId="66F8EC1D" w14:textId="447073D8" w:rsidR="00E20A9C" w:rsidRPr="00AF609D"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Izdevumi par ūdeni un kanalizāciju</w:t>
                  </w:r>
                  <w:r>
                    <w:rPr>
                      <w:rFonts w:ascii="Times New Roman" w:hAnsi="Times New Roman"/>
                      <w:sz w:val="24"/>
                      <w:szCs w:val="20"/>
                    </w:rPr>
                    <w:t xml:space="preserve"> 2 </w:t>
                  </w:r>
                  <w:r w:rsidRPr="003A71E2">
                    <w:rPr>
                      <w:rFonts w:ascii="Times New Roman" w:hAnsi="Times New Roman"/>
                      <w:sz w:val="24"/>
                      <w:szCs w:val="20"/>
                    </w:rPr>
                    <w:t>juriskonsulti</w:t>
                  </w:r>
                  <w:r>
                    <w:rPr>
                      <w:rFonts w:ascii="Times New Roman" w:hAnsi="Times New Roman"/>
                      <w:sz w:val="24"/>
                      <w:szCs w:val="20"/>
                    </w:rPr>
                    <w:t xml:space="preserve"> *</w:t>
                  </w:r>
                  <w:r w:rsidRPr="00AF609D">
                    <w:rPr>
                      <w:rFonts w:ascii="Times New Roman" w:hAnsi="Times New Roman"/>
                      <w:sz w:val="24"/>
                      <w:szCs w:val="20"/>
                    </w:rPr>
                    <w:t xml:space="preserve"> 2</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 </w:t>
                  </w:r>
                  <w:r>
                    <w:rPr>
                      <w:rFonts w:ascii="Times New Roman" w:hAnsi="Times New Roman"/>
                      <w:sz w:val="24"/>
                      <w:szCs w:val="20"/>
                    </w:rPr>
                    <w:t>12</w:t>
                  </w:r>
                  <w:r w:rsidRPr="00AF609D">
                    <w:rPr>
                      <w:rFonts w:ascii="Times New Roman" w:hAnsi="Times New Roman"/>
                      <w:sz w:val="24"/>
                      <w:szCs w:val="20"/>
                    </w:rPr>
                    <w:t xml:space="preserve"> mēn = </w:t>
                  </w:r>
                  <w:r>
                    <w:rPr>
                      <w:rFonts w:ascii="Times New Roman" w:hAnsi="Times New Roman"/>
                      <w:sz w:val="24"/>
                      <w:szCs w:val="20"/>
                    </w:rPr>
                    <w:t>48</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w:t>
                  </w:r>
                </w:p>
                <w:p w14:paraId="768702E7" w14:textId="0BD35E6B" w:rsidR="00E20A9C" w:rsidRPr="00AF609D"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 xml:space="preserve">Izdevumi par elektroenerģiju </w:t>
                  </w:r>
                  <w:r>
                    <w:rPr>
                      <w:rFonts w:ascii="Times New Roman" w:hAnsi="Times New Roman"/>
                      <w:sz w:val="24"/>
                      <w:szCs w:val="20"/>
                    </w:rPr>
                    <w:t>2</w:t>
                  </w:r>
                  <w:r w:rsidRPr="00AF609D">
                    <w:rPr>
                      <w:rFonts w:ascii="Times New Roman" w:hAnsi="Times New Roman"/>
                      <w:sz w:val="24"/>
                      <w:szCs w:val="20"/>
                    </w:rPr>
                    <w:t xml:space="preserve"> </w:t>
                  </w:r>
                  <w:r w:rsidRPr="003A71E2">
                    <w:rPr>
                      <w:rFonts w:ascii="Times New Roman" w:hAnsi="Times New Roman"/>
                      <w:sz w:val="24"/>
                      <w:szCs w:val="20"/>
                    </w:rPr>
                    <w:t>juriskonsulti</w:t>
                  </w:r>
                  <w:r w:rsidRPr="00AF609D">
                    <w:rPr>
                      <w:rFonts w:ascii="Times New Roman" w:hAnsi="Times New Roman"/>
                      <w:sz w:val="24"/>
                      <w:szCs w:val="20"/>
                    </w:rPr>
                    <w:t xml:space="preserve"> * 15</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 </w:t>
                  </w:r>
                  <w:r>
                    <w:rPr>
                      <w:rFonts w:ascii="Times New Roman" w:hAnsi="Times New Roman"/>
                      <w:sz w:val="24"/>
                      <w:szCs w:val="20"/>
                    </w:rPr>
                    <w:t>12</w:t>
                  </w:r>
                  <w:r w:rsidRPr="00AF609D">
                    <w:rPr>
                      <w:rFonts w:ascii="Times New Roman" w:hAnsi="Times New Roman"/>
                      <w:sz w:val="24"/>
                      <w:szCs w:val="20"/>
                    </w:rPr>
                    <w:t xml:space="preserve"> mēn = </w:t>
                  </w:r>
                  <w:r>
                    <w:rPr>
                      <w:rFonts w:ascii="Times New Roman" w:hAnsi="Times New Roman"/>
                      <w:sz w:val="24"/>
                      <w:szCs w:val="20"/>
                    </w:rPr>
                    <w:t>360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w:t>
                  </w:r>
                </w:p>
                <w:p w14:paraId="3487471D" w14:textId="1AAE2A61" w:rsidR="00E20A9C" w:rsidRPr="00AF609D"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 xml:space="preserve">Izdevumi par saņemtajiem apmācību pakalpojumiem </w:t>
                  </w:r>
                  <w:r>
                    <w:rPr>
                      <w:rFonts w:ascii="Times New Roman" w:hAnsi="Times New Roman"/>
                      <w:sz w:val="24"/>
                      <w:szCs w:val="20"/>
                    </w:rPr>
                    <w:t>2</w:t>
                  </w:r>
                  <w:r w:rsidRPr="00AF609D">
                    <w:rPr>
                      <w:rFonts w:ascii="Times New Roman" w:hAnsi="Times New Roman"/>
                      <w:sz w:val="24"/>
                      <w:szCs w:val="20"/>
                    </w:rPr>
                    <w:t xml:space="preserve"> </w:t>
                  </w:r>
                  <w:r w:rsidRPr="003A71E2">
                    <w:rPr>
                      <w:rFonts w:ascii="Times New Roman" w:hAnsi="Times New Roman"/>
                      <w:sz w:val="24"/>
                      <w:szCs w:val="20"/>
                    </w:rPr>
                    <w:t>juriskonsulti</w:t>
                  </w:r>
                  <w:r w:rsidRPr="00AF609D">
                    <w:rPr>
                      <w:rFonts w:ascii="Times New Roman" w:hAnsi="Times New Roman"/>
                      <w:sz w:val="24"/>
                      <w:szCs w:val="20"/>
                    </w:rPr>
                    <w:t xml:space="preserve"> * 60</w:t>
                  </w:r>
                  <w:r>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 1 pasākums = </w:t>
                  </w:r>
                  <w:r>
                    <w:rPr>
                      <w:rFonts w:ascii="Times New Roman" w:hAnsi="Times New Roman"/>
                      <w:sz w:val="24"/>
                      <w:szCs w:val="20"/>
                    </w:rPr>
                    <w:t>120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w:t>
                  </w:r>
                </w:p>
                <w:p w14:paraId="44BFEC4A" w14:textId="4372D2B6" w:rsidR="00E20A9C"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 xml:space="preserve">Datortehnikas apkalpošana </w:t>
                  </w:r>
                  <w:r>
                    <w:rPr>
                      <w:rFonts w:ascii="Times New Roman" w:hAnsi="Times New Roman"/>
                      <w:sz w:val="24"/>
                      <w:szCs w:val="20"/>
                    </w:rPr>
                    <w:t>2</w:t>
                  </w:r>
                  <w:r w:rsidRPr="00AF609D">
                    <w:rPr>
                      <w:rFonts w:ascii="Times New Roman" w:hAnsi="Times New Roman"/>
                      <w:sz w:val="24"/>
                      <w:szCs w:val="20"/>
                    </w:rPr>
                    <w:t xml:space="preserve"> </w:t>
                  </w:r>
                  <w:r w:rsidRPr="003A71E2">
                    <w:rPr>
                      <w:rFonts w:ascii="Times New Roman" w:hAnsi="Times New Roman"/>
                      <w:sz w:val="24"/>
                      <w:szCs w:val="20"/>
                    </w:rPr>
                    <w:t>juriskonsulti</w:t>
                  </w:r>
                  <w:r w:rsidRPr="00AF609D">
                    <w:rPr>
                      <w:rFonts w:ascii="Times New Roman" w:hAnsi="Times New Roman"/>
                      <w:sz w:val="24"/>
                      <w:szCs w:val="20"/>
                    </w:rPr>
                    <w:t xml:space="preserve"> * 5</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 </w:t>
                  </w:r>
                  <w:r>
                    <w:rPr>
                      <w:rFonts w:ascii="Times New Roman" w:hAnsi="Times New Roman"/>
                      <w:sz w:val="24"/>
                      <w:szCs w:val="20"/>
                    </w:rPr>
                    <w:t>12</w:t>
                  </w:r>
                  <w:r w:rsidRPr="00AF609D">
                    <w:rPr>
                      <w:rFonts w:ascii="Times New Roman" w:hAnsi="Times New Roman"/>
                      <w:sz w:val="24"/>
                      <w:szCs w:val="20"/>
                    </w:rPr>
                    <w:t xml:space="preserve"> mēn = </w:t>
                  </w:r>
                  <w:r>
                    <w:rPr>
                      <w:rFonts w:ascii="Times New Roman" w:hAnsi="Times New Roman"/>
                      <w:sz w:val="24"/>
                      <w:szCs w:val="20"/>
                    </w:rPr>
                    <w:t>120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w:t>
                  </w:r>
                </w:p>
                <w:p w14:paraId="11D8BB09" w14:textId="12F2F7D5" w:rsidR="00E20A9C"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 xml:space="preserve">Informācijas sistēmas uzturēšana </w:t>
                  </w:r>
                  <w:r>
                    <w:rPr>
                      <w:rFonts w:ascii="Times New Roman" w:hAnsi="Times New Roman"/>
                      <w:sz w:val="24"/>
                      <w:szCs w:val="20"/>
                    </w:rPr>
                    <w:t>2</w:t>
                  </w:r>
                  <w:r w:rsidRPr="00AF609D">
                    <w:rPr>
                      <w:rFonts w:ascii="Times New Roman" w:hAnsi="Times New Roman"/>
                      <w:sz w:val="24"/>
                      <w:szCs w:val="20"/>
                    </w:rPr>
                    <w:t xml:space="preserve"> </w:t>
                  </w:r>
                  <w:r w:rsidRPr="003A71E2">
                    <w:rPr>
                      <w:rFonts w:ascii="Times New Roman" w:hAnsi="Times New Roman"/>
                      <w:sz w:val="24"/>
                      <w:szCs w:val="20"/>
                    </w:rPr>
                    <w:t>juriskonsulti</w:t>
                  </w:r>
                  <w:r w:rsidRPr="00AF609D">
                    <w:rPr>
                      <w:rFonts w:ascii="Times New Roman" w:hAnsi="Times New Roman"/>
                      <w:sz w:val="24"/>
                      <w:szCs w:val="20"/>
                    </w:rPr>
                    <w:t xml:space="preserve"> * 40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 </w:t>
                  </w:r>
                  <w:r>
                    <w:rPr>
                      <w:rFonts w:ascii="Times New Roman" w:hAnsi="Times New Roman"/>
                      <w:sz w:val="24"/>
                      <w:szCs w:val="20"/>
                    </w:rPr>
                    <w:t>12</w:t>
                  </w:r>
                  <w:r w:rsidRPr="00AF609D">
                    <w:rPr>
                      <w:rFonts w:ascii="Times New Roman" w:hAnsi="Times New Roman"/>
                      <w:sz w:val="24"/>
                      <w:szCs w:val="20"/>
                    </w:rPr>
                    <w:t xml:space="preserve"> mēn = </w:t>
                  </w:r>
                  <w:r>
                    <w:rPr>
                      <w:rFonts w:ascii="Times New Roman" w:hAnsi="Times New Roman"/>
                      <w:sz w:val="24"/>
                      <w:szCs w:val="20"/>
                    </w:rPr>
                    <w:t>960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w:t>
                  </w:r>
                </w:p>
                <w:p w14:paraId="428C0E2E" w14:textId="1F11C236" w:rsidR="00E20A9C" w:rsidRPr="00AF609D"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 xml:space="preserve">Kancelejas preces </w:t>
                  </w:r>
                  <w:r>
                    <w:rPr>
                      <w:rFonts w:ascii="Times New Roman" w:hAnsi="Times New Roman"/>
                      <w:sz w:val="24"/>
                      <w:szCs w:val="20"/>
                    </w:rPr>
                    <w:t>2</w:t>
                  </w:r>
                  <w:r w:rsidRPr="00AF609D">
                    <w:rPr>
                      <w:rFonts w:ascii="Times New Roman" w:hAnsi="Times New Roman"/>
                      <w:sz w:val="24"/>
                      <w:szCs w:val="20"/>
                    </w:rPr>
                    <w:t xml:space="preserve"> </w:t>
                  </w:r>
                  <w:r w:rsidRPr="003A71E2">
                    <w:rPr>
                      <w:rFonts w:ascii="Times New Roman" w:hAnsi="Times New Roman"/>
                      <w:sz w:val="24"/>
                      <w:szCs w:val="20"/>
                    </w:rPr>
                    <w:t>juriskonsulti</w:t>
                  </w:r>
                  <w:r w:rsidRPr="00AF609D">
                    <w:rPr>
                      <w:rFonts w:ascii="Times New Roman" w:hAnsi="Times New Roman"/>
                      <w:sz w:val="24"/>
                      <w:szCs w:val="20"/>
                    </w:rPr>
                    <w:t xml:space="preserve"> * 7</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 </w:t>
                  </w:r>
                  <w:r>
                    <w:rPr>
                      <w:rFonts w:ascii="Times New Roman" w:hAnsi="Times New Roman"/>
                      <w:sz w:val="24"/>
                      <w:szCs w:val="20"/>
                    </w:rPr>
                    <w:t>12</w:t>
                  </w:r>
                  <w:r w:rsidRPr="00AF609D">
                    <w:rPr>
                      <w:rFonts w:ascii="Times New Roman" w:hAnsi="Times New Roman"/>
                      <w:sz w:val="24"/>
                      <w:szCs w:val="20"/>
                    </w:rPr>
                    <w:t xml:space="preserve"> mēn = </w:t>
                  </w:r>
                  <w:r>
                    <w:rPr>
                      <w:rFonts w:ascii="Times New Roman" w:hAnsi="Times New Roman"/>
                      <w:sz w:val="24"/>
                      <w:szCs w:val="20"/>
                    </w:rPr>
                    <w:t>168</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w:t>
                  </w:r>
                </w:p>
                <w:p w14:paraId="4E1FDFA0" w14:textId="55371C8C" w:rsidR="00865B97" w:rsidRPr="002665A8" w:rsidRDefault="00865B97" w:rsidP="00E20A9C">
                  <w:pPr>
                    <w:pStyle w:val="Sarakstarindkopa"/>
                    <w:keepNext/>
                    <w:keepLines/>
                    <w:spacing w:before="200" w:after="0" w:line="240" w:lineRule="auto"/>
                    <w:ind w:left="113" w:firstLine="340"/>
                    <w:jc w:val="both"/>
                    <w:outlineLvl w:val="8"/>
                    <w:rPr>
                      <w:rFonts w:ascii="Times New Roman" w:hAnsi="Times New Roman"/>
                      <w:b/>
                      <w:sz w:val="24"/>
                      <w:szCs w:val="20"/>
                    </w:rPr>
                  </w:pPr>
                  <w:r w:rsidRPr="002665A8">
                    <w:rPr>
                      <w:rFonts w:ascii="Times New Roman" w:hAnsi="Times New Roman"/>
                      <w:b/>
                      <w:sz w:val="24"/>
                      <w:szCs w:val="20"/>
                    </w:rPr>
                    <w:t>Vienreizējie izdevumi:</w:t>
                  </w:r>
                </w:p>
                <w:p w14:paraId="1208C03F" w14:textId="7AEC6B9C" w:rsidR="00E20A9C" w:rsidRPr="00AF609D"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 xml:space="preserve">Krēsls </w:t>
                  </w:r>
                  <w:r>
                    <w:rPr>
                      <w:rFonts w:ascii="Times New Roman" w:hAnsi="Times New Roman"/>
                      <w:sz w:val="24"/>
                      <w:szCs w:val="20"/>
                    </w:rPr>
                    <w:t>2</w:t>
                  </w:r>
                  <w:r w:rsidRPr="00AF609D">
                    <w:rPr>
                      <w:rFonts w:ascii="Times New Roman" w:hAnsi="Times New Roman"/>
                      <w:sz w:val="24"/>
                      <w:szCs w:val="20"/>
                    </w:rPr>
                    <w:t xml:space="preserve"> </w:t>
                  </w:r>
                  <w:r w:rsidRPr="003A71E2">
                    <w:rPr>
                      <w:rFonts w:ascii="Times New Roman" w:hAnsi="Times New Roman"/>
                      <w:sz w:val="24"/>
                      <w:szCs w:val="20"/>
                    </w:rPr>
                    <w:t>juriskonsulti</w:t>
                  </w:r>
                  <w:r w:rsidRPr="00AF609D">
                    <w:rPr>
                      <w:rFonts w:ascii="Times New Roman" w:hAnsi="Times New Roman"/>
                      <w:sz w:val="24"/>
                      <w:szCs w:val="20"/>
                    </w:rPr>
                    <w:t xml:space="preserve"> * 100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 </w:t>
                  </w:r>
                  <w:r>
                    <w:rPr>
                      <w:rFonts w:ascii="Times New Roman" w:hAnsi="Times New Roman"/>
                      <w:sz w:val="24"/>
                      <w:szCs w:val="20"/>
                    </w:rPr>
                    <w:t>2</w:t>
                  </w:r>
                  <w:r w:rsidRPr="00AF609D">
                    <w:rPr>
                      <w:rFonts w:ascii="Times New Roman" w:hAnsi="Times New Roman"/>
                      <w:sz w:val="24"/>
                      <w:szCs w:val="20"/>
                    </w:rPr>
                    <w:t>00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w:t>
                  </w:r>
                </w:p>
                <w:p w14:paraId="74C3F9F0" w14:textId="41B92721" w:rsidR="00E20A9C" w:rsidRPr="00AF609D"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 xml:space="preserve">Galds </w:t>
                  </w:r>
                  <w:r>
                    <w:rPr>
                      <w:rFonts w:ascii="Times New Roman" w:hAnsi="Times New Roman"/>
                      <w:sz w:val="24"/>
                      <w:szCs w:val="20"/>
                    </w:rPr>
                    <w:t>2</w:t>
                  </w:r>
                  <w:r w:rsidRPr="00AF609D">
                    <w:rPr>
                      <w:rFonts w:ascii="Times New Roman" w:hAnsi="Times New Roman"/>
                      <w:sz w:val="24"/>
                      <w:szCs w:val="20"/>
                    </w:rPr>
                    <w:t xml:space="preserve"> </w:t>
                  </w:r>
                  <w:r w:rsidRPr="003A71E2">
                    <w:rPr>
                      <w:rFonts w:ascii="Times New Roman" w:hAnsi="Times New Roman"/>
                      <w:sz w:val="24"/>
                      <w:szCs w:val="20"/>
                    </w:rPr>
                    <w:t>juriskonsulti</w:t>
                  </w:r>
                  <w:r w:rsidRPr="00AF609D">
                    <w:rPr>
                      <w:rFonts w:ascii="Times New Roman" w:hAnsi="Times New Roman"/>
                      <w:sz w:val="24"/>
                      <w:szCs w:val="20"/>
                    </w:rPr>
                    <w:t xml:space="preserve"> * 210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 </w:t>
                  </w:r>
                  <w:r>
                    <w:rPr>
                      <w:rFonts w:ascii="Times New Roman" w:hAnsi="Times New Roman"/>
                      <w:sz w:val="24"/>
                      <w:szCs w:val="20"/>
                    </w:rPr>
                    <w:t>42</w:t>
                  </w:r>
                  <w:r w:rsidRPr="00AF609D">
                    <w:rPr>
                      <w:rFonts w:ascii="Times New Roman" w:hAnsi="Times New Roman"/>
                      <w:sz w:val="24"/>
                      <w:szCs w:val="20"/>
                    </w:rPr>
                    <w:t>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w:t>
                  </w:r>
                </w:p>
                <w:p w14:paraId="1D587037" w14:textId="74376CC6" w:rsidR="00E20A9C" w:rsidRPr="00AF609D" w:rsidRDefault="00E20A9C" w:rsidP="00E20A9C">
                  <w:pPr>
                    <w:pStyle w:val="Sarakstarindkopa"/>
                    <w:spacing w:after="0" w:line="240" w:lineRule="auto"/>
                    <w:ind w:left="113" w:firstLine="340"/>
                    <w:jc w:val="both"/>
                    <w:rPr>
                      <w:rFonts w:ascii="Times New Roman" w:hAnsi="Times New Roman"/>
                      <w:sz w:val="24"/>
                      <w:szCs w:val="20"/>
                    </w:rPr>
                  </w:pPr>
                  <w:r w:rsidRPr="00AF609D">
                    <w:rPr>
                      <w:rFonts w:ascii="Times New Roman" w:hAnsi="Times New Roman"/>
                      <w:sz w:val="24"/>
                      <w:szCs w:val="20"/>
                    </w:rPr>
                    <w:t xml:space="preserve">UPS </w:t>
                  </w:r>
                  <w:r>
                    <w:rPr>
                      <w:rFonts w:ascii="Times New Roman" w:hAnsi="Times New Roman"/>
                      <w:sz w:val="24"/>
                      <w:szCs w:val="20"/>
                    </w:rPr>
                    <w:t>2</w:t>
                  </w:r>
                  <w:r w:rsidRPr="00AF609D">
                    <w:rPr>
                      <w:rFonts w:ascii="Times New Roman" w:hAnsi="Times New Roman"/>
                      <w:sz w:val="24"/>
                      <w:szCs w:val="20"/>
                    </w:rPr>
                    <w:t xml:space="preserve"> </w:t>
                  </w:r>
                  <w:r w:rsidRPr="003A71E2">
                    <w:rPr>
                      <w:rFonts w:ascii="Times New Roman" w:hAnsi="Times New Roman"/>
                      <w:sz w:val="24"/>
                      <w:szCs w:val="20"/>
                    </w:rPr>
                    <w:t>juriskonsulti</w:t>
                  </w:r>
                  <w:r w:rsidRPr="00AF609D">
                    <w:rPr>
                      <w:rFonts w:ascii="Times New Roman" w:hAnsi="Times New Roman"/>
                      <w:sz w:val="24"/>
                      <w:szCs w:val="20"/>
                    </w:rPr>
                    <w:t xml:space="preserve"> * 80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 xml:space="preserve"> = </w:t>
                  </w:r>
                  <w:r>
                    <w:rPr>
                      <w:rFonts w:ascii="Times New Roman" w:hAnsi="Times New Roman"/>
                      <w:sz w:val="24"/>
                      <w:szCs w:val="20"/>
                    </w:rPr>
                    <w:t>160</w:t>
                  </w:r>
                  <w:r w:rsidR="00F37F06">
                    <w:rPr>
                      <w:rFonts w:ascii="Times New Roman" w:hAnsi="Times New Roman"/>
                      <w:sz w:val="24"/>
                      <w:szCs w:val="20"/>
                    </w:rPr>
                    <w:t> </w:t>
                  </w:r>
                  <w:r w:rsidRPr="00AF609D">
                    <w:rPr>
                      <w:rFonts w:ascii="Times New Roman" w:hAnsi="Times New Roman"/>
                      <w:i/>
                      <w:sz w:val="24"/>
                      <w:szCs w:val="20"/>
                    </w:rPr>
                    <w:t>euro</w:t>
                  </w:r>
                  <w:r w:rsidRPr="00AF609D">
                    <w:rPr>
                      <w:rFonts w:ascii="Times New Roman" w:hAnsi="Times New Roman"/>
                      <w:sz w:val="24"/>
                      <w:szCs w:val="20"/>
                    </w:rPr>
                    <w:t>.</w:t>
                  </w:r>
                </w:p>
                <w:p w14:paraId="64D5A38D" w14:textId="304BE654" w:rsidR="00E20A9C" w:rsidRPr="00A16F25" w:rsidRDefault="00E20A9C" w:rsidP="00E20A9C">
                  <w:pPr>
                    <w:spacing w:after="0" w:line="240" w:lineRule="auto"/>
                    <w:ind w:left="113" w:firstLine="340"/>
                    <w:jc w:val="both"/>
                    <w:rPr>
                      <w:rFonts w:ascii="Times New Roman" w:hAnsi="Times New Roman"/>
                      <w:b/>
                      <w:sz w:val="24"/>
                      <w:szCs w:val="20"/>
                    </w:rPr>
                  </w:pPr>
                  <w:r w:rsidRPr="00A16F25">
                    <w:rPr>
                      <w:rFonts w:ascii="Times New Roman" w:hAnsi="Times New Roman"/>
                      <w:b/>
                      <w:sz w:val="24"/>
                      <w:szCs w:val="20"/>
                    </w:rPr>
                    <w:t>Kapitālie</w:t>
                  </w:r>
                  <w:r>
                    <w:rPr>
                      <w:rFonts w:ascii="Times New Roman" w:hAnsi="Times New Roman"/>
                      <w:b/>
                      <w:sz w:val="24"/>
                      <w:szCs w:val="20"/>
                    </w:rPr>
                    <w:t>m</w:t>
                  </w:r>
                  <w:r w:rsidRPr="00A16F25">
                    <w:rPr>
                      <w:rFonts w:ascii="Times New Roman" w:hAnsi="Times New Roman"/>
                      <w:b/>
                      <w:sz w:val="24"/>
                      <w:szCs w:val="20"/>
                    </w:rPr>
                    <w:t xml:space="preserve"> izdevumi</w:t>
                  </w:r>
                  <w:r>
                    <w:rPr>
                      <w:rFonts w:ascii="Times New Roman" w:hAnsi="Times New Roman"/>
                      <w:b/>
                      <w:sz w:val="24"/>
                      <w:szCs w:val="20"/>
                    </w:rPr>
                    <w:t xml:space="preserve">em (IKK 5000) - </w:t>
                  </w:r>
                  <w:r w:rsidRPr="00A16F25">
                    <w:rPr>
                      <w:rFonts w:ascii="Times New Roman" w:hAnsi="Times New Roman"/>
                      <w:b/>
                      <w:sz w:val="24"/>
                      <w:szCs w:val="20"/>
                    </w:rPr>
                    <w:t>2000</w:t>
                  </w:r>
                  <w:r w:rsidR="00F37F06">
                    <w:rPr>
                      <w:rFonts w:ascii="Times New Roman" w:hAnsi="Times New Roman"/>
                      <w:b/>
                      <w:sz w:val="24"/>
                      <w:szCs w:val="20"/>
                    </w:rPr>
                    <w:t> </w:t>
                  </w:r>
                  <w:r w:rsidRPr="00A16F25">
                    <w:rPr>
                      <w:rFonts w:ascii="Times New Roman" w:hAnsi="Times New Roman"/>
                      <w:b/>
                      <w:i/>
                      <w:sz w:val="24"/>
                      <w:szCs w:val="20"/>
                    </w:rPr>
                    <w:t>euro</w:t>
                  </w:r>
                  <w:r w:rsidRPr="00A16F25">
                    <w:rPr>
                      <w:rFonts w:ascii="Times New Roman" w:hAnsi="Times New Roman"/>
                      <w:b/>
                      <w:sz w:val="24"/>
                      <w:szCs w:val="20"/>
                    </w:rPr>
                    <w:t>:</w:t>
                  </w:r>
                </w:p>
                <w:p w14:paraId="72F0538D" w14:textId="1FDEF094" w:rsidR="00E20A9C" w:rsidRDefault="00E20A9C" w:rsidP="00E20A9C">
                  <w:pPr>
                    <w:spacing w:after="0" w:line="240" w:lineRule="auto"/>
                    <w:ind w:left="113" w:firstLine="340"/>
                    <w:jc w:val="both"/>
                    <w:rPr>
                      <w:rFonts w:ascii="Times New Roman" w:hAnsi="Times New Roman"/>
                      <w:sz w:val="24"/>
                      <w:szCs w:val="20"/>
                    </w:rPr>
                  </w:pPr>
                  <w:r w:rsidRPr="00A16F25">
                    <w:rPr>
                      <w:rFonts w:ascii="Times New Roman" w:hAnsi="Times New Roman"/>
                      <w:sz w:val="24"/>
                      <w:szCs w:val="20"/>
                    </w:rPr>
                    <w:t xml:space="preserve">Datortehnika 2 </w:t>
                  </w:r>
                  <w:r w:rsidRPr="003A71E2">
                    <w:rPr>
                      <w:rFonts w:ascii="Times New Roman" w:hAnsi="Times New Roman"/>
                      <w:sz w:val="24"/>
                      <w:szCs w:val="20"/>
                    </w:rPr>
                    <w:t xml:space="preserve">juriskonsulti </w:t>
                  </w:r>
                  <w:r w:rsidRPr="00A16F25">
                    <w:rPr>
                      <w:rFonts w:ascii="Times New Roman" w:hAnsi="Times New Roman"/>
                      <w:sz w:val="24"/>
                      <w:szCs w:val="20"/>
                    </w:rPr>
                    <w:t>* 1000</w:t>
                  </w:r>
                  <w:r w:rsidR="00F37F06">
                    <w:rPr>
                      <w:rFonts w:ascii="Times New Roman" w:hAnsi="Times New Roman"/>
                      <w:sz w:val="24"/>
                      <w:szCs w:val="20"/>
                    </w:rPr>
                    <w:t> </w:t>
                  </w:r>
                  <w:r w:rsidRPr="00A16F25">
                    <w:rPr>
                      <w:rFonts w:ascii="Times New Roman" w:hAnsi="Times New Roman"/>
                      <w:i/>
                      <w:sz w:val="24"/>
                      <w:szCs w:val="20"/>
                    </w:rPr>
                    <w:t>euro</w:t>
                  </w:r>
                  <w:r w:rsidRPr="00A16F25">
                    <w:rPr>
                      <w:rFonts w:ascii="Times New Roman" w:hAnsi="Times New Roman"/>
                      <w:sz w:val="24"/>
                      <w:szCs w:val="20"/>
                    </w:rPr>
                    <w:t xml:space="preserve"> = 2000</w:t>
                  </w:r>
                  <w:r w:rsidR="00F37F06">
                    <w:rPr>
                      <w:rFonts w:ascii="Times New Roman" w:hAnsi="Times New Roman"/>
                      <w:sz w:val="24"/>
                      <w:szCs w:val="20"/>
                    </w:rPr>
                    <w:t> </w:t>
                  </w:r>
                  <w:r w:rsidRPr="00A16F25">
                    <w:rPr>
                      <w:rFonts w:ascii="Times New Roman" w:hAnsi="Times New Roman"/>
                      <w:i/>
                      <w:sz w:val="24"/>
                      <w:szCs w:val="20"/>
                    </w:rPr>
                    <w:t>euro</w:t>
                  </w:r>
                  <w:r w:rsidRPr="00A16F25">
                    <w:rPr>
                      <w:rFonts w:ascii="Times New Roman" w:hAnsi="Times New Roman"/>
                      <w:sz w:val="24"/>
                      <w:szCs w:val="20"/>
                    </w:rPr>
                    <w:t>.</w:t>
                  </w:r>
                </w:p>
                <w:p w14:paraId="753805E3" w14:textId="77777777" w:rsidR="00E116E3" w:rsidRPr="00A16F25" w:rsidRDefault="00E116E3" w:rsidP="00E20A9C">
                  <w:pPr>
                    <w:spacing w:after="0" w:line="240" w:lineRule="auto"/>
                    <w:ind w:left="113" w:firstLine="340"/>
                    <w:jc w:val="both"/>
                    <w:rPr>
                      <w:rFonts w:ascii="Times New Roman" w:hAnsi="Times New Roman"/>
                      <w:sz w:val="24"/>
                      <w:szCs w:val="20"/>
                    </w:rPr>
                  </w:pPr>
                </w:p>
                <w:p w14:paraId="38ED83FF" w14:textId="3084CD68" w:rsidR="00D357E3" w:rsidRPr="002665A8" w:rsidRDefault="00212821" w:rsidP="00841384">
                  <w:pPr>
                    <w:keepNext/>
                    <w:keepLines/>
                    <w:spacing w:before="200" w:after="0" w:line="240" w:lineRule="auto"/>
                    <w:ind w:left="113" w:firstLine="340"/>
                    <w:jc w:val="both"/>
                    <w:outlineLvl w:val="8"/>
                    <w:rPr>
                      <w:rFonts w:ascii="Times New Roman" w:hAnsi="Times New Roman"/>
                      <w:sz w:val="24"/>
                      <w:szCs w:val="20"/>
                      <w:u w:val="single"/>
                    </w:rPr>
                  </w:pPr>
                  <w:r w:rsidRPr="00E50163">
                    <w:rPr>
                      <w:rFonts w:ascii="Times New Roman" w:hAnsi="Times New Roman"/>
                      <w:sz w:val="24"/>
                      <w:szCs w:val="20"/>
                      <w:u w:val="single"/>
                    </w:rPr>
                    <w:t>Papildus nepieciešamais</w:t>
                  </w:r>
                  <w:r>
                    <w:rPr>
                      <w:rFonts w:ascii="Times New Roman" w:hAnsi="Times New Roman"/>
                      <w:b/>
                      <w:sz w:val="24"/>
                      <w:szCs w:val="20"/>
                      <w:u w:val="single"/>
                    </w:rPr>
                    <w:t xml:space="preserve"> </w:t>
                  </w:r>
                  <w:r w:rsidRPr="00E50163">
                    <w:rPr>
                      <w:rFonts w:ascii="Times New Roman" w:hAnsi="Times New Roman"/>
                      <w:sz w:val="24"/>
                      <w:szCs w:val="20"/>
                      <w:u w:val="single"/>
                    </w:rPr>
                    <w:t xml:space="preserve">finansējums </w:t>
                  </w:r>
                  <w:r w:rsidRPr="00DE0269">
                    <w:rPr>
                      <w:rFonts w:ascii="Times New Roman" w:hAnsi="Times New Roman" w:cs="Times New Roman"/>
                      <w:sz w:val="24"/>
                      <w:szCs w:val="24"/>
                    </w:rPr>
                    <w:t>T</w:t>
                  </w:r>
                  <w:r w:rsidRPr="00A22462">
                    <w:rPr>
                      <w:rFonts w:ascii="Times New Roman" w:hAnsi="Times New Roman" w:cs="Times New Roman"/>
                      <w:sz w:val="24"/>
                      <w:szCs w:val="24"/>
                    </w:rPr>
                    <w:t>ieslietu ministrijai budžeta apakšprogrammā</w:t>
                  </w:r>
                  <w:r>
                    <w:rPr>
                      <w:rFonts w:ascii="Times New Roman" w:hAnsi="Times New Roman" w:cs="Times New Roman"/>
                      <w:sz w:val="24"/>
                      <w:szCs w:val="24"/>
                    </w:rPr>
                    <w:t xml:space="preserve"> 06.03.00</w:t>
                  </w:r>
                  <w:r w:rsidRPr="00A22462">
                    <w:rPr>
                      <w:rFonts w:ascii="Times New Roman" w:hAnsi="Times New Roman" w:cs="Times New Roman"/>
                      <w:sz w:val="24"/>
                      <w:szCs w:val="24"/>
                    </w:rPr>
                    <w:t xml:space="preserve">. </w:t>
                  </w:r>
                  <w:r w:rsidR="00F37F06">
                    <w:rPr>
                      <w:rFonts w:ascii="Times New Roman" w:hAnsi="Times New Roman" w:cs="Times New Roman"/>
                      <w:sz w:val="24"/>
                      <w:szCs w:val="24"/>
                    </w:rPr>
                    <w:t>"</w:t>
                  </w:r>
                  <w:r>
                    <w:rPr>
                      <w:rFonts w:ascii="Times New Roman" w:hAnsi="Times New Roman" w:cs="Times New Roman"/>
                      <w:sz w:val="24"/>
                      <w:szCs w:val="24"/>
                    </w:rPr>
                    <w:t>Maksātnespējas procesa pārvaldība</w:t>
                  </w:r>
                  <w:r w:rsidR="00F37F06">
                    <w:rPr>
                      <w:rFonts w:ascii="Times New Roman" w:hAnsi="Times New Roman" w:cs="Times New Roman"/>
                      <w:sz w:val="24"/>
                      <w:szCs w:val="24"/>
                    </w:rPr>
                    <w:t>"</w:t>
                  </w:r>
                  <w:r>
                    <w:rPr>
                      <w:rFonts w:ascii="Times New Roman" w:hAnsi="Times New Roman" w:cs="Times New Roman"/>
                      <w:sz w:val="24"/>
                      <w:szCs w:val="24"/>
                    </w:rPr>
                    <w:t xml:space="preserve"> </w:t>
                  </w:r>
                  <w:r w:rsidR="00F96FAE">
                    <w:rPr>
                      <w:rFonts w:ascii="Times New Roman" w:hAnsi="Times New Roman"/>
                      <w:b/>
                      <w:sz w:val="24"/>
                      <w:szCs w:val="20"/>
                      <w:u w:val="single"/>
                    </w:rPr>
                    <w:t>2021</w:t>
                  </w:r>
                  <w:r w:rsidRPr="00A16F25">
                    <w:rPr>
                      <w:rFonts w:ascii="Times New Roman" w:hAnsi="Times New Roman"/>
                      <w:b/>
                      <w:sz w:val="24"/>
                      <w:szCs w:val="20"/>
                      <w:u w:val="single"/>
                    </w:rPr>
                    <w:t>.</w:t>
                  </w:r>
                  <w:r w:rsidR="00674AA0">
                    <w:rPr>
                      <w:rFonts w:ascii="Times New Roman" w:hAnsi="Times New Roman"/>
                      <w:b/>
                      <w:sz w:val="24"/>
                      <w:szCs w:val="20"/>
                      <w:u w:val="single"/>
                    </w:rPr>
                    <w:t> </w:t>
                  </w:r>
                  <w:r w:rsidRPr="00A16F25">
                    <w:rPr>
                      <w:rFonts w:ascii="Times New Roman" w:hAnsi="Times New Roman"/>
                      <w:b/>
                      <w:sz w:val="24"/>
                      <w:szCs w:val="20"/>
                      <w:u w:val="single"/>
                    </w:rPr>
                    <w:t>gad</w:t>
                  </w:r>
                  <w:r>
                    <w:rPr>
                      <w:rFonts w:ascii="Times New Roman" w:hAnsi="Times New Roman"/>
                      <w:b/>
                      <w:sz w:val="24"/>
                      <w:szCs w:val="20"/>
                      <w:u w:val="single"/>
                    </w:rPr>
                    <w:t>ā</w:t>
                  </w:r>
                  <w:r w:rsidRPr="00A16F25">
                    <w:rPr>
                      <w:rFonts w:ascii="Times New Roman" w:hAnsi="Times New Roman"/>
                      <w:b/>
                      <w:sz w:val="24"/>
                      <w:szCs w:val="20"/>
                      <w:u w:val="single"/>
                    </w:rPr>
                    <w:t xml:space="preserve"> </w:t>
                  </w:r>
                  <w:r>
                    <w:rPr>
                      <w:rFonts w:ascii="Times New Roman" w:hAnsi="Times New Roman"/>
                      <w:b/>
                      <w:sz w:val="24"/>
                      <w:szCs w:val="20"/>
                      <w:u w:val="single"/>
                    </w:rPr>
                    <w:t xml:space="preserve">un turpmākajiem gadiem </w:t>
                  </w:r>
                  <w:r w:rsidRPr="00A16F25">
                    <w:rPr>
                      <w:rFonts w:ascii="Times New Roman" w:hAnsi="Times New Roman"/>
                      <w:b/>
                      <w:sz w:val="24"/>
                      <w:szCs w:val="20"/>
                      <w:u w:val="single"/>
                    </w:rPr>
                    <w:t xml:space="preserve">– </w:t>
                  </w:r>
                  <w:r w:rsidR="00F96FAE">
                    <w:rPr>
                      <w:rFonts w:ascii="Times New Roman" w:hAnsi="Times New Roman"/>
                      <w:b/>
                      <w:sz w:val="24"/>
                      <w:szCs w:val="20"/>
                      <w:u w:val="single"/>
                    </w:rPr>
                    <w:t>50 047</w:t>
                  </w:r>
                  <w:r w:rsidR="00F37F06">
                    <w:rPr>
                      <w:rFonts w:ascii="Times New Roman" w:hAnsi="Times New Roman"/>
                      <w:b/>
                      <w:sz w:val="24"/>
                      <w:szCs w:val="20"/>
                      <w:u w:val="single"/>
                    </w:rPr>
                    <w:t> </w:t>
                  </w:r>
                  <w:r w:rsidRPr="00A16F25">
                    <w:rPr>
                      <w:rFonts w:ascii="Times New Roman" w:hAnsi="Times New Roman"/>
                      <w:b/>
                      <w:i/>
                      <w:sz w:val="24"/>
                      <w:szCs w:val="20"/>
                      <w:u w:val="single"/>
                    </w:rPr>
                    <w:t>euro</w:t>
                  </w:r>
                  <w:r w:rsidR="00D357E3">
                    <w:rPr>
                      <w:rFonts w:ascii="Times New Roman" w:hAnsi="Times New Roman"/>
                      <w:b/>
                      <w:sz w:val="24"/>
                      <w:szCs w:val="20"/>
                      <w:u w:val="single"/>
                    </w:rPr>
                    <w:t xml:space="preserve">. </w:t>
                  </w:r>
                  <w:r w:rsidR="00D357E3" w:rsidRPr="002665A8">
                    <w:rPr>
                      <w:rFonts w:ascii="Times New Roman" w:hAnsi="Times New Roman"/>
                      <w:sz w:val="24"/>
                      <w:szCs w:val="20"/>
                      <w:u w:val="single"/>
                    </w:rPr>
                    <w:t>2021.</w:t>
                  </w:r>
                  <w:r w:rsidR="00674AA0">
                    <w:rPr>
                      <w:rFonts w:ascii="Times New Roman" w:hAnsi="Times New Roman"/>
                      <w:sz w:val="24"/>
                      <w:szCs w:val="20"/>
                      <w:u w:val="single"/>
                    </w:rPr>
                    <w:t> </w:t>
                  </w:r>
                  <w:r w:rsidR="00D357E3" w:rsidRPr="002665A8">
                    <w:rPr>
                      <w:rFonts w:ascii="Times New Roman" w:hAnsi="Times New Roman"/>
                      <w:sz w:val="24"/>
                      <w:szCs w:val="20"/>
                      <w:u w:val="single"/>
                    </w:rPr>
                    <w:t xml:space="preserve">gadam un turpmākajiem gadiem </w:t>
                  </w:r>
                  <w:r w:rsidR="00D357E3">
                    <w:rPr>
                      <w:rFonts w:ascii="Times New Roman" w:hAnsi="Times New Roman"/>
                      <w:sz w:val="24"/>
                      <w:szCs w:val="20"/>
                      <w:u w:val="single"/>
                    </w:rPr>
                    <w:t>papildus nepieciešamais finansējums plānots 2020.</w:t>
                  </w:r>
                  <w:r w:rsidR="00674AA0">
                    <w:rPr>
                      <w:rFonts w:ascii="Times New Roman" w:hAnsi="Times New Roman"/>
                      <w:sz w:val="24"/>
                      <w:szCs w:val="20"/>
                      <w:u w:val="single"/>
                    </w:rPr>
                    <w:t> </w:t>
                  </w:r>
                  <w:r w:rsidR="00D357E3">
                    <w:rPr>
                      <w:rFonts w:ascii="Times New Roman" w:hAnsi="Times New Roman"/>
                      <w:sz w:val="24"/>
                      <w:szCs w:val="20"/>
                      <w:u w:val="single"/>
                    </w:rPr>
                    <w:t xml:space="preserve">gadā plānotā </w:t>
                  </w:r>
                  <w:r w:rsidR="008D68DC">
                    <w:rPr>
                      <w:rFonts w:ascii="Times New Roman" w:hAnsi="Times New Roman"/>
                      <w:sz w:val="24"/>
                      <w:szCs w:val="20"/>
                      <w:u w:val="single"/>
                    </w:rPr>
                    <w:t xml:space="preserve">papildus nepieciešamā </w:t>
                  </w:r>
                  <w:r w:rsidR="00D357E3">
                    <w:rPr>
                      <w:rFonts w:ascii="Times New Roman" w:hAnsi="Times New Roman"/>
                      <w:sz w:val="24"/>
                      <w:szCs w:val="20"/>
                      <w:u w:val="single"/>
                    </w:rPr>
                    <w:t>finansējuma apmērā, izņemot vienreizējos izdevumus.</w:t>
                  </w:r>
                </w:p>
                <w:p w14:paraId="016DA06D" w14:textId="77777777" w:rsidR="00E20A9C" w:rsidRPr="00C664EF" w:rsidRDefault="00E20A9C" w:rsidP="002665A8">
                  <w:pPr>
                    <w:pStyle w:val="Sarakstarindkopa"/>
                    <w:spacing w:after="0" w:line="240" w:lineRule="auto"/>
                    <w:ind w:left="873"/>
                    <w:jc w:val="both"/>
                    <w:rPr>
                      <w:rFonts w:ascii="Times New Roman" w:hAnsi="Times New Roman"/>
                      <w:sz w:val="24"/>
                      <w:szCs w:val="20"/>
                    </w:rPr>
                  </w:pPr>
                </w:p>
              </w:tc>
            </w:tr>
            <w:tr w:rsidR="00E20A9C" w:rsidRPr="00720F0B" w14:paraId="2647098B" w14:textId="77777777" w:rsidTr="00E116E3">
              <w:trPr>
                <w:trHeight w:val="567"/>
              </w:trPr>
              <w:tc>
                <w:tcPr>
                  <w:tcW w:w="1162" w:type="pct"/>
                </w:tcPr>
                <w:p w14:paraId="2F393134" w14:textId="77777777" w:rsidR="00E20A9C" w:rsidRPr="00A16F25" w:rsidRDefault="00E20A9C" w:rsidP="00E116E3">
                  <w:pPr>
                    <w:tabs>
                      <w:tab w:val="left" w:pos="540"/>
                    </w:tabs>
                    <w:spacing w:after="0"/>
                    <w:jc w:val="both"/>
                    <w:rPr>
                      <w:rFonts w:ascii="Times New Roman" w:hAnsi="Times New Roman"/>
                      <w:sz w:val="24"/>
                      <w:szCs w:val="24"/>
                    </w:rPr>
                  </w:pPr>
                  <w:r w:rsidRPr="00A16F25">
                    <w:rPr>
                      <w:rFonts w:ascii="Times New Roman" w:hAnsi="Times New Roman"/>
                      <w:sz w:val="24"/>
                      <w:szCs w:val="24"/>
                    </w:rPr>
                    <w:lastRenderedPageBreak/>
                    <w:t>7.Cita informācija</w:t>
                  </w:r>
                </w:p>
              </w:tc>
              <w:tc>
                <w:tcPr>
                  <w:tcW w:w="3838" w:type="pct"/>
                  <w:gridSpan w:val="6"/>
                </w:tcPr>
                <w:p w14:paraId="32229B4B" w14:textId="0218C008" w:rsidR="007E7A07" w:rsidRDefault="007E7A07" w:rsidP="00E116E3">
                  <w:pPr>
                    <w:pStyle w:val="Komentrateksts"/>
                    <w:spacing w:after="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Maksātnespējas administrācijai p</w:t>
                  </w:r>
                  <w:r w:rsidR="009201D8">
                    <w:rPr>
                      <w:rFonts w:ascii="Times New Roman" w:eastAsia="Times New Roman" w:hAnsi="Times New Roman" w:cs="Times New Roman"/>
                      <w:color w:val="000000" w:themeColor="text1"/>
                      <w:sz w:val="24"/>
                      <w:szCs w:val="24"/>
                      <w:lang w:eastAsia="lv-LV"/>
                    </w:rPr>
                    <w:t xml:space="preserve">apildus nepieciešamās divas amata vietas </w:t>
                  </w:r>
                  <w:r>
                    <w:rPr>
                      <w:rFonts w:ascii="Times New Roman" w:eastAsia="Times New Roman" w:hAnsi="Times New Roman" w:cs="Times New Roman"/>
                      <w:color w:val="000000" w:themeColor="text1"/>
                      <w:sz w:val="24"/>
                      <w:szCs w:val="24"/>
                      <w:lang w:eastAsia="lv-LV"/>
                    </w:rPr>
                    <w:t xml:space="preserve">tiks pārdalītas </w:t>
                  </w:r>
                  <w:r w:rsidR="009201D8">
                    <w:rPr>
                      <w:rFonts w:ascii="Times New Roman" w:eastAsia="Times New Roman" w:hAnsi="Times New Roman" w:cs="Times New Roman"/>
                      <w:color w:val="000000" w:themeColor="text1"/>
                      <w:sz w:val="24"/>
                      <w:szCs w:val="24"/>
                      <w:lang w:eastAsia="lv-LV"/>
                    </w:rPr>
                    <w:t>Tieslietu ministrijas resora ietvaros</w:t>
                  </w:r>
                  <w:r w:rsidR="007250EF">
                    <w:rPr>
                      <w:rFonts w:ascii="Times New Roman" w:eastAsia="Times New Roman" w:hAnsi="Times New Roman" w:cs="Times New Roman"/>
                      <w:color w:val="000000" w:themeColor="text1"/>
                      <w:sz w:val="24"/>
                      <w:szCs w:val="24"/>
                      <w:lang w:eastAsia="lv-LV"/>
                    </w:rPr>
                    <w:t>, pārdalot</w:t>
                  </w:r>
                  <w:r>
                    <w:rPr>
                      <w:rFonts w:ascii="Times New Roman" w:eastAsia="Times New Roman" w:hAnsi="Times New Roman" w:cs="Times New Roman"/>
                      <w:color w:val="000000" w:themeColor="text1"/>
                      <w:sz w:val="24"/>
                      <w:szCs w:val="24"/>
                      <w:lang w:eastAsia="lv-LV"/>
                    </w:rPr>
                    <w:t xml:space="preserve"> </w:t>
                  </w:r>
                  <w:r w:rsidR="0078747E">
                    <w:rPr>
                      <w:rFonts w:ascii="Times New Roman" w:eastAsia="Times New Roman" w:hAnsi="Times New Roman" w:cs="Times New Roman"/>
                      <w:color w:val="000000" w:themeColor="text1"/>
                      <w:sz w:val="24"/>
                      <w:szCs w:val="24"/>
                      <w:lang w:eastAsia="lv-LV"/>
                    </w:rPr>
                    <w:t xml:space="preserve">vakantās </w:t>
                  </w:r>
                  <w:r>
                    <w:rPr>
                      <w:rFonts w:ascii="Times New Roman" w:eastAsia="Times New Roman" w:hAnsi="Times New Roman" w:cs="Times New Roman"/>
                      <w:color w:val="000000" w:themeColor="text1"/>
                      <w:sz w:val="24"/>
                      <w:szCs w:val="24"/>
                      <w:lang w:eastAsia="lv-LV"/>
                    </w:rPr>
                    <w:t>amata vietas,</w:t>
                  </w:r>
                  <w:r w:rsidR="009201D8">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kurām </w:t>
                  </w:r>
                  <w:r>
                    <w:rPr>
                      <w:rFonts w:ascii="Times New Roman" w:eastAsia="Times New Roman" w:hAnsi="Times New Roman" w:cs="Times New Roman"/>
                      <w:sz w:val="24"/>
                      <w:szCs w:val="24"/>
                      <w:lang w:eastAsia="lv-LV"/>
                    </w:rPr>
                    <w:t>to aizpildīšanai nav finansējuma</w:t>
                  </w:r>
                  <w:r w:rsidR="009201D8">
                    <w:rPr>
                      <w:rFonts w:ascii="Times New Roman" w:eastAsia="Times New Roman" w:hAnsi="Times New Roman" w:cs="Times New Roman"/>
                      <w:color w:val="000000" w:themeColor="text1"/>
                      <w:sz w:val="24"/>
                      <w:szCs w:val="24"/>
                      <w:lang w:eastAsia="lv-LV"/>
                    </w:rPr>
                    <w:t xml:space="preserve">. </w:t>
                  </w:r>
                </w:p>
                <w:p w14:paraId="00F69FFC" w14:textId="74DBDFB8" w:rsidR="001C23A3" w:rsidRDefault="009201D8" w:rsidP="00E116E3">
                  <w:pPr>
                    <w:pStyle w:val="Komentrateksts"/>
                    <w:spacing w:after="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Amata vietu finansēšanas avots paredzēts no ieņēmumiem par uzliktajiem un iekasētajiem administratīvajiem sodiem.</w:t>
                  </w:r>
                </w:p>
                <w:p w14:paraId="09484F97" w14:textId="77777777" w:rsidR="00C848C1" w:rsidRDefault="00C848C1" w:rsidP="00E116E3">
                  <w:pPr>
                    <w:pStyle w:val="Komentrateksts"/>
                    <w:spacing w:after="0"/>
                    <w:jc w:val="both"/>
                    <w:rPr>
                      <w:rFonts w:ascii="Times New Roman" w:hAnsi="Times New Roman" w:cs="Times New Roman"/>
                      <w:sz w:val="24"/>
                      <w:szCs w:val="24"/>
                    </w:rPr>
                  </w:pPr>
                </w:p>
                <w:p w14:paraId="59943877" w14:textId="07A009AF" w:rsidR="00E20A9C" w:rsidRPr="0096269C" w:rsidRDefault="00E116E3">
                  <w:pPr>
                    <w:pStyle w:val="Komentrateksts"/>
                    <w:spacing w:after="0"/>
                    <w:jc w:val="both"/>
                    <w:rPr>
                      <w:rFonts w:ascii="Times New Roman" w:hAnsi="Times New Roman" w:cs="Times New Roman"/>
                      <w:sz w:val="24"/>
                      <w:szCs w:val="24"/>
                    </w:rPr>
                  </w:pPr>
                  <w:r w:rsidRPr="00E116E3">
                    <w:rPr>
                      <w:rFonts w:ascii="Times New Roman" w:hAnsi="Times New Roman" w:cs="Times New Roman"/>
                      <w:sz w:val="24"/>
                      <w:szCs w:val="24"/>
                    </w:rPr>
                    <w:t xml:space="preserve">Jautājumu par papildu nepieciešamā finansējuma piešķiršanu Tieslietu ministrijai budžeta apakšprogrammā 06.03.00. </w:t>
                  </w:r>
                  <w:r w:rsidR="00F37F06">
                    <w:rPr>
                      <w:rFonts w:ascii="Times New Roman" w:hAnsi="Times New Roman" w:cs="Times New Roman"/>
                      <w:sz w:val="24"/>
                      <w:szCs w:val="24"/>
                    </w:rPr>
                    <w:t>"</w:t>
                  </w:r>
                  <w:r w:rsidRPr="00E116E3">
                    <w:rPr>
                      <w:rFonts w:ascii="Times New Roman" w:hAnsi="Times New Roman" w:cs="Times New Roman"/>
                      <w:sz w:val="24"/>
                      <w:szCs w:val="24"/>
                    </w:rPr>
                    <w:t>Maksātnespējas procesa pārvaldība</w:t>
                  </w:r>
                  <w:r w:rsidR="00F37F06">
                    <w:rPr>
                      <w:rFonts w:ascii="Times New Roman" w:hAnsi="Times New Roman" w:cs="Times New Roman"/>
                      <w:sz w:val="24"/>
                      <w:szCs w:val="24"/>
                    </w:rPr>
                    <w:t>"</w:t>
                  </w:r>
                  <w:r w:rsidRPr="00E116E3">
                    <w:rPr>
                      <w:rFonts w:ascii="Times New Roman" w:hAnsi="Times New Roman" w:cs="Times New Roman"/>
                      <w:sz w:val="24"/>
                      <w:szCs w:val="24"/>
                    </w:rPr>
                    <w:t xml:space="preserve"> 2020. gadā un turpmākajos gados</w:t>
                  </w:r>
                  <w:r w:rsidR="00743ADD">
                    <w:rPr>
                      <w:rFonts w:ascii="Times New Roman" w:hAnsi="Times New Roman" w:cs="Times New Roman"/>
                      <w:sz w:val="24"/>
                      <w:szCs w:val="24"/>
                    </w:rPr>
                    <w:t>, likumprojektā noteikto normu īstenošanai,</w:t>
                  </w:r>
                  <w:r w:rsidRPr="00E116E3">
                    <w:rPr>
                      <w:rFonts w:ascii="Times New Roman" w:hAnsi="Times New Roman" w:cs="Times New Roman"/>
                      <w:sz w:val="24"/>
                      <w:szCs w:val="24"/>
                    </w:rPr>
                    <w:t xml:space="preserve"> izskatīt </w:t>
                  </w:r>
                  <w:r w:rsidR="001C23A3" w:rsidRPr="00102BEF">
                    <w:rPr>
                      <w:rFonts w:ascii="Times New Roman" w:eastAsia="Times New Roman" w:hAnsi="Times New Roman" w:cs="Times New Roman"/>
                      <w:sz w:val="24"/>
                      <w:szCs w:val="24"/>
                      <w:lang w:eastAsia="lv-LV"/>
                    </w:rPr>
                    <w:t>Ministru kabinetā kārtējā gada valsts budžeta likumprojekta un vidēja termiņa budžeta ietvaru likumprojekta sagatavošanas un izskatīšanas procesā</w:t>
                  </w:r>
                  <w:r w:rsidR="00A0028C">
                    <w:rPr>
                      <w:rFonts w:ascii="Times New Roman" w:eastAsia="Times New Roman" w:hAnsi="Times New Roman" w:cs="Times New Roman"/>
                      <w:sz w:val="24"/>
                      <w:szCs w:val="24"/>
                      <w:lang w:eastAsia="lv-LV"/>
                    </w:rPr>
                    <w:t>, vienlaicīgi</w:t>
                  </w:r>
                  <w:r w:rsidR="00E527FE">
                    <w:rPr>
                      <w:rFonts w:ascii="Times New Roman" w:eastAsia="Times New Roman" w:hAnsi="Times New Roman" w:cs="Times New Roman"/>
                      <w:sz w:val="24"/>
                      <w:szCs w:val="24"/>
                      <w:lang w:eastAsia="lv-LV"/>
                    </w:rPr>
                    <w:t>,</w:t>
                  </w:r>
                  <w:r w:rsidR="00A0028C">
                    <w:rPr>
                      <w:rFonts w:ascii="Times New Roman" w:eastAsia="Times New Roman" w:hAnsi="Times New Roman" w:cs="Times New Roman"/>
                      <w:sz w:val="24"/>
                      <w:szCs w:val="24"/>
                      <w:lang w:eastAsia="lv-LV"/>
                    </w:rPr>
                    <w:t xml:space="preserve"> izskatot arī jautājumu par valsts budžeta ieņēmumu palielināšanu, ņemot vērā plānotos ieņēmumus no uzliktajiem un iekasētajiem sodiem</w:t>
                  </w:r>
                  <w:r>
                    <w:rPr>
                      <w:rFonts w:ascii="Times New Roman" w:hAnsi="Times New Roman" w:cs="Times New Roman"/>
                      <w:sz w:val="24"/>
                      <w:szCs w:val="24"/>
                    </w:rPr>
                    <w:t>.</w:t>
                  </w:r>
                </w:p>
              </w:tc>
            </w:tr>
          </w:tbl>
          <w:p w14:paraId="0C8BF138" w14:textId="11931983" w:rsidR="00DA3686" w:rsidRPr="00F15874" w:rsidRDefault="00DA3686" w:rsidP="00DA596D">
            <w:pPr>
              <w:spacing w:after="0" w:line="240" w:lineRule="auto"/>
              <w:ind w:firstLine="300"/>
              <w:jc w:val="center"/>
              <w:rPr>
                <w:rFonts w:ascii="Times New Roman" w:eastAsia="Times New Roman" w:hAnsi="Times New Roman" w:cs="Times New Roman"/>
                <w:bCs/>
                <w:i/>
                <w:color w:val="000000" w:themeColor="text1"/>
                <w:sz w:val="24"/>
                <w:szCs w:val="24"/>
                <w:lang w:eastAsia="lv-LV"/>
              </w:rPr>
            </w:pPr>
          </w:p>
        </w:tc>
      </w:tr>
    </w:tbl>
    <w:p w14:paraId="0BC52CB5" w14:textId="74E09725" w:rsidR="004D15A9" w:rsidRDefault="004D15A9" w:rsidP="00DA596D">
      <w:pPr>
        <w:spacing w:after="0" w:line="240" w:lineRule="auto"/>
        <w:rPr>
          <w:rFonts w:ascii="Times New Roman" w:eastAsia="Times New Roman" w:hAnsi="Times New Roman" w:cs="Times New Roman"/>
          <w:color w:val="000000" w:themeColor="text1"/>
          <w:sz w:val="24"/>
          <w:szCs w:val="24"/>
          <w:lang w:eastAsia="lv-LV"/>
        </w:rPr>
      </w:pPr>
    </w:p>
    <w:p w14:paraId="67135123" w14:textId="77777777" w:rsidR="00210312" w:rsidRPr="00F15874" w:rsidRDefault="00210312" w:rsidP="00DA596D">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D15A9" w:rsidRPr="00AB7056" w14:paraId="0683CC97"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50D839" w14:textId="77777777" w:rsidR="004D15A9" w:rsidRPr="00AB7056"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B7056">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AB7056" w:rsidRPr="00AB7056" w14:paraId="73647F65"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94C7415"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550DF815"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0F6A911B" w14:textId="1AAC228C" w:rsidR="005757F4" w:rsidRDefault="005757F4" w:rsidP="005757F4">
            <w:pPr>
              <w:spacing w:after="0" w:line="240" w:lineRule="auto"/>
              <w:jc w:val="both"/>
              <w:rPr>
                <w:rFonts w:ascii="Times New Roman" w:eastAsia="Times New Roman" w:hAnsi="Times New Roman" w:cs="Times New Roman"/>
                <w:bCs/>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 xml:space="preserve">Nepieciešami grozījumi Ministru kabineta 2015. gada 24. februāra noteikumos Nr. 88 </w:t>
            </w:r>
            <w:r w:rsidR="00F37F06">
              <w:rPr>
                <w:rFonts w:ascii="Times New Roman" w:eastAsia="Times New Roman" w:hAnsi="Times New Roman" w:cs="Times New Roman"/>
                <w:color w:val="000000" w:themeColor="text1"/>
                <w:sz w:val="24"/>
                <w:szCs w:val="24"/>
                <w:lang w:eastAsia="lv-LV"/>
              </w:rPr>
              <w:t>"</w:t>
            </w:r>
            <w:r w:rsidRPr="00AB7056">
              <w:rPr>
                <w:rFonts w:ascii="Times New Roman" w:eastAsia="Times New Roman" w:hAnsi="Times New Roman" w:cs="Times New Roman"/>
                <w:bCs/>
                <w:color w:val="000000" w:themeColor="text1"/>
                <w:sz w:val="24"/>
                <w:szCs w:val="24"/>
                <w:lang w:eastAsia="lv-LV"/>
              </w:rPr>
              <w:t>Kārtība, kādā iemaksā un izmaksā depozītu juridiskās un fiziskās personas maksātnespējas procesā</w:t>
            </w:r>
            <w:r w:rsidR="00F37F06">
              <w:rPr>
                <w:rFonts w:ascii="Times New Roman" w:eastAsia="Times New Roman" w:hAnsi="Times New Roman" w:cs="Times New Roman"/>
                <w:bCs/>
                <w:color w:val="000000" w:themeColor="text1"/>
                <w:sz w:val="24"/>
                <w:szCs w:val="24"/>
                <w:lang w:eastAsia="lv-LV"/>
              </w:rPr>
              <w:t>"</w:t>
            </w:r>
            <w:r w:rsidR="003A2A9E">
              <w:rPr>
                <w:rFonts w:ascii="Times New Roman" w:eastAsia="Times New Roman" w:hAnsi="Times New Roman" w:cs="Times New Roman"/>
                <w:bCs/>
                <w:color w:val="000000" w:themeColor="text1"/>
                <w:sz w:val="24"/>
                <w:szCs w:val="24"/>
                <w:lang w:eastAsia="lv-LV"/>
              </w:rPr>
              <w:t>, nosakot Maksātnespējas administrācijas rīcību ar depozītu, kas iemaksāts tiesiskās aizsardzības procesa lietas ietvaros, kā arī nosakot jaunu kārtību fiziskās personas maksātnespējas procesa depozīta izmaksai</w:t>
            </w:r>
            <w:r w:rsidRPr="00AB7056">
              <w:rPr>
                <w:rFonts w:ascii="Times New Roman" w:eastAsia="Times New Roman" w:hAnsi="Times New Roman" w:cs="Times New Roman"/>
                <w:bCs/>
                <w:color w:val="000000" w:themeColor="text1"/>
                <w:sz w:val="24"/>
                <w:szCs w:val="24"/>
                <w:lang w:eastAsia="lv-LV"/>
              </w:rPr>
              <w:t>.</w:t>
            </w:r>
          </w:p>
          <w:p w14:paraId="761B537A" w14:textId="4072A84B" w:rsidR="003A2A9E" w:rsidRPr="003A2A9E" w:rsidRDefault="003A2A9E" w:rsidP="003A2A9E">
            <w:pPr>
              <w:spacing w:after="0" w:line="240" w:lineRule="auto"/>
              <w:jc w:val="both"/>
              <w:rPr>
                <w:rFonts w:ascii="Times New Roman" w:eastAsia="Times New Roman" w:hAnsi="Times New Roman" w:cs="Times New Roman"/>
                <w:color w:val="000000" w:themeColor="text1"/>
                <w:sz w:val="24"/>
                <w:szCs w:val="24"/>
                <w:lang w:eastAsia="lv-LV"/>
              </w:rPr>
            </w:pPr>
            <w:r w:rsidRPr="003A2A9E">
              <w:rPr>
                <w:rFonts w:ascii="Times New Roman" w:eastAsia="Times New Roman" w:hAnsi="Times New Roman" w:cs="Times New Roman"/>
                <w:color w:val="000000" w:themeColor="text1"/>
                <w:sz w:val="24"/>
                <w:szCs w:val="24"/>
                <w:lang w:eastAsia="lv-LV"/>
              </w:rPr>
              <w:t xml:space="preserve">Vienlaikus ar </w:t>
            </w:r>
            <w:r>
              <w:rPr>
                <w:rFonts w:ascii="Times New Roman" w:eastAsia="Times New Roman" w:hAnsi="Times New Roman" w:cs="Times New Roman"/>
                <w:color w:val="000000" w:themeColor="text1"/>
                <w:sz w:val="24"/>
                <w:szCs w:val="24"/>
                <w:lang w:eastAsia="lv-LV"/>
              </w:rPr>
              <w:t>šo likumprojektu</w:t>
            </w:r>
            <w:r w:rsidRPr="003A2A9E">
              <w:rPr>
                <w:rFonts w:ascii="Times New Roman" w:eastAsia="Times New Roman" w:hAnsi="Times New Roman" w:cs="Times New Roman"/>
                <w:color w:val="000000" w:themeColor="text1"/>
                <w:sz w:val="24"/>
                <w:szCs w:val="24"/>
                <w:lang w:eastAsia="lv-LV"/>
              </w:rPr>
              <w:t xml:space="preserve"> </w:t>
            </w:r>
            <w:r w:rsidR="008C4F8D">
              <w:rPr>
                <w:rFonts w:ascii="Times New Roman" w:eastAsia="Times New Roman" w:hAnsi="Times New Roman" w:cs="Times New Roman"/>
                <w:color w:val="000000" w:themeColor="text1"/>
                <w:sz w:val="24"/>
                <w:szCs w:val="24"/>
                <w:lang w:eastAsia="lv-LV"/>
              </w:rPr>
              <w:t>tiek virzīts</w:t>
            </w:r>
            <w:r w:rsidRPr="003A2A9E">
              <w:rPr>
                <w:rFonts w:ascii="Times New Roman" w:eastAsia="Times New Roman" w:hAnsi="Times New Roman" w:cs="Times New Roman"/>
                <w:color w:val="000000" w:themeColor="text1"/>
                <w:sz w:val="24"/>
                <w:szCs w:val="24"/>
                <w:lang w:eastAsia="lv-LV"/>
              </w:rPr>
              <w:t xml:space="preserve"> likumprojekt</w:t>
            </w:r>
            <w:r w:rsidR="008C4F8D">
              <w:rPr>
                <w:rFonts w:ascii="Times New Roman" w:eastAsia="Times New Roman" w:hAnsi="Times New Roman" w:cs="Times New Roman"/>
                <w:color w:val="000000" w:themeColor="text1"/>
                <w:sz w:val="24"/>
                <w:szCs w:val="24"/>
                <w:lang w:eastAsia="lv-LV"/>
              </w:rPr>
              <w:t>s</w:t>
            </w:r>
            <w:r w:rsidRPr="003A2A9E">
              <w:rPr>
                <w:rFonts w:ascii="Times New Roman" w:eastAsia="Times New Roman" w:hAnsi="Times New Roman" w:cs="Times New Roman"/>
                <w:color w:val="000000" w:themeColor="text1"/>
                <w:sz w:val="24"/>
                <w:szCs w:val="24"/>
                <w:lang w:eastAsia="lv-LV"/>
              </w:rPr>
              <w:t xml:space="preserve"> </w:t>
            </w:r>
            <w:r w:rsidR="00F37F06">
              <w:rPr>
                <w:rFonts w:ascii="Times New Roman" w:eastAsia="Times New Roman" w:hAnsi="Times New Roman" w:cs="Times New Roman"/>
                <w:bCs/>
                <w:color w:val="000000" w:themeColor="text1"/>
                <w:sz w:val="24"/>
                <w:szCs w:val="24"/>
                <w:lang w:eastAsia="lv-LV"/>
              </w:rPr>
              <w:t>"</w:t>
            </w:r>
            <w:r w:rsidRPr="003A2A9E">
              <w:rPr>
                <w:rFonts w:ascii="Times New Roman" w:eastAsia="Times New Roman" w:hAnsi="Times New Roman" w:cs="Times New Roman"/>
                <w:color w:val="000000" w:themeColor="text1"/>
                <w:sz w:val="24"/>
                <w:szCs w:val="24"/>
                <w:lang w:eastAsia="lv-LV"/>
              </w:rPr>
              <w:t>Grozījumi Civilprocesa likumā</w:t>
            </w:r>
            <w:r w:rsidR="00F37F06">
              <w:rPr>
                <w:rFonts w:ascii="Times New Roman" w:eastAsia="Times New Roman" w:hAnsi="Times New Roman" w:cs="Times New Roman"/>
                <w:bCs/>
                <w:color w:val="000000" w:themeColor="text1"/>
                <w:sz w:val="24"/>
                <w:szCs w:val="24"/>
                <w:lang w:eastAsia="lv-LV"/>
              </w:rPr>
              <w:t>"</w:t>
            </w:r>
            <w:r w:rsidR="008C4F8D">
              <w:rPr>
                <w:rFonts w:ascii="Times New Roman" w:eastAsia="Times New Roman" w:hAnsi="Times New Roman" w:cs="Times New Roman"/>
                <w:bCs/>
                <w:color w:val="000000" w:themeColor="text1"/>
                <w:sz w:val="24"/>
                <w:szCs w:val="24"/>
                <w:lang w:eastAsia="lv-LV"/>
              </w:rPr>
              <w:t xml:space="preserve"> (VSS-</w:t>
            </w:r>
            <w:r w:rsidR="00841384">
              <w:rPr>
                <w:rFonts w:ascii="Times New Roman" w:eastAsia="Times New Roman" w:hAnsi="Times New Roman" w:cs="Times New Roman"/>
                <w:bCs/>
                <w:color w:val="000000" w:themeColor="text1"/>
                <w:sz w:val="24"/>
                <w:szCs w:val="24"/>
                <w:lang w:eastAsia="lv-LV"/>
              </w:rPr>
              <w:t>573</w:t>
            </w:r>
            <w:r w:rsidR="008C4F8D">
              <w:rPr>
                <w:rFonts w:ascii="Times New Roman" w:eastAsia="Times New Roman" w:hAnsi="Times New Roman" w:cs="Times New Roman"/>
                <w:bCs/>
                <w:color w:val="000000" w:themeColor="text1"/>
                <w:sz w:val="24"/>
                <w:szCs w:val="24"/>
                <w:lang w:eastAsia="lv-LV"/>
              </w:rPr>
              <w:t>)</w:t>
            </w:r>
            <w:r w:rsidRPr="003A2A9E">
              <w:rPr>
                <w:rFonts w:ascii="Times New Roman" w:eastAsia="Times New Roman" w:hAnsi="Times New Roman" w:cs="Times New Roman"/>
                <w:color w:val="000000" w:themeColor="text1"/>
                <w:sz w:val="24"/>
                <w:szCs w:val="24"/>
                <w:lang w:eastAsia="lv-LV"/>
              </w:rPr>
              <w:t xml:space="preserve">. Likumprojekts </w:t>
            </w:r>
            <w:r w:rsidR="00F37F06">
              <w:rPr>
                <w:rFonts w:ascii="Times New Roman" w:eastAsia="Times New Roman" w:hAnsi="Times New Roman" w:cs="Times New Roman"/>
                <w:bCs/>
                <w:color w:val="000000" w:themeColor="text1"/>
                <w:sz w:val="24"/>
                <w:szCs w:val="24"/>
                <w:lang w:eastAsia="lv-LV"/>
              </w:rPr>
              <w:t>"</w:t>
            </w:r>
            <w:r w:rsidRPr="003A2A9E">
              <w:rPr>
                <w:rFonts w:ascii="Times New Roman" w:eastAsia="Times New Roman" w:hAnsi="Times New Roman" w:cs="Times New Roman"/>
                <w:color w:val="000000" w:themeColor="text1"/>
                <w:sz w:val="24"/>
                <w:szCs w:val="24"/>
                <w:lang w:eastAsia="lv-LV"/>
              </w:rPr>
              <w:t>Grozījumi Civilprocesa likumā</w:t>
            </w:r>
            <w:r w:rsidR="00F37F06">
              <w:rPr>
                <w:rFonts w:ascii="Times New Roman" w:eastAsia="Times New Roman" w:hAnsi="Times New Roman" w:cs="Times New Roman"/>
                <w:bCs/>
                <w:color w:val="000000" w:themeColor="text1"/>
                <w:sz w:val="24"/>
                <w:szCs w:val="24"/>
                <w:lang w:eastAsia="lv-LV"/>
              </w:rPr>
              <w:t>"</w:t>
            </w:r>
            <w:r w:rsidRPr="003A2A9E">
              <w:rPr>
                <w:rFonts w:ascii="Times New Roman" w:eastAsia="Times New Roman" w:hAnsi="Times New Roman" w:cs="Times New Roman"/>
                <w:color w:val="000000" w:themeColor="text1"/>
                <w:sz w:val="24"/>
                <w:szCs w:val="24"/>
                <w:lang w:eastAsia="lv-LV"/>
              </w:rPr>
              <w:t xml:space="preserve"> paredz būtiskas izmaiņas attiecībā uz kārtību, kādā izskata strīdus par tiesībām kreditoru prasījumu atzīšanas procesā. Svarīgākās izmaiņas attiecināmas tieši uz šādu strīdu izskatīšanu paātrinātā u</w:t>
            </w:r>
            <w:r>
              <w:rPr>
                <w:rFonts w:ascii="Times New Roman" w:eastAsia="Times New Roman" w:hAnsi="Times New Roman" w:cs="Times New Roman"/>
                <w:color w:val="000000" w:themeColor="text1"/>
                <w:sz w:val="24"/>
                <w:szCs w:val="24"/>
                <w:lang w:eastAsia="lv-LV"/>
              </w:rPr>
              <w:t>n vienkāršotā procesā un paredz</w:t>
            </w:r>
            <w:r w:rsidRPr="003A2A9E">
              <w:rPr>
                <w:rFonts w:ascii="Times New Roman" w:eastAsia="Times New Roman" w:hAnsi="Times New Roman" w:cs="Times New Roman"/>
                <w:color w:val="000000" w:themeColor="text1"/>
                <w:sz w:val="24"/>
                <w:szCs w:val="24"/>
                <w:lang w:eastAsia="lv-LV"/>
              </w:rPr>
              <w:t xml:space="preserve"> ieviest pagaidu aizsardzības līdzekļus, ko tiesa varēs noteikt, ja konstatēs pamatu ieinteresētās personas iespējamam tiesību aizskārumam.</w:t>
            </w:r>
          </w:p>
          <w:p w14:paraId="3441D071" w14:textId="4D20C142" w:rsidR="003A2A9E" w:rsidRDefault="003A2A9E" w:rsidP="00182353">
            <w:pPr>
              <w:spacing w:after="0" w:line="240" w:lineRule="auto"/>
              <w:jc w:val="both"/>
              <w:rPr>
                <w:rFonts w:ascii="Times New Roman" w:eastAsia="Times New Roman" w:hAnsi="Times New Roman" w:cs="Times New Roman"/>
                <w:color w:val="000000" w:themeColor="text1"/>
                <w:sz w:val="24"/>
                <w:szCs w:val="24"/>
                <w:lang w:eastAsia="lv-LV"/>
              </w:rPr>
            </w:pPr>
            <w:r w:rsidRPr="003A2A9E">
              <w:rPr>
                <w:rFonts w:ascii="Times New Roman" w:eastAsia="Times New Roman" w:hAnsi="Times New Roman" w:cs="Times New Roman"/>
                <w:color w:val="000000" w:themeColor="text1"/>
                <w:sz w:val="24"/>
                <w:szCs w:val="24"/>
                <w:lang w:eastAsia="lv-LV"/>
              </w:rPr>
              <w:t>Par pagaidu aizsardzības līdzekļiem kalpo sūdzības iesniedzēja tiesības piedalīties maksātnespējas procesā bez balsstiesībām (būt informētam par darbībām procesā, aizstāvēt intereses Maksātnespējas administ</w:t>
            </w:r>
            <w:r>
              <w:rPr>
                <w:rFonts w:ascii="Times New Roman" w:eastAsia="Times New Roman" w:hAnsi="Times New Roman" w:cs="Times New Roman"/>
                <w:color w:val="000000" w:themeColor="text1"/>
                <w:sz w:val="24"/>
                <w:szCs w:val="24"/>
                <w:lang w:eastAsia="lv-LV"/>
              </w:rPr>
              <w:t>rācijā) un atsevišķos gadījumos –</w:t>
            </w:r>
            <w:r w:rsidRPr="003A2A9E">
              <w:rPr>
                <w:rFonts w:ascii="Times New Roman" w:eastAsia="Times New Roman" w:hAnsi="Times New Roman" w:cs="Times New Roman"/>
                <w:color w:val="000000" w:themeColor="text1"/>
                <w:sz w:val="24"/>
                <w:szCs w:val="24"/>
                <w:lang w:eastAsia="lv-LV"/>
              </w:rPr>
              <w:t xml:space="preserve"> tiesību liegšana, piemēram uz balsstiesībām kreditoru sapulcē. Šādu aizsardzības līdzekļu piemērošana ir līdzsvarota un efektīva, jo neaptur maksātnespējas procesa efektīvu realizēšanu, vienlaikus samērojot kreditoru k</w:t>
            </w:r>
            <w:r>
              <w:rPr>
                <w:rFonts w:ascii="Times New Roman" w:eastAsia="Times New Roman" w:hAnsi="Times New Roman" w:cs="Times New Roman"/>
                <w:color w:val="000000" w:themeColor="text1"/>
                <w:sz w:val="24"/>
                <w:szCs w:val="24"/>
                <w:lang w:eastAsia="lv-LV"/>
              </w:rPr>
              <w:t xml:space="preserve">opuma intereses. Likumprojekts </w:t>
            </w:r>
            <w:r w:rsidR="0060613E">
              <w:rPr>
                <w:rFonts w:ascii="Times New Roman" w:eastAsia="Times New Roman" w:hAnsi="Times New Roman" w:cs="Times New Roman"/>
                <w:color w:val="000000" w:themeColor="text1"/>
                <w:sz w:val="24"/>
                <w:szCs w:val="24"/>
                <w:lang w:eastAsia="lv-LV"/>
              </w:rPr>
              <w:t>"</w:t>
            </w:r>
            <w:r w:rsidRPr="003A2A9E">
              <w:rPr>
                <w:rFonts w:ascii="Times New Roman" w:eastAsia="Times New Roman" w:hAnsi="Times New Roman" w:cs="Times New Roman"/>
                <w:color w:val="000000" w:themeColor="text1"/>
                <w:sz w:val="24"/>
                <w:szCs w:val="24"/>
                <w:lang w:eastAsia="lv-LV"/>
              </w:rPr>
              <w:t>Grozījumi Civilprocesa likumā</w:t>
            </w:r>
            <w:r w:rsidR="0060613E">
              <w:rPr>
                <w:rFonts w:ascii="Times New Roman" w:eastAsia="Times New Roman" w:hAnsi="Times New Roman" w:cs="Times New Roman"/>
                <w:color w:val="000000" w:themeColor="text1"/>
                <w:sz w:val="24"/>
                <w:szCs w:val="24"/>
                <w:lang w:eastAsia="lv-LV"/>
              </w:rPr>
              <w:t>"</w:t>
            </w:r>
            <w:r w:rsidRPr="003A2A9E">
              <w:rPr>
                <w:rFonts w:ascii="Times New Roman" w:eastAsia="Times New Roman" w:hAnsi="Times New Roman" w:cs="Times New Roman"/>
                <w:color w:val="000000" w:themeColor="text1"/>
                <w:sz w:val="24"/>
                <w:szCs w:val="24"/>
                <w:lang w:eastAsia="lv-LV"/>
              </w:rPr>
              <w:t xml:space="preserve"> saskaņā ar </w:t>
            </w:r>
            <w:r>
              <w:rPr>
                <w:rFonts w:ascii="Times New Roman" w:eastAsia="Times New Roman" w:hAnsi="Times New Roman" w:cs="Times New Roman"/>
                <w:color w:val="000000" w:themeColor="text1"/>
                <w:sz w:val="24"/>
                <w:szCs w:val="24"/>
                <w:lang w:eastAsia="lv-LV"/>
              </w:rPr>
              <w:t xml:space="preserve">MNL </w:t>
            </w:r>
            <w:r w:rsidRPr="003A2A9E">
              <w:rPr>
                <w:rFonts w:ascii="Times New Roman" w:eastAsia="Times New Roman" w:hAnsi="Times New Roman" w:cs="Times New Roman"/>
                <w:color w:val="000000" w:themeColor="text1"/>
                <w:sz w:val="24"/>
                <w:szCs w:val="24"/>
                <w:lang w:eastAsia="lv-LV"/>
              </w:rPr>
              <w:t>80. panta otrajā un trešajā daļā noteikto, paredz, ka prasību strīdus par tiesībām kreditoru prasījumu atzīšan</w:t>
            </w:r>
            <w:r>
              <w:rPr>
                <w:rFonts w:ascii="Times New Roman" w:eastAsia="Times New Roman" w:hAnsi="Times New Roman" w:cs="Times New Roman"/>
                <w:color w:val="000000" w:themeColor="text1"/>
                <w:sz w:val="24"/>
                <w:szCs w:val="24"/>
                <w:lang w:eastAsia="lv-LV"/>
              </w:rPr>
              <w:t>as procesā var celt kreditors (</w:t>
            </w:r>
            <w:r w:rsidRPr="003A2A9E">
              <w:rPr>
                <w:rFonts w:ascii="Times New Roman" w:eastAsia="Times New Roman" w:hAnsi="Times New Roman" w:cs="Times New Roman"/>
                <w:color w:val="000000" w:themeColor="text1"/>
                <w:sz w:val="24"/>
                <w:szCs w:val="24"/>
                <w:lang w:eastAsia="lv-LV"/>
              </w:rPr>
              <w:t xml:space="preserve">t.sk. arī tāds kreditors, kas nav apstrīdētā darījuma dalībnieks), trešās personas vai parādnieka pārstāvis, kuru </w:t>
            </w:r>
            <w:r w:rsidRPr="003A2A9E">
              <w:rPr>
                <w:rFonts w:ascii="Times New Roman" w:eastAsia="Times New Roman" w:hAnsi="Times New Roman" w:cs="Times New Roman"/>
                <w:color w:val="000000" w:themeColor="text1"/>
                <w:sz w:val="24"/>
                <w:szCs w:val="24"/>
                <w:lang w:eastAsia="lv-LV"/>
              </w:rPr>
              <w:lastRenderedPageBreak/>
              <w:t>likumiskās intereses ir aizskartas (pretstatā vispārējam civilprocesa principam uz tiesībām savu aizskarto civilo tiesību aizsardzībai tiesā), kas civilprocesa izpratnē ir arī lietas par atzīšanas prasībām, vai tiesiska attiecība pastāv vai nepastāv.</w:t>
            </w:r>
          </w:p>
          <w:p w14:paraId="10EC25AF" w14:textId="5AE3239A" w:rsidR="003C45B1" w:rsidRPr="003C45B1" w:rsidRDefault="003C45B1" w:rsidP="003C45B1">
            <w:pPr>
              <w:spacing w:after="0" w:line="240" w:lineRule="auto"/>
              <w:jc w:val="both"/>
              <w:rPr>
                <w:rFonts w:ascii="Times New Roman" w:eastAsia="Times New Roman" w:hAnsi="Times New Roman" w:cs="Times New Roman"/>
                <w:color w:val="000000" w:themeColor="text1"/>
                <w:sz w:val="24"/>
                <w:szCs w:val="24"/>
                <w:lang w:eastAsia="lv-LV"/>
              </w:rPr>
            </w:pPr>
            <w:r w:rsidRPr="003C45B1">
              <w:rPr>
                <w:rFonts w:ascii="Times New Roman" w:eastAsia="Times New Roman" w:hAnsi="Times New Roman" w:cs="Times New Roman"/>
                <w:color w:val="000000" w:themeColor="text1"/>
                <w:sz w:val="24"/>
                <w:szCs w:val="24"/>
                <w:lang w:eastAsia="lv-LV"/>
              </w:rPr>
              <w:t>Ja tiek veikti grozījumi šādos likumos un Ministru kabineta noteikumos, pēc likumprojekta pieņemšanas nepieciešams izstrādāt un iesniegt priekšlikumus grozījumiem likumos vai Ministru kabineta noteikumos, lai nodrošinātu precīzu Maksātnespējas administrācijas nosaukuma maiņu:</w:t>
            </w:r>
            <w:r w:rsidRPr="003C45B1">
              <w:rPr>
                <w:rFonts w:ascii="Times New Roman" w:eastAsia="Times New Roman" w:hAnsi="Times New Roman" w:cs="Times New Roman"/>
                <w:i/>
                <w:iCs/>
                <w:color w:val="000000" w:themeColor="text1"/>
                <w:sz w:val="24"/>
                <w:szCs w:val="24"/>
                <w:lang w:eastAsia="lv-LV"/>
              </w:rPr>
              <w:t xml:space="preserve"> </w:t>
            </w:r>
            <w:r w:rsidRPr="003C45B1">
              <w:rPr>
                <w:rFonts w:ascii="Times New Roman" w:eastAsia="Times New Roman" w:hAnsi="Times New Roman" w:cs="Times New Roman"/>
                <w:color w:val="000000" w:themeColor="text1"/>
                <w:sz w:val="24"/>
                <w:szCs w:val="24"/>
                <w:lang w:eastAsia="lv-LV"/>
              </w:rPr>
              <w:t xml:space="preserve">Civilprocesa likums (grozījumi jau ir ietverti saistītajā likumprojektā </w:t>
            </w:r>
            <w:r w:rsidR="00E54C30">
              <w:rPr>
                <w:rFonts w:ascii="Times New Roman" w:eastAsia="Times New Roman" w:hAnsi="Times New Roman" w:cs="Times New Roman"/>
                <w:color w:val="000000" w:themeColor="text1"/>
                <w:sz w:val="24"/>
                <w:szCs w:val="24"/>
                <w:lang w:eastAsia="lv-LV"/>
              </w:rPr>
              <w:t>"</w:t>
            </w:r>
            <w:r w:rsidRPr="003C45B1">
              <w:rPr>
                <w:rFonts w:ascii="Times New Roman" w:eastAsia="Times New Roman" w:hAnsi="Times New Roman" w:cs="Times New Roman"/>
                <w:color w:val="000000" w:themeColor="text1"/>
                <w:sz w:val="24"/>
                <w:szCs w:val="24"/>
                <w:lang w:eastAsia="lv-LV"/>
              </w:rPr>
              <w:t>Grozījumi Civilprocesa likumā</w:t>
            </w:r>
            <w:r w:rsidR="00E54C30">
              <w:rPr>
                <w:rFonts w:ascii="Times New Roman" w:eastAsia="Times New Roman" w:hAnsi="Times New Roman" w:cs="Times New Roman"/>
                <w:color w:val="000000" w:themeColor="text1"/>
                <w:sz w:val="24"/>
                <w:szCs w:val="24"/>
                <w:lang w:eastAsia="lv-LV"/>
              </w:rPr>
              <w:t>"</w:t>
            </w:r>
            <w:r w:rsidRPr="003C45B1">
              <w:rPr>
                <w:rFonts w:ascii="Times New Roman" w:eastAsia="Times New Roman" w:hAnsi="Times New Roman" w:cs="Times New Roman"/>
                <w:color w:val="000000" w:themeColor="text1"/>
                <w:sz w:val="24"/>
                <w:szCs w:val="24"/>
                <w:lang w:eastAsia="lv-LV"/>
              </w:rPr>
              <w:t>; VSS–573),</w:t>
            </w:r>
            <w:r w:rsidRPr="003C45B1">
              <w:rPr>
                <w:rFonts w:ascii="Times New Roman" w:eastAsia="Times New Roman" w:hAnsi="Times New Roman" w:cs="Times New Roman"/>
                <w:i/>
                <w:iCs/>
                <w:color w:val="000000" w:themeColor="text1"/>
                <w:sz w:val="24"/>
                <w:szCs w:val="24"/>
                <w:lang w:eastAsia="lv-LV"/>
              </w:rPr>
              <w:t xml:space="preserve"> </w:t>
            </w:r>
            <w:r w:rsidRPr="003C45B1">
              <w:rPr>
                <w:rFonts w:ascii="Times New Roman" w:eastAsia="Times New Roman" w:hAnsi="Times New Roman" w:cs="Times New Roman"/>
                <w:color w:val="000000" w:themeColor="text1"/>
                <w:sz w:val="24"/>
                <w:szCs w:val="24"/>
                <w:lang w:eastAsia="lv-LV"/>
              </w:rPr>
              <w:t xml:space="preserve">likums "Par darbinieku aizsardzību darba devēja maksātnespējas gadījumā", likums "Par interešu konflikta novēršanu valsts amatpersonu darbībā", Piespiedu ietekmēšanas līdzekļu izpildes likums, kā arī Ministru kabineta 2012. gada 6. novembra noteikumi Nr. 751 </w:t>
            </w:r>
            <w:r w:rsidRPr="003C45B1">
              <w:rPr>
                <w:rFonts w:ascii="Times New Roman" w:eastAsia="Times New Roman" w:hAnsi="Times New Roman" w:cs="Times New Roman"/>
                <w:bCs/>
                <w:color w:val="000000" w:themeColor="text1"/>
                <w:sz w:val="24"/>
                <w:szCs w:val="24"/>
                <w:lang w:eastAsia="lv-LV"/>
              </w:rPr>
              <w:t>"</w:t>
            </w:r>
            <w:r w:rsidRPr="003C45B1">
              <w:rPr>
                <w:rFonts w:ascii="Times New Roman" w:eastAsia="Times New Roman" w:hAnsi="Times New Roman" w:cs="Times New Roman"/>
                <w:color w:val="000000" w:themeColor="text1"/>
                <w:sz w:val="24"/>
                <w:szCs w:val="24"/>
                <w:lang w:eastAsia="lv-LV"/>
              </w:rPr>
              <w:t>Maksātnespējas administrācijas nolikums</w:t>
            </w:r>
            <w:r w:rsidRPr="003C45B1">
              <w:rPr>
                <w:rFonts w:ascii="Times New Roman" w:eastAsia="Times New Roman" w:hAnsi="Times New Roman" w:cs="Times New Roman"/>
                <w:bCs/>
                <w:color w:val="000000" w:themeColor="text1"/>
                <w:sz w:val="24"/>
                <w:szCs w:val="24"/>
                <w:lang w:eastAsia="lv-LV"/>
              </w:rPr>
              <w:t>"</w:t>
            </w:r>
            <w:r w:rsidRPr="003C45B1">
              <w:rPr>
                <w:rFonts w:ascii="Times New Roman" w:eastAsia="Times New Roman" w:hAnsi="Times New Roman" w:cs="Times New Roman"/>
                <w:color w:val="000000" w:themeColor="text1"/>
                <w:sz w:val="24"/>
                <w:szCs w:val="24"/>
                <w:lang w:eastAsia="lv-LV"/>
              </w:rPr>
              <w:t xml:space="preserve"> un citi likumiem pakārtotie normatīvie akti.</w:t>
            </w:r>
          </w:p>
          <w:p w14:paraId="13F32F26" w14:textId="2235B1AF" w:rsidR="00C324CF" w:rsidRPr="00AB7056" w:rsidRDefault="00C324CF" w:rsidP="00430C6E">
            <w:pPr>
              <w:spacing w:after="0" w:line="240" w:lineRule="auto"/>
              <w:jc w:val="both"/>
              <w:rPr>
                <w:rFonts w:ascii="Times New Roman" w:eastAsia="Times New Roman" w:hAnsi="Times New Roman" w:cs="Times New Roman"/>
                <w:color w:val="000000" w:themeColor="text1"/>
                <w:sz w:val="24"/>
                <w:szCs w:val="24"/>
                <w:lang w:eastAsia="lv-LV"/>
              </w:rPr>
            </w:pPr>
          </w:p>
        </w:tc>
      </w:tr>
      <w:tr w:rsidR="00AB7056" w:rsidRPr="00AB7056" w14:paraId="12B8AF4C"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178478A"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2E5D7118"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51C87837" w14:textId="77777777" w:rsidR="004D15A9" w:rsidRPr="00AB7056" w:rsidRDefault="00D33248" w:rsidP="00D33248">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Tieslietu ministrija.</w:t>
            </w:r>
          </w:p>
        </w:tc>
      </w:tr>
      <w:tr w:rsidR="00AB7056" w:rsidRPr="00AB7056" w14:paraId="1CB373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229BDDE"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2665BD86"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8248949" w14:textId="24B86A80" w:rsidR="004D15A9" w:rsidRPr="00AB7056" w:rsidRDefault="003A2A9E" w:rsidP="00D3324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2B651E13" w14:textId="249446B1" w:rsidR="004D15A9" w:rsidRDefault="004D15A9" w:rsidP="00DA596D">
      <w:pPr>
        <w:spacing w:after="0" w:line="240" w:lineRule="auto"/>
        <w:rPr>
          <w:rFonts w:ascii="Times New Roman" w:eastAsia="Times New Roman" w:hAnsi="Times New Roman" w:cs="Times New Roman"/>
          <w:sz w:val="24"/>
          <w:szCs w:val="24"/>
          <w:lang w:eastAsia="lv-LV"/>
        </w:rPr>
      </w:pPr>
    </w:p>
    <w:p w14:paraId="6768B197" w14:textId="77777777" w:rsidR="00210312" w:rsidRPr="004D15A9" w:rsidRDefault="00210312"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4D15A9" w:rsidRPr="00AB7056" w14:paraId="5EEAAD2B"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13F92AC" w14:textId="77777777" w:rsidR="004D15A9" w:rsidRPr="00AB7056"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B7056">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FC3C54" w:rsidRPr="00FC3C54" w14:paraId="3948369D" w14:textId="77777777" w:rsidTr="00BF2FFB">
        <w:tc>
          <w:tcPr>
            <w:tcW w:w="250" w:type="pct"/>
            <w:tcBorders>
              <w:top w:val="outset" w:sz="6" w:space="0" w:color="414142"/>
              <w:left w:val="outset" w:sz="6" w:space="0" w:color="414142"/>
              <w:bottom w:val="outset" w:sz="6" w:space="0" w:color="414142"/>
              <w:right w:val="outset" w:sz="6" w:space="0" w:color="414142"/>
            </w:tcBorders>
            <w:hideMark/>
          </w:tcPr>
          <w:p w14:paraId="08F329A2"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390E445"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189222A8" w14:textId="5B141F6C" w:rsidR="00FC3C54" w:rsidRPr="00FC3C54" w:rsidRDefault="003233DF" w:rsidP="002665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ietvertas normas, lai nodrošinātu </w:t>
            </w:r>
            <w:r w:rsidR="00BD00F1" w:rsidRPr="00BD00F1">
              <w:rPr>
                <w:rFonts w:ascii="Times New Roman" w:eastAsia="Times New Roman" w:hAnsi="Times New Roman" w:cs="Times New Roman"/>
                <w:sz w:val="24"/>
                <w:szCs w:val="24"/>
                <w:lang w:eastAsia="lv-LV"/>
              </w:rPr>
              <w:t xml:space="preserve">Eiropas Parlamenta un Padomes 2015. gada 20. maija </w:t>
            </w:r>
            <w:r w:rsidR="001C27AA">
              <w:rPr>
                <w:rFonts w:ascii="Times New Roman" w:eastAsia="Times New Roman" w:hAnsi="Times New Roman" w:cs="Times New Roman"/>
                <w:sz w:val="24"/>
                <w:szCs w:val="24"/>
                <w:lang w:eastAsia="lv-LV"/>
              </w:rPr>
              <w:t>R</w:t>
            </w:r>
            <w:r w:rsidR="00BD00F1" w:rsidRPr="00BD00F1">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BD00F1" w:rsidRPr="00BD00F1">
              <w:rPr>
                <w:rFonts w:ascii="Times New Roman" w:eastAsia="Times New Roman" w:hAnsi="Times New Roman" w:cs="Times New Roman"/>
                <w:sz w:val="24"/>
                <w:szCs w:val="24"/>
                <w:lang w:eastAsia="lv-LV"/>
              </w:rPr>
              <w:t xml:space="preserve"> (ES) Nr. 2015/848 par maksātnespējas procedūrām (pārstrādātā redakcija)</w:t>
            </w:r>
            <w:r>
              <w:rPr>
                <w:rFonts w:ascii="Times New Roman" w:eastAsia="Times New Roman" w:hAnsi="Times New Roman" w:cs="Times New Roman"/>
                <w:sz w:val="24"/>
                <w:szCs w:val="24"/>
                <w:lang w:eastAsia="lv-LV"/>
              </w:rPr>
              <w:t xml:space="preserve"> sekmīgu piemērošanu</w:t>
            </w:r>
            <w:r w:rsidR="00BD00F1">
              <w:rPr>
                <w:rFonts w:ascii="Times New Roman" w:eastAsia="Times New Roman" w:hAnsi="Times New Roman" w:cs="Times New Roman"/>
                <w:sz w:val="24"/>
                <w:szCs w:val="24"/>
                <w:lang w:eastAsia="lv-LV"/>
              </w:rPr>
              <w:t>.</w:t>
            </w:r>
          </w:p>
        </w:tc>
      </w:tr>
      <w:tr w:rsidR="00FC3C54" w:rsidRPr="00FC3C54" w14:paraId="5C6AA1A4" w14:textId="77777777" w:rsidTr="00BF2FFB">
        <w:tc>
          <w:tcPr>
            <w:tcW w:w="250" w:type="pct"/>
            <w:tcBorders>
              <w:top w:val="outset" w:sz="6" w:space="0" w:color="414142"/>
              <w:left w:val="outset" w:sz="6" w:space="0" w:color="414142"/>
              <w:bottom w:val="outset" w:sz="6" w:space="0" w:color="414142"/>
              <w:right w:val="outset" w:sz="6" w:space="0" w:color="414142"/>
            </w:tcBorders>
            <w:hideMark/>
          </w:tcPr>
          <w:p w14:paraId="2263E5A0"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6D6CF4A1"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07F1A599" w14:textId="7621EDEF" w:rsidR="00FC3C54" w:rsidRPr="00FC3C54" w:rsidRDefault="00BD00F1" w:rsidP="00FC3C5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FC3C54" w:rsidRPr="00FC3C54" w14:paraId="1B05E59A" w14:textId="77777777" w:rsidTr="00BF2FFB">
        <w:tc>
          <w:tcPr>
            <w:tcW w:w="250" w:type="pct"/>
            <w:tcBorders>
              <w:top w:val="outset" w:sz="6" w:space="0" w:color="414142"/>
              <w:left w:val="outset" w:sz="6" w:space="0" w:color="414142"/>
              <w:bottom w:val="outset" w:sz="6" w:space="0" w:color="414142"/>
              <w:right w:val="outset" w:sz="6" w:space="0" w:color="414142"/>
            </w:tcBorders>
            <w:hideMark/>
          </w:tcPr>
          <w:p w14:paraId="01C8003A"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70BD56E8"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828A9C7" w14:textId="00C30776" w:rsidR="00FC3C54" w:rsidRPr="00FC3C54" w:rsidRDefault="00BD00F1" w:rsidP="00FC3C5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C460229" w14:textId="77777777" w:rsidR="00FC3C54" w:rsidRPr="00FC3C54" w:rsidRDefault="00FC3C54" w:rsidP="00FC3C5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0"/>
        <w:gridCol w:w="2009"/>
        <w:gridCol w:w="2557"/>
        <w:gridCol w:w="2465"/>
      </w:tblGrid>
      <w:tr w:rsidR="00FC3C54" w:rsidRPr="00FC3C54" w14:paraId="55821B75" w14:textId="77777777" w:rsidTr="00BF2FFB">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4CDC818" w14:textId="77777777" w:rsidR="00FC3C54" w:rsidRPr="00FC3C54" w:rsidRDefault="00FC3C54" w:rsidP="00FC3C54">
            <w:pPr>
              <w:spacing w:after="0" w:line="240" w:lineRule="auto"/>
              <w:ind w:firstLine="300"/>
              <w:jc w:val="center"/>
              <w:rPr>
                <w:rFonts w:ascii="Times New Roman" w:eastAsia="Times New Roman" w:hAnsi="Times New Roman" w:cs="Times New Roman"/>
                <w:b/>
                <w:bCs/>
                <w:sz w:val="24"/>
                <w:szCs w:val="24"/>
                <w:lang w:eastAsia="lv-LV"/>
              </w:rPr>
            </w:pPr>
            <w:r w:rsidRPr="00FC3C54">
              <w:rPr>
                <w:rFonts w:ascii="Times New Roman" w:eastAsia="Times New Roman" w:hAnsi="Times New Roman" w:cs="Times New Roman"/>
                <w:b/>
                <w:bCs/>
                <w:sz w:val="24"/>
                <w:szCs w:val="24"/>
                <w:lang w:eastAsia="lv-LV"/>
              </w:rPr>
              <w:t>1. tabula</w:t>
            </w:r>
            <w:r w:rsidRPr="00FC3C54">
              <w:rPr>
                <w:rFonts w:ascii="Times New Roman" w:eastAsia="Times New Roman" w:hAnsi="Times New Roman" w:cs="Times New Roman"/>
                <w:b/>
                <w:bCs/>
                <w:sz w:val="24"/>
                <w:szCs w:val="24"/>
                <w:lang w:eastAsia="lv-LV"/>
              </w:rPr>
              <w:br/>
              <w:t>Tiesību akta projekta atbilstība ES tiesību aktiem</w:t>
            </w:r>
          </w:p>
        </w:tc>
      </w:tr>
      <w:tr w:rsidR="00FC3C54" w:rsidRPr="00FC3C54" w14:paraId="65E83AE6" w14:textId="77777777" w:rsidTr="00BF2FFB">
        <w:tc>
          <w:tcPr>
            <w:tcW w:w="1150" w:type="pct"/>
            <w:tcBorders>
              <w:top w:val="outset" w:sz="6" w:space="0" w:color="414142"/>
              <w:left w:val="outset" w:sz="6" w:space="0" w:color="414142"/>
              <w:bottom w:val="outset" w:sz="6" w:space="0" w:color="414142"/>
              <w:right w:val="outset" w:sz="6" w:space="0" w:color="414142"/>
            </w:tcBorders>
            <w:hideMark/>
          </w:tcPr>
          <w:p w14:paraId="7B643011"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4D94F0D7" w14:textId="557C1611" w:rsidR="00FC3C54" w:rsidRPr="00FC3C54" w:rsidRDefault="003233DF" w:rsidP="00FC3C54">
            <w:pPr>
              <w:spacing w:after="0" w:line="240" w:lineRule="auto"/>
              <w:rPr>
                <w:rFonts w:ascii="Times New Roman" w:eastAsia="Times New Roman" w:hAnsi="Times New Roman" w:cs="Times New Roman"/>
                <w:sz w:val="24"/>
                <w:szCs w:val="24"/>
                <w:lang w:eastAsia="lv-LV"/>
              </w:rPr>
            </w:pPr>
            <w:r w:rsidRPr="003233DF">
              <w:rPr>
                <w:rFonts w:ascii="Times New Roman" w:eastAsia="Times New Roman" w:hAnsi="Times New Roman" w:cs="Times New Roman"/>
                <w:sz w:val="24"/>
                <w:szCs w:val="24"/>
                <w:lang w:eastAsia="lv-LV"/>
              </w:rPr>
              <w:t xml:space="preserve">Eiropas Parlamenta un Padomes 2015. gada 20. maija </w:t>
            </w:r>
            <w:r w:rsidR="001C27AA">
              <w:rPr>
                <w:rFonts w:ascii="Times New Roman" w:eastAsia="Times New Roman" w:hAnsi="Times New Roman" w:cs="Times New Roman"/>
                <w:sz w:val="24"/>
                <w:szCs w:val="24"/>
                <w:lang w:eastAsia="lv-LV"/>
              </w:rPr>
              <w:t>R</w:t>
            </w:r>
            <w:r w:rsidRPr="003233DF">
              <w:rPr>
                <w:rFonts w:ascii="Times New Roman" w:eastAsia="Times New Roman" w:hAnsi="Times New Roman" w:cs="Times New Roman"/>
                <w:sz w:val="24"/>
                <w:szCs w:val="24"/>
                <w:lang w:eastAsia="lv-LV"/>
              </w:rPr>
              <w:t>egula (ES) Nr. 2015/848 par maksātnespējas procedūrām (pārstrādātā redakcija)</w:t>
            </w:r>
            <w:r w:rsidR="00DF5219">
              <w:rPr>
                <w:rFonts w:ascii="Times New Roman" w:eastAsia="Times New Roman" w:hAnsi="Times New Roman" w:cs="Times New Roman"/>
                <w:sz w:val="24"/>
                <w:szCs w:val="24"/>
                <w:lang w:eastAsia="lv-LV"/>
              </w:rPr>
              <w:t xml:space="preserve"> (turpmāk – Regula).</w:t>
            </w:r>
          </w:p>
        </w:tc>
      </w:tr>
      <w:tr w:rsidR="00FC3C54" w:rsidRPr="00FC3C54" w14:paraId="74BE28D6" w14:textId="77777777" w:rsidTr="002665A8">
        <w:tc>
          <w:tcPr>
            <w:tcW w:w="1150" w:type="pct"/>
            <w:tcBorders>
              <w:top w:val="outset" w:sz="6" w:space="0" w:color="414142"/>
              <w:left w:val="outset" w:sz="6" w:space="0" w:color="414142"/>
              <w:bottom w:val="outset" w:sz="6" w:space="0" w:color="414142"/>
              <w:right w:val="outset" w:sz="6" w:space="0" w:color="414142"/>
            </w:tcBorders>
            <w:vAlign w:val="center"/>
            <w:hideMark/>
          </w:tcPr>
          <w:p w14:paraId="19287EBF" w14:textId="77777777" w:rsidR="00FC3C54" w:rsidRPr="00FC3C54" w:rsidRDefault="00FC3C54" w:rsidP="00FC3C54">
            <w:pPr>
              <w:spacing w:after="0" w:line="240" w:lineRule="auto"/>
              <w:ind w:firstLine="300"/>
              <w:jc w:val="center"/>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1931C29" w14:textId="77777777" w:rsidR="00FC3C54" w:rsidRPr="00FC3C54" w:rsidRDefault="00FC3C54" w:rsidP="00FC3C54">
            <w:pPr>
              <w:spacing w:after="0" w:line="240" w:lineRule="auto"/>
              <w:ind w:firstLine="300"/>
              <w:jc w:val="center"/>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43AC2244" w14:textId="77777777" w:rsidR="00FC3C54" w:rsidRPr="00FC3C54" w:rsidRDefault="00FC3C54" w:rsidP="00FC3C54">
            <w:pPr>
              <w:spacing w:after="0" w:line="240" w:lineRule="auto"/>
              <w:ind w:firstLine="300"/>
              <w:jc w:val="center"/>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DAB6E95" w14:textId="77777777" w:rsidR="00FC3C54" w:rsidRPr="00FC3C54" w:rsidRDefault="00FC3C54" w:rsidP="00FC3C54">
            <w:pPr>
              <w:spacing w:after="0" w:line="240" w:lineRule="auto"/>
              <w:ind w:firstLine="300"/>
              <w:jc w:val="center"/>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D</w:t>
            </w:r>
          </w:p>
        </w:tc>
      </w:tr>
      <w:tr w:rsidR="00FC3C54" w:rsidRPr="00FC3C54" w14:paraId="37D7BC98" w14:textId="77777777" w:rsidTr="002665A8">
        <w:tc>
          <w:tcPr>
            <w:tcW w:w="1150" w:type="pct"/>
            <w:tcBorders>
              <w:top w:val="outset" w:sz="6" w:space="0" w:color="414142"/>
              <w:left w:val="outset" w:sz="6" w:space="0" w:color="414142"/>
              <w:bottom w:val="outset" w:sz="6" w:space="0" w:color="414142"/>
              <w:right w:val="outset" w:sz="6" w:space="0" w:color="414142"/>
            </w:tcBorders>
            <w:hideMark/>
          </w:tcPr>
          <w:p w14:paraId="3E318A5C"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14:paraId="0D95C590"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 xml:space="preserve">Projekta vienība, kas pārņem vai ievieš katru šīs tabulas A ailē minēto ES tiesību akta vienību, vai tiesību akts, kur attiecīgā ES tiesību akta vienība </w:t>
            </w:r>
            <w:r w:rsidRPr="00FC3C54">
              <w:rPr>
                <w:rFonts w:ascii="Times New Roman" w:eastAsia="Times New Roman" w:hAnsi="Times New Roman" w:cs="Times New Roman"/>
                <w:sz w:val="24"/>
                <w:szCs w:val="24"/>
                <w:lang w:eastAsia="lv-LV"/>
              </w:rPr>
              <w:lastRenderedPageBreak/>
              <w:t>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45C8EC7F"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lastRenderedPageBreak/>
              <w:t xml:space="preserve">Informācija par to, vai šīs tabulas A ailē minētās ES tiesību akta vienības tiek pārņemtas vai ieviestas pilnībā vai daļēji. </w:t>
            </w:r>
          </w:p>
          <w:p w14:paraId="48258D0B"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 xml:space="preserve">Ja attiecīgā ES tiesību akta vienība tiek pārņemta vai ieviesta daļēji, sniedz attiecīgu </w:t>
            </w:r>
            <w:r w:rsidRPr="00FC3C54">
              <w:rPr>
                <w:rFonts w:ascii="Times New Roman" w:eastAsia="Times New Roman" w:hAnsi="Times New Roman" w:cs="Times New Roman"/>
                <w:sz w:val="24"/>
                <w:szCs w:val="24"/>
                <w:lang w:eastAsia="lv-LV"/>
              </w:rPr>
              <w:lastRenderedPageBreak/>
              <w:t>skaidrojumu, kā arī precīzi norāda, kad un kādā veidā ES tiesību akta vienība tiks pārņemta vai ieviesta pilnībā.</w:t>
            </w:r>
          </w:p>
          <w:p w14:paraId="63A0AEB8"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265BACE0"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2603D3A9"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 xml:space="preserve">Ja projekts satur </w:t>
            </w:r>
            <w:r w:rsidRPr="00FC3C54">
              <w:rPr>
                <w:rFonts w:ascii="Times New Roman" w:eastAsia="Times New Roman" w:hAnsi="Times New Roman" w:cs="Times New Roman"/>
                <w:sz w:val="24"/>
                <w:szCs w:val="24"/>
                <w:lang w:eastAsia="lv-LV"/>
              </w:rPr>
              <w:lastRenderedPageBreak/>
              <w:t>stingrākas prasības nekā attiecīgais ES tiesību akts, norāda pamatojumu un samērīgumu.</w:t>
            </w:r>
          </w:p>
          <w:p w14:paraId="7BDBBC67"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B1897" w:rsidRPr="00FC3C54" w14:paraId="2858A5D2" w14:textId="77777777" w:rsidTr="00BD00F1">
        <w:tc>
          <w:tcPr>
            <w:tcW w:w="1150" w:type="pct"/>
            <w:tcBorders>
              <w:top w:val="outset" w:sz="6" w:space="0" w:color="414142"/>
              <w:left w:val="outset" w:sz="6" w:space="0" w:color="414142"/>
              <w:bottom w:val="outset" w:sz="6" w:space="0" w:color="414142"/>
              <w:right w:val="outset" w:sz="6" w:space="0" w:color="414142"/>
            </w:tcBorders>
          </w:tcPr>
          <w:p w14:paraId="1DBB64B7" w14:textId="5FCAE466" w:rsidR="00DB1897" w:rsidRDefault="0095460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Regulas 2. panta 5. punkts.</w:t>
            </w:r>
          </w:p>
        </w:tc>
        <w:tc>
          <w:tcPr>
            <w:tcW w:w="1100" w:type="pct"/>
            <w:tcBorders>
              <w:top w:val="outset" w:sz="6" w:space="0" w:color="414142"/>
              <w:left w:val="outset" w:sz="6" w:space="0" w:color="414142"/>
              <w:bottom w:val="outset" w:sz="6" w:space="0" w:color="414142"/>
              <w:right w:val="outset" w:sz="6" w:space="0" w:color="414142"/>
            </w:tcBorders>
          </w:tcPr>
          <w:p w14:paraId="3913851E" w14:textId="277DD929" w:rsidR="00DB1897" w:rsidRDefault="0095460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F37F06">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sz w:val="24"/>
                <w:szCs w:val="24"/>
                <w:lang w:eastAsia="lv-LV"/>
              </w:rPr>
              <w:t>Grozījumi Maksātnespējas likumā</w:t>
            </w:r>
            <w:r w:rsidR="00F37F06">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sz w:val="24"/>
                <w:szCs w:val="24"/>
                <w:lang w:eastAsia="lv-LV"/>
              </w:rPr>
              <w:t xml:space="preserve"> 3. un 12. pants.</w:t>
            </w:r>
          </w:p>
        </w:tc>
        <w:tc>
          <w:tcPr>
            <w:tcW w:w="1400" w:type="pct"/>
            <w:tcBorders>
              <w:top w:val="outset" w:sz="6" w:space="0" w:color="414142"/>
              <w:left w:val="outset" w:sz="6" w:space="0" w:color="414142"/>
              <w:bottom w:val="outset" w:sz="6" w:space="0" w:color="414142"/>
              <w:right w:val="outset" w:sz="6" w:space="0" w:color="414142"/>
            </w:tcBorders>
          </w:tcPr>
          <w:p w14:paraId="5BC7329C" w14:textId="77777777" w:rsidR="00DB1897" w:rsidRDefault="00F672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 tiesību normas ieviestas daļēji.</w:t>
            </w:r>
          </w:p>
          <w:p w14:paraId="3CE69210" w14:textId="4B88752C" w:rsidR="00F67212" w:rsidRDefault="00F672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 pilnībā tiks ieviesta, veicot grozījumus Civilprocesa likumā</w:t>
            </w:r>
            <w:r w:rsidR="00C745A1">
              <w:rPr>
                <w:rFonts w:ascii="Times New Roman" w:eastAsia="Times New Roman" w:hAnsi="Times New Roman" w:cs="Times New Roman"/>
                <w:sz w:val="24"/>
                <w:szCs w:val="24"/>
                <w:lang w:eastAsia="lv-LV"/>
              </w:rPr>
              <w:t xml:space="preserve"> un likumā </w:t>
            </w:r>
            <w:r w:rsidR="00F37F06">
              <w:rPr>
                <w:rFonts w:ascii="Times New Roman" w:eastAsia="Times New Roman" w:hAnsi="Times New Roman" w:cs="Times New Roman"/>
                <w:bCs/>
                <w:color w:val="000000" w:themeColor="text1"/>
                <w:sz w:val="24"/>
                <w:szCs w:val="24"/>
                <w:lang w:eastAsia="lv-LV"/>
              </w:rPr>
              <w:t>"</w:t>
            </w:r>
            <w:r w:rsidR="00C745A1">
              <w:rPr>
                <w:rFonts w:ascii="Times New Roman" w:eastAsia="Times New Roman" w:hAnsi="Times New Roman" w:cs="Times New Roman"/>
                <w:sz w:val="24"/>
                <w:szCs w:val="24"/>
                <w:lang w:eastAsia="lv-LV"/>
              </w:rPr>
              <w:t>Par darbinieku aizsardzību darba devēja maksātnespējas gadījumā</w:t>
            </w:r>
            <w:r w:rsidR="00F37F06">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sz w:val="24"/>
                <w:szCs w:val="24"/>
                <w:lang w:eastAsia="lv-LV"/>
              </w:rPr>
              <w:t>, kuru izstrādi nodrošina Tieslietu ministrija.</w:t>
            </w:r>
          </w:p>
        </w:tc>
        <w:tc>
          <w:tcPr>
            <w:tcW w:w="1350" w:type="pct"/>
            <w:tcBorders>
              <w:top w:val="outset" w:sz="6" w:space="0" w:color="414142"/>
              <w:left w:val="outset" w:sz="6" w:space="0" w:color="414142"/>
              <w:bottom w:val="outset" w:sz="6" w:space="0" w:color="414142"/>
              <w:right w:val="outset" w:sz="6" w:space="0" w:color="414142"/>
            </w:tcBorders>
          </w:tcPr>
          <w:p w14:paraId="747E3232" w14:textId="2D8D695A" w:rsidR="00DB1897" w:rsidRDefault="00F672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DB1897" w:rsidRPr="00FC3C54" w14:paraId="4B18F814" w14:textId="77777777" w:rsidTr="00BD00F1">
        <w:tc>
          <w:tcPr>
            <w:tcW w:w="1150" w:type="pct"/>
            <w:tcBorders>
              <w:top w:val="outset" w:sz="6" w:space="0" w:color="414142"/>
              <w:left w:val="outset" w:sz="6" w:space="0" w:color="414142"/>
              <w:bottom w:val="outset" w:sz="6" w:space="0" w:color="414142"/>
              <w:right w:val="outset" w:sz="6" w:space="0" w:color="414142"/>
            </w:tcBorders>
          </w:tcPr>
          <w:p w14:paraId="0A04D095" w14:textId="17CE9F73" w:rsidR="00DB1897" w:rsidRDefault="002A04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 24. pants.</w:t>
            </w:r>
          </w:p>
        </w:tc>
        <w:tc>
          <w:tcPr>
            <w:tcW w:w="1100" w:type="pct"/>
            <w:tcBorders>
              <w:top w:val="outset" w:sz="6" w:space="0" w:color="414142"/>
              <w:left w:val="outset" w:sz="6" w:space="0" w:color="414142"/>
              <w:bottom w:val="outset" w:sz="6" w:space="0" w:color="414142"/>
              <w:right w:val="outset" w:sz="6" w:space="0" w:color="414142"/>
            </w:tcBorders>
          </w:tcPr>
          <w:p w14:paraId="75C29714" w14:textId="18321576" w:rsidR="00DB1897" w:rsidRDefault="002A04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F37F06">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sz w:val="24"/>
                <w:szCs w:val="24"/>
                <w:lang w:eastAsia="lv-LV"/>
              </w:rPr>
              <w:t>Grozījumi Maksātnespējas likumā</w:t>
            </w:r>
            <w:r w:rsidR="00F37F06">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sz w:val="24"/>
                <w:szCs w:val="24"/>
                <w:lang w:eastAsia="lv-LV"/>
              </w:rPr>
              <w:t xml:space="preserve"> 10., 13., 16. un 21. pants.</w:t>
            </w:r>
          </w:p>
        </w:tc>
        <w:tc>
          <w:tcPr>
            <w:tcW w:w="1400" w:type="pct"/>
            <w:tcBorders>
              <w:top w:val="outset" w:sz="6" w:space="0" w:color="414142"/>
              <w:left w:val="outset" w:sz="6" w:space="0" w:color="414142"/>
              <w:bottom w:val="outset" w:sz="6" w:space="0" w:color="414142"/>
              <w:right w:val="outset" w:sz="6" w:space="0" w:color="414142"/>
            </w:tcBorders>
          </w:tcPr>
          <w:p w14:paraId="452AC7E3" w14:textId="1D58126D" w:rsidR="00DB1897" w:rsidRDefault="002A0426" w:rsidP="00A5328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Regulas tiesību normas ieviestas </w:t>
            </w:r>
            <w:r w:rsidR="00A53287">
              <w:rPr>
                <w:rFonts w:ascii="Times New Roman" w:eastAsia="Times New Roman" w:hAnsi="Times New Roman" w:cs="Times New Roman"/>
                <w:sz w:val="24"/>
                <w:szCs w:val="24"/>
                <w:lang w:eastAsia="lv-LV"/>
              </w:rPr>
              <w:t>pilnībā.</w:t>
            </w:r>
          </w:p>
        </w:tc>
        <w:tc>
          <w:tcPr>
            <w:tcW w:w="1350" w:type="pct"/>
            <w:tcBorders>
              <w:top w:val="outset" w:sz="6" w:space="0" w:color="414142"/>
              <w:left w:val="outset" w:sz="6" w:space="0" w:color="414142"/>
              <w:bottom w:val="outset" w:sz="6" w:space="0" w:color="414142"/>
              <w:right w:val="outset" w:sz="6" w:space="0" w:color="414142"/>
            </w:tcBorders>
          </w:tcPr>
          <w:p w14:paraId="15431F6B" w14:textId="3FB82138" w:rsidR="00DB1897" w:rsidRDefault="002A04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DB1897" w:rsidRPr="00FC3C54" w14:paraId="58CD1B1C" w14:textId="77777777" w:rsidTr="00BD00F1">
        <w:tc>
          <w:tcPr>
            <w:tcW w:w="1150" w:type="pct"/>
            <w:tcBorders>
              <w:top w:val="outset" w:sz="6" w:space="0" w:color="414142"/>
              <w:left w:val="outset" w:sz="6" w:space="0" w:color="414142"/>
              <w:bottom w:val="outset" w:sz="6" w:space="0" w:color="414142"/>
              <w:right w:val="outset" w:sz="6" w:space="0" w:color="414142"/>
            </w:tcBorders>
          </w:tcPr>
          <w:p w14:paraId="77C45C79" w14:textId="7E07075D" w:rsidR="00DB1897" w:rsidRDefault="002A04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 91. pants.</w:t>
            </w:r>
          </w:p>
        </w:tc>
        <w:tc>
          <w:tcPr>
            <w:tcW w:w="1100" w:type="pct"/>
            <w:tcBorders>
              <w:top w:val="outset" w:sz="6" w:space="0" w:color="414142"/>
              <w:left w:val="outset" w:sz="6" w:space="0" w:color="414142"/>
              <w:bottom w:val="outset" w:sz="6" w:space="0" w:color="414142"/>
              <w:right w:val="outset" w:sz="6" w:space="0" w:color="414142"/>
            </w:tcBorders>
          </w:tcPr>
          <w:p w14:paraId="431C7908" w14:textId="0EFE6904" w:rsidR="00DB1897" w:rsidRDefault="00B14D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F37F06">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sz w:val="24"/>
                <w:szCs w:val="24"/>
                <w:lang w:eastAsia="lv-LV"/>
              </w:rPr>
              <w:t>Grozījumi Maksātnespējas likumā</w:t>
            </w:r>
            <w:r w:rsidR="00F37F06">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sz w:val="24"/>
                <w:szCs w:val="24"/>
                <w:lang w:eastAsia="lv-LV"/>
              </w:rPr>
              <w:t xml:space="preserve"> 1., 3., 13., 14. un 16. pants.</w:t>
            </w:r>
          </w:p>
        </w:tc>
        <w:tc>
          <w:tcPr>
            <w:tcW w:w="1400" w:type="pct"/>
            <w:tcBorders>
              <w:top w:val="outset" w:sz="6" w:space="0" w:color="414142"/>
              <w:left w:val="outset" w:sz="6" w:space="0" w:color="414142"/>
              <w:bottom w:val="outset" w:sz="6" w:space="0" w:color="414142"/>
              <w:right w:val="outset" w:sz="6" w:space="0" w:color="414142"/>
            </w:tcBorders>
          </w:tcPr>
          <w:p w14:paraId="16CCF605" w14:textId="77777777" w:rsidR="002A0426" w:rsidRDefault="002A0426" w:rsidP="002A04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 tiesību normas ieviestas daļēji.</w:t>
            </w:r>
          </w:p>
          <w:p w14:paraId="365BF11D" w14:textId="3E302537" w:rsidR="00DB1897" w:rsidRDefault="002A0426" w:rsidP="002A04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 pilnībā tiks ieviesta, veicot grozījumus Civilprocesa likumā</w:t>
            </w:r>
            <w:r w:rsidR="00332303">
              <w:rPr>
                <w:rFonts w:ascii="Times New Roman" w:eastAsia="Times New Roman" w:hAnsi="Times New Roman" w:cs="Times New Roman"/>
                <w:sz w:val="24"/>
                <w:szCs w:val="24"/>
                <w:lang w:eastAsia="lv-LV"/>
              </w:rPr>
              <w:t xml:space="preserve"> un likumā </w:t>
            </w:r>
            <w:r w:rsidR="00F37F06">
              <w:rPr>
                <w:rFonts w:ascii="Times New Roman" w:eastAsia="Times New Roman" w:hAnsi="Times New Roman" w:cs="Times New Roman"/>
                <w:bCs/>
                <w:color w:val="000000" w:themeColor="text1"/>
                <w:sz w:val="24"/>
                <w:szCs w:val="24"/>
                <w:lang w:eastAsia="lv-LV"/>
              </w:rPr>
              <w:t>"</w:t>
            </w:r>
            <w:r w:rsidR="00332303">
              <w:rPr>
                <w:rFonts w:ascii="Times New Roman" w:eastAsia="Times New Roman" w:hAnsi="Times New Roman" w:cs="Times New Roman"/>
                <w:sz w:val="24"/>
                <w:szCs w:val="24"/>
                <w:lang w:eastAsia="lv-LV"/>
              </w:rPr>
              <w:t>Par darbinieku aizsardzību darba devēja maksātnespējas gadījumā</w:t>
            </w:r>
            <w:r w:rsidR="00F37F06">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sz w:val="24"/>
                <w:szCs w:val="24"/>
                <w:lang w:eastAsia="lv-LV"/>
              </w:rPr>
              <w:t>, kuru izstrādi nodrošina Tieslietu ministrija.</w:t>
            </w:r>
          </w:p>
        </w:tc>
        <w:tc>
          <w:tcPr>
            <w:tcW w:w="1350" w:type="pct"/>
            <w:tcBorders>
              <w:top w:val="outset" w:sz="6" w:space="0" w:color="414142"/>
              <w:left w:val="outset" w:sz="6" w:space="0" w:color="414142"/>
              <w:bottom w:val="outset" w:sz="6" w:space="0" w:color="414142"/>
              <w:right w:val="outset" w:sz="6" w:space="0" w:color="414142"/>
            </w:tcBorders>
          </w:tcPr>
          <w:p w14:paraId="003DAAC6" w14:textId="15DF2E4C" w:rsidR="00DB1897" w:rsidRDefault="002A04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95460A" w:rsidRPr="00FC3C54" w14:paraId="4140F5E7" w14:textId="77777777" w:rsidTr="00BD00F1">
        <w:tc>
          <w:tcPr>
            <w:tcW w:w="1150" w:type="pct"/>
            <w:tcBorders>
              <w:top w:val="outset" w:sz="6" w:space="0" w:color="414142"/>
              <w:left w:val="outset" w:sz="6" w:space="0" w:color="414142"/>
              <w:bottom w:val="outset" w:sz="6" w:space="0" w:color="414142"/>
              <w:right w:val="outset" w:sz="6" w:space="0" w:color="414142"/>
            </w:tcBorders>
          </w:tcPr>
          <w:p w14:paraId="77A0736E" w14:textId="51E02EA0" w:rsidR="0095460A" w:rsidRDefault="00B14D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 92. pants.</w:t>
            </w:r>
          </w:p>
        </w:tc>
        <w:tc>
          <w:tcPr>
            <w:tcW w:w="1100" w:type="pct"/>
            <w:tcBorders>
              <w:top w:val="outset" w:sz="6" w:space="0" w:color="414142"/>
              <w:left w:val="outset" w:sz="6" w:space="0" w:color="414142"/>
              <w:bottom w:val="outset" w:sz="6" w:space="0" w:color="414142"/>
              <w:right w:val="outset" w:sz="6" w:space="0" w:color="414142"/>
            </w:tcBorders>
          </w:tcPr>
          <w:p w14:paraId="61793D78" w14:textId="158BCD6A" w:rsidR="0095460A" w:rsidRDefault="00B14D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F37F06">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sz w:val="24"/>
                <w:szCs w:val="24"/>
                <w:lang w:eastAsia="lv-LV"/>
              </w:rPr>
              <w:t>Grozījumi Maksātnespējas likumā</w:t>
            </w:r>
            <w:r w:rsidR="00F37F06">
              <w:rPr>
                <w:rFonts w:ascii="Times New Roman" w:eastAsia="Times New Roman" w:hAnsi="Times New Roman" w:cs="Times New Roman"/>
                <w:bCs/>
                <w:color w:val="000000" w:themeColor="text1"/>
                <w:sz w:val="24"/>
                <w:szCs w:val="24"/>
                <w:lang w:eastAsia="lv-LV"/>
              </w:rPr>
              <w:t>"</w:t>
            </w:r>
            <w:r>
              <w:rPr>
                <w:rFonts w:ascii="Times New Roman" w:eastAsia="Times New Roman" w:hAnsi="Times New Roman" w:cs="Times New Roman"/>
                <w:sz w:val="24"/>
                <w:szCs w:val="24"/>
                <w:lang w:eastAsia="lv-LV"/>
              </w:rPr>
              <w:t xml:space="preserve"> 28. pants.</w:t>
            </w:r>
          </w:p>
        </w:tc>
        <w:tc>
          <w:tcPr>
            <w:tcW w:w="1400" w:type="pct"/>
            <w:tcBorders>
              <w:top w:val="outset" w:sz="6" w:space="0" w:color="414142"/>
              <w:left w:val="outset" w:sz="6" w:space="0" w:color="414142"/>
              <w:bottom w:val="outset" w:sz="6" w:space="0" w:color="414142"/>
              <w:right w:val="outset" w:sz="6" w:space="0" w:color="414142"/>
            </w:tcBorders>
          </w:tcPr>
          <w:p w14:paraId="0337FDD6" w14:textId="57DD27E0" w:rsidR="0095460A" w:rsidRDefault="002A0426" w:rsidP="00A5328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Regulas tiesību normas ieviestas </w:t>
            </w:r>
            <w:r w:rsidR="00A53287">
              <w:rPr>
                <w:rFonts w:ascii="Times New Roman" w:eastAsia="Times New Roman" w:hAnsi="Times New Roman" w:cs="Times New Roman"/>
                <w:sz w:val="24"/>
                <w:szCs w:val="24"/>
                <w:lang w:eastAsia="lv-LV"/>
              </w:rPr>
              <w:t>pilnībā.</w:t>
            </w:r>
          </w:p>
        </w:tc>
        <w:tc>
          <w:tcPr>
            <w:tcW w:w="1350" w:type="pct"/>
            <w:tcBorders>
              <w:top w:val="outset" w:sz="6" w:space="0" w:color="414142"/>
              <w:left w:val="outset" w:sz="6" w:space="0" w:color="414142"/>
              <w:bottom w:val="outset" w:sz="6" w:space="0" w:color="414142"/>
              <w:right w:val="outset" w:sz="6" w:space="0" w:color="414142"/>
            </w:tcBorders>
          </w:tcPr>
          <w:p w14:paraId="1611BB09" w14:textId="2DFFE1FE" w:rsidR="0095460A" w:rsidRDefault="002A04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FC3C54" w:rsidRPr="00FC3C54" w14:paraId="183AB122" w14:textId="77777777" w:rsidTr="00BF2FFB">
        <w:tc>
          <w:tcPr>
            <w:tcW w:w="1150" w:type="pct"/>
            <w:tcBorders>
              <w:top w:val="outset" w:sz="6" w:space="0" w:color="414142"/>
              <w:left w:val="outset" w:sz="6" w:space="0" w:color="414142"/>
              <w:bottom w:val="outset" w:sz="6" w:space="0" w:color="414142"/>
              <w:right w:val="outset" w:sz="6" w:space="0" w:color="414142"/>
            </w:tcBorders>
            <w:hideMark/>
          </w:tcPr>
          <w:p w14:paraId="4B0496CB"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 xml:space="preserve">Kā ir izmantota ES </w:t>
            </w:r>
            <w:r w:rsidRPr="00FC3C54">
              <w:rPr>
                <w:rFonts w:ascii="Times New Roman" w:eastAsia="Times New Roman" w:hAnsi="Times New Roman" w:cs="Times New Roman"/>
                <w:sz w:val="24"/>
                <w:szCs w:val="24"/>
                <w:lang w:eastAsia="lv-LV"/>
              </w:rPr>
              <w:lastRenderedPageBreak/>
              <w:t>tiesību aktā paredzētā rīcības brīvība dalībvalstij pārņemt vai ieviest noteiktas ES tiesību akta normas?</w:t>
            </w:r>
            <w:r w:rsidRPr="00FC3C54">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0A19BB7F" w14:textId="154E4B63" w:rsidR="00FC3C54" w:rsidRPr="00FC3C54" w:rsidRDefault="00DF5219" w:rsidP="002665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Regulas 24. panta 4. punktā noteiktā rīcības brīvība netiek izmantota, </w:t>
            </w:r>
            <w:r>
              <w:rPr>
                <w:rFonts w:ascii="Times New Roman" w:eastAsia="Times New Roman" w:hAnsi="Times New Roman" w:cs="Times New Roman"/>
                <w:sz w:val="24"/>
                <w:szCs w:val="24"/>
                <w:lang w:eastAsia="lv-LV"/>
              </w:rPr>
              <w:lastRenderedPageBreak/>
              <w:t>attiecīgi Regulas 24. panta 1. punktā noteikto pienākumu piemērojot arī attiecībā uz fiziskām personām, kuras neveic neatkarīgu darījumdarbību vai profesionālo darbību.</w:t>
            </w:r>
          </w:p>
        </w:tc>
      </w:tr>
      <w:tr w:rsidR="00FC3C54" w:rsidRPr="00FC3C54" w14:paraId="3EF37A4F" w14:textId="77777777" w:rsidTr="00BF2FFB">
        <w:tc>
          <w:tcPr>
            <w:tcW w:w="1150" w:type="pct"/>
            <w:tcBorders>
              <w:top w:val="outset" w:sz="6" w:space="0" w:color="414142"/>
              <w:left w:val="outset" w:sz="6" w:space="0" w:color="414142"/>
              <w:bottom w:val="outset" w:sz="6" w:space="0" w:color="414142"/>
              <w:right w:val="outset" w:sz="6" w:space="0" w:color="414142"/>
            </w:tcBorders>
            <w:hideMark/>
          </w:tcPr>
          <w:p w14:paraId="1EAA2F75"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01EB67A3" w14:textId="59D27716" w:rsidR="00FC3C54" w:rsidRPr="00FC3C54" w:rsidRDefault="00DF5219" w:rsidP="00FC3C5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FC3C54" w:rsidRPr="00FC3C54" w14:paraId="25AB6008" w14:textId="77777777" w:rsidTr="00BF2FFB">
        <w:tc>
          <w:tcPr>
            <w:tcW w:w="1150" w:type="pct"/>
            <w:tcBorders>
              <w:top w:val="outset" w:sz="6" w:space="0" w:color="414142"/>
              <w:left w:val="outset" w:sz="6" w:space="0" w:color="414142"/>
              <w:bottom w:val="outset" w:sz="6" w:space="0" w:color="414142"/>
              <w:right w:val="outset" w:sz="6" w:space="0" w:color="414142"/>
            </w:tcBorders>
            <w:hideMark/>
          </w:tcPr>
          <w:p w14:paraId="1DA7F4FB" w14:textId="77777777" w:rsidR="00FC3C54" w:rsidRPr="00FC3C54" w:rsidRDefault="00FC3C54" w:rsidP="00FC3C54">
            <w:pPr>
              <w:spacing w:after="0" w:line="240" w:lineRule="auto"/>
              <w:rPr>
                <w:rFonts w:ascii="Times New Roman" w:eastAsia="Times New Roman" w:hAnsi="Times New Roman" w:cs="Times New Roman"/>
                <w:sz w:val="24"/>
                <w:szCs w:val="24"/>
                <w:lang w:eastAsia="lv-LV"/>
              </w:rPr>
            </w:pPr>
            <w:r w:rsidRPr="00FC3C54">
              <w:rPr>
                <w:rFonts w:ascii="Times New Roman" w:eastAsia="Times New Roman" w:hAnsi="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4B3E0750" w14:textId="7FABBC46" w:rsidR="00FC3C54" w:rsidRPr="00FC3C54" w:rsidRDefault="001A4375" w:rsidP="002665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C3C54" w:rsidRPr="00FC3C54" w14:paraId="3A249EFB" w14:textId="77777777" w:rsidTr="00BF2FFB">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A8FCFD3" w14:textId="77777777" w:rsidR="00FC3C54" w:rsidRPr="00FC3C54" w:rsidRDefault="00FC3C54" w:rsidP="00FC3C54">
            <w:pPr>
              <w:spacing w:after="0" w:line="240" w:lineRule="auto"/>
              <w:ind w:firstLine="300"/>
              <w:jc w:val="center"/>
              <w:rPr>
                <w:rFonts w:ascii="Times New Roman" w:eastAsia="Times New Roman" w:hAnsi="Times New Roman" w:cs="Times New Roman"/>
                <w:b/>
                <w:bCs/>
                <w:sz w:val="24"/>
                <w:szCs w:val="24"/>
                <w:lang w:eastAsia="lv-LV"/>
              </w:rPr>
            </w:pPr>
            <w:r w:rsidRPr="00FC3C54">
              <w:rPr>
                <w:rFonts w:ascii="Times New Roman" w:eastAsia="Times New Roman" w:hAnsi="Times New Roman" w:cs="Times New Roman"/>
                <w:b/>
                <w:bCs/>
                <w:sz w:val="24"/>
                <w:szCs w:val="24"/>
                <w:lang w:eastAsia="lv-LV"/>
              </w:rPr>
              <w:t>2. tabula</w:t>
            </w:r>
            <w:r w:rsidRPr="00FC3C54">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FC3C54">
              <w:rPr>
                <w:rFonts w:ascii="Times New Roman" w:eastAsia="Times New Roman" w:hAnsi="Times New Roman" w:cs="Times New Roman"/>
                <w:b/>
                <w:bCs/>
                <w:sz w:val="24"/>
                <w:szCs w:val="24"/>
                <w:lang w:eastAsia="lv-LV"/>
              </w:rPr>
              <w:br/>
              <w:t>Pasākumi šo saistību izpildei</w:t>
            </w:r>
          </w:p>
        </w:tc>
      </w:tr>
      <w:tr w:rsidR="00BD00F1" w:rsidRPr="00FC3C54" w14:paraId="77DC57BC" w14:textId="77777777" w:rsidTr="00BF2FFB">
        <w:tc>
          <w:tcPr>
            <w:tcW w:w="0" w:type="auto"/>
            <w:gridSpan w:val="4"/>
            <w:tcBorders>
              <w:top w:val="outset" w:sz="6" w:space="0" w:color="414142"/>
              <w:left w:val="outset" w:sz="6" w:space="0" w:color="414142"/>
              <w:bottom w:val="outset" w:sz="6" w:space="0" w:color="414142"/>
              <w:right w:val="outset" w:sz="6" w:space="0" w:color="414142"/>
            </w:tcBorders>
            <w:vAlign w:val="center"/>
          </w:tcPr>
          <w:p w14:paraId="0F06183B" w14:textId="6A3942CB" w:rsidR="00BD00F1" w:rsidRPr="002665A8" w:rsidRDefault="00BD00F1" w:rsidP="00FC3C54">
            <w:pPr>
              <w:keepNext/>
              <w:keepLines/>
              <w:spacing w:before="200" w:after="0" w:line="240" w:lineRule="auto"/>
              <w:ind w:firstLine="300"/>
              <w:jc w:val="center"/>
              <w:outlineLvl w:val="8"/>
              <w:rPr>
                <w:rFonts w:ascii="Times New Roman" w:eastAsia="Times New Roman" w:hAnsi="Times New Roman" w:cs="Times New Roman"/>
                <w:bCs/>
                <w:i/>
                <w:sz w:val="24"/>
                <w:szCs w:val="24"/>
                <w:lang w:eastAsia="lv-LV"/>
              </w:rPr>
            </w:pPr>
            <w:r w:rsidRPr="00315B52">
              <w:rPr>
                <w:rFonts w:ascii="Times New Roman" w:eastAsia="Times New Roman" w:hAnsi="Times New Roman" w:cs="Times New Roman"/>
                <w:bCs/>
                <w:sz w:val="24"/>
                <w:szCs w:val="24"/>
                <w:lang w:eastAsia="lv-LV"/>
              </w:rPr>
              <w:t>Likumprojekts šo jomu neskar</w:t>
            </w:r>
            <w:r>
              <w:rPr>
                <w:rFonts w:ascii="Times New Roman" w:eastAsia="Times New Roman" w:hAnsi="Times New Roman" w:cs="Times New Roman"/>
                <w:bCs/>
                <w:i/>
                <w:sz w:val="24"/>
                <w:szCs w:val="24"/>
                <w:lang w:eastAsia="lv-LV"/>
              </w:rPr>
              <w:t>.</w:t>
            </w:r>
          </w:p>
        </w:tc>
      </w:tr>
    </w:tbl>
    <w:p w14:paraId="49904F00" w14:textId="047B1923" w:rsidR="004D15A9" w:rsidRDefault="004D15A9" w:rsidP="00DA596D">
      <w:pPr>
        <w:spacing w:after="0" w:line="240" w:lineRule="auto"/>
        <w:rPr>
          <w:rFonts w:ascii="Times New Roman" w:eastAsia="Times New Roman" w:hAnsi="Times New Roman" w:cs="Times New Roman"/>
          <w:vanish/>
          <w:sz w:val="24"/>
          <w:szCs w:val="24"/>
          <w:lang w:eastAsia="lv-LV"/>
        </w:rPr>
      </w:pPr>
    </w:p>
    <w:p w14:paraId="017FF8CF" w14:textId="77777777" w:rsidR="00210312" w:rsidRPr="004D15A9" w:rsidRDefault="00210312"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4D15A9" w:rsidRPr="00F15874" w14:paraId="168EF02F"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33995A" w14:textId="77777777" w:rsidR="004D15A9" w:rsidRPr="00F15874"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F15874">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F15874" w:rsidRPr="00F15874" w14:paraId="345AE16D"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4A0F06D" w14:textId="77777777" w:rsidR="004D15A9" w:rsidRPr="00F1587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15874">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D3445AA" w14:textId="77777777" w:rsidR="004D15A9" w:rsidRPr="00F1587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15874">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96149D9" w14:textId="7AB09491" w:rsidR="003A2A9E" w:rsidRPr="00F15874" w:rsidRDefault="003A2A9E" w:rsidP="003A2A9E">
            <w:pPr>
              <w:spacing w:after="0" w:line="240" w:lineRule="auto"/>
              <w:jc w:val="both"/>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Likumprojekts izskatīts ar Tieslietu ministrijas 2015. gada 19. jūnija rīkojumu Nr. 1-1/208 izveidotajā pastāvīgajā Maksātnespējas regulējuma pilnveidošanas darba grupā, ar Tieslietu ministrijas 2014. gada 23. maija rīkojumu Nr. 1-1/208 izveidotajā pastāvīgajā Civilprocesa likuma darba grupā un ar Tieslietu ministrijas 2010. gada 19. janvāra rīkojumu Nr. 1-1/25 izveidotajā pastāvīgajā Latvijas Administratīvo pārkāpumu kodeksa darba grupā.</w:t>
            </w:r>
            <w:r w:rsidR="00C324CF">
              <w:rPr>
                <w:rFonts w:ascii="Times New Roman" w:eastAsia="Times New Roman" w:hAnsi="Times New Roman" w:cs="Times New Roman"/>
                <w:color w:val="000000" w:themeColor="text1"/>
                <w:sz w:val="24"/>
                <w:szCs w:val="24"/>
                <w:lang w:eastAsia="lv-LV"/>
              </w:rPr>
              <w:t xml:space="preserve"> Likumprojekts daļā par Maksātnespējas administrācijas nosaukuma maiņu ir atbalstīts Maksātnespējas jautājumu konsultatīvās padomes 2017. gada 15. jūnija sēdē.</w:t>
            </w:r>
          </w:p>
        </w:tc>
      </w:tr>
      <w:tr w:rsidR="00F15874" w:rsidRPr="00D33248" w14:paraId="14C9250E"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D86D30A" w14:textId="77777777" w:rsidR="004D15A9" w:rsidRPr="00D3324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85AE233" w14:textId="77777777" w:rsidR="004D15A9" w:rsidRPr="00D3324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1A4A7E1" w14:textId="151CFC47" w:rsidR="00622024" w:rsidRPr="00D33248" w:rsidRDefault="003A2A9E" w:rsidP="00182353">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Tieslietu ministrija ir nodevusi </w:t>
            </w:r>
            <w:r w:rsidR="00182353">
              <w:rPr>
                <w:rFonts w:ascii="Times New Roman" w:eastAsia="Times New Roman" w:hAnsi="Times New Roman" w:cs="Times New Roman"/>
                <w:color w:val="000000" w:themeColor="text1"/>
                <w:sz w:val="24"/>
                <w:szCs w:val="24"/>
                <w:lang w:eastAsia="lv-LV"/>
              </w:rPr>
              <w:t xml:space="preserve">likumprojektu apspriešanai nozares speciālistiem, kuri maksātnespējas jomu regulējošos normatīvos aktus piemēro ikdienā, tai skaitā vairākiem nevalstisko organizāciju (Latvijas Kredītņēmēju asociācija, Latvijas Komercbanku asociācija, Latvijas Zvērinātu </w:t>
            </w:r>
            <w:r w:rsidR="00182353">
              <w:rPr>
                <w:rFonts w:ascii="Times New Roman" w:eastAsia="Times New Roman" w:hAnsi="Times New Roman" w:cs="Times New Roman"/>
                <w:color w:val="000000" w:themeColor="text1"/>
                <w:sz w:val="24"/>
                <w:szCs w:val="24"/>
                <w:lang w:eastAsia="lv-LV"/>
              </w:rPr>
              <w:lastRenderedPageBreak/>
              <w:t>advokātu padome, Latvijas Zvērinātu tiesu izpildītāju padome, Ārvalstu investoru padome Latvijā, Latvijas Tirdzniecības un rūpniecības kamera, biedrība</w:t>
            </w:r>
            <w:r w:rsidR="001E5C04">
              <w:rPr>
                <w:rFonts w:ascii="Times New Roman" w:eastAsia="Times New Roman" w:hAnsi="Times New Roman" w:cs="Times New Roman"/>
                <w:color w:val="000000" w:themeColor="text1"/>
                <w:sz w:val="24"/>
                <w:szCs w:val="24"/>
                <w:lang w:eastAsia="lv-LV"/>
              </w:rPr>
              <w:t xml:space="preserve"> "</w:t>
            </w:r>
            <w:r w:rsidR="00182353">
              <w:rPr>
                <w:rFonts w:ascii="Times New Roman" w:eastAsia="Times New Roman" w:hAnsi="Times New Roman" w:cs="Times New Roman"/>
                <w:color w:val="000000" w:themeColor="text1"/>
                <w:sz w:val="24"/>
                <w:szCs w:val="24"/>
                <w:lang w:eastAsia="lv-LV"/>
              </w:rPr>
              <w:t>Latvijas Sertificēto maksātnespējas procesa administratoru asociācija</w:t>
            </w:r>
            <w:r w:rsidR="001E5C04">
              <w:rPr>
                <w:rFonts w:ascii="Times New Roman" w:eastAsia="Times New Roman" w:hAnsi="Times New Roman" w:cs="Times New Roman"/>
                <w:color w:val="000000" w:themeColor="text1"/>
                <w:sz w:val="24"/>
                <w:szCs w:val="24"/>
                <w:lang w:eastAsia="lv-LV"/>
              </w:rPr>
              <w:t>"</w:t>
            </w:r>
            <w:r w:rsidR="00182353">
              <w:rPr>
                <w:rFonts w:ascii="Times New Roman" w:eastAsia="Times New Roman" w:hAnsi="Times New Roman" w:cs="Times New Roman"/>
                <w:color w:val="000000" w:themeColor="text1"/>
                <w:sz w:val="24"/>
                <w:szCs w:val="24"/>
                <w:lang w:eastAsia="lv-LV"/>
              </w:rPr>
              <w:t>, Latvijas Darba devēju konfederācija, Latvijas Brīvo arodbiedrību savienība) pārstāvjiem. Nozares speciālistu vērtējums un praktiskā pieredze ņemta vērā, izstrādājot likumprojektu.</w:t>
            </w:r>
          </w:p>
        </w:tc>
      </w:tr>
      <w:tr w:rsidR="00D33248" w:rsidRPr="00D33248" w14:paraId="6538E0FB"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39F340D" w14:textId="77777777" w:rsidR="004D15A9" w:rsidRPr="00D3324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0D9C7F6A" w14:textId="77777777" w:rsidR="004D15A9" w:rsidRPr="00D3324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7D0AAD2" w14:textId="77777777" w:rsidR="004D15A9" w:rsidRPr="00D33248" w:rsidRDefault="00EC5A40" w:rsidP="00EC5A40">
            <w:pPr>
              <w:spacing w:after="0" w:line="240" w:lineRule="auto"/>
              <w:jc w:val="both"/>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Likumprojekta izstrādē ņemti vērā darba grupās panāktie kompromisa risinājumi.</w:t>
            </w:r>
          </w:p>
          <w:p w14:paraId="2B3625AA" w14:textId="77777777" w:rsidR="00EC5A40" w:rsidRPr="00D33248" w:rsidRDefault="00EC5A40" w:rsidP="00EC5A40">
            <w:pPr>
              <w:spacing w:after="0" w:line="240" w:lineRule="auto"/>
              <w:jc w:val="both"/>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Tomēr attiecībā uz grozījumiem saistībā ar administratīvo pārkāpumu dekodifikāciju, Latvijas Komercbanku asociācija un Latvijas Darba devēju konfederācija ir izteikusi šādu viedokli.</w:t>
            </w:r>
          </w:p>
          <w:p w14:paraId="574FA966" w14:textId="39DB7D81" w:rsidR="00EC5A40" w:rsidRPr="00D33248" w:rsidRDefault="00EC5A40" w:rsidP="00EC5A40">
            <w:pPr>
              <w:spacing w:after="0" w:line="240" w:lineRule="auto"/>
              <w:jc w:val="both"/>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 xml:space="preserve">Organizācijas piekrīt, ka viena no lielākajām problēmām maksātnespējas procesa norisē ir nesodāmība par veiktajām darbībām, kā arī atbalsta maznozīmīgāko pārkāpumu dekriminalizāciju, saglabājot administratīvas sodīšanas iespēju. Tomēr būtu vērtējama </w:t>
            </w:r>
            <w:r w:rsidR="00182353">
              <w:rPr>
                <w:rFonts w:ascii="Times New Roman" w:eastAsia="Times New Roman" w:hAnsi="Times New Roman" w:cs="Times New Roman"/>
                <w:color w:val="000000" w:themeColor="text1"/>
                <w:sz w:val="24"/>
                <w:szCs w:val="24"/>
                <w:lang w:eastAsia="lv-LV"/>
              </w:rPr>
              <w:t>MNL</w:t>
            </w:r>
            <w:r w:rsidRPr="00D33248">
              <w:rPr>
                <w:rFonts w:ascii="Times New Roman" w:eastAsia="Times New Roman" w:hAnsi="Times New Roman" w:cs="Times New Roman"/>
                <w:color w:val="000000" w:themeColor="text1"/>
                <w:sz w:val="24"/>
                <w:szCs w:val="24"/>
                <w:lang w:eastAsia="lv-LV"/>
              </w:rPr>
              <w:t xml:space="preserve"> 180. panta piedāvātā redakcija, sadalot kompetenci starp dažādām institūcijām, ņemot vērā, ka Valsts ieņēmumu dienests 2016. un 2017. gadā samazina maksātnespējas procesa pieteikumu iesniegšanas gadījumus, turklāt Valsts policijas aktivitāte administratīvo sodu piemērošanā iepriekšējos gados ir bijusi zema. Vienlaikus vērš uzmanību, ka nevienai no norādītajām institūcijām nav iespēju sekot uzņēmumu norēķinu termiņu ievērošanai. Arīdzan norāda, ka nodrošināto kreditoru interese maksātnespējas procesa pieteikuma iesniegšanai ir zema, ņemot vērā lielās izmaksas (2017. gadā – 1120,42</w:t>
            </w:r>
            <w:r w:rsidR="007314DF">
              <w:rPr>
                <w:rFonts w:ascii="Times New Roman" w:eastAsia="Times New Roman" w:hAnsi="Times New Roman" w:cs="Times New Roman"/>
                <w:color w:val="000000" w:themeColor="text1"/>
                <w:sz w:val="24"/>
                <w:szCs w:val="24"/>
                <w:lang w:eastAsia="lv-LV"/>
              </w:rPr>
              <w:t> </w:t>
            </w:r>
            <w:r w:rsidRPr="00AA1D09">
              <w:rPr>
                <w:rFonts w:ascii="Times New Roman" w:eastAsia="Times New Roman" w:hAnsi="Times New Roman" w:cs="Times New Roman"/>
                <w:i/>
                <w:color w:val="000000" w:themeColor="text1"/>
                <w:sz w:val="24"/>
                <w:szCs w:val="24"/>
                <w:lang w:eastAsia="lv-LV"/>
              </w:rPr>
              <w:t>e</w:t>
            </w:r>
            <w:r w:rsidR="009C13D1" w:rsidRPr="00AA1D09">
              <w:rPr>
                <w:rFonts w:ascii="Times New Roman" w:eastAsia="Times New Roman" w:hAnsi="Times New Roman" w:cs="Times New Roman"/>
                <w:i/>
                <w:color w:val="000000" w:themeColor="text1"/>
                <w:sz w:val="24"/>
                <w:szCs w:val="24"/>
                <w:lang w:eastAsia="lv-LV"/>
              </w:rPr>
              <w:t>u</w:t>
            </w:r>
            <w:r w:rsidRPr="00AA1D09">
              <w:rPr>
                <w:rFonts w:ascii="Times New Roman" w:eastAsia="Times New Roman" w:hAnsi="Times New Roman" w:cs="Times New Roman"/>
                <w:i/>
                <w:color w:val="000000" w:themeColor="text1"/>
                <w:sz w:val="24"/>
                <w:szCs w:val="24"/>
                <w:lang w:eastAsia="lv-LV"/>
              </w:rPr>
              <w:t>ro</w:t>
            </w:r>
            <w:r w:rsidRPr="00D33248">
              <w:rPr>
                <w:rFonts w:ascii="Times New Roman" w:eastAsia="Times New Roman" w:hAnsi="Times New Roman" w:cs="Times New Roman"/>
                <w:color w:val="000000" w:themeColor="text1"/>
                <w:sz w:val="24"/>
                <w:szCs w:val="24"/>
                <w:lang w:eastAsia="lv-LV"/>
              </w:rPr>
              <w:t xml:space="preserve">) un </w:t>
            </w:r>
            <w:r w:rsidR="001E5C04">
              <w:rPr>
                <w:rFonts w:ascii="Times New Roman" w:eastAsia="Times New Roman" w:hAnsi="Times New Roman" w:cs="Times New Roman"/>
                <w:color w:val="000000" w:themeColor="text1"/>
                <w:sz w:val="24"/>
                <w:szCs w:val="24"/>
                <w:lang w:eastAsia="lv-LV"/>
              </w:rPr>
              <w:t>"</w:t>
            </w:r>
            <w:r w:rsidRPr="00D33248">
              <w:rPr>
                <w:rFonts w:ascii="Times New Roman" w:eastAsia="Times New Roman" w:hAnsi="Times New Roman" w:cs="Times New Roman"/>
                <w:color w:val="000000" w:themeColor="text1"/>
                <w:sz w:val="24"/>
                <w:szCs w:val="24"/>
                <w:lang w:eastAsia="lv-LV"/>
              </w:rPr>
              <w:t>tukšo</w:t>
            </w:r>
            <w:r w:rsidR="001E5C04">
              <w:rPr>
                <w:rFonts w:ascii="Times New Roman" w:eastAsia="Times New Roman" w:hAnsi="Times New Roman" w:cs="Times New Roman"/>
                <w:color w:val="000000" w:themeColor="text1"/>
                <w:sz w:val="24"/>
                <w:szCs w:val="24"/>
                <w:lang w:eastAsia="lv-LV"/>
              </w:rPr>
              <w:t>"</w:t>
            </w:r>
            <w:r w:rsidRPr="00D33248">
              <w:rPr>
                <w:rFonts w:ascii="Times New Roman" w:eastAsia="Times New Roman" w:hAnsi="Times New Roman" w:cs="Times New Roman"/>
                <w:color w:val="000000" w:themeColor="text1"/>
                <w:sz w:val="24"/>
                <w:szCs w:val="24"/>
                <w:lang w:eastAsia="lv-LV"/>
              </w:rPr>
              <w:t xml:space="preserve"> maksātnespējas procesu gadījumā šīs izmaksas atgūt nav iespējams. Savukārt nodrošinātajiem kreditoriem ir aizliegts iesniegt maksātnespējas procesa pieteikumus.</w:t>
            </w:r>
          </w:p>
          <w:p w14:paraId="26228233" w14:textId="3802B179" w:rsidR="00EC5A40" w:rsidRPr="00D33248" w:rsidRDefault="00EC5A40" w:rsidP="00D33248">
            <w:pPr>
              <w:spacing w:after="0" w:line="240" w:lineRule="auto"/>
              <w:jc w:val="both"/>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Organizācijas ierosina iespējamus risinājumus</w:t>
            </w:r>
            <w:r w:rsidR="00D33248" w:rsidRPr="00D33248">
              <w:rPr>
                <w:rFonts w:ascii="Times New Roman" w:eastAsia="Times New Roman" w:hAnsi="Times New Roman" w:cs="Times New Roman"/>
                <w:color w:val="000000" w:themeColor="text1"/>
                <w:sz w:val="24"/>
                <w:szCs w:val="24"/>
                <w:lang w:eastAsia="lv-LV"/>
              </w:rPr>
              <w:t>, uz kuriem neuzstāj, bet atgādina par tiem</w:t>
            </w:r>
            <w:r w:rsidRPr="00D33248">
              <w:rPr>
                <w:rFonts w:ascii="Times New Roman" w:eastAsia="Times New Roman" w:hAnsi="Times New Roman" w:cs="Times New Roman"/>
                <w:color w:val="000000" w:themeColor="text1"/>
                <w:sz w:val="24"/>
                <w:szCs w:val="24"/>
                <w:lang w:eastAsia="lv-LV"/>
              </w:rPr>
              <w:t>: 1)</w:t>
            </w:r>
            <w:r w:rsidR="001E5C04">
              <w:rPr>
                <w:rFonts w:ascii="Times New Roman" w:eastAsia="Times New Roman" w:hAnsi="Times New Roman" w:cs="Times New Roman"/>
                <w:color w:val="000000" w:themeColor="text1"/>
                <w:sz w:val="24"/>
                <w:szCs w:val="24"/>
                <w:lang w:eastAsia="lv-LV"/>
              </w:rPr>
              <w:t> </w:t>
            </w:r>
            <w:r w:rsidRPr="00D33248">
              <w:rPr>
                <w:rFonts w:ascii="Times New Roman" w:eastAsia="Times New Roman" w:hAnsi="Times New Roman" w:cs="Times New Roman"/>
                <w:color w:val="000000" w:themeColor="text1"/>
                <w:sz w:val="24"/>
                <w:szCs w:val="24"/>
                <w:lang w:eastAsia="lv-LV"/>
              </w:rPr>
              <w:t>pārskatīt juridiskās personas maksātnespējas procesa depozīta nepieciešamību; 2)</w:t>
            </w:r>
            <w:r w:rsidR="001E5C04">
              <w:rPr>
                <w:rFonts w:ascii="Times New Roman" w:eastAsia="Times New Roman" w:hAnsi="Times New Roman" w:cs="Times New Roman"/>
                <w:color w:val="000000" w:themeColor="text1"/>
                <w:sz w:val="24"/>
                <w:szCs w:val="24"/>
                <w:lang w:eastAsia="lv-LV"/>
              </w:rPr>
              <w:t> </w:t>
            </w:r>
            <w:r w:rsidRPr="00D33248">
              <w:rPr>
                <w:rFonts w:ascii="Times New Roman" w:eastAsia="Times New Roman" w:hAnsi="Times New Roman" w:cs="Times New Roman"/>
                <w:color w:val="000000" w:themeColor="text1"/>
                <w:sz w:val="24"/>
                <w:szCs w:val="24"/>
                <w:lang w:eastAsia="lv-LV"/>
              </w:rPr>
              <w:t>piešķirt nodrošinātajam kreditoram tiesības iesniegt maksātnespējas procesa pieteikumu; 3)</w:t>
            </w:r>
            <w:r w:rsidR="001E5C04">
              <w:rPr>
                <w:rFonts w:ascii="Times New Roman" w:eastAsia="Times New Roman" w:hAnsi="Times New Roman" w:cs="Times New Roman"/>
                <w:color w:val="000000" w:themeColor="text1"/>
                <w:sz w:val="24"/>
                <w:szCs w:val="24"/>
                <w:lang w:eastAsia="lv-LV"/>
              </w:rPr>
              <w:t> </w:t>
            </w:r>
            <w:r w:rsidRPr="00D33248">
              <w:rPr>
                <w:rFonts w:ascii="Times New Roman" w:eastAsia="Times New Roman" w:hAnsi="Times New Roman" w:cs="Times New Roman"/>
                <w:color w:val="000000" w:themeColor="text1"/>
                <w:sz w:val="24"/>
                <w:szCs w:val="24"/>
                <w:lang w:eastAsia="lv-LV"/>
              </w:rPr>
              <w:t xml:space="preserve">ja sodīšanas funkcija par maksātnespējas pieteikuma savlaicīgu neiesniegšanu tiktu nodota Maksātnespējas administrācijai, izstrādāt kārtību, kā kreditors var iesniegt pierādījumus administrācijai par debitora pieļautajiem </w:t>
            </w:r>
            <w:r w:rsidR="00182353">
              <w:rPr>
                <w:rFonts w:ascii="Times New Roman" w:eastAsia="Times New Roman" w:hAnsi="Times New Roman" w:cs="Times New Roman"/>
                <w:color w:val="000000" w:themeColor="text1"/>
                <w:sz w:val="24"/>
                <w:szCs w:val="24"/>
                <w:lang w:eastAsia="lv-LV"/>
              </w:rPr>
              <w:t xml:space="preserve">MNL </w:t>
            </w:r>
            <w:r w:rsidRPr="00D33248">
              <w:rPr>
                <w:rFonts w:ascii="Times New Roman" w:eastAsia="Times New Roman" w:hAnsi="Times New Roman" w:cs="Times New Roman"/>
                <w:color w:val="000000" w:themeColor="text1"/>
                <w:sz w:val="24"/>
                <w:szCs w:val="24"/>
                <w:lang w:eastAsia="lv-LV"/>
              </w:rPr>
              <w:t>57. panta pārkāpumiem.</w:t>
            </w:r>
          </w:p>
          <w:p w14:paraId="0CCB442D" w14:textId="77777777" w:rsidR="00EC5A40" w:rsidRDefault="00EC5A40" w:rsidP="00D33248">
            <w:pPr>
              <w:spacing w:after="0" w:line="240" w:lineRule="auto"/>
              <w:jc w:val="both"/>
              <w:rPr>
                <w:rFonts w:ascii="Times New Roman" w:eastAsia="Times New Roman" w:hAnsi="Times New Roman" w:cs="Times New Roman"/>
                <w:color w:val="000000" w:themeColor="text1"/>
                <w:sz w:val="24"/>
                <w:szCs w:val="24"/>
                <w:lang w:eastAsia="lv-LV"/>
              </w:rPr>
            </w:pPr>
            <w:r w:rsidRPr="00D33248">
              <w:rPr>
                <w:rFonts w:ascii="Times New Roman" w:eastAsia="Times New Roman" w:hAnsi="Times New Roman" w:cs="Times New Roman"/>
                <w:color w:val="000000" w:themeColor="text1"/>
                <w:sz w:val="24"/>
                <w:szCs w:val="24"/>
                <w:lang w:eastAsia="lv-LV"/>
              </w:rPr>
              <w:t>Latvijas Komercbanku asociācijas un Latvijas Darba devēju konfederācijas biedri ir vairākkārt novērojuši aktīvu nobēdzināšanu, gatavojoties maksātnespējas procesiem. To pašu apliecina arī Ārvalstu investoru padomes Latvijā veiktais pētījums par krāpniecību maksātnespējas procesos un Latvijas tautsaimniecībai nodarītajiem zaudējumiem.</w:t>
            </w:r>
          </w:p>
          <w:p w14:paraId="14E9B7B2" w14:textId="04F8F52D" w:rsidR="003A2A9E" w:rsidRPr="00D33248" w:rsidRDefault="003A2A9E" w:rsidP="003A2A9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Tieslietu ministrijas ieskatā viedoklis ir vispārīgs un neprasa konkrētus precizējumus likumprojektā.</w:t>
            </w:r>
          </w:p>
        </w:tc>
      </w:tr>
      <w:tr w:rsidR="00F15874" w:rsidRPr="00F15874" w14:paraId="7F6C51DE"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21BFBA9" w14:textId="77777777" w:rsidR="004D15A9" w:rsidRPr="00F1587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15874">
              <w:rPr>
                <w:rFonts w:ascii="Times New Roman" w:eastAsia="Times New Roman" w:hAnsi="Times New Roman" w:cs="Times New Roman"/>
                <w:color w:val="000000" w:themeColor="text1"/>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1692739D" w14:textId="77777777" w:rsidR="004D15A9" w:rsidRPr="00F1587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15874">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0B6A131F" w14:textId="77777777" w:rsidR="004D15A9" w:rsidRPr="00F15874" w:rsidRDefault="00D33248" w:rsidP="00612A92">
            <w:pPr>
              <w:spacing w:after="0" w:line="240" w:lineRule="auto"/>
              <w:rPr>
                <w:rFonts w:ascii="Times New Roman" w:eastAsia="Times New Roman" w:hAnsi="Times New Roman" w:cs="Times New Roman"/>
                <w:color w:val="000000" w:themeColor="text1"/>
                <w:sz w:val="24"/>
                <w:szCs w:val="24"/>
                <w:lang w:eastAsia="lv-LV"/>
              </w:rPr>
            </w:pPr>
            <w:r w:rsidRPr="00F15874">
              <w:rPr>
                <w:rFonts w:ascii="Times New Roman" w:eastAsia="Times New Roman" w:hAnsi="Times New Roman" w:cs="Times New Roman"/>
                <w:color w:val="000000" w:themeColor="text1"/>
                <w:sz w:val="24"/>
                <w:szCs w:val="24"/>
                <w:lang w:eastAsia="lv-LV"/>
              </w:rPr>
              <w:t>Nav</w:t>
            </w:r>
          </w:p>
        </w:tc>
      </w:tr>
    </w:tbl>
    <w:p w14:paraId="798DA808" w14:textId="77777777" w:rsidR="004D15A9" w:rsidRDefault="004D15A9" w:rsidP="00DA596D">
      <w:pPr>
        <w:spacing w:after="0" w:line="240" w:lineRule="auto"/>
        <w:rPr>
          <w:rFonts w:ascii="Times New Roman" w:eastAsia="Times New Roman" w:hAnsi="Times New Roman" w:cs="Times New Roman"/>
          <w:sz w:val="24"/>
          <w:szCs w:val="24"/>
          <w:lang w:eastAsia="lv-LV"/>
        </w:rPr>
      </w:pPr>
    </w:p>
    <w:p w14:paraId="6800F36F" w14:textId="77777777" w:rsidR="00E3542C" w:rsidRPr="004D15A9" w:rsidRDefault="00E3542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D15A9" w:rsidRPr="00AB7056" w14:paraId="01C96C3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87DA2C" w14:textId="77777777" w:rsidR="004D15A9" w:rsidRPr="00AB7056"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B7056">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AB7056" w:rsidRPr="00AB7056" w14:paraId="2FFF2F7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749C749"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46F09AC"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2D2E746" w14:textId="4A998B65" w:rsidR="004D15A9" w:rsidRPr="00AB7056" w:rsidRDefault="00AB7056" w:rsidP="00AB705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Maksātnespējas administrācija, </w:t>
            </w:r>
            <w:r w:rsidR="006E14AC">
              <w:rPr>
                <w:rFonts w:ascii="Times New Roman" w:eastAsia="Times New Roman" w:hAnsi="Times New Roman" w:cs="Times New Roman"/>
                <w:color w:val="000000" w:themeColor="text1"/>
                <w:sz w:val="24"/>
                <w:szCs w:val="24"/>
                <w:lang w:eastAsia="lv-LV"/>
              </w:rPr>
              <w:t xml:space="preserve">Valsts ieņēmumu dienests, Valsts policija, </w:t>
            </w:r>
            <w:r>
              <w:rPr>
                <w:rFonts w:ascii="Times New Roman" w:eastAsia="Times New Roman" w:hAnsi="Times New Roman" w:cs="Times New Roman"/>
                <w:color w:val="000000" w:themeColor="text1"/>
                <w:sz w:val="24"/>
                <w:szCs w:val="24"/>
                <w:lang w:eastAsia="lv-LV"/>
              </w:rPr>
              <w:t>tiesas</w:t>
            </w:r>
            <w:r w:rsidR="00BE7CCD">
              <w:rPr>
                <w:rFonts w:ascii="Times New Roman" w:eastAsia="Times New Roman" w:hAnsi="Times New Roman" w:cs="Times New Roman"/>
                <w:color w:val="000000" w:themeColor="text1"/>
                <w:sz w:val="24"/>
                <w:szCs w:val="24"/>
                <w:lang w:eastAsia="lv-LV"/>
              </w:rPr>
              <w:t>, Latvijas Republikas Uzņēmumu reģistrs</w:t>
            </w:r>
            <w:r>
              <w:rPr>
                <w:rFonts w:ascii="Times New Roman" w:eastAsia="Times New Roman" w:hAnsi="Times New Roman" w:cs="Times New Roman"/>
                <w:color w:val="000000" w:themeColor="text1"/>
                <w:sz w:val="24"/>
                <w:szCs w:val="24"/>
                <w:lang w:eastAsia="lv-LV"/>
              </w:rPr>
              <w:t>.</w:t>
            </w:r>
          </w:p>
        </w:tc>
      </w:tr>
      <w:tr w:rsidR="00AB7056" w:rsidRPr="00AB7056" w14:paraId="31863526"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BCCA332"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49DB37F"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14:paraId="50FBCC34" w14:textId="77777777" w:rsidR="004D15A9" w:rsidRPr="00AB7056" w:rsidRDefault="004D15A9" w:rsidP="00DA596D">
            <w:pPr>
              <w:spacing w:after="0" w:line="240" w:lineRule="auto"/>
              <w:ind w:firstLine="300"/>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2A92806" w14:textId="77777777" w:rsidR="004D15A9" w:rsidRDefault="00AB7056" w:rsidP="00AB7056">
            <w:pPr>
              <w:spacing w:after="0" w:line="240" w:lineRule="auto"/>
              <w:jc w:val="both"/>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Jaunas valsts institūcijas netiek veidotas, esošās institūcijas netiek likvidētas vai reorganizētas.</w:t>
            </w:r>
          </w:p>
          <w:p w14:paraId="66D5C227" w14:textId="5EAA0ABB" w:rsidR="005E725A" w:rsidRPr="00AB7056" w:rsidRDefault="00604A50" w:rsidP="0010382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Maksātnespējas administrācijai </w:t>
            </w:r>
            <w:r w:rsidR="003B39BC" w:rsidRPr="009C3D58">
              <w:rPr>
                <w:rFonts w:ascii="Times New Roman" w:hAnsi="Times New Roman" w:cs="Times New Roman"/>
                <w:sz w:val="24"/>
                <w:szCs w:val="24"/>
              </w:rPr>
              <w:t xml:space="preserve">nepieciešamas </w:t>
            </w:r>
            <w:r w:rsidR="003B39BC">
              <w:rPr>
                <w:rFonts w:ascii="Times New Roman" w:hAnsi="Times New Roman" w:cs="Times New Roman"/>
                <w:sz w:val="24"/>
                <w:szCs w:val="24"/>
              </w:rPr>
              <w:t>divas</w:t>
            </w:r>
            <w:r w:rsidR="003B39BC" w:rsidRPr="009C3D58">
              <w:rPr>
                <w:rFonts w:ascii="Times New Roman" w:hAnsi="Times New Roman" w:cs="Times New Roman"/>
                <w:sz w:val="24"/>
                <w:szCs w:val="24"/>
              </w:rPr>
              <w:t xml:space="preserve"> amata vietas</w:t>
            </w:r>
            <w:r w:rsidR="003B39BC">
              <w:rPr>
                <w:rFonts w:ascii="Times New Roman" w:hAnsi="Times New Roman" w:cs="Times New Roman"/>
                <w:sz w:val="24"/>
                <w:szCs w:val="24"/>
              </w:rPr>
              <w:t xml:space="preserve">, kas </w:t>
            </w:r>
            <w:r w:rsidR="003B39BC">
              <w:rPr>
                <w:rFonts w:ascii="Times New Roman" w:eastAsia="Times New Roman" w:hAnsi="Times New Roman" w:cs="Times New Roman"/>
                <w:sz w:val="24"/>
                <w:szCs w:val="24"/>
                <w:lang w:eastAsia="lv-LV"/>
              </w:rPr>
              <w:t>tiks nodrošinātas Tieslietu ministrijas resora ietvaros.</w:t>
            </w:r>
          </w:p>
        </w:tc>
      </w:tr>
      <w:tr w:rsidR="00AB7056" w:rsidRPr="00AB7056" w14:paraId="6479AD59"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4B1CAA0"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3B70B1B" w14:textId="77777777" w:rsidR="004D15A9" w:rsidRPr="00AB705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031E061" w14:textId="77777777" w:rsidR="004D15A9" w:rsidRPr="00AB7056" w:rsidRDefault="00D33248" w:rsidP="00841836">
            <w:pPr>
              <w:spacing w:after="0" w:line="240" w:lineRule="auto"/>
              <w:rPr>
                <w:rFonts w:ascii="Times New Roman" w:eastAsia="Times New Roman" w:hAnsi="Times New Roman" w:cs="Times New Roman"/>
                <w:color w:val="000000" w:themeColor="text1"/>
                <w:sz w:val="24"/>
                <w:szCs w:val="24"/>
                <w:lang w:eastAsia="lv-LV"/>
              </w:rPr>
            </w:pPr>
            <w:r w:rsidRPr="00AB7056">
              <w:rPr>
                <w:rFonts w:ascii="Times New Roman" w:eastAsia="Times New Roman" w:hAnsi="Times New Roman" w:cs="Times New Roman"/>
                <w:color w:val="000000" w:themeColor="text1"/>
                <w:sz w:val="24"/>
                <w:szCs w:val="24"/>
                <w:lang w:eastAsia="lv-LV"/>
              </w:rPr>
              <w:t>Nav</w:t>
            </w:r>
          </w:p>
        </w:tc>
      </w:tr>
    </w:tbl>
    <w:p w14:paraId="2AFC0D72" w14:textId="77777777" w:rsidR="00BB1F46" w:rsidRPr="004D15A9" w:rsidRDefault="00BB1F46" w:rsidP="00DA596D">
      <w:pPr>
        <w:spacing w:after="0" w:line="240" w:lineRule="auto"/>
        <w:rPr>
          <w:rFonts w:ascii="Times New Roman" w:hAnsi="Times New Roman" w:cs="Times New Roman"/>
          <w:sz w:val="24"/>
          <w:szCs w:val="24"/>
        </w:rPr>
      </w:pPr>
    </w:p>
    <w:p w14:paraId="229C8749" w14:textId="77777777" w:rsidR="004D15A9" w:rsidRPr="004D15A9" w:rsidRDefault="004D15A9" w:rsidP="00DA596D">
      <w:pPr>
        <w:spacing w:after="0" w:line="240" w:lineRule="auto"/>
        <w:rPr>
          <w:rFonts w:ascii="Times New Roman" w:hAnsi="Times New Roman" w:cs="Times New Roman"/>
          <w:sz w:val="24"/>
          <w:szCs w:val="24"/>
        </w:rPr>
      </w:pPr>
    </w:p>
    <w:p w14:paraId="6F85A504" w14:textId="699528B8" w:rsidR="0055194E" w:rsidRDefault="0055194E" w:rsidP="00DA596D">
      <w:pPr>
        <w:pStyle w:val="StyleRight"/>
        <w:spacing w:after="0"/>
        <w:ind w:firstLine="0"/>
        <w:jc w:val="both"/>
        <w:rPr>
          <w:color w:val="000000"/>
          <w:sz w:val="24"/>
          <w:szCs w:val="24"/>
        </w:rPr>
      </w:pPr>
      <w:r>
        <w:rPr>
          <w:color w:val="000000"/>
          <w:sz w:val="24"/>
          <w:szCs w:val="24"/>
        </w:rPr>
        <w:t>Iesniedzējs:</w:t>
      </w:r>
    </w:p>
    <w:p w14:paraId="4619A868" w14:textId="558539DC" w:rsidR="0055194E" w:rsidRDefault="004B7E74" w:rsidP="0055194E">
      <w:pPr>
        <w:pStyle w:val="StyleRight"/>
        <w:tabs>
          <w:tab w:val="right" w:pos="9071"/>
        </w:tabs>
        <w:spacing w:after="0"/>
        <w:ind w:firstLine="0"/>
        <w:jc w:val="both"/>
        <w:rPr>
          <w:color w:val="000000"/>
          <w:sz w:val="24"/>
          <w:szCs w:val="24"/>
        </w:rPr>
      </w:pPr>
      <w:r>
        <w:rPr>
          <w:color w:val="000000"/>
          <w:sz w:val="24"/>
          <w:szCs w:val="24"/>
        </w:rPr>
        <w:t>t</w:t>
      </w:r>
      <w:r w:rsidR="00E20A9C">
        <w:rPr>
          <w:color w:val="000000"/>
          <w:sz w:val="24"/>
          <w:szCs w:val="24"/>
        </w:rPr>
        <w:t>ieslietu ministrs</w:t>
      </w:r>
      <w:r w:rsidR="0055194E">
        <w:rPr>
          <w:color w:val="000000"/>
          <w:sz w:val="24"/>
          <w:szCs w:val="24"/>
        </w:rPr>
        <w:tab/>
      </w:r>
      <w:r w:rsidR="00E20A9C">
        <w:rPr>
          <w:color w:val="000000"/>
          <w:sz w:val="24"/>
          <w:szCs w:val="24"/>
        </w:rPr>
        <w:t>Dzintars Rasnačs</w:t>
      </w:r>
    </w:p>
    <w:p w14:paraId="7D8B3D76" w14:textId="77777777" w:rsidR="003C00BB" w:rsidRPr="0055194E" w:rsidRDefault="003C00BB" w:rsidP="00DA596D">
      <w:pPr>
        <w:pStyle w:val="StyleRight"/>
        <w:spacing w:after="0"/>
        <w:ind w:firstLine="0"/>
        <w:jc w:val="both"/>
        <w:rPr>
          <w:color w:val="000000"/>
          <w:sz w:val="24"/>
          <w:szCs w:val="24"/>
        </w:rPr>
      </w:pPr>
    </w:p>
    <w:p w14:paraId="21CDD61C" w14:textId="77777777" w:rsidR="00792980" w:rsidRDefault="00792980" w:rsidP="0055194E">
      <w:pPr>
        <w:spacing w:after="0" w:line="240" w:lineRule="auto"/>
        <w:rPr>
          <w:rFonts w:ascii="Times New Roman" w:eastAsia="Times New Roman" w:hAnsi="Times New Roman" w:cs="Times New Roman"/>
          <w:color w:val="000000"/>
          <w:sz w:val="24"/>
          <w:szCs w:val="24"/>
          <w:lang w:eastAsia="lv-LV"/>
        </w:rPr>
      </w:pPr>
    </w:p>
    <w:p w14:paraId="26AC2272" w14:textId="49FB0AA6" w:rsidR="004B7E74" w:rsidRDefault="0055194E" w:rsidP="0055194E">
      <w:pPr>
        <w:spacing w:after="0" w:line="240" w:lineRule="auto"/>
        <w:rPr>
          <w:rFonts w:ascii="Times New Roman" w:eastAsia="Times New Roman" w:hAnsi="Times New Roman" w:cs="Times New Roman"/>
          <w:i/>
          <w:sz w:val="20"/>
          <w:szCs w:val="24"/>
          <w:lang w:eastAsia="lv-LV"/>
        </w:rPr>
      </w:pPr>
      <w:r w:rsidRPr="00792980">
        <w:rPr>
          <w:rFonts w:ascii="Times New Roman" w:eastAsia="Times New Roman" w:hAnsi="Times New Roman" w:cs="Times New Roman"/>
          <w:i/>
          <w:color w:val="000000"/>
          <w:sz w:val="20"/>
          <w:szCs w:val="24"/>
          <w:lang w:eastAsia="lv-LV"/>
        </w:rPr>
        <w:t>Ozola</w:t>
      </w:r>
      <w:r w:rsidR="004B7E74">
        <w:rPr>
          <w:rFonts w:ascii="Times New Roman" w:eastAsia="Times New Roman" w:hAnsi="Times New Roman" w:cs="Times New Roman"/>
          <w:i/>
          <w:color w:val="000000"/>
          <w:sz w:val="20"/>
          <w:szCs w:val="24"/>
          <w:lang w:eastAsia="lv-LV"/>
        </w:rPr>
        <w:t xml:space="preserve"> </w:t>
      </w:r>
      <w:r w:rsidRPr="00792980">
        <w:rPr>
          <w:rFonts w:ascii="Times New Roman" w:eastAsia="Times New Roman" w:hAnsi="Times New Roman" w:cs="Times New Roman"/>
          <w:i/>
          <w:color w:val="000000"/>
          <w:sz w:val="20"/>
          <w:szCs w:val="24"/>
          <w:lang w:eastAsia="lv-LV"/>
        </w:rPr>
        <w:t>67046147</w:t>
      </w:r>
    </w:p>
    <w:p w14:paraId="091F9E66" w14:textId="3273A479" w:rsidR="004D15A9" w:rsidRPr="00792980" w:rsidRDefault="003C00BB" w:rsidP="0055194E">
      <w:pPr>
        <w:spacing w:after="0" w:line="240" w:lineRule="auto"/>
        <w:rPr>
          <w:rFonts w:ascii="Times New Roman" w:eastAsia="Times New Roman" w:hAnsi="Times New Roman" w:cs="Times New Roman"/>
          <w:i/>
          <w:sz w:val="20"/>
          <w:szCs w:val="24"/>
          <w:lang w:eastAsia="lv-LV"/>
        </w:rPr>
      </w:pPr>
      <w:r w:rsidRPr="00792980">
        <w:rPr>
          <w:rFonts w:ascii="Times New Roman" w:eastAsia="Times New Roman" w:hAnsi="Times New Roman" w:cs="Times New Roman"/>
          <w:i/>
          <w:sz w:val="20"/>
          <w:szCs w:val="24"/>
          <w:lang w:eastAsia="lv-LV"/>
        </w:rPr>
        <w:t>Liene.Ozola@tm.gov.lv</w:t>
      </w:r>
    </w:p>
    <w:sectPr w:rsidR="004D15A9" w:rsidRPr="00792980"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C5056" w14:textId="77777777" w:rsidR="00AA1D09" w:rsidRDefault="00AA1D09" w:rsidP="004D15A9">
      <w:pPr>
        <w:spacing w:after="0" w:line="240" w:lineRule="auto"/>
      </w:pPr>
      <w:r>
        <w:separator/>
      </w:r>
    </w:p>
  </w:endnote>
  <w:endnote w:type="continuationSeparator" w:id="0">
    <w:p w14:paraId="16825559" w14:textId="77777777" w:rsidR="00AA1D09" w:rsidRDefault="00AA1D09" w:rsidP="004D15A9">
      <w:pPr>
        <w:spacing w:after="0" w:line="240" w:lineRule="auto"/>
      </w:pPr>
      <w:r>
        <w:continuationSeparator/>
      </w:r>
    </w:p>
  </w:endnote>
  <w:endnote w:type="continuationNotice" w:id="1">
    <w:p w14:paraId="22154CFA" w14:textId="77777777" w:rsidR="00AA1D09" w:rsidRDefault="00AA1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1B70" w14:textId="04977253" w:rsidR="00AA1D09" w:rsidRPr="00792980" w:rsidRDefault="00AA1D09" w:rsidP="00792980">
    <w:pPr>
      <w:pStyle w:val="Kjene"/>
    </w:pPr>
    <w:r>
      <w:rPr>
        <w:rFonts w:ascii="Times New Roman" w:hAnsi="Times New Roman" w:cs="Times New Roman"/>
        <w:bCs/>
        <w:color w:val="000000" w:themeColor="text1"/>
        <w:sz w:val="20"/>
        <w:szCs w:val="20"/>
      </w:rPr>
      <w:fldChar w:fldCharType="begin"/>
    </w:r>
    <w:r>
      <w:rPr>
        <w:rFonts w:ascii="Times New Roman" w:hAnsi="Times New Roman" w:cs="Times New Roman"/>
        <w:bCs/>
        <w:color w:val="000000" w:themeColor="text1"/>
        <w:sz w:val="20"/>
        <w:szCs w:val="20"/>
      </w:rPr>
      <w:instrText xml:space="preserve"> FILENAME \* MERGEFORMAT </w:instrText>
    </w:r>
    <w:r>
      <w:rPr>
        <w:rFonts w:ascii="Times New Roman" w:hAnsi="Times New Roman" w:cs="Times New Roman"/>
        <w:bCs/>
        <w:color w:val="000000" w:themeColor="text1"/>
        <w:sz w:val="20"/>
        <w:szCs w:val="20"/>
      </w:rPr>
      <w:fldChar w:fldCharType="separate"/>
    </w:r>
    <w:r>
      <w:rPr>
        <w:rFonts w:ascii="Times New Roman" w:hAnsi="Times New Roman" w:cs="Times New Roman"/>
        <w:bCs/>
        <w:noProof/>
        <w:color w:val="000000" w:themeColor="text1"/>
        <w:sz w:val="20"/>
        <w:szCs w:val="20"/>
      </w:rPr>
      <w:t>TMAnot_0</w:t>
    </w:r>
    <w:r w:rsidR="00E54C30">
      <w:rPr>
        <w:rFonts w:ascii="Times New Roman" w:hAnsi="Times New Roman" w:cs="Times New Roman"/>
        <w:bCs/>
        <w:noProof/>
        <w:color w:val="000000" w:themeColor="text1"/>
        <w:sz w:val="20"/>
        <w:szCs w:val="20"/>
      </w:rPr>
      <w:t>8</w:t>
    </w:r>
    <w:r>
      <w:rPr>
        <w:rFonts w:ascii="Times New Roman" w:hAnsi="Times New Roman" w:cs="Times New Roman"/>
        <w:bCs/>
        <w:noProof/>
        <w:color w:val="000000" w:themeColor="text1"/>
        <w:sz w:val="20"/>
        <w:szCs w:val="20"/>
      </w:rPr>
      <w:t>1117_GrozMNL</w:t>
    </w:r>
    <w:r>
      <w:rPr>
        <w:rFonts w:ascii="Times New Roman" w:hAnsi="Times New Roman" w:cs="Times New Roman"/>
        <w:bCs/>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8C65" w14:textId="1E324FA6" w:rsidR="00AA1D09" w:rsidRPr="00792980" w:rsidRDefault="00AA1D09" w:rsidP="00792980">
    <w:pPr>
      <w:pStyle w:val="Kjene"/>
      <w:rPr>
        <w:rFonts w:ascii="Times New Roman" w:hAnsi="Times New Roman" w:cs="Times New Roman"/>
        <w:sz w:val="20"/>
      </w:rPr>
    </w:pPr>
    <w:r w:rsidRPr="00792980">
      <w:rPr>
        <w:rFonts w:ascii="Times New Roman" w:hAnsi="Times New Roman" w:cs="Times New Roman"/>
        <w:sz w:val="20"/>
      </w:rPr>
      <w:fldChar w:fldCharType="begin"/>
    </w:r>
    <w:r w:rsidRPr="00792980">
      <w:rPr>
        <w:rFonts w:ascii="Times New Roman" w:hAnsi="Times New Roman" w:cs="Times New Roman"/>
        <w:sz w:val="20"/>
      </w:rPr>
      <w:instrText xml:space="preserve"> FILENAME \* MERGEFORMAT </w:instrText>
    </w:r>
    <w:r w:rsidRPr="00792980">
      <w:rPr>
        <w:rFonts w:ascii="Times New Roman" w:hAnsi="Times New Roman" w:cs="Times New Roman"/>
        <w:sz w:val="20"/>
      </w:rPr>
      <w:fldChar w:fldCharType="separate"/>
    </w:r>
    <w:r>
      <w:rPr>
        <w:rFonts w:ascii="Times New Roman" w:hAnsi="Times New Roman" w:cs="Times New Roman"/>
        <w:noProof/>
        <w:sz w:val="20"/>
      </w:rPr>
      <w:t>TMAnot_0</w:t>
    </w:r>
    <w:r w:rsidR="00E54C30">
      <w:rPr>
        <w:rFonts w:ascii="Times New Roman" w:hAnsi="Times New Roman" w:cs="Times New Roman"/>
        <w:noProof/>
        <w:sz w:val="20"/>
      </w:rPr>
      <w:t>8</w:t>
    </w:r>
    <w:r>
      <w:rPr>
        <w:rFonts w:ascii="Times New Roman" w:hAnsi="Times New Roman" w:cs="Times New Roman"/>
        <w:noProof/>
        <w:sz w:val="20"/>
      </w:rPr>
      <w:t>1117_GrozMNL</w:t>
    </w:r>
    <w:r w:rsidRPr="00792980">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F26AC" w14:textId="77777777" w:rsidR="00AA1D09" w:rsidRDefault="00AA1D09" w:rsidP="004D15A9">
      <w:pPr>
        <w:spacing w:after="0" w:line="240" w:lineRule="auto"/>
      </w:pPr>
      <w:r>
        <w:separator/>
      </w:r>
    </w:p>
  </w:footnote>
  <w:footnote w:type="continuationSeparator" w:id="0">
    <w:p w14:paraId="6C5BF37B" w14:textId="77777777" w:rsidR="00AA1D09" w:rsidRDefault="00AA1D09" w:rsidP="004D15A9">
      <w:pPr>
        <w:spacing w:after="0" w:line="240" w:lineRule="auto"/>
      </w:pPr>
      <w:r>
        <w:continuationSeparator/>
      </w:r>
    </w:p>
  </w:footnote>
  <w:footnote w:type="continuationNotice" w:id="1">
    <w:p w14:paraId="62644459" w14:textId="77777777" w:rsidR="00AA1D09" w:rsidRDefault="00AA1D09">
      <w:pPr>
        <w:spacing w:after="0" w:line="240" w:lineRule="auto"/>
      </w:pPr>
    </w:p>
  </w:footnote>
  <w:footnote w:id="2">
    <w:p w14:paraId="33216AC0" w14:textId="7574D5ED" w:rsidR="00AA1D09" w:rsidRPr="00907137" w:rsidRDefault="00AA1D09" w:rsidP="007861C0">
      <w:pPr>
        <w:pStyle w:val="Vresteksts"/>
        <w:rPr>
          <w:rFonts w:ascii="Times New Roman" w:hAnsi="Times New Roman" w:cs="Times New Roman"/>
        </w:rPr>
      </w:pPr>
      <w:r w:rsidRPr="00907137">
        <w:rPr>
          <w:rStyle w:val="Vresatsauce"/>
          <w:rFonts w:ascii="Times New Roman" w:hAnsi="Times New Roman" w:cs="Times New Roman"/>
        </w:rPr>
        <w:footnoteRef/>
      </w:r>
      <w:r w:rsidRPr="00907137">
        <w:rPr>
          <w:rFonts w:ascii="Times New Roman" w:hAnsi="Times New Roman" w:cs="Times New Roman"/>
        </w:rPr>
        <w:t xml:space="preserve"> </w:t>
      </w:r>
      <w:hyperlink r:id="rId1" w:history="1">
        <w:r w:rsidRPr="00B45FB3">
          <w:rPr>
            <w:rStyle w:val="Hipersaite"/>
            <w:rFonts w:ascii="Times New Roman" w:hAnsi="Times New Roman" w:cs="Times New Roman"/>
          </w:rPr>
          <w:t>https://ws.ur.gov.lv/urpubl?act=MNR_STAT&amp;stat_id=549</w:t>
        </w:r>
      </w:hyperlink>
      <w:r>
        <w:rPr>
          <w:rFonts w:ascii="Times New Roman" w:hAnsi="Times New Roman" w:cs="Times New Roman"/>
        </w:rPr>
        <w:t xml:space="preserve"> </w:t>
      </w:r>
    </w:p>
  </w:footnote>
  <w:footnote w:id="3">
    <w:p w14:paraId="1A5AB187" w14:textId="77777777" w:rsidR="00AA1D09" w:rsidRPr="005208D2" w:rsidRDefault="00AA1D09" w:rsidP="00630966">
      <w:pPr>
        <w:pStyle w:val="Vresteksts"/>
        <w:rPr>
          <w:rFonts w:ascii="Times New Roman" w:hAnsi="Times New Roman" w:cs="Times New Roman"/>
        </w:rPr>
      </w:pPr>
      <w:r>
        <w:rPr>
          <w:rStyle w:val="Vresatsauce"/>
        </w:rPr>
        <w:footnoteRef/>
      </w:r>
      <w:r>
        <w:t xml:space="preserve"> </w:t>
      </w:r>
      <w:r>
        <w:rPr>
          <w:rFonts w:ascii="Times New Roman" w:hAnsi="Times New Roman" w:cs="Times New Roman"/>
        </w:rPr>
        <w:t xml:space="preserve">Skat. Latvijas Republikas Saeimas 2014. gada 25. septembra sēdes stenogrammu (82. priekšlikums). Pieejams: </w:t>
      </w:r>
      <w:hyperlink r:id="rId2" w:history="1">
        <w:r w:rsidRPr="00B342B0">
          <w:rPr>
            <w:rStyle w:val="Hipersaite"/>
            <w:rFonts w:ascii="Times New Roman" w:hAnsi="Times New Roman" w:cs="Times New Roman"/>
          </w:rPr>
          <w:t>http://titania.saeima.lv/LIVS11/saeimalivs11.nsf/0/E0F32356F44300C7C2257D6D0032EF57?OpenDocument</w:t>
        </w:r>
      </w:hyperlink>
    </w:p>
  </w:footnote>
  <w:footnote w:id="4">
    <w:p w14:paraId="24091D3F" w14:textId="77777777" w:rsidR="00AA1D09" w:rsidRDefault="00AA1D09" w:rsidP="00CF058A">
      <w:pPr>
        <w:pStyle w:val="Vresteksts"/>
        <w:jc w:val="both"/>
      </w:pPr>
      <w:r>
        <w:rPr>
          <w:rStyle w:val="Vresatsauce"/>
        </w:rPr>
        <w:footnoteRef/>
      </w:r>
      <w:r>
        <w:t xml:space="preserve"> </w:t>
      </w:r>
      <w:r w:rsidRPr="001A4509">
        <w:rPr>
          <w:rFonts w:ascii="Times New Roman" w:eastAsia="Times New Roman" w:hAnsi="Times New Roman" w:cs="Times New Roman"/>
          <w:color w:val="000000" w:themeColor="text1"/>
          <w:szCs w:val="24"/>
          <w:lang w:eastAsia="lv-LV"/>
        </w:rPr>
        <w:t>Komisijas ieteikums 2003/361/EK (2003. gada 6. maijs) par mikrouzņēmumu, mazo un vidējo uzņēmumu definīciju</w:t>
      </w:r>
      <w:r w:rsidRPr="00CF058A">
        <w:rPr>
          <w:rStyle w:val="Izteiksmgs"/>
          <w:rFonts w:ascii="Times New Roman" w:hAnsi="Times New Roman" w:cs="Times New Roman"/>
          <w:b w:val="0"/>
          <w:color w:val="444444"/>
          <w:szCs w:val="19"/>
        </w:rPr>
        <w:t xml:space="preserve">. </w:t>
      </w:r>
      <w:r w:rsidRPr="00622024">
        <w:rPr>
          <w:rStyle w:val="Izteiksmgs"/>
          <w:rFonts w:ascii="Times New Roman" w:hAnsi="Times New Roman" w:cs="Times New Roman"/>
          <w:b w:val="0"/>
          <w:color w:val="000000" w:themeColor="text1"/>
          <w:szCs w:val="19"/>
        </w:rPr>
        <w:t xml:space="preserve">I pielikuma 2. pants. Pieejams: </w:t>
      </w:r>
      <w:hyperlink r:id="rId3" w:history="1">
        <w:r w:rsidRPr="000E1BD0">
          <w:rPr>
            <w:rStyle w:val="Hipersaite"/>
            <w:rFonts w:ascii="Times New Roman" w:hAnsi="Times New Roman" w:cs="Times New Roman"/>
            <w:szCs w:val="19"/>
          </w:rPr>
          <w:t>http://eur-lex.europa.eu/legal-content/LV/TXT/?uri=CELEX%3A32003H0361</w:t>
        </w:r>
      </w:hyperlink>
      <w:r>
        <w:rPr>
          <w:rStyle w:val="Izteiksmgs"/>
          <w:rFonts w:ascii="Times New Roman" w:hAnsi="Times New Roman" w:cs="Times New Roman"/>
          <w:b w:val="0"/>
          <w:color w:val="444444"/>
          <w:szCs w:val="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6146C39" w14:textId="202894F1" w:rsidR="00AA1D09" w:rsidRPr="004D15A9" w:rsidRDefault="00AA1D0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84771">
          <w:rPr>
            <w:rFonts w:ascii="Times New Roman" w:hAnsi="Times New Roman" w:cs="Times New Roman"/>
            <w:noProof/>
            <w:sz w:val="24"/>
            <w:szCs w:val="24"/>
          </w:rPr>
          <w:t>21</w:t>
        </w:r>
        <w:r w:rsidRPr="004D15A9">
          <w:rPr>
            <w:rFonts w:ascii="Times New Roman" w:hAnsi="Times New Roman" w:cs="Times New Roman"/>
            <w:sz w:val="24"/>
            <w:szCs w:val="24"/>
          </w:rPr>
          <w:fldChar w:fldCharType="end"/>
        </w:r>
      </w:p>
    </w:sdtContent>
  </w:sdt>
  <w:p w14:paraId="6888B0E1" w14:textId="77777777" w:rsidR="00AA1D09" w:rsidRDefault="00AA1D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7A8"/>
    <w:multiLevelType w:val="hybridMultilevel"/>
    <w:tmpl w:val="DE922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D30C6"/>
    <w:multiLevelType w:val="hybridMultilevel"/>
    <w:tmpl w:val="497EE0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6B4847"/>
    <w:multiLevelType w:val="hybridMultilevel"/>
    <w:tmpl w:val="2652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1353D8"/>
    <w:multiLevelType w:val="hybridMultilevel"/>
    <w:tmpl w:val="79308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870C9C"/>
    <w:multiLevelType w:val="hybridMultilevel"/>
    <w:tmpl w:val="E1DC3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3357C2"/>
    <w:multiLevelType w:val="hybridMultilevel"/>
    <w:tmpl w:val="56BCB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9A76ED"/>
    <w:multiLevelType w:val="hybridMultilevel"/>
    <w:tmpl w:val="A6CA2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345E2A"/>
    <w:multiLevelType w:val="multilevel"/>
    <w:tmpl w:val="37BC7FEA"/>
    <w:lvl w:ilvl="0">
      <w:start w:val="1"/>
      <w:numFmt w:val="decimal"/>
      <w:lvlText w:val="%1."/>
      <w:lvlJc w:val="left"/>
      <w:pPr>
        <w:ind w:left="813" w:hanging="360"/>
      </w:pPr>
      <w:rPr>
        <w:rFonts w:hint="default"/>
      </w:rPr>
    </w:lvl>
    <w:lvl w:ilvl="1">
      <w:start w:val="1"/>
      <w:numFmt w:val="decimal"/>
      <w:isLgl/>
      <w:lvlText w:val="%1.%2."/>
      <w:lvlJc w:val="left"/>
      <w:pPr>
        <w:ind w:left="873" w:hanging="36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1353" w:hanging="72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1833" w:hanging="1080"/>
      </w:pPr>
      <w:rPr>
        <w:rFonts w:hint="default"/>
      </w:rPr>
    </w:lvl>
    <w:lvl w:ilvl="6">
      <w:start w:val="1"/>
      <w:numFmt w:val="decimal"/>
      <w:isLgl/>
      <w:lvlText w:val="%1.%2.%3.%4.%5.%6.%7."/>
      <w:lvlJc w:val="left"/>
      <w:pPr>
        <w:ind w:left="2253" w:hanging="1440"/>
      </w:pPr>
      <w:rPr>
        <w:rFonts w:hint="default"/>
      </w:rPr>
    </w:lvl>
    <w:lvl w:ilvl="7">
      <w:start w:val="1"/>
      <w:numFmt w:val="decimal"/>
      <w:isLgl/>
      <w:lvlText w:val="%1.%2.%3.%4.%5.%6.%7.%8."/>
      <w:lvlJc w:val="left"/>
      <w:pPr>
        <w:ind w:left="2313" w:hanging="1440"/>
      </w:pPr>
      <w:rPr>
        <w:rFonts w:hint="default"/>
      </w:rPr>
    </w:lvl>
    <w:lvl w:ilvl="8">
      <w:start w:val="1"/>
      <w:numFmt w:val="decimal"/>
      <w:isLgl/>
      <w:lvlText w:val="%1.%2.%3.%4.%5.%6.%7.%8.%9."/>
      <w:lvlJc w:val="left"/>
      <w:pPr>
        <w:ind w:left="2733" w:hanging="1800"/>
      </w:pPr>
      <w:rPr>
        <w:rFonts w:hint="default"/>
      </w:rPr>
    </w:lvl>
  </w:abstractNum>
  <w:abstractNum w:abstractNumId="9" w15:restartNumberingAfterBreak="0">
    <w:nsid w:val="746E6AE9"/>
    <w:multiLevelType w:val="hybridMultilevel"/>
    <w:tmpl w:val="ECB8C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2"/>
  </w:num>
  <w:num w:numId="6">
    <w:abstractNumId w:val="0"/>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5E11"/>
    <w:rsid w:val="00016844"/>
    <w:rsid w:val="000305C7"/>
    <w:rsid w:val="00031256"/>
    <w:rsid w:val="00043CD0"/>
    <w:rsid w:val="000524E6"/>
    <w:rsid w:val="000560DF"/>
    <w:rsid w:val="00063447"/>
    <w:rsid w:val="0006436A"/>
    <w:rsid w:val="000735A7"/>
    <w:rsid w:val="000776B0"/>
    <w:rsid w:val="00077A80"/>
    <w:rsid w:val="000826B1"/>
    <w:rsid w:val="0008331E"/>
    <w:rsid w:val="00085F44"/>
    <w:rsid w:val="00090FC1"/>
    <w:rsid w:val="000A6688"/>
    <w:rsid w:val="000E668E"/>
    <w:rsid w:val="00101CD5"/>
    <w:rsid w:val="00103825"/>
    <w:rsid w:val="0010482D"/>
    <w:rsid w:val="001048D8"/>
    <w:rsid w:val="00126CAF"/>
    <w:rsid w:val="00130F82"/>
    <w:rsid w:val="0013252B"/>
    <w:rsid w:val="001349A1"/>
    <w:rsid w:val="00144DF1"/>
    <w:rsid w:val="001571BC"/>
    <w:rsid w:val="00172AD1"/>
    <w:rsid w:val="00172E99"/>
    <w:rsid w:val="00181FE8"/>
    <w:rsid w:val="00182353"/>
    <w:rsid w:val="0019746C"/>
    <w:rsid w:val="001A272B"/>
    <w:rsid w:val="001A4375"/>
    <w:rsid w:val="001B629A"/>
    <w:rsid w:val="001C23A3"/>
    <w:rsid w:val="001C27AA"/>
    <w:rsid w:val="001C552D"/>
    <w:rsid w:val="001C6725"/>
    <w:rsid w:val="001C7926"/>
    <w:rsid w:val="001D477A"/>
    <w:rsid w:val="001D5777"/>
    <w:rsid w:val="001D64B4"/>
    <w:rsid w:val="001E5C04"/>
    <w:rsid w:val="001F1C52"/>
    <w:rsid w:val="001F267B"/>
    <w:rsid w:val="001F3C80"/>
    <w:rsid w:val="00207AB2"/>
    <w:rsid w:val="00210312"/>
    <w:rsid w:val="00212821"/>
    <w:rsid w:val="00216C77"/>
    <w:rsid w:val="0022318D"/>
    <w:rsid w:val="0024044A"/>
    <w:rsid w:val="002627FE"/>
    <w:rsid w:val="0026295B"/>
    <w:rsid w:val="002665A8"/>
    <w:rsid w:val="0027534E"/>
    <w:rsid w:val="0028238B"/>
    <w:rsid w:val="002843EA"/>
    <w:rsid w:val="00286A01"/>
    <w:rsid w:val="002A0426"/>
    <w:rsid w:val="002D3C85"/>
    <w:rsid w:val="002E3820"/>
    <w:rsid w:val="002F04B7"/>
    <w:rsid w:val="002F0DA8"/>
    <w:rsid w:val="0030201D"/>
    <w:rsid w:val="0030424F"/>
    <w:rsid w:val="00307C8C"/>
    <w:rsid w:val="0031442C"/>
    <w:rsid w:val="00315B52"/>
    <w:rsid w:val="003233DF"/>
    <w:rsid w:val="00327B2F"/>
    <w:rsid w:val="00332303"/>
    <w:rsid w:val="00352F92"/>
    <w:rsid w:val="00356CFB"/>
    <w:rsid w:val="003610F7"/>
    <w:rsid w:val="00366307"/>
    <w:rsid w:val="00367705"/>
    <w:rsid w:val="00373E32"/>
    <w:rsid w:val="00380611"/>
    <w:rsid w:val="0038076E"/>
    <w:rsid w:val="00380914"/>
    <w:rsid w:val="00387579"/>
    <w:rsid w:val="003922B0"/>
    <w:rsid w:val="003A1BB0"/>
    <w:rsid w:val="003A2A0B"/>
    <w:rsid w:val="003A2A9E"/>
    <w:rsid w:val="003A4BEC"/>
    <w:rsid w:val="003A51E0"/>
    <w:rsid w:val="003A55EF"/>
    <w:rsid w:val="003B0AFD"/>
    <w:rsid w:val="003B39BC"/>
    <w:rsid w:val="003C00BB"/>
    <w:rsid w:val="003C45B1"/>
    <w:rsid w:val="003D6B37"/>
    <w:rsid w:val="00405121"/>
    <w:rsid w:val="00423545"/>
    <w:rsid w:val="00423817"/>
    <w:rsid w:val="00430C6E"/>
    <w:rsid w:val="004475B0"/>
    <w:rsid w:val="00460E75"/>
    <w:rsid w:val="00461275"/>
    <w:rsid w:val="0048017E"/>
    <w:rsid w:val="004811BA"/>
    <w:rsid w:val="004847CB"/>
    <w:rsid w:val="0049579E"/>
    <w:rsid w:val="004B1D87"/>
    <w:rsid w:val="004B7E74"/>
    <w:rsid w:val="004C2605"/>
    <w:rsid w:val="004D15A9"/>
    <w:rsid w:val="004D1755"/>
    <w:rsid w:val="004D1A09"/>
    <w:rsid w:val="004D514B"/>
    <w:rsid w:val="004D78D2"/>
    <w:rsid w:val="004E3848"/>
    <w:rsid w:val="004E763E"/>
    <w:rsid w:val="005102B2"/>
    <w:rsid w:val="005146D9"/>
    <w:rsid w:val="00515CEE"/>
    <w:rsid w:val="005274BC"/>
    <w:rsid w:val="00527A8F"/>
    <w:rsid w:val="0055191F"/>
    <w:rsid w:val="0055194E"/>
    <w:rsid w:val="00551E47"/>
    <w:rsid w:val="0055543E"/>
    <w:rsid w:val="0055571E"/>
    <w:rsid w:val="0056708D"/>
    <w:rsid w:val="00571478"/>
    <w:rsid w:val="005757F4"/>
    <w:rsid w:val="0058308B"/>
    <w:rsid w:val="0058530C"/>
    <w:rsid w:val="005A5C77"/>
    <w:rsid w:val="005B0F0C"/>
    <w:rsid w:val="005D07E0"/>
    <w:rsid w:val="005D4E8A"/>
    <w:rsid w:val="005E1BB0"/>
    <w:rsid w:val="005E725A"/>
    <w:rsid w:val="005F1651"/>
    <w:rsid w:val="00601B6F"/>
    <w:rsid w:val="00604A50"/>
    <w:rsid w:val="0060613E"/>
    <w:rsid w:val="00612A92"/>
    <w:rsid w:val="00614124"/>
    <w:rsid w:val="00622024"/>
    <w:rsid w:val="00630966"/>
    <w:rsid w:val="00636556"/>
    <w:rsid w:val="00662291"/>
    <w:rsid w:val="00670C03"/>
    <w:rsid w:val="00671036"/>
    <w:rsid w:val="00674AA0"/>
    <w:rsid w:val="00677D15"/>
    <w:rsid w:val="00684771"/>
    <w:rsid w:val="00685388"/>
    <w:rsid w:val="006B5350"/>
    <w:rsid w:val="006B6AAF"/>
    <w:rsid w:val="006C304C"/>
    <w:rsid w:val="006C5C73"/>
    <w:rsid w:val="006C67E1"/>
    <w:rsid w:val="006D17B9"/>
    <w:rsid w:val="006E14AC"/>
    <w:rsid w:val="006E7488"/>
    <w:rsid w:val="006F3143"/>
    <w:rsid w:val="0070435E"/>
    <w:rsid w:val="00721096"/>
    <w:rsid w:val="007250EF"/>
    <w:rsid w:val="00725B21"/>
    <w:rsid w:val="0072770F"/>
    <w:rsid w:val="007314DF"/>
    <w:rsid w:val="00732667"/>
    <w:rsid w:val="00736031"/>
    <w:rsid w:val="00743302"/>
    <w:rsid w:val="00743ADD"/>
    <w:rsid w:val="00744D7E"/>
    <w:rsid w:val="007550C5"/>
    <w:rsid w:val="00756098"/>
    <w:rsid w:val="00757D49"/>
    <w:rsid w:val="00777290"/>
    <w:rsid w:val="00777CC0"/>
    <w:rsid w:val="00783E40"/>
    <w:rsid w:val="007861C0"/>
    <w:rsid w:val="0078747E"/>
    <w:rsid w:val="00790827"/>
    <w:rsid w:val="007920D4"/>
    <w:rsid w:val="00792980"/>
    <w:rsid w:val="007A12A1"/>
    <w:rsid w:val="007A3898"/>
    <w:rsid w:val="007A691B"/>
    <w:rsid w:val="007A774D"/>
    <w:rsid w:val="007E537C"/>
    <w:rsid w:val="007E7A07"/>
    <w:rsid w:val="007E7F8B"/>
    <w:rsid w:val="007F5652"/>
    <w:rsid w:val="00800C80"/>
    <w:rsid w:val="0081203F"/>
    <w:rsid w:val="0081795E"/>
    <w:rsid w:val="00825445"/>
    <w:rsid w:val="0083016A"/>
    <w:rsid w:val="00841384"/>
    <w:rsid w:val="0084148C"/>
    <w:rsid w:val="00841836"/>
    <w:rsid w:val="00842BB6"/>
    <w:rsid w:val="0085225D"/>
    <w:rsid w:val="00852346"/>
    <w:rsid w:val="00865B97"/>
    <w:rsid w:val="008716A3"/>
    <w:rsid w:val="0088737E"/>
    <w:rsid w:val="0089385F"/>
    <w:rsid w:val="008A046F"/>
    <w:rsid w:val="008A0A48"/>
    <w:rsid w:val="008C2C17"/>
    <w:rsid w:val="008C4F8D"/>
    <w:rsid w:val="008C7922"/>
    <w:rsid w:val="008D120E"/>
    <w:rsid w:val="008D68AC"/>
    <w:rsid w:val="008D68DC"/>
    <w:rsid w:val="008E157B"/>
    <w:rsid w:val="008E4E93"/>
    <w:rsid w:val="008E50C6"/>
    <w:rsid w:val="008E5873"/>
    <w:rsid w:val="008E63AA"/>
    <w:rsid w:val="008F6E54"/>
    <w:rsid w:val="008F705D"/>
    <w:rsid w:val="00903B91"/>
    <w:rsid w:val="00907137"/>
    <w:rsid w:val="0091793F"/>
    <w:rsid w:val="00917ED8"/>
    <w:rsid w:val="009201D8"/>
    <w:rsid w:val="009258DD"/>
    <w:rsid w:val="0092686F"/>
    <w:rsid w:val="00930C8D"/>
    <w:rsid w:val="009331C1"/>
    <w:rsid w:val="0094707C"/>
    <w:rsid w:val="0095460A"/>
    <w:rsid w:val="009553C6"/>
    <w:rsid w:val="009610FD"/>
    <w:rsid w:val="0096269C"/>
    <w:rsid w:val="009635D1"/>
    <w:rsid w:val="0097467D"/>
    <w:rsid w:val="0097690A"/>
    <w:rsid w:val="00990FD3"/>
    <w:rsid w:val="00993843"/>
    <w:rsid w:val="00997954"/>
    <w:rsid w:val="009B1C55"/>
    <w:rsid w:val="009B3885"/>
    <w:rsid w:val="009C13D1"/>
    <w:rsid w:val="009D042B"/>
    <w:rsid w:val="009D17CB"/>
    <w:rsid w:val="009E280D"/>
    <w:rsid w:val="009F2EE5"/>
    <w:rsid w:val="00A0028C"/>
    <w:rsid w:val="00A02D98"/>
    <w:rsid w:val="00A03502"/>
    <w:rsid w:val="00A11024"/>
    <w:rsid w:val="00A1356C"/>
    <w:rsid w:val="00A20652"/>
    <w:rsid w:val="00A24599"/>
    <w:rsid w:val="00A267EB"/>
    <w:rsid w:val="00A27B29"/>
    <w:rsid w:val="00A47EEB"/>
    <w:rsid w:val="00A53287"/>
    <w:rsid w:val="00A670DE"/>
    <w:rsid w:val="00A756DD"/>
    <w:rsid w:val="00A765CF"/>
    <w:rsid w:val="00A97E49"/>
    <w:rsid w:val="00AA025A"/>
    <w:rsid w:val="00AA06D1"/>
    <w:rsid w:val="00AA1D09"/>
    <w:rsid w:val="00AB4313"/>
    <w:rsid w:val="00AB6562"/>
    <w:rsid w:val="00AB7056"/>
    <w:rsid w:val="00AC1287"/>
    <w:rsid w:val="00AC606E"/>
    <w:rsid w:val="00AE48B9"/>
    <w:rsid w:val="00AF1FE9"/>
    <w:rsid w:val="00B14D1F"/>
    <w:rsid w:val="00B153F1"/>
    <w:rsid w:val="00B20A50"/>
    <w:rsid w:val="00B2111F"/>
    <w:rsid w:val="00B221FD"/>
    <w:rsid w:val="00B247FE"/>
    <w:rsid w:val="00B31F0C"/>
    <w:rsid w:val="00B64922"/>
    <w:rsid w:val="00B70892"/>
    <w:rsid w:val="00B8087C"/>
    <w:rsid w:val="00B85035"/>
    <w:rsid w:val="00B93CD2"/>
    <w:rsid w:val="00BA22B0"/>
    <w:rsid w:val="00BA484D"/>
    <w:rsid w:val="00BB1F46"/>
    <w:rsid w:val="00BB2040"/>
    <w:rsid w:val="00BB2B27"/>
    <w:rsid w:val="00BB5CC2"/>
    <w:rsid w:val="00BC085A"/>
    <w:rsid w:val="00BD00F1"/>
    <w:rsid w:val="00BD52C9"/>
    <w:rsid w:val="00BE7CCD"/>
    <w:rsid w:val="00BF2FFB"/>
    <w:rsid w:val="00BF5783"/>
    <w:rsid w:val="00C01877"/>
    <w:rsid w:val="00C03173"/>
    <w:rsid w:val="00C03E47"/>
    <w:rsid w:val="00C05E22"/>
    <w:rsid w:val="00C12D11"/>
    <w:rsid w:val="00C1349E"/>
    <w:rsid w:val="00C223F5"/>
    <w:rsid w:val="00C30EE7"/>
    <w:rsid w:val="00C321DE"/>
    <w:rsid w:val="00C324CF"/>
    <w:rsid w:val="00C502E4"/>
    <w:rsid w:val="00C725A7"/>
    <w:rsid w:val="00C745A1"/>
    <w:rsid w:val="00C82B8C"/>
    <w:rsid w:val="00C848C1"/>
    <w:rsid w:val="00C95231"/>
    <w:rsid w:val="00CA4BE5"/>
    <w:rsid w:val="00CA7D43"/>
    <w:rsid w:val="00CB6B12"/>
    <w:rsid w:val="00CC040E"/>
    <w:rsid w:val="00CC2219"/>
    <w:rsid w:val="00CD5340"/>
    <w:rsid w:val="00CD775C"/>
    <w:rsid w:val="00CE052E"/>
    <w:rsid w:val="00CE43D6"/>
    <w:rsid w:val="00CE71B6"/>
    <w:rsid w:val="00CF058A"/>
    <w:rsid w:val="00CF13CB"/>
    <w:rsid w:val="00CF7C8E"/>
    <w:rsid w:val="00D00345"/>
    <w:rsid w:val="00D135DA"/>
    <w:rsid w:val="00D17711"/>
    <w:rsid w:val="00D17CDD"/>
    <w:rsid w:val="00D24150"/>
    <w:rsid w:val="00D313D5"/>
    <w:rsid w:val="00D33248"/>
    <w:rsid w:val="00D357E3"/>
    <w:rsid w:val="00D3701F"/>
    <w:rsid w:val="00D4320D"/>
    <w:rsid w:val="00D432B4"/>
    <w:rsid w:val="00D4341A"/>
    <w:rsid w:val="00D4553F"/>
    <w:rsid w:val="00D46FF4"/>
    <w:rsid w:val="00D4741F"/>
    <w:rsid w:val="00D47C17"/>
    <w:rsid w:val="00D60FBD"/>
    <w:rsid w:val="00D71556"/>
    <w:rsid w:val="00D81056"/>
    <w:rsid w:val="00D844E7"/>
    <w:rsid w:val="00D86D41"/>
    <w:rsid w:val="00D93AB9"/>
    <w:rsid w:val="00DA05B7"/>
    <w:rsid w:val="00DA070A"/>
    <w:rsid w:val="00DA3686"/>
    <w:rsid w:val="00DA596D"/>
    <w:rsid w:val="00DB1897"/>
    <w:rsid w:val="00DB3B04"/>
    <w:rsid w:val="00DC294F"/>
    <w:rsid w:val="00DC2AF6"/>
    <w:rsid w:val="00DD4959"/>
    <w:rsid w:val="00DD51D8"/>
    <w:rsid w:val="00DE78C6"/>
    <w:rsid w:val="00DF3ECA"/>
    <w:rsid w:val="00DF5219"/>
    <w:rsid w:val="00E03075"/>
    <w:rsid w:val="00E102C5"/>
    <w:rsid w:val="00E116E3"/>
    <w:rsid w:val="00E12059"/>
    <w:rsid w:val="00E12CE6"/>
    <w:rsid w:val="00E20A9C"/>
    <w:rsid w:val="00E33FB7"/>
    <w:rsid w:val="00E3542C"/>
    <w:rsid w:val="00E3556B"/>
    <w:rsid w:val="00E35759"/>
    <w:rsid w:val="00E37FBA"/>
    <w:rsid w:val="00E527FE"/>
    <w:rsid w:val="00E54C30"/>
    <w:rsid w:val="00E5797F"/>
    <w:rsid w:val="00E67FA0"/>
    <w:rsid w:val="00E84365"/>
    <w:rsid w:val="00E873EE"/>
    <w:rsid w:val="00E91D0C"/>
    <w:rsid w:val="00E91ECE"/>
    <w:rsid w:val="00E92B7E"/>
    <w:rsid w:val="00EA0EBC"/>
    <w:rsid w:val="00EB16A2"/>
    <w:rsid w:val="00EB4779"/>
    <w:rsid w:val="00EB5945"/>
    <w:rsid w:val="00EB73BA"/>
    <w:rsid w:val="00EB73FB"/>
    <w:rsid w:val="00EB78A9"/>
    <w:rsid w:val="00EC523D"/>
    <w:rsid w:val="00EC5A40"/>
    <w:rsid w:val="00EC67B5"/>
    <w:rsid w:val="00ED573E"/>
    <w:rsid w:val="00ED6857"/>
    <w:rsid w:val="00F04D79"/>
    <w:rsid w:val="00F058AD"/>
    <w:rsid w:val="00F15874"/>
    <w:rsid w:val="00F16506"/>
    <w:rsid w:val="00F2482B"/>
    <w:rsid w:val="00F36D38"/>
    <w:rsid w:val="00F37F06"/>
    <w:rsid w:val="00F43982"/>
    <w:rsid w:val="00F45CD0"/>
    <w:rsid w:val="00F67212"/>
    <w:rsid w:val="00F71D3C"/>
    <w:rsid w:val="00F81D61"/>
    <w:rsid w:val="00F8556F"/>
    <w:rsid w:val="00F8619F"/>
    <w:rsid w:val="00F96FAE"/>
    <w:rsid w:val="00FC3C54"/>
    <w:rsid w:val="00FC4E31"/>
    <w:rsid w:val="00FD0E1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795BADA"/>
  <w15:docId w15:val="{3E333B1E-39EC-4DDB-95C4-BAA4CC38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Vresteksts">
    <w:name w:val="footnote text"/>
    <w:basedOn w:val="Parasts"/>
    <w:link w:val="VrestekstsRakstz"/>
    <w:uiPriority w:val="99"/>
    <w:semiHidden/>
    <w:unhideWhenUsed/>
    <w:rsid w:val="007861C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861C0"/>
    <w:rPr>
      <w:sz w:val="20"/>
      <w:szCs w:val="20"/>
    </w:rPr>
  </w:style>
  <w:style w:type="character" w:styleId="Vresatsauce">
    <w:name w:val="footnote reference"/>
    <w:basedOn w:val="Noklusjumarindkopasfonts"/>
    <w:uiPriority w:val="99"/>
    <w:unhideWhenUsed/>
    <w:rsid w:val="007861C0"/>
    <w:rPr>
      <w:vertAlign w:val="superscript"/>
    </w:rPr>
  </w:style>
  <w:style w:type="character" w:styleId="Izteiksmgs">
    <w:name w:val="Strong"/>
    <w:basedOn w:val="Noklusjumarindkopasfonts"/>
    <w:uiPriority w:val="22"/>
    <w:qFormat/>
    <w:rsid w:val="00CF058A"/>
    <w:rPr>
      <w:b/>
      <w:bCs/>
    </w:rPr>
  </w:style>
  <w:style w:type="character" w:styleId="Komentraatsauce">
    <w:name w:val="annotation reference"/>
    <w:basedOn w:val="Noklusjumarindkopasfonts"/>
    <w:uiPriority w:val="99"/>
    <w:semiHidden/>
    <w:unhideWhenUsed/>
    <w:rsid w:val="005757F4"/>
    <w:rPr>
      <w:sz w:val="16"/>
      <w:szCs w:val="16"/>
    </w:rPr>
  </w:style>
  <w:style w:type="paragraph" w:styleId="Komentrateksts">
    <w:name w:val="annotation text"/>
    <w:basedOn w:val="Parasts"/>
    <w:link w:val="KomentratekstsRakstz"/>
    <w:uiPriority w:val="99"/>
    <w:unhideWhenUsed/>
    <w:rsid w:val="005757F4"/>
    <w:pPr>
      <w:spacing w:line="240" w:lineRule="auto"/>
    </w:pPr>
    <w:rPr>
      <w:sz w:val="20"/>
      <w:szCs w:val="20"/>
    </w:rPr>
  </w:style>
  <w:style w:type="character" w:customStyle="1" w:styleId="KomentratekstsRakstz">
    <w:name w:val="Komentāra teksts Rakstz."/>
    <w:basedOn w:val="Noklusjumarindkopasfonts"/>
    <w:link w:val="Komentrateksts"/>
    <w:uiPriority w:val="99"/>
    <w:rsid w:val="005757F4"/>
    <w:rPr>
      <w:sz w:val="20"/>
      <w:szCs w:val="20"/>
    </w:rPr>
  </w:style>
  <w:style w:type="paragraph" w:styleId="Komentratma">
    <w:name w:val="annotation subject"/>
    <w:basedOn w:val="Komentrateksts"/>
    <w:next w:val="Komentrateksts"/>
    <w:link w:val="KomentratmaRakstz"/>
    <w:uiPriority w:val="99"/>
    <w:semiHidden/>
    <w:unhideWhenUsed/>
    <w:rsid w:val="005757F4"/>
    <w:rPr>
      <w:b/>
      <w:bCs/>
    </w:rPr>
  </w:style>
  <w:style w:type="character" w:customStyle="1" w:styleId="KomentratmaRakstz">
    <w:name w:val="Komentāra tēma Rakstz."/>
    <w:basedOn w:val="KomentratekstsRakstz"/>
    <w:link w:val="Komentratma"/>
    <w:uiPriority w:val="99"/>
    <w:semiHidden/>
    <w:rsid w:val="005757F4"/>
    <w:rPr>
      <w:b/>
      <w:bCs/>
      <w:sz w:val="20"/>
      <w:szCs w:val="20"/>
    </w:rPr>
  </w:style>
  <w:style w:type="character" w:styleId="Izmantotahipersaite">
    <w:name w:val="FollowedHyperlink"/>
    <w:basedOn w:val="Noklusjumarindkopasfonts"/>
    <w:uiPriority w:val="99"/>
    <w:semiHidden/>
    <w:unhideWhenUsed/>
    <w:rsid w:val="00F15874"/>
    <w:rPr>
      <w:color w:val="800080" w:themeColor="followedHyperlink"/>
      <w:u w:val="single"/>
    </w:rPr>
  </w:style>
  <w:style w:type="paragraph" w:styleId="Prskatjums">
    <w:name w:val="Revision"/>
    <w:hidden/>
    <w:uiPriority w:val="99"/>
    <w:semiHidden/>
    <w:rsid w:val="005D07E0"/>
    <w:pPr>
      <w:spacing w:after="0" w:line="240" w:lineRule="auto"/>
    </w:pPr>
  </w:style>
  <w:style w:type="paragraph" w:styleId="Paraststmeklis">
    <w:name w:val="Normal (Web)"/>
    <w:basedOn w:val="Parasts"/>
    <w:uiPriority w:val="99"/>
    <w:unhideWhenUsed/>
    <w:rsid w:val="00FD0E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Vietturateksts">
    <w:name w:val="Placeholder Text"/>
    <w:basedOn w:val="Noklusjumarindkopasfonts"/>
    <w:uiPriority w:val="99"/>
    <w:semiHidden/>
    <w:rsid w:val="00792980"/>
    <w:rPr>
      <w:color w:val="808080"/>
    </w:rPr>
  </w:style>
  <w:style w:type="character" w:customStyle="1" w:styleId="Neatrisintapieminana1">
    <w:name w:val="Neatrisināta pieminēšana1"/>
    <w:basedOn w:val="Noklusjumarindkopasfonts"/>
    <w:uiPriority w:val="99"/>
    <w:semiHidden/>
    <w:unhideWhenUsed/>
    <w:rsid w:val="008C7922"/>
    <w:rPr>
      <w:color w:val="808080"/>
      <w:shd w:val="clear" w:color="auto" w:fill="E6E6E6"/>
    </w:rPr>
  </w:style>
  <w:style w:type="paragraph" w:customStyle="1" w:styleId="tv2132">
    <w:name w:val="tv2132"/>
    <w:basedOn w:val="Parasts"/>
    <w:rsid w:val="001C27AA"/>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9C1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707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5440717">
      <w:bodyDiv w:val="1"/>
      <w:marLeft w:val="0"/>
      <w:marRight w:val="0"/>
      <w:marTop w:val="0"/>
      <w:marBottom w:val="0"/>
      <w:divBdr>
        <w:top w:val="none" w:sz="0" w:space="0" w:color="auto"/>
        <w:left w:val="none" w:sz="0" w:space="0" w:color="auto"/>
        <w:bottom w:val="none" w:sz="0" w:space="0" w:color="auto"/>
        <w:right w:val="none" w:sz="0" w:space="0" w:color="auto"/>
      </w:divBdr>
      <w:divsChild>
        <w:div w:id="187060273">
          <w:marLeft w:val="0"/>
          <w:marRight w:val="0"/>
          <w:marTop w:val="0"/>
          <w:marBottom w:val="0"/>
          <w:divBdr>
            <w:top w:val="none" w:sz="0" w:space="0" w:color="auto"/>
            <w:left w:val="none" w:sz="0" w:space="0" w:color="auto"/>
            <w:bottom w:val="none" w:sz="0" w:space="0" w:color="auto"/>
            <w:right w:val="none" w:sz="0" w:space="0" w:color="auto"/>
          </w:divBdr>
          <w:divsChild>
            <w:div w:id="1665157465">
              <w:marLeft w:val="0"/>
              <w:marRight w:val="0"/>
              <w:marTop w:val="0"/>
              <w:marBottom w:val="0"/>
              <w:divBdr>
                <w:top w:val="none" w:sz="0" w:space="0" w:color="auto"/>
                <w:left w:val="none" w:sz="0" w:space="0" w:color="auto"/>
                <w:bottom w:val="none" w:sz="0" w:space="0" w:color="auto"/>
                <w:right w:val="none" w:sz="0" w:space="0" w:color="auto"/>
              </w:divBdr>
              <w:divsChild>
                <w:div w:id="1286892394">
                  <w:marLeft w:val="0"/>
                  <w:marRight w:val="0"/>
                  <w:marTop w:val="0"/>
                  <w:marBottom w:val="0"/>
                  <w:divBdr>
                    <w:top w:val="none" w:sz="0" w:space="0" w:color="auto"/>
                    <w:left w:val="none" w:sz="0" w:space="0" w:color="auto"/>
                    <w:bottom w:val="none" w:sz="0" w:space="0" w:color="auto"/>
                    <w:right w:val="none" w:sz="0" w:space="0" w:color="auto"/>
                  </w:divBdr>
                  <w:divsChild>
                    <w:div w:id="489906351">
                      <w:marLeft w:val="0"/>
                      <w:marRight w:val="0"/>
                      <w:marTop w:val="0"/>
                      <w:marBottom w:val="0"/>
                      <w:divBdr>
                        <w:top w:val="none" w:sz="0" w:space="0" w:color="auto"/>
                        <w:left w:val="none" w:sz="0" w:space="0" w:color="auto"/>
                        <w:bottom w:val="none" w:sz="0" w:space="0" w:color="auto"/>
                        <w:right w:val="none" w:sz="0" w:space="0" w:color="auto"/>
                      </w:divBdr>
                      <w:divsChild>
                        <w:div w:id="1296369219">
                          <w:marLeft w:val="0"/>
                          <w:marRight w:val="0"/>
                          <w:marTop w:val="0"/>
                          <w:marBottom w:val="0"/>
                          <w:divBdr>
                            <w:top w:val="none" w:sz="0" w:space="0" w:color="auto"/>
                            <w:left w:val="none" w:sz="0" w:space="0" w:color="auto"/>
                            <w:bottom w:val="none" w:sz="0" w:space="0" w:color="auto"/>
                            <w:right w:val="none" w:sz="0" w:space="0" w:color="auto"/>
                          </w:divBdr>
                          <w:divsChild>
                            <w:div w:id="421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724">
      <w:bodyDiv w:val="1"/>
      <w:marLeft w:val="0"/>
      <w:marRight w:val="0"/>
      <w:marTop w:val="0"/>
      <w:marBottom w:val="0"/>
      <w:divBdr>
        <w:top w:val="none" w:sz="0" w:space="0" w:color="auto"/>
        <w:left w:val="none" w:sz="0" w:space="0" w:color="auto"/>
        <w:bottom w:val="none" w:sz="0" w:space="0" w:color="auto"/>
        <w:right w:val="none" w:sz="0" w:space="0" w:color="auto"/>
      </w:divBdr>
      <w:divsChild>
        <w:div w:id="1549368085">
          <w:marLeft w:val="0"/>
          <w:marRight w:val="0"/>
          <w:marTop w:val="0"/>
          <w:marBottom w:val="0"/>
          <w:divBdr>
            <w:top w:val="none" w:sz="0" w:space="0" w:color="auto"/>
            <w:left w:val="none" w:sz="0" w:space="0" w:color="auto"/>
            <w:bottom w:val="none" w:sz="0" w:space="0" w:color="auto"/>
            <w:right w:val="none" w:sz="0" w:space="0" w:color="auto"/>
          </w:divBdr>
          <w:divsChild>
            <w:div w:id="1917395826">
              <w:marLeft w:val="0"/>
              <w:marRight w:val="0"/>
              <w:marTop w:val="0"/>
              <w:marBottom w:val="0"/>
              <w:divBdr>
                <w:top w:val="none" w:sz="0" w:space="0" w:color="auto"/>
                <w:left w:val="none" w:sz="0" w:space="0" w:color="auto"/>
                <w:bottom w:val="none" w:sz="0" w:space="0" w:color="auto"/>
                <w:right w:val="none" w:sz="0" w:space="0" w:color="auto"/>
              </w:divBdr>
              <w:divsChild>
                <w:div w:id="532231401">
                  <w:marLeft w:val="0"/>
                  <w:marRight w:val="0"/>
                  <w:marTop w:val="0"/>
                  <w:marBottom w:val="0"/>
                  <w:divBdr>
                    <w:top w:val="none" w:sz="0" w:space="0" w:color="auto"/>
                    <w:left w:val="none" w:sz="0" w:space="0" w:color="auto"/>
                    <w:bottom w:val="none" w:sz="0" w:space="0" w:color="auto"/>
                    <w:right w:val="none" w:sz="0" w:space="0" w:color="auto"/>
                  </w:divBdr>
                  <w:divsChild>
                    <w:div w:id="159198902">
                      <w:marLeft w:val="0"/>
                      <w:marRight w:val="0"/>
                      <w:marTop w:val="0"/>
                      <w:marBottom w:val="0"/>
                      <w:divBdr>
                        <w:top w:val="none" w:sz="0" w:space="0" w:color="auto"/>
                        <w:left w:val="none" w:sz="0" w:space="0" w:color="auto"/>
                        <w:bottom w:val="none" w:sz="0" w:space="0" w:color="auto"/>
                        <w:right w:val="none" w:sz="0" w:space="0" w:color="auto"/>
                      </w:divBdr>
                      <w:divsChild>
                        <w:div w:id="1503810083">
                          <w:marLeft w:val="0"/>
                          <w:marRight w:val="0"/>
                          <w:marTop w:val="0"/>
                          <w:marBottom w:val="0"/>
                          <w:divBdr>
                            <w:top w:val="none" w:sz="0" w:space="0" w:color="auto"/>
                            <w:left w:val="none" w:sz="0" w:space="0" w:color="auto"/>
                            <w:bottom w:val="none" w:sz="0" w:space="0" w:color="auto"/>
                            <w:right w:val="none" w:sz="0" w:space="0" w:color="auto"/>
                          </w:divBdr>
                          <w:divsChild>
                            <w:div w:id="14389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9125">
      <w:bodyDiv w:val="1"/>
      <w:marLeft w:val="0"/>
      <w:marRight w:val="0"/>
      <w:marTop w:val="0"/>
      <w:marBottom w:val="0"/>
      <w:divBdr>
        <w:top w:val="none" w:sz="0" w:space="0" w:color="auto"/>
        <w:left w:val="none" w:sz="0" w:space="0" w:color="auto"/>
        <w:bottom w:val="none" w:sz="0" w:space="0" w:color="auto"/>
        <w:right w:val="none" w:sz="0" w:space="0" w:color="auto"/>
      </w:divBdr>
      <w:divsChild>
        <w:div w:id="80301275">
          <w:marLeft w:val="0"/>
          <w:marRight w:val="0"/>
          <w:marTop w:val="0"/>
          <w:marBottom w:val="0"/>
          <w:divBdr>
            <w:top w:val="none" w:sz="0" w:space="0" w:color="auto"/>
            <w:left w:val="none" w:sz="0" w:space="0" w:color="auto"/>
            <w:bottom w:val="none" w:sz="0" w:space="0" w:color="auto"/>
            <w:right w:val="none" w:sz="0" w:space="0" w:color="auto"/>
          </w:divBdr>
          <w:divsChild>
            <w:div w:id="2142844358">
              <w:marLeft w:val="0"/>
              <w:marRight w:val="0"/>
              <w:marTop w:val="0"/>
              <w:marBottom w:val="0"/>
              <w:divBdr>
                <w:top w:val="none" w:sz="0" w:space="0" w:color="auto"/>
                <w:left w:val="none" w:sz="0" w:space="0" w:color="auto"/>
                <w:bottom w:val="none" w:sz="0" w:space="0" w:color="auto"/>
                <w:right w:val="none" w:sz="0" w:space="0" w:color="auto"/>
              </w:divBdr>
              <w:divsChild>
                <w:div w:id="1877347058">
                  <w:marLeft w:val="0"/>
                  <w:marRight w:val="0"/>
                  <w:marTop w:val="0"/>
                  <w:marBottom w:val="0"/>
                  <w:divBdr>
                    <w:top w:val="none" w:sz="0" w:space="0" w:color="auto"/>
                    <w:left w:val="none" w:sz="0" w:space="0" w:color="auto"/>
                    <w:bottom w:val="none" w:sz="0" w:space="0" w:color="auto"/>
                    <w:right w:val="none" w:sz="0" w:space="0" w:color="auto"/>
                  </w:divBdr>
                  <w:divsChild>
                    <w:div w:id="1927183161">
                      <w:marLeft w:val="0"/>
                      <w:marRight w:val="0"/>
                      <w:marTop w:val="0"/>
                      <w:marBottom w:val="0"/>
                      <w:divBdr>
                        <w:top w:val="none" w:sz="0" w:space="0" w:color="auto"/>
                        <w:left w:val="none" w:sz="0" w:space="0" w:color="auto"/>
                        <w:bottom w:val="none" w:sz="0" w:space="0" w:color="auto"/>
                        <w:right w:val="none" w:sz="0" w:space="0" w:color="auto"/>
                      </w:divBdr>
                      <w:divsChild>
                        <w:div w:id="105775170">
                          <w:marLeft w:val="0"/>
                          <w:marRight w:val="0"/>
                          <w:marTop w:val="0"/>
                          <w:marBottom w:val="0"/>
                          <w:divBdr>
                            <w:top w:val="none" w:sz="0" w:space="0" w:color="auto"/>
                            <w:left w:val="none" w:sz="0" w:space="0" w:color="auto"/>
                            <w:bottom w:val="none" w:sz="0" w:space="0" w:color="auto"/>
                            <w:right w:val="none" w:sz="0" w:space="0" w:color="auto"/>
                          </w:divBdr>
                          <w:divsChild>
                            <w:div w:id="12545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81507943">
      <w:bodyDiv w:val="1"/>
      <w:marLeft w:val="0"/>
      <w:marRight w:val="0"/>
      <w:marTop w:val="0"/>
      <w:marBottom w:val="0"/>
      <w:divBdr>
        <w:top w:val="none" w:sz="0" w:space="0" w:color="auto"/>
        <w:left w:val="none" w:sz="0" w:space="0" w:color="auto"/>
        <w:bottom w:val="none" w:sz="0" w:space="0" w:color="auto"/>
        <w:right w:val="none" w:sz="0" w:space="0" w:color="auto"/>
      </w:divBdr>
      <w:divsChild>
        <w:div w:id="343243729">
          <w:marLeft w:val="0"/>
          <w:marRight w:val="0"/>
          <w:marTop w:val="0"/>
          <w:marBottom w:val="0"/>
          <w:divBdr>
            <w:top w:val="none" w:sz="0" w:space="0" w:color="auto"/>
            <w:left w:val="none" w:sz="0" w:space="0" w:color="auto"/>
            <w:bottom w:val="none" w:sz="0" w:space="0" w:color="auto"/>
            <w:right w:val="none" w:sz="0" w:space="0" w:color="auto"/>
          </w:divBdr>
          <w:divsChild>
            <w:div w:id="929896333">
              <w:marLeft w:val="0"/>
              <w:marRight w:val="0"/>
              <w:marTop w:val="0"/>
              <w:marBottom w:val="0"/>
              <w:divBdr>
                <w:top w:val="none" w:sz="0" w:space="0" w:color="auto"/>
                <w:left w:val="none" w:sz="0" w:space="0" w:color="auto"/>
                <w:bottom w:val="none" w:sz="0" w:space="0" w:color="auto"/>
                <w:right w:val="none" w:sz="0" w:space="0" w:color="auto"/>
              </w:divBdr>
              <w:divsChild>
                <w:div w:id="1255935859">
                  <w:marLeft w:val="0"/>
                  <w:marRight w:val="0"/>
                  <w:marTop w:val="0"/>
                  <w:marBottom w:val="0"/>
                  <w:divBdr>
                    <w:top w:val="none" w:sz="0" w:space="0" w:color="auto"/>
                    <w:left w:val="none" w:sz="0" w:space="0" w:color="auto"/>
                    <w:bottom w:val="none" w:sz="0" w:space="0" w:color="auto"/>
                    <w:right w:val="none" w:sz="0" w:space="0" w:color="auto"/>
                  </w:divBdr>
                  <w:divsChild>
                    <w:div w:id="860435248">
                      <w:marLeft w:val="0"/>
                      <w:marRight w:val="0"/>
                      <w:marTop w:val="0"/>
                      <w:marBottom w:val="0"/>
                      <w:divBdr>
                        <w:top w:val="none" w:sz="0" w:space="0" w:color="auto"/>
                        <w:left w:val="none" w:sz="0" w:space="0" w:color="auto"/>
                        <w:bottom w:val="none" w:sz="0" w:space="0" w:color="auto"/>
                        <w:right w:val="none" w:sz="0" w:space="0" w:color="auto"/>
                      </w:divBdr>
                      <w:divsChild>
                        <w:div w:id="1834031257">
                          <w:marLeft w:val="0"/>
                          <w:marRight w:val="0"/>
                          <w:marTop w:val="0"/>
                          <w:marBottom w:val="0"/>
                          <w:divBdr>
                            <w:top w:val="none" w:sz="0" w:space="0" w:color="auto"/>
                            <w:left w:val="none" w:sz="0" w:space="0" w:color="auto"/>
                            <w:bottom w:val="none" w:sz="0" w:space="0" w:color="auto"/>
                            <w:right w:val="none" w:sz="0" w:space="0" w:color="auto"/>
                          </w:divBdr>
                          <w:divsChild>
                            <w:div w:id="17474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52285">
      <w:bodyDiv w:val="1"/>
      <w:marLeft w:val="0"/>
      <w:marRight w:val="0"/>
      <w:marTop w:val="0"/>
      <w:marBottom w:val="0"/>
      <w:divBdr>
        <w:top w:val="none" w:sz="0" w:space="0" w:color="auto"/>
        <w:left w:val="none" w:sz="0" w:space="0" w:color="auto"/>
        <w:bottom w:val="none" w:sz="0" w:space="0" w:color="auto"/>
        <w:right w:val="none" w:sz="0" w:space="0" w:color="auto"/>
      </w:divBdr>
    </w:div>
    <w:div w:id="788937217">
      <w:bodyDiv w:val="1"/>
      <w:marLeft w:val="0"/>
      <w:marRight w:val="0"/>
      <w:marTop w:val="0"/>
      <w:marBottom w:val="0"/>
      <w:divBdr>
        <w:top w:val="none" w:sz="0" w:space="0" w:color="auto"/>
        <w:left w:val="none" w:sz="0" w:space="0" w:color="auto"/>
        <w:bottom w:val="none" w:sz="0" w:space="0" w:color="auto"/>
        <w:right w:val="none" w:sz="0" w:space="0" w:color="auto"/>
      </w:divBdr>
      <w:divsChild>
        <w:div w:id="856311520">
          <w:marLeft w:val="0"/>
          <w:marRight w:val="0"/>
          <w:marTop w:val="0"/>
          <w:marBottom w:val="0"/>
          <w:divBdr>
            <w:top w:val="none" w:sz="0" w:space="0" w:color="auto"/>
            <w:left w:val="none" w:sz="0" w:space="0" w:color="auto"/>
            <w:bottom w:val="none" w:sz="0" w:space="0" w:color="auto"/>
            <w:right w:val="none" w:sz="0" w:space="0" w:color="auto"/>
          </w:divBdr>
          <w:divsChild>
            <w:div w:id="108671474">
              <w:marLeft w:val="0"/>
              <w:marRight w:val="0"/>
              <w:marTop w:val="0"/>
              <w:marBottom w:val="0"/>
              <w:divBdr>
                <w:top w:val="none" w:sz="0" w:space="0" w:color="auto"/>
                <w:left w:val="none" w:sz="0" w:space="0" w:color="auto"/>
                <w:bottom w:val="none" w:sz="0" w:space="0" w:color="auto"/>
                <w:right w:val="none" w:sz="0" w:space="0" w:color="auto"/>
              </w:divBdr>
              <w:divsChild>
                <w:div w:id="1604149168">
                  <w:marLeft w:val="0"/>
                  <w:marRight w:val="0"/>
                  <w:marTop w:val="0"/>
                  <w:marBottom w:val="0"/>
                  <w:divBdr>
                    <w:top w:val="none" w:sz="0" w:space="0" w:color="auto"/>
                    <w:left w:val="none" w:sz="0" w:space="0" w:color="auto"/>
                    <w:bottom w:val="none" w:sz="0" w:space="0" w:color="auto"/>
                    <w:right w:val="none" w:sz="0" w:space="0" w:color="auto"/>
                  </w:divBdr>
                  <w:divsChild>
                    <w:div w:id="1518959213">
                      <w:marLeft w:val="0"/>
                      <w:marRight w:val="0"/>
                      <w:marTop w:val="0"/>
                      <w:marBottom w:val="0"/>
                      <w:divBdr>
                        <w:top w:val="none" w:sz="0" w:space="0" w:color="auto"/>
                        <w:left w:val="none" w:sz="0" w:space="0" w:color="auto"/>
                        <w:bottom w:val="none" w:sz="0" w:space="0" w:color="auto"/>
                        <w:right w:val="none" w:sz="0" w:space="0" w:color="auto"/>
                      </w:divBdr>
                      <w:divsChild>
                        <w:div w:id="330916613">
                          <w:marLeft w:val="0"/>
                          <w:marRight w:val="0"/>
                          <w:marTop w:val="0"/>
                          <w:marBottom w:val="0"/>
                          <w:divBdr>
                            <w:top w:val="none" w:sz="0" w:space="0" w:color="auto"/>
                            <w:left w:val="none" w:sz="0" w:space="0" w:color="auto"/>
                            <w:bottom w:val="none" w:sz="0" w:space="0" w:color="auto"/>
                            <w:right w:val="none" w:sz="0" w:space="0" w:color="auto"/>
                          </w:divBdr>
                          <w:divsChild>
                            <w:div w:id="14300089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00959">
      <w:bodyDiv w:val="1"/>
      <w:marLeft w:val="0"/>
      <w:marRight w:val="0"/>
      <w:marTop w:val="0"/>
      <w:marBottom w:val="0"/>
      <w:divBdr>
        <w:top w:val="none" w:sz="0" w:space="0" w:color="auto"/>
        <w:left w:val="none" w:sz="0" w:space="0" w:color="auto"/>
        <w:bottom w:val="none" w:sz="0" w:space="0" w:color="auto"/>
        <w:right w:val="none" w:sz="0" w:space="0" w:color="auto"/>
      </w:divBdr>
    </w:div>
    <w:div w:id="825510689">
      <w:bodyDiv w:val="1"/>
      <w:marLeft w:val="0"/>
      <w:marRight w:val="0"/>
      <w:marTop w:val="0"/>
      <w:marBottom w:val="0"/>
      <w:divBdr>
        <w:top w:val="none" w:sz="0" w:space="0" w:color="auto"/>
        <w:left w:val="none" w:sz="0" w:space="0" w:color="auto"/>
        <w:bottom w:val="none" w:sz="0" w:space="0" w:color="auto"/>
        <w:right w:val="none" w:sz="0" w:space="0" w:color="auto"/>
      </w:divBdr>
    </w:div>
    <w:div w:id="885874810">
      <w:bodyDiv w:val="1"/>
      <w:marLeft w:val="0"/>
      <w:marRight w:val="0"/>
      <w:marTop w:val="0"/>
      <w:marBottom w:val="0"/>
      <w:divBdr>
        <w:top w:val="none" w:sz="0" w:space="0" w:color="auto"/>
        <w:left w:val="none" w:sz="0" w:space="0" w:color="auto"/>
        <w:bottom w:val="none" w:sz="0" w:space="0" w:color="auto"/>
        <w:right w:val="none" w:sz="0" w:space="0" w:color="auto"/>
      </w:divBdr>
      <w:divsChild>
        <w:div w:id="326981109">
          <w:marLeft w:val="0"/>
          <w:marRight w:val="0"/>
          <w:marTop w:val="0"/>
          <w:marBottom w:val="0"/>
          <w:divBdr>
            <w:top w:val="none" w:sz="0" w:space="0" w:color="auto"/>
            <w:left w:val="none" w:sz="0" w:space="0" w:color="auto"/>
            <w:bottom w:val="none" w:sz="0" w:space="0" w:color="auto"/>
            <w:right w:val="none" w:sz="0" w:space="0" w:color="auto"/>
          </w:divBdr>
          <w:divsChild>
            <w:div w:id="1234314426">
              <w:marLeft w:val="0"/>
              <w:marRight w:val="0"/>
              <w:marTop w:val="0"/>
              <w:marBottom w:val="0"/>
              <w:divBdr>
                <w:top w:val="none" w:sz="0" w:space="0" w:color="auto"/>
                <w:left w:val="none" w:sz="0" w:space="0" w:color="auto"/>
                <w:bottom w:val="none" w:sz="0" w:space="0" w:color="auto"/>
                <w:right w:val="none" w:sz="0" w:space="0" w:color="auto"/>
              </w:divBdr>
              <w:divsChild>
                <w:div w:id="233005018">
                  <w:marLeft w:val="0"/>
                  <w:marRight w:val="0"/>
                  <w:marTop w:val="0"/>
                  <w:marBottom w:val="0"/>
                  <w:divBdr>
                    <w:top w:val="none" w:sz="0" w:space="0" w:color="auto"/>
                    <w:left w:val="none" w:sz="0" w:space="0" w:color="auto"/>
                    <w:bottom w:val="none" w:sz="0" w:space="0" w:color="auto"/>
                    <w:right w:val="none" w:sz="0" w:space="0" w:color="auto"/>
                  </w:divBdr>
                  <w:divsChild>
                    <w:div w:id="1263152515">
                      <w:marLeft w:val="0"/>
                      <w:marRight w:val="0"/>
                      <w:marTop w:val="0"/>
                      <w:marBottom w:val="0"/>
                      <w:divBdr>
                        <w:top w:val="none" w:sz="0" w:space="0" w:color="auto"/>
                        <w:left w:val="none" w:sz="0" w:space="0" w:color="auto"/>
                        <w:bottom w:val="none" w:sz="0" w:space="0" w:color="auto"/>
                        <w:right w:val="none" w:sz="0" w:space="0" w:color="auto"/>
                      </w:divBdr>
                      <w:divsChild>
                        <w:div w:id="1286037881">
                          <w:marLeft w:val="0"/>
                          <w:marRight w:val="0"/>
                          <w:marTop w:val="0"/>
                          <w:marBottom w:val="0"/>
                          <w:divBdr>
                            <w:top w:val="none" w:sz="0" w:space="0" w:color="auto"/>
                            <w:left w:val="none" w:sz="0" w:space="0" w:color="auto"/>
                            <w:bottom w:val="none" w:sz="0" w:space="0" w:color="auto"/>
                            <w:right w:val="none" w:sz="0" w:space="0" w:color="auto"/>
                          </w:divBdr>
                          <w:divsChild>
                            <w:div w:id="16490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77550">
      <w:bodyDiv w:val="1"/>
      <w:marLeft w:val="0"/>
      <w:marRight w:val="0"/>
      <w:marTop w:val="0"/>
      <w:marBottom w:val="0"/>
      <w:divBdr>
        <w:top w:val="none" w:sz="0" w:space="0" w:color="auto"/>
        <w:left w:val="none" w:sz="0" w:space="0" w:color="auto"/>
        <w:bottom w:val="none" w:sz="0" w:space="0" w:color="auto"/>
        <w:right w:val="none" w:sz="0" w:space="0" w:color="auto"/>
      </w:divBdr>
    </w:div>
    <w:div w:id="1288004770">
      <w:bodyDiv w:val="1"/>
      <w:marLeft w:val="0"/>
      <w:marRight w:val="0"/>
      <w:marTop w:val="0"/>
      <w:marBottom w:val="0"/>
      <w:divBdr>
        <w:top w:val="none" w:sz="0" w:space="0" w:color="auto"/>
        <w:left w:val="none" w:sz="0" w:space="0" w:color="auto"/>
        <w:bottom w:val="none" w:sz="0" w:space="0" w:color="auto"/>
        <w:right w:val="none" w:sz="0" w:space="0" w:color="auto"/>
      </w:divBdr>
      <w:divsChild>
        <w:div w:id="2029066707">
          <w:marLeft w:val="0"/>
          <w:marRight w:val="0"/>
          <w:marTop w:val="0"/>
          <w:marBottom w:val="0"/>
          <w:divBdr>
            <w:top w:val="none" w:sz="0" w:space="0" w:color="auto"/>
            <w:left w:val="none" w:sz="0" w:space="0" w:color="auto"/>
            <w:bottom w:val="none" w:sz="0" w:space="0" w:color="auto"/>
            <w:right w:val="none" w:sz="0" w:space="0" w:color="auto"/>
          </w:divBdr>
          <w:divsChild>
            <w:div w:id="2143501866">
              <w:marLeft w:val="0"/>
              <w:marRight w:val="0"/>
              <w:marTop w:val="0"/>
              <w:marBottom w:val="0"/>
              <w:divBdr>
                <w:top w:val="none" w:sz="0" w:space="0" w:color="auto"/>
                <w:left w:val="none" w:sz="0" w:space="0" w:color="auto"/>
                <w:bottom w:val="none" w:sz="0" w:space="0" w:color="auto"/>
                <w:right w:val="none" w:sz="0" w:space="0" w:color="auto"/>
              </w:divBdr>
              <w:divsChild>
                <w:div w:id="1260333622">
                  <w:marLeft w:val="0"/>
                  <w:marRight w:val="0"/>
                  <w:marTop w:val="0"/>
                  <w:marBottom w:val="0"/>
                  <w:divBdr>
                    <w:top w:val="none" w:sz="0" w:space="0" w:color="auto"/>
                    <w:left w:val="none" w:sz="0" w:space="0" w:color="auto"/>
                    <w:bottom w:val="none" w:sz="0" w:space="0" w:color="auto"/>
                    <w:right w:val="none" w:sz="0" w:space="0" w:color="auto"/>
                  </w:divBdr>
                  <w:divsChild>
                    <w:div w:id="937639155">
                      <w:marLeft w:val="0"/>
                      <w:marRight w:val="0"/>
                      <w:marTop w:val="0"/>
                      <w:marBottom w:val="0"/>
                      <w:divBdr>
                        <w:top w:val="none" w:sz="0" w:space="0" w:color="auto"/>
                        <w:left w:val="none" w:sz="0" w:space="0" w:color="auto"/>
                        <w:bottom w:val="none" w:sz="0" w:space="0" w:color="auto"/>
                        <w:right w:val="none" w:sz="0" w:space="0" w:color="auto"/>
                      </w:divBdr>
                      <w:divsChild>
                        <w:div w:id="1439175054">
                          <w:marLeft w:val="0"/>
                          <w:marRight w:val="0"/>
                          <w:marTop w:val="0"/>
                          <w:marBottom w:val="0"/>
                          <w:divBdr>
                            <w:top w:val="none" w:sz="0" w:space="0" w:color="auto"/>
                            <w:left w:val="none" w:sz="0" w:space="0" w:color="auto"/>
                            <w:bottom w:val="none" w:sz="0" w:space="0" w:color="auto"/>
                            <w:right w:val="none" w:sz="0" w:space="0" w:color="auto"/>
                          </w:divBdr>
                          <w:divsChild>
                            <w:div w:id="137187634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160823">
      <w:bodyDiv w:val="1"/>
      <w:marLeft w:val="0"/>
      <w:marRight w:val="0"/>
      <w:marTop w:val="0"/>
      <w:marBottom w:val="0"/>
      <w:divBdr>
        <w:top w:val="none" w:sz="0" w:space="0" w:color="auto"/>
        <w:left w:val="none" w:sz="0" w:space="0" w:color="auto"/>
        <w:bottom w:val="none" w:sz="0" w:space="0" w:color="auto"/>
        <w:right w:val="none" w:sz="0" w:space="0" w:color="auto"/>
      </w:divBdr>
    </w:div>
    <w:div w:id="1492133810">
      <w:bodyDiv w:val="1"/>
      <w:marLeft w:val="0"/>
      <w:marRight w:val="0"/>
      <w:marTop w:val="0"/>
      <w:marBottom w:val="0"/>
      <w:divBdr>
        <w:top w:val="none" w:sz="0" w:space="0" w:color="auto"/>
        <w:left w:val="none" w:sz="0" w:space="0" w:color="auto"/>
        <w:bottom w:val="none" w:sz="0" w:space="0" w:color="auto"/>
        <w:right w:val="none" w:sz="0" w:space="0" w:color="auto"/>
      </w:divBdr>
    </w:div>
    <w:div w:id="1609966879">
      <w:bodyDiv w:val="1"/>
      <w:marLeft w:val="0"/>
      <w:marRight w:val="0"/>
      <w:marTop w:val="0"/>
      <w:marBottom w:val="0"/>
      <w:divBdr>
        <w:top w:val="none" w:sz="0" w:space="0" w:color="auto"/>
        <w:left w:val="none" w:sz="0" w:space="0" w:color="auto"/>
        <w:bottom w:val="none" w:sz="0" w:space="0" w:color="auto"/>
        <w:right w:val="none" w:sz="0" w:space="0" w:color="auto"/>
      </w:divBdr>
      <w:divsChild>
        <w:div w:id="2012289732">
          <w:marLeft w:val="0"/>
          <w:marRight w:val="0"/>
          <w:marTop w:val="0"/>
          <w:marBottom w:val="0"/>
          <w:divBdr>
            <w:top w:val="none" w:sz="0" w:space="0" w:color="auto"/>
            <w:left w:val="none" w:sz="0" w:space="0" w:color="auto"/>
            <w:bottom w:val="none" w:sz="0" w:space="0" w:color="auto"/>
            <w:right w:val="none" w:sz="0" w:space="0" w:color="auto"/>
          </w:divBdr>
          <w:divsChild>
            <w:div w:id="451289637">
              <w:marLeft w:val="0"/>
              <w:marRight w:val="0"/>
              <w:marTop w:val="0"/>
              <w:marBottom w:val="0"/>
              <w:divBdr>
                <w:top w:val="none" w:sz="0" w:space="0" w:color="auto"/>
                <w:left w:val="none" w:sz="0" w:space="0" w:color="auto"/>
                <w:bottom w:val="none" w:sz="0" w:space="0" w:color="auto"/>
                <w:right w:val="none" w:sz="0" w:space="0" w:color="auto"/>
              </w:divBdr>
              <w:divsChild>
                <w:div w:id="1771505385">
                  <w:marLeft w:val="0"/>
                  <w:marRight w:val="0"/>
                  <w:marTop w:val="0"/>
                  <w:marBottom w:val="0"/>
                  <w:divBdr>
                    <w:top w:val="none" w:sz="0" w:space="0" w:color="auto"/>
                    <w:left w:val="none" w:sz="0" w:space="0" w:color="auto"/>
                    <w:bottom w:val="none" w:sz="0" w:space="0" w:color="auto"/>
                    <w:right w:val="none" w:sz="0" w:space="0" w:color="auto"/>
                  </w:divBdr>
                  <w:divsChild>
                    <w:div w:id="1538468773">
                      <w:marLeft w:val="0"/>
                      <w:marRight w:val="0"/>
                      <w:marTop w:val="0"/>
                      <w:marBottom w:val="0"/>
                      <w:divBdr>
                        <w:top w:val="none" w:sz="0" w:space="0" w:color="auto"/>
                        <w:left w:val="none" w:sz="0" w:space="0" w:color="auto"/>
                        <w:bottom w:val="none" w:sz="0" w:space="0" w:color="auto"/>
                        <w:right w:val="none" w:sz="0" w:space="0" w:color="auto"/>
                      </w:divBdr>
                      <w:divsChild>
                        <w:div w:id="194773271">
                          <w:marLeft w:val="0"/>
                          <w:marRight w:val="0"/>
                          <w:marTop w:val="0"/>
                          <w:marBottom w:val="0"/>
                          <w:divBdr>
                            <w:top w:val="none" w:sz="0" w:space="0" w:color="auto"/>
                            <w:left w:val="none" w:sz="0" w:space="0" w:color="auto"/>
                            <w:bottom w:val="none" w:sz="0" w:space="0" w:color="auto"/>
                            <w:right w:val="none" w:sz="0" w:space="0" w:color="auto"/>
                          </w:divBdr>
                          <w:divsChild>
                            <w:div w:id="106464113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79516">
      <w:bodyDiv w:val="1"/>
      <w:marLeft w:val="0"/>
      <w:marRight w:val="0"/>
      <w:marTop w:val="0"/>
      <w:marBottom w:val="0"/>
      <w:divBdr>
        <w:top w:val="none" w:sz="0" w:space="0" w:color="auto"/>
        <w:left w:val="none" w:sz="0" w:space="0" w:color="auto"/>
        <w:bottom w:val="none" w:sz="0" w:space="0" w:color="auto"/>
        <w:right w:val="none" w:sz="0" w:space="0" w:color="auto"/>
      </w:divBdr>
      <w:divsChild>
        <w:div w:id="1244493061">
          <w:marLeft w:val="0"/>
          <w:marRight w:val="0"/>
          <w:marTop w:val="0"/>
          <w:marBottom w:val="0"/>
          <w:divBdr>
            <w:top w:val="none" w:sz="0" w:space="0" w:color="auto"/>
            <w:left w:val="none" w:sz="0" w:space="0" w:color="auto"/>
            <w:bottom w:val="none" w:sz="0" w:space="0" w:color="auto"/>
            <w:right w:val="none" w:sz="0" w:space="0" w:color="auto"/>
          </w:divBdr>
          <w:divsChild>
            <w:div w:id="190001878">
              <w:marLeft w:val="0"/>
              <w:marRight w:val="0"/>
              <w:marTop w:val="0"/>
              <w:marBottom w:val="0"/>
              <w:divBdr>
                <w:top w:val="none" w:sz="0" w:space="0" w:color="auto"/>
                <w:left w:val="none" w:sz="0" w:space="0" w:color="auto"/>
                <w:bottom w:val="none" w:sz="0" w:space="0" w:color="auto"/>
                <w:right w:val="none" w:sz="0" w:space="0" w:color="auto"/>
              </w:divBdr>
              <w:divsChild>
                <w:div w:id="2030638445">
                  <w:marLeft w:val="0"/>
                  <w:marRight w:val="0"/>
                  <w:marTop w:val="0"/>
                  <w:marBottom w:val="0"/>
                  <w:divBdr>
                    <w:top w:val="none" w:sz="0" w:space="0" w:color="auto"/>
                    <w:left w:val="none" w:sz="0" w:space="0" w:color="auto"/>
                    <w:bottom w:val="none" w:sz="0" w:space="0" w:color="auto"/>
                    <w:right w:val="none" w:sz="0" w:space="0" w:color="auto"/>
                  </w:divBdr>
                  <w:divsChild>
                    <w:div w:id="761150111">
                      <w:marLeft w:val="0"/>
                      <w:marRight w:val="0"/>
                      <w:marTop w:val="0"/>
                      <w:marBottom w:val="0"/>
                      <w:divBdr>
                        <w:top w:val="none" w:sz="0" w:space="0" w:color="auto"/>
                        <w:left w:val="none" w:sz="0" w:space="0" w:color="auto"/>
                        <w:bottom w:val="none" w:sz="0" w:space="0" w:color="auto"/>
                        <w:right w:val="none" w:sz="0" w:space="0" w:color="auto"/>
                      </w:divBdr>
                      <w:divsChild>
                        <w:div w:id="1673483398">
                          <w:marLeft w:val="0"/>
                          <w:marRight w:val="0"/>
                          <w:marTop w:val="0"/>
                          <w:marBottom w:val="0"/>
                          <w:divBdr>
                            <w:top w:val="none" w:sz="0" w:space="0" w:color="auto"/>
                            <w:left w:val="none" w:sz="0" w:space="0" w:color="auto"/>
                            <w:bottom w:val="none" w:sz="0" w:space="0" w:color="auto"/>
                            <w:right w:val="none" w:sz="0" w:space="0" w:color="auto"/>
                          </w:divBdr>
                          <w:divsChild>
                            <w:div w:id="4094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433374">
      <w:bodyDiv w:val="1"/>
      <w:marLeft w:val="0"/>
      <w:marRight w:val="0"/>
      <w:marTop w:val="0"/>
      <w:marBottom w:val="0"/>
      <w:divBdr>
        <w:top w:val="none" w:sz="0" w:space="0" w:color="auto"/>
        <w:left w:val="none" w:sz="0" w:space="0" w:color="auto"/>
        <w:bottom w:val="none" w:sz="0" w:space="0" w:color="auto"/>
        <w:right w:val="none" w:sz="0" w:space="0" w:color="auto"/>
      </w:divBdr>
      <w:divsChild>
        <w:div w:id="1950505289">
          <w:marLeft w:val="0"/>
          <w:marRight w:val="0"/>
          <w:marTop w:val="0"/>
          <w:marBottom w:val="0"/>
          <w:divBdr>
            <w:top w:val="none" w:sz="0" w:space="0" w:color="auto"/>
            <w:left w:val="none" w:sz="0" w:space="0" w:color="auto"/>
            <w:bottom w:val="none" w:sz="0" w:space="0" w:color="auto"/>
            <w:right w:val="none" w:sz="0" w:space="0" w:color="auto"/>
          </w:divBdr>
          <w:divsChild>
            <w:div w:id="1481849339">
              <w:marLeft w:val="0"/>
              <w:marRight w:val="0"/>
              <w:marTop w:val="0"/>
              <w:marBottom w:val="0"/>
              <w:divBdr>
                <w:top w:val="none" w:sz="0" w:space="0" w:color="auto"/>
                <w:left w:val="none" w:sz="0" w:space="0" w:color="auto"/>
                <w:bottom w:val="none" w:sz="0" w:space="0" w:color="auto"/>
                <w:right w:val="none" w:sz="0" w:space="0" w:color="auto"/>
              </w:divBdr>
              <w:divsChild>
                <w:div w:id="91049641">
                  <w:marLeft w:val="0"/>
                  <w:marRight w:val="0"/>
                  <w:marTop w:val="0"/>
                  <w:marBottom w:val="0"/>
                  <w:divBdr>
                    <w:top w:val="none" w:sz="0" w:space="0" w:color="auto"/>
                    <w:left w:val="none" w:sz="0" w:space="0" w:color="auto"/>
                    <w:bottom w:val="none" w:sz="0" w:space="0" w:color="auto"/>
                    <w:right w:val="none" w:sz="0" w:space="0" w:color="auto"/>
                  </w:divBdr>
                  <w:divsChild>
                    <w:div w:id="864559987">
                      <w:marLeft w:val="0"/>
                      <w:marRight w:val="0"/>
                      <w:marTop w:val="0"/>
                      <w:marBottom w:val="0"/>
                      <w:divBdr>
                        <w:top w:val="none" w:sz="0" w:space="0" w:color="auto"/>
                        <w:left w:val="none" w:sz="0" w:space="0" w:color="auto"/>
                        <w:bottom w:val="none" w:sz="0" w:space="0" w:color="auto"/>
                        <w:right w:val="none" w:sz="0" w:space="0" w:color="auto"/>
                      </w:divBdr>
                      <w:divsChild>
                        <w:div w:id="80956428">
                          <w:marLeft w:val="0"/>
                          <w:marRight w:val="0"/>
                          <w:marTop w:val="0"/>
                          <w:marBottom w:val="0"/>
                          <w:divBdr>
                            <w:top w:val="none" w:sz="0" w:space="0" w:color="auto"/>
                            <w:left w:val="none" w:sz="0" w:space="0" w:color="auto"/>
                            <w:bottom w:val="none" w:sz="0" w:space="0" w:color="auto"/>
                            <w:right w:val="none" w:sz="0" w:space="0" w:color="auto"/>
                          </w:divBdr>
                          <w:divsChild>
                            <w:div w:id="2523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248971">
      <w:bodyDiv w:val="1"/>
      <w:marLeft w:val="0"/>
      <w:marRight w:val="0"/>
      <w:marTop w:val="0"/>
      <w:marBottom w:val="0"/>
      <w:divBdr>
        <w:top w:val="none" w:sz="0" w:space="0" w:color="auto"/>
        <w:left w:val="none" w:sz="0" w:space="0" w:color="auto"/>
        <w:bottom w:val="none" w:sz="0" w:space="0" w:color="auto"/>
        <w:right w:val="none" w:sz="0" w:space="0" w:color="auto"/>
      </w:divBdr>
    </w:div>
    <w:div w:id="1800759830">
      <w:bodyDiv w:val="1"/>
      <w:marLeft w:val="0"/>
      <w:marRight w:val="0"/>
      <w:marTop w:val="0"/>
      <w:marBottom w:val="0"/>
      <w:divBdr>
        <w:top w:val="none" w:sz="0" w:space="0" w:color="auto"/>
        <w:left w:val="none" w:sz="0" w:space="0" w:color="auto"/>
        <w:bottom w:val="none" w:sz="0" w:space="0" w:color="auto"/>
        <w:right w:val="none" w:sz="0" w:space="0" w:color="auto"/>
      </w:divBdr>
    </w:div>
    <w:div w:id="1921328910">
      <w:bodyDiv w:val="1"/>
      <w:marLeft w:val="0"/>
      <w:marRight w:val="0"/>
      <w:marTop w:val="0"/>
      <w:marBottom w:val="0"/>
      <w:divBdr>
        <w:top w:val="none" w:sz="0" w:space="0" w:color="auto"/>
        <w:left w:val="none" w:sz="0" w:space="0" w:color="auto"/>
        <w:bottom w:val="none" w:sz="0" w:space="0" w:color="auto"/>
        <w:right w:val="none" w:sz="0" w:space="0" w:color="auto"/>
      </w:divBdr>
    </w:div>
    <w:div w:id="205422893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5677">
      <w:bodyDiv w:val="1"/>
      <w:marLeft w:val="0"/>
      <w:marRight w:val="0"/>
      <w:marTop w:val="0"/>
      <w:marBottom w:val="0"/>
      <w:divBdr>
        <w:top w:val="none" w:sz="0" w:space="0" w:color="auto"/>
        <w:left w:val="none" w:sz="0" w:space="0" w:color="auto"/>
        <w:bottom w:val="none" w:sz="0" w:space="0" w:color="auto"/>
        <w:right w:val="none" w:sz="0" w:space="0" w:color="auto"/>
      </w:divBdr>
      <w:divsChild>
        <w:div w:id="174001149">
          <w:marLeft w:val="0"/>
          <w:marRight w:val="0"/>
          <w:marTop w:val="0"/>
          <w:marBottom w:val="0"/>
          <w:divBdr>
            <w:top w:val="none" w:sz="0" w:space="0" w:color="auto"/>
            <w:left w:val="none" w:sz="0" w:space="0" w:color="auto"/>
            <w:bottom w:val="none" w:sz="0" w:space="0" w:color="auto"/>
            <w:right w:val="none" w:sz="0" w:space="0" w:color="auto"/>
          </w:divBdr>
          <w:divsChild>
            <w:div w:id="2028173304">
              <w:marLeft w:val="0"/>
              <w:marRight w:val="0"/>
              <w:marTop w:val="0"/>
              <w:marBottom w:val="0"/>
              <w:divBdr>
                <w:top w:val="none" w:sz="0" w:space="0" w:color="auto"/>
                <w:left w:val="none" w:sz="0" w:space="0" w:color="auto"/>
                <w:bottom w:val="none" w:sz="0" w:space="0" w:color="auto"/>
                <w:right w:val="none" w:sz="0" w:space="0" w:color="auto"/>
              </w:divBdr>
              <w:divsChild>
                <w:div w:id="357312825">
                  <w:marLeft w:val="0"/>
                  <w:marRight w:val="0"/>
                  <w:marTop w:val="0"/>
                  <w:marBottom w:val="0"/>
                  <w:divBdr>
                    <w:top w:val="none" w:sz="0" w:space="0" w:color="auto"/>
                    <w:left w:val="none" w:sz="0" w:space="0" w:color="auto"/>
                    <w:bottom w:val="none" w:sz="0" w:space="0" w:color="auto"/>
                    <w:right w:val="none" w:sz="0" w:space="0" w:color="auto"/>
                  </w:divBdr>
                  <w:divsChild>
                    <w:div w:id="1224296540">
                      <w:marLeft w:val="0"/>
                      <w:marRight w:val="0"/>
                      <w:marTop w:val="0"/>
                      <w:marBottom w:val="0"/>
                      <w:divBdr>
                        <w:top w:val="none" w:sz="0" w:space="0" w:color="auto"/>
                        <w:left w:val="none" w:sz="0" w:space="0" w:color="auto"/>
                        <w:bottom w:val="none" w:sz="0" w:space="0" w:color="auto"/>
                        <w:right w:val="none" w:sz="0" w:space="0" w:color="auto"/>
                      </w:divBdr>
                      <w:divsChild>
                        <w:div w:id="960913262">
                          <w:marLeft w:val="0"/>
                          <w:marRight w:val="0"/>
                          <w:marTop w:val="0"/>
                          <w:marBottom w:val="0"/>
                          <w:divBdr>
                            <w:top w:val="none" w:sz="0" w:space="0" w:color="auto"/>
                            <w:left w:val="none" w:sz="0" w:space="0" w:color="auto"/>
                            <w:bottom w:val="none" w:sz="0" w:space="0" w:color="auto"/>
                            <w:right w:val="none" w:sz="0" w:space="0" w:color="auto"/>
                          </w:divBdr>
                          <w:divsChild>
                            <w:div w:id="184215862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uri=CELEX%3A32003H0361" TargetMode="External"/><Relationship Id="rId2" Type="http://schemas.openxmlformats.org/officeDocument/2006/relationships/hyperlink" Target="http://titania.saeima.lv/LIVS11/saeimalivs11.nsf/0/E0F32356F44300C7C2257D6D0032EF57?OpenDocument" TargetMode="External"/><Relationship Id="rId1" Type="http://schemas.openxmlformats.org/officeDocument/2006/relationships/hyperlink" Target="https://ws.ur.gov.lv/urpubl?act=MNR_STAT&amp;stat_id=549"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4687-98A6-48C4-AC70-556E7533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30</Pages>
  <Words>45659</Words>
  <Characters>26026</Characters>
  <Application>Microsoft Office Word</Application>
  <DocSecurity>0</DocSecurity>
  <Lines>216</Lines>
  <Paragraphs>143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Maksātnespējas likumā” sākotnējās ietekmes novērtējuma ziņojums (anotācija)</vt:lpstr>
      <vt:lpstr>Likumprojekta “Grozījumi Maksātnespējas likumā” sākotnējās ietekmes novērtējuma ziņojums (anotācija)</vt:lpstr>
    </vt:vector>
  </TitlesOfParts>
  <Company>Tieslietu ministrija</Company>
  <LinksUpToDate>false</LinksUpToDate>
  <CharactersWithSpaces>71542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Maksātnespējas likumā” sākotnējās ietekmes novērtējuma ziņojums (anotācija)</dc:title>
  <dc:subject>Anotācija</dc:subject>
  <dc:creator>Liene Ozola</dc:creator>
  <dc:description>67046147
Liene.Ozola@tm.gov.lv</dc:description>
  <cp:lastModifiedBy>Liene Ozola</cp:lastModifiedBy>
  <cp:revision>16</cp:revision>
  <cp:lastPrinted>2017-10-27T08:34:00Z</cp:lastPrinted>
  <dcterms:created xsi:type="dcterms:W3CDTF">2017-10-31T14:17:00Z</dcterms:created>
  <dcterms:modified xsi:type="dcterms:W3CDTF">2017-11-08T10:17:00Z</dcterms:modified>
</cp:coreProperties>
</file>