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4607" w14:textId="77777777" w:rsidR="00563D3C" w:rsidRDefault="00AD4367" w:rsidP="00563D3C">
      <w:pPr>
        <w:jc w:val="center"/>
        <w:rPr>
          <w:b/>
        </w:rPr>
      </w:pPr>
      <w:r w:rsidRPr="00563D3C">
        <w:rPr>
          <w:b/>
        </w:rPr>
        <w:t>Ministru kabineta noteikumu projekta</w:t>
      </w:r>
    </w:p>
    <w:p w14:paraId="18E817F1" w14:textId="27D3660D" w:rsidR="00AD4367" w:rsidRPr="00797B10" w:rsidRDefault="00797B10" w:rsidP="00563D3C">
      <w:pPr>
        <w:jc w:val="center"/>
        <w:rPr>
          <w:b/>
        </w:rPr>
      </w:pPr>
      <w:r>
        <w:rPr>
          <w:b/>
        </w:rPr>
        <w:t>“</w:t>
      </w:r>
      <w:r w:rsidR="00E42C4D">
        <w:rPr>
          <w:b/>
          <w:bCs/>
        </w:rPr>
        <w:t>Par</w:t>
      </w:r>
      <w:r w:rsidRPr="00797B10">
        <w:rPr>
          <w:b/>
          <w:bCs/>
        </w:rPr>
        <w:t xml:space="preserve"> Ministru kabineta 2006.</w:t>
      </w:r>
      <w:r>
        <w:rPr>
          <w:b/>
          <w:bCs/>
        </w:rPr>
        <w:t> </w:t>
      </w:r>
      <w:r w:rsidRPr="00797B10">
        <w:rPr>
          <w:b/>
          <w:bCs/>
        </w:rPr>
        <w:t>gada 21.</w:t>
      </w:r>
      <w:r>
        <w:rPr>
          <w:b/>
          <w:bCs/>
        </w:rPr>
        <w:t> </w:t>
      </w:r>
      <w:r w:rsidRPr="00797B10">
        <w:rPr>
          <w:b/>
          <w:bCs/>
        </w:rPr>
        <w:t xml:space="preserve">novembra </w:t>
      </w:r>
      <w:r w:rsidR="00E42C4D">
        <w:rPr>
          <w:b/>
          <w:bCs/>
        </w:rPr>
        <w:t>noteikumu</w:t>
      </w:r>
      <w:r>
        <w:rPr>
          <w:b/>
          <w:bCs/>
        </w:rPr>
        <w:t xml:space="preserve"> Nr. 942 “</w:t>
      </w:r>
      <w:hyperlink r:id="rId7" w:tgtFrame="_blank" w:history="1">
        <w:r w:rsidRPr="00797B10">
          <w:rPr>
            <w:rStyle w:val="Hyperlink"/>
            <w:b/>
            <w:color w:val="auto"/>
            <w:u w:val="none"/>
          </w:rPr>
          <w:t>Noteikumi par būtiskajām prasībām šķiltavām un to uzraudzības kārtību</w:t>
        </w:r>
      </w:hyperlink>
      <w:r>
        <w:rPr>
          <w:b/>
          <w:bCs/>
        </w:rPr>
        <w:t>”</w:t>
      </w:r>
      <w:r w:rsidR="00E42C4D">
        <w:rPr>
          <w:b/>
          <w:bCs/>
        </w:rPr>
        <w:t xml:space="preserve"> atzīšanu par spēku zaudējušiem</w:t>
      </w:r>
      <w:r w:rsidR="00AD4367" w:rsidRPr="00797B10">
        <w:rPr>
          <w:b/>
        </w:rPr>
        <w:t>”</w:t>
      </w:r>
      <w:r w:rsidR="00E42C4D">
        <w:rPr>
          <w:b/>
        </w:rPr>
        <w:t xml:space="preserve"> </w:t>
      </w:r>
      <w:r w:rsidR="00AD4367" w:rsidRPr="00797B10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AD4367" w:rsidRPr="00797B10">
          <w:rPr>
            <w:b/>
          </w:rPr>
          <w:t>ziņojums</w:t>
        </w:r>
      </w:smartTag>
      <w:r w:rsidR="00AD4367" w:rsidRPr="00797B10">
        <w:rPr>
          <w:b/>
        </w:rPr>
        <w:t xml:space="preserve"> (anotācija)</w:t>
      </w:r>
    </w:p>
    <w:p w14:paraId="1AEB3B64" w14:textId="77777777" w:rsidR="00AD4367" w:rsidRPr="00FB41DC" w:rsidRDefault="00AD4367" w:rsidP="00AD4367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436"/>
        <w:gridCol w:w="6996"/>
      </w:tblGrid>
      <w:tr w:rsidR="00AD4367" w:rsidRPr="00FB41DC" w14:paraId="629714F4" w14:textId="77777777" w:rsidTr="004E34D0">
        <w:tc>
          <w:tcPr>
            <w:tcW w:w="9133" w:type="dxa"/>
            <w:gridSpan w:val="3"/>
          </w:tcPr>
          <w:p w14:paraId="4D521FB4" w14:textId="77777777" w:rsidR="00AD4367" w:rsidRPr="00FB41DC" w:rsidRDefault="00AD4367" w:rsidP="00572718">
            <w:pPr>
              <w:jc w:val="center"/>
              <w:rPr>
                <w:b/>
              </w:rPr>
            </w:pPr>
            <w:r w:rsidRPr="00FB41DC">
              <w:rPr>
                <w:b/>
              </w:rPr>
              <w:t>I.</w:t>
            </w:r>
            <w:r w:rsidR="00DA6AC0">
              <w:rPr>
                <w:b/>
              </w:rPr>
              <w:t> </w:t>
            </w:r>
            <w:r w:rsidRPr="00FB41DC">
              <w:rPr>
                <w:b/>
              </w:rPr>
              <w:t>Tiesību akta projekta izstrādes nepieciešamība</w:t>
            </w:r>
          </w:p>
        </w:tc>
      </w:tr>
      <w:tr w:rsidR="00AD4367" w:rsidRPr="0062273E" w14:paraId="24A6B98E" w14:textId="77777777" w:rsidTr="004E34D0">
        <w:tc>
          <w:tcPr>
            <w:tcW w:w="701" w:type="dxa"/>
          </w:tcPr>
          <w:p w14:paraId="590BC94E" w14:textId="77777777" w:rsidR="00AD4367" w:rsidRPr="0062273E" w:rsidRDefault="00AD4367" w:rsidP="00572718">
            <w:pPr>
              <w:jc w:val="center"/>
            </w:pPr>
            <w:r w:rsidRPr="0062273E">
              <w:t>1.</w:t>
            </w:r>
          </w:p>
        </w:tc>
        <w:tc>
          <w:tcPr>
            <w:tcW w:w="1436" w:type="dxa"/>
          </w:tcPr>
          <w:p w14:paraId="3436880F" w14:textId="77777777" w:rsidR="00AD4367" w:rsidRPr="0062273E" w:rsidRDefault="00AD4367" w:rsidP="00572718">
            <w:r w:rsidRPr="0062273E">
              <w:t>Pamatojums</w:t>
            </w:r>
          </w:p>
        </w:tc>
        <w:tc>
          <w:tcPr>
            <w:tcW w:w="6996" w:type="dxa"/>
          </w:tcPr>
          <w:p w14:paraId="72EA6161" w14:textId="732644B6" w:rsidR="002974AA" w:rsidRPr="0015330A" w:rsidRDefault="00AD4367" w:rsidP="00797B10">
            <w:pPr>
              <w:jc w:val="both"/>
              <w:rPr>
                <w:bCs/>
                <w:sz w:val="28"/>
              </w:rPr>
            </w:pPr>
            <w:r w:rsidRPr="00D71131">
              <w:rPr>
                <w:bCs/>
              </w:rPr>
              <w:t xml:space="preserve">Ministru kabineta noteikumu </w:t>
            </w:r>
            <w:r w:rsidRPr="00797B10">
              <w:rPr>
                <w:bCs/>
              </w:rPr>
              <w:t xml:space="preserve">projekts </w:t>
            </w:r>
            <w:r w:rsidR="00797B10" w:rsidRPr="00797B10">
              <w:t>“</w:t>
            </w:r>
            <w:r w:rsidR="00E42C4D">
              <w:rPr>
                <w:bCs/>
              </w:rPr>
              <w:t>Par</w:t>
            </w:r>
            <w:r w:rsidR="00797B10" w:rsidRPr="00797B10">
              <w:rPr>
                <w:bCs/>
              </w:rPr>
              <w:t xml:space="preserve"> Ministru kabineta 2006. gada 21</w:t>
            </w:r>
            <w:r w:rsidR="00E42C4D">
              <w:rPr>
                <w:bCs/>
              </w:rPr>
              <w:t>. novembra noteikumu</w:t>
            </w:r>
            <w:r w:rsidR="00797B10" w:rsidRPr="00797B10">
              <w:rPr>
                <w:bCs/>
              </w:rPr>
              <w:t xml:space="preserve"> Nr. 942 “</w:t>
            </w:r>
            <w:hyperlink r:id="rId8" w:tgtFrame="_blank" w:history="1">
              <w:r w:rsidR="00797B10" w:rsidRPr="00797B10">
                <w:rPr>
                  <w:rStyle w:val="Hyperlink"/>
                  <w:color w:val="auto"/>
                  <w:u w:val="none"/>
                </w:rPr>
                <w:t>Noteikumi par būtiskajām prasībām šķiltavām un to uzraudzības kārtību</w:t>
              </w:r>
            </w:hyperlink>
            <w:r w:rsidR="00797B10" w:rsidRPr="00797B10">
              <w:rPr>
                <w:bCs/>
              </w:rPr>
              <w:t>”</w:t>
            </w:r>
            <w:r w:rsidR="00E42C4D">
              <w:rPr>
                <w:bCs/>
              </w:rPr>
              <w:t xml:space="preserve"> atzīšanu par spēku zaudējušiem</w:t>
            </w:r>
            <w:r w:rsidR="00797B10" w:rsidRPr="00797B10">
              <w:t>”</w:t>
            </w:r>
            <w:r w:rsidR="00D71131" w:rsidRPr="00797B10">
              <w:t xml:space="preserve"> (turpmāk – noteikumu projekts) </w:t>
            </w:r>
            <w:r w:rsidR="007A1423" w:rsidRPr="00797B10">
              <w:rPr>
                <w:bCs/>
              </w:rPr>
              <w:t xml:space="preserve">ir </w:t>
            </w:r>
            <w:r w:rsidR="007A1423">
              <w:rPr>
                <w:bCs/>
              </w:rPr>
              <w:t xml:space="preserve">sagatavots, lai </w:t>
            </w:r>
            <w:r w:rsidR="00797B10">
              <w:rPr>
                <w:bCs/>
              </w:rPr>
              <w:t xml:space="preserve">atceltu minētos </w:t>
            </w:r>
            <w:r w:rsidR="003A551B">
              <w:rPr>
                <w:bCs/>
              </w:rPr>
              <w:t xml:space="preserve">Ministru kabineta </w:t>
            </w:r>
            <w:r w:rsidR="00797B10">
              <w:rPr>
                <w:bCs/>
              </w:rPr>
              <w:t>noteikumus.</w:t>
            </w:r>
          </w:p>
        </w:tc>
      </w:tr>
      <w:tr w:rsidR="00AD4367" w:rsidRPr="00FB41DC" w14:paraId="09225B7F" w14:textId="77777777" w:rsidTr="004E34D0">
        <w:trPr>
          <w:trHeight w:val="699"/>
        </w:trPr>
        <w:tc>
          <w:tcPr>
            <w:tcW w:w="701" w:type="dxa"/>
          </w:tcPr>
          <w:p w14:paraId="2B29450B" w14:textId="77777777" w:rsidR="00AD4367" w:rsidRPr="00FB41DC" w:rsidRDefault="00AD4367" w:rsidP="00572718">
            <w:pPr>
              <w:jc w:val="center"/>
            </w:pPr>
            <w:r w:rsidRPr="00FB41DC">
              <w:t>2.</w:t>
            </w:r>
          </w:p>
        </w:tc>
        <w:tc>
          <w:tcPr>
            <w:tcW w:w="1436" w:type="dxa"/>
          </w:tcPr>
          <w:p w14:paraId="694A8345" w14:textId="1319160C" w:rsidR="00797B10" w:rsidRDefault="00AD4367" w:rsidP="00572718">
            <w:r w:rsidRPr="00FB41DC">
              <w:t>Pašreizējā situācija un problēmas</w:t>
            </w:r>
            <w:r>
              <w:t>, kuru risināšanai tiesību aktu projekts izstrādāts, tiesiskā regulējuma mērķis un būtība</w:t>
            </w:r>
          </w:p>
          <w:p w14:paraId="2ED6C797" w14:textId="77777777" w:rsidR="00797B10" w:rsidRPr="00797B10" w:rsidRDefault="00797B10" w:rsidP="00797B10"/>
          <w:p w14:paraId="087B1475" w14:textId="77777777" w:rsidR="00797B10" w:rsidRPr="00797B10" w:rsidRDefault="00797B10" w:rsidP="00797B10"/>
          <w:p w14:paraId="634B4962" w14:textId="77777777" w:rsidR="00797B10" w:rsidRPr="00797B10" w:rsidRDefault="00797B10" w:rsidP="00797B10"/>
          <w:p w14:paraId="0E8C7EAC" w14:textId="77777777" w:rsidR="00797B10" w:rsidRPr="00797B10" w:rsidRDefault="00797B10" w:rsidP="00797B10"/>
          <w:p w14:paraId="55821185" w14:textId="77777777" w:rsidR="00797B10" w:rsidRPr="00797B10" w:rsidRDefault="00797B10" w:rsidP="00797B10"/>
          <w:p w14:paraId="2F8DEC38" w14:textId="77777777" w:rsidR="00797B10" w:rsidRPr="00797B10" w:rsidRDefault="00797B10" w:rsidP="00797B10"/>
          <w:p w14:paraId="4670DF5F" w14:textId="77777777" w:rsidR="00797B10" w:rsidRPr="00797B10" w:rsidRDefault="00797B10" w:rsidP="00797B10"/>
          <w:p w14:paraId="7FAACA04" w14:textId="77777777" w:rsidR="00797B10" w:rsidRPr="00797B10" w:rsidRDefault="00797B10" w:rsidP="00797B10"/>
          <w:p w14:paraId="7DAB31EA" w14:textId="77777777" w:rsidR="00797B10" w:rsidRPr="00797B10" w:rsidRDefault="00797B10" w:rsidP="00797B10"/>
          <w:p w14:paraId="446F8388" w14:textId="2BA6CF27" w:rsidR="00797B10" w:rsidRDefault="00797B10" w:rsidP="00797B10"/>
          <w:p w14:paraId="3965C96F" w14:textId="2A34E448" w:rsidR="004C1186" w:rsidRDefault="004C1186" w:rsidP="00797B10">
            <w:pPr>
              <w:jc w:val="center"/>
            </w:pPr>
          </w:p>
          <w:p w14:paraId="3E62F110" w14:textId="77777777" w:rsidR="004C1186" w:rsidRPr="004C1186" w:rsidRDefault="004C1186" w:rsidP="004C1186"/>
          <w:p w14:paraId="06AF167C" w14:textId="77777777" w:rsidR="004C1186" w:rsidRPr="004C1186" w:rsidRDefault="004C1186" w:rsidP="004C1186"/>
          <w:p w14:paraId="08E9BD14" w14:textId="77777777" w:rsidR="004C1186" w:rsidRPr="004C1186" w:rsidRDefault="004C1186" w:rsidP="004C1186"/>
          <w:p w14:paraId="5557B0B7" w14:textId="77777777" w:rsidR="004C1186" w:rsidRPr="004C1186" w:rsidRDefault="004C1186" w:rsidP="004C1186"/>
          <w:p w14:paraId="0288B239" w14:textId="77777777" w:rsidR="004C1186" w:rsidRPr="004C1186" w:rsidRDefault="004C1186" w:rsidP="004C1186"/>
          <w:p w14:paraId="4F94E68F" w14:textId="77777777" w:rsidR="004C1186" w:rsidRPr="004C1186" w:rsidRDefault="004C1186" w:rsidP="004C1186"/>
          <w:p w14:paraId="116691FB" w14:textId="77777777" w:rsidR="004C1186" w:rsidRPr="004C1186" w:rsidRDefault="004C1186" w:rsidP="004C1186"/>
          <w:p w14:paraId="0588F214" w14:textId="77777777" w:rsidR="004C1186" w:rsidRPr="004C1186" w:rsidRDefault="004C1186" w:rsidP="004C1186"/>
          <w:p w14:paraId="474D819D" w14:textId="77777777" w:rsidR="004C1186" w:rsidRPr="004C1186" w:rsidRDefault="004C1186" w:rsidP="004C1186"/>
          <w:p w14:paraId="537FAC3B" w14:textId="77777777" w:rsidR="004C1186" w:rsidRPr="004C1186" w:rsidRDefault="004C1186" w:rsidP="004C1186"/>
          <w:p w14:paraId="52B482DB" w14:textId="77777777" w:rsidR="004C1186" w:rsidRPr="004C1186" w:rsidRDefault="004C1186" w:rsidP="004C1186"/>
          <w:p w14:paraId="7414085C" w14:textId="77777777" w:rsidR="004C1186" w:rsidRPr="004C1186" w:rsidRDefault="004C1186" w:rsidP="004C1186"/>
          <w:p w14:paraId="54778BF0" w14:textId="77777777" w:rsidR="004C1186" w:rsidRPr="004C1186" w:rsidRDefault="004C1186" w:rsidP="004C1186"/>
          <w:p w14:paraId="05C071E5" w14:textId="77777777" w:rsidR="004C1186" w:rsidRPr="004C1186" w:rsidRDefault="004C1186" w:rsidP="004C1186"/>
          <w:p w14:paraId="5F01E024" w14:textId="77777777" w:rsidR="004C1186" w:rsidRPr="004C1186" w:rsidRDefault="004C1186" w:rsidP="004C1186"/>
          <w:p w14:paraId="43E86BFF" w14:textId="77777777" w:rsidR="004C1186" w:rsidRPr="004C1186" w:rsidRDefault="004C1186" w:rsidP="004C1186"/>
          <w:p w14:paraId="4DD1D524" w14:textId="77777777" w:rsidR="004C1186" w:rsidRPr="004C1186" w:rsidRDefault="004C1186" w:rsidP="004C1186"/>
          <w:p w14:paraId="4A265F58" w14:textId="4683EAC1" w:rsidR="00AD4367" w:rsidRPr="004C1186" w:rsidRDefault="00AD4367" w:rsidP="004C1186">
            <w:pPr>
              <w:jc w:val="center"/>
            </w:pPr>
          </w:p>
        </w:tc>
        <w:tc>
          <w:tcPr>
            <w:tcW w:w="6996" w:type="dxa"/>
          </w:tcPr>
          <w:p w14:paraId="512E2C54" w14:textId="77777777" w:rsidR="00E308E7" w:rsidRPr="00E308E7" w:rsidRDefault="003B190D" w:rsidP="00E308E7">
            <w:pPr>
              <w:autoSpaceDE w:val="0"/>
              <w:autoSpaceDN w:val="0"/>
              <w:adjustRightInd w:val="0"/>
              <w:ind w:firstLine="198"/>
              <w:jc w:val="both"/>
              <w:rPr>
                <w:rFonts w:eastAsia="Calibri"/>
              </w:rPr>
            </w:pPr>
            <w:r w:rsidRPr="00E308E7">
              <w:rPr>
                <w:bCs/>
              </w:rPr>
              <w:t>Ar Ministru kabin</w:t>
            </w:r>
            <w:bookmarkStart w:id="0" w:name="_GoBack"/>
            <w:bookmarkEnd w:id="0"/>
            <w:r w:rsidRPr="00E308E7">
              <w:rPr>
                <w:bCs/>
              </w:rPr>
              <w:t>eta 2006. gada 21. novembra noteikumiem Nr. 942 “</w:t>
            </w:r>
            <w:hyperlink r:id="rId9" w:tgtFrame="_blank" w:history="1">
              <w:r w:rsidRPr="00E308E7">
                <w:rPr>
                  <w:rStyle w:val="Hyperlink"/>
                  <w:color w:val="auto"/>
                  <w:u w:val="none"/>
                </w:rPr>
                <w:t>Noteikumi par būtiskajām prasībām šķiltavām un to uzraudzības kārtību</w:t>
              </w:r>
            </w:hyperlink>
            <w:r w:rsidRPr="00E308E7">
              <w:rPr>
                <w:bCs/>
              </w:rPr>
              <w:t>”</w:t>
            </w:r>
            <w:r w:rsidR="00A76421" w:rsidRPr="00E308E7">
              <w:t xml:space="preserve"> (turpmāk – MK noteikumi Nr.</w:t>
            </w:r>
            <w:r w:rsidR="00DA6AC0" w:rsidRPr="00E308E7">
              <w:t> </w:t>
            </w:r>
            <w:r w:rsidRPr="00E308E7">
              <w:t>942</w:t>
            </w:r>
            <w:r w:rsidR="00A76421" w:rsidRPr="00E308E7">
              <w:t xml:space="preserve">) </w:t>
            </w:r>
            <w:r w:rsidR="00092204" w:rsidRPr="00E308E7">
              <w:t>ir</w:t>
            </w:r>
            <w:r w:rsidRPr="00E308E7">
              <w:t xml:space="preserve"> pārņemta</w:t>
            </w:r>
            <w:r w:rsidR="00D324C8" w:rsidRPr="00E308E7">
              <w:t xml:space="preserve">s prasības, ko paredz </w:t>
            </w:r>
            <w:r w:rsidRPr="00E308E7">
              <w:rPr>
                <w:rFonts w:eastAsia="Calibri"/>
              </w:rPr>
              <w:t>Eiropas Komisijas lēmums Nr. 2006/502/EK</w:t>
            </w:r>
            <w:r w:rsidR="00D324C8" w:rsidRPr="00E308E7">
              <w:rPr>
                <w:rFonts w:eastAsia="Calibri"/>
              </w:rPr>
              <w:t>,</w:t>
            </w:r>
            <w:r w:rsidRPr="00E308E7">
              <w:rPr>
                <w:rFonts w:eastAsia="Calibri"/>
              </w:rPr>
              <w:t xml:space="preserve"> ar ko dalībvalstīm pieprasa veikt pasākumus, kas atļautu tirgot tikai bērniem drošas šķiltavas un aizliegtu tirgot jaunrades šķiltavas</w:t>
            </w:r>
            <w:r w:rsidR="00D324C8" w:rsidRPr="00E308E7">
              <w:rPr>
                <w:rFonts w:eastAsia="Calibri"/>
              </w:rPr>
              <w:t xml:space="preserve"> (turpmāk – Lēmums</w:t>
            </w:r>
            <w:r w:rsidR="00736180" w:rsidRPr="00E308E7">
              <w:rPr>
                <w:rFonts w:eastAsia="Calibri"/>
              </w:rPr>
              <w:t xml:space="preserve"> 2006/502/EK</w:t>
            </w:r>
            <w:r w:rsidR="00D324C8" w:rsidRPr="00E308E7">
              <w:rPr>
                <w:rFonts w:eastAsia="Calibri"/>
              </w:rPr>
              <w:t>),</w:t>
            </w:r>
            <w:r w:rsidRPr="00E308E7">
              <w:rPr>
                <w:rFonts w:eastAsia="Calibri"/>
              </w:rPr>
              <w:t xml:space="preserve"> </w:t>
            </w:r>
            <w:r w:rsidR="00D324C8" w:rsidRPr="00E308E7">
              <w:rPr>
                <w:rFonts w:eastAsia="Calibri"/>
              </w:rPr>
              <w:t>kurš pie</w:t>
            </w:r>
            <w:r w:rsidR="00736180" w:rsidRPr="00E308E7">
              <w:rPr>
                <w:rFonts w:eastAsia="Calibri"/>
              </w:rPr>
              <w:t>ņemts</w:t>
            </w:r>
            <w:r w:rsidR="00D324C8" w:rsidRPr="00E308E7">
              <w:rPr>
                <w:rFonts w:eastAsia="Calibri"/>
              </w:rPr>
              <w:t xml:space="preserve"> </w:t>
            </w:r>
            <w:r w:rsidR="00736180" w:rsidRPr="00E308E7">
              <w:rPr>
                <w:rFonts w:eastAsia="Calibri"/>
              </w:rPr>
              <w:t>saskaņā ar</w:t>
            </w:r>
            <w:r w:rsidR="00D324C8" w:rsidRPr="00E308E7">
              <w:rPr>
                <w:rFonts w:eastAsia="Calibri"/>
              </w:rPr>
              <w:t xml:space="preserve"> Eiropas Parlamenta un Padomes 2001. gada 3. decembra Direktī</w:t>
            </w:r>
            <w:r w:rsidR="00736180" w:rsidRPr="00E308E7">
              <w:rPr>
                <w:rFonts w:eastAsia="Calibri"/>
              </w:rPr>
              <w:t>vas</w:t>
            </w:r>
            <w:r w:rsidR="00D324C8" w:rsidRPr="00E308E7">
              <w:rPr>
                <w:rFonts w:eastAsia="Calibri"/>
              </w:rPr>
              <w:t xml:space="preserve"> 2001/95/EK par produktu vispārēju drošību (turpmāk – Direktīva)</w:t>
            </w:r>
            <w:r w:rsidR="00A650FE" w:rsidRPr="00E308E7">
              <w:rPr>
                <w:rFonts w:eastAsia="Calibri"/>
              </w:rPr>
              <w:t xml:space="preserve"> </w:t>
            </w:r>
            <w:r w:rsidR="00736180" w:rsidRPr="00E308E7">
              <w:rPr>
                <w:rFonts w:eastAsia="Calibri"/>
              </w:rPr>
              <w:t>13</w:t>
            </w:r>
            <w:r w:rsidR="00986520" w:rsidRPr="00E308E7">
              <w:rPr>
                <w:rFonts w:eastAsia="Calibri"/>
              </w:rPr>
              <w:t>. panta nosacījumiem, kuros L</w:t>
            </w:r>
            <w:r w:rsidR="00736180" w:rsidRPr="00E308E7">
              <w:rPr>
                <w:rFonts w:eastAsia="Calibri"/>
              </w:rPr>
              <w:t>ēmuma</w:t>
            </w:r>
            <w:r w:rsidR="00986520" w:rsidRPr="00E308E7">
              <w:rPr>
                <w:rFonts w:eastAsia="Calibri"/>
              </w:rPr>
              <w:t> 2006/502/EK</w:t>
            </w:r>
            <w:r w:rsidR="00736180" w:rsidRPr="00E308E7">
              <w:rPr>
                <w:rFonts w:eastAsia="Calibri"/>
              </w:rPr>
              <w:t xml:space="preserve"> piemērošanas termiņš iero</w:t>
            </w:r>
            <w:r w:rsidR="004760D9" w:rsidRPr="00E308E7">
              <w:rPr>
                <w:rFonts w:eastAsia="Calibri"/>
              </w:rPr>
              <w:t>bežots līdz vienam gadam, bet t</w:t>
            </w:r>
            <w:r w:rsidR="008F13C7" w:rsidRPr="00E308E7">
              <w:rPr>
                <w:rFonts w:eastAsia="Calibri"/>
              </w:rPr>
              <w:t>o</w:t>
            </w:r>
            <w:r w:rsidR="00736180" w:rsidRPr="00E308E7">
              <w:rPr>
                <w:rFonts w:eastAsia="Calibri"/>
              </w:rPr>
              <w:t xml:space="preserve"> </w:t>
            </w:r>
            <w:r w:rsidR="00735471" w:rsidRPr="00E308E7">
              <w:rPr>
                <w:rFonts w:eastAsia="Calibri"/>
              </w:rPr>
              <w:t xml:space="preserve">ir </w:t>
            </w:r>
            <w:r w:rsidR="00736180" w:rsidRPr="00E308E7">
              <w:rPr>
                <w:rFonts w:eastAsia="Calibri"/>
              </w:rPr>
              <w:t xml:space="preserve">iespējams </w:t>
            </w:r>
            <w:r w:rsidR="00735471" w:rsidRPr="00E308E7">
              <w:rPr>
                <w:rFonts w:eastAsia="Calibri"/>
              </w:rPr>
              <w:t xml:space="preserve">pagarināt uz </w:t>
            </w:r>
            <w:proofErr w:type="spellStart"/>
            <w:r w:rsidR="00735471" w:rsidRPr="00E308E7">
              <w:rPr>
                <w:rFonts w:eastAsia="Calibri"/>
              </w:rPr>
              <w:t>papildperiodiem</w:t>
            </w:r>
            <w:proofErr w:type="spellEnd"/>
            <w:r w:rsidR="00736180" w:rsidRPr="00E308E7">
              <w:rPr>
                <w:rFonts w:eastAsia="Calibri"/>
              </w:rPr>
              <w:t>, kas arī nepārsniedz vienu gadu.</w:t>
            </w:r>
            <w:r w:rsidR="008F13C7" w:rsidRPr="00E308E7">
              <w:rPr>
                <w:rFonts w:eastAsia="Calibri"/>
              </w:rPr>
              <w:t xml:space="preserve"> Kamēr nebija ieviesti citi apmierinoši pasākumi, kas attiektos uz bērniem drošām šķiltavām, Lēmuma 2006/502/EK spēkā</w:t>
            </w:r>
            <w:r w:rsidR="00E308E7" w:rsidRPr="00E308E7">
              <w:rPr>
                <w:rFonts w:eastAsia="Calibri"/>
              </w:rPr>
              <w:t xml:space="preserve"> esības termiņš katru gadu tika </w:t>
            </w:r>
            <w:r w:rsidR="008F13C7" w:rsidRPr="00E308E7">
              <w:rPr>
                <w:rFonts w:eastAsia="Calibri"/>
              </w:rPr>
              <w:t>pagarin</w:t>
            </w:r>
            <w:r w:rsidR="00E308E7" w:rsidRPr="00E308E7">
              <w:rPr>
                <w:rFonts w:eastAsia="Calibri"/>
              </w:rPr>
              <w:t>āts</w:t>
            </w:r>
            <w:r w:rsidR="008F13C7" w:rsidRPr="00E308E7">
              <w:rPr>
                <w:rFonts w:eastAsia="Calibri"/>
              </w:rPr>
              <w:t xml:space="preserve"> vēl par 12 mēnešiem.</w:t>
            </w:r>
          </w:p>
          <w:p w14:paraId="70ADE1B3" w14:textId="77777777" w:rsidR="009C36E7" w:rsidRDefault="00E308E7" w:rsidP="009C36E7">
            <w:pPr>
              <w:autoSpaceDE w:val="0"/>
              <w:autoSpaceDN w:val="0"/>
              <w:adjustRightInd w:val="0"/>
              <w:ind w:firstLine="19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Tāpat</w:t>
            </w:r>
            <w:r w:rsidRPr="00E308E7">
              <w:rPr>
                <w:rFonts w:eastAsia="Calibri"/>
              </w:rPr>
              <w:t xml:space="preserve"> Eiropas </w:t>
            </w:r>
            <w:r w:rsidR="00352F39" w:rsidRPr="00E308E7">
              <w:t>Komisija 2008. gada 23. aprīlī pieņēma Lēmumu 2008/357/EK par īpašām bērnu drošības prasībām, kas atbilstoši Direktīvai jāizpilda Eiropas standartos attiecībā uz šķiltavām, savukārt 2008. gada 7. jūnijā Komisija izdeva pilnvarojumu M/427 Eiropas Standartizācijas komitejai (</w:t>
            </w:r>
            <w:r w:rsidR="00352F39" w:rsidRPr="00E308E7">
              <w:rPr>
                <w:i/>
                <w:iCs/>
              </w:rPr>
              <w:t>CEN</w:t>
            </w:r>
            <w:r w:rsidR="00352F39" w:rsidRPr="00E308E7">
              <w:t xml:space="preserve">) saistībā ar bērnu drošības prasībām attiecībā uz šķiltavām. Ņemot vērā pilnvarojumu M/427, </w:t>
            </w:r>
            <w:r w:rsidR="00352F39" w:rsidRPr="00E308E7">
              <w:rPr>
                <w:i/>
                <w:iCs/>
              </w:rPr>
              <w:t xml:space="preserve">CEN </w:t>
            </w:r>
            <w:r w:rsidR="00352F39" w:rsidRPr="00E308E7">
              <w:t xml:space="preserve">pieņēma standartu EN 13869:2016 “Šķiltavas. </w:t>
            </w:r>
            <w:proofErr w:type="spellStart"/>
            <w:r w:rsidR="00352F39" w:rsidRPr="00E308E7">
              <w:t>Bērnudrošu</w:t>
            </w:r>
            <w:proofErr w:type="spellEnd"/>
            <w:r w:rsidR="00352F39" w:rsidRPr="00E308E7">
              <w:t xml:space="preserve"> šķiltavu prasības. Drošuma prasības un testa metodes”. Standarts EN 13869:2016 ir saskaņā ar pilnvarojumu M/427 un atbilst Direktīvā noteiktajai vispārējai drošuma prasībai. Tāpēc 2017. gada 15. jūnijā tika pieņemts </w:t>
            </w:r>
            <w:r w:rsidR="00736180" w:rsidRPr="00E308E7">
              <w:rPr>
                <w:bCs/>
              </w:rPr>
              <w:t xml:space="preserve">Komisijas īstenošanas lēmums </w:t>
            </w:r>
            <w:r w:rsidR="00352F39" w:rsidRPr="00E308E7">
              <w:rPr>
                <w:bCs/>
              </w:rPr>
              <w:t>(ES) 2017/1014</w:t>
            </w:r>
            <w:r w:rsidR="00736180" w:rsidRPr="00E308E7">
              <w:rPr>
                <w:bCs/>
              </w:rPr>
              <w:t xml:space="preserve"> </w:t>
            </w:r>
            <w:r w:rsidR="00352F39" w:rsidRPr="00E308E7">
              <w:rPr>
                <w:bCs/>
              </w:rPr>
              <w:t xml:space="preserve">par to, lai saskaņā ar Eiropas Parlamenta un Padomes Direktīvu 2001/95/EK </w:t>
            </w:r>
            <w:r w:rsidR="00352F39" w:rsidRPr="00E308E7">
              <w:rPr>
                <w:bCs/>
                <w:i/>
                <w:iCs/>
              </w:rPr>
              <w:t xml:space="preserve">Eiropas Savienības Oficiālajā Vēstnesī </w:t>
            </w:r>
            <w:r w:rsidR="00352F39" w:rsidRPr="00E308E7">
              <w:rPr>
                <w:bCs/>
              </w:rPr>
              <w:t xml:space="preserve">publicētu atsauces uz Eiropas standartiem EN 13869:2016 par </w:t>
            </w:r>
            <w:proofErr w:type="spellStart"/>
            <w:r w:rsidR="00352F39" w:rsidRPr="00E308E7">
              <w:rPr>
                <w:bCs/>
              </w:rPr>
              <w:t>bērnudrošu</w:t>
            </w:r>
            <w:proofErr w:type="spellEnd"/>
            <w:r w:rsidR="00352F39" w:rsidRPr="00E308E7">
              <w:rPr>
                <w:bCs/>
              </w:rPr>
              <w:t xml:space="preserve"> šķiltavu prasībām un EN 13209-2:2015 par bērnu pārnēsājamām somām</w:t>
            </w:r>
            <w:r w:rsidR="00736180" w:rsidRPr="00E308E7">
              <w:rPr>
                <w:bCs/>
              </w:rPr>
              <w:t xml:space="preserve"> (turpmāk – Lēmums 2017/1014</w:t>
            </w:r>
            <w:r w:rsidR="009427C3">
              <w:rPr>
                <w:bCs/>
              </w:rPr>
              <w:t>/ES</w:t>
            </w:r>
            <w:r w:rsidR="00736180" w:rsidRPr="00E308E7">
              <w:rPr>
                <w:bCs/>
              </w:rPr>
              <w:t>), cita starpā</w:t>
            </w:r>
            <w:r w:rsidR="00352F39" w:rsidRPr="00E308E7">
              <w:t xml:space="preserve"> paredzot</w:t>
            </w:r>
            <w:r w:rsidR="00736180" w:rsidRPr="00E308E7">
              <w:t xml:space="preserve"> publicēt</w:t>
            </w:r>
            <w:r w:rsidR="00352F39" w:rsidRPr="00E308E7">
              <w:t xml:space="preserve"> </w:t>
            </w:r>
            <w:r w:rsidR="00736180" w:rsidRPr="00E308E7">
              <w:t xml:space="preserve">atsauci uz </w:t>
            </w:r>
            <w:r w:rsidR="00352F39" w:rsidRPr="00E308E7">
              <w:t xml:space="preserve">standartu </w:t>
            </w:r>
            <w:r w:rsidR="00736180" w:rsidRPr="00E308E7">
              <w:t xml:space="preserve">EN 13869:2016 </w:t>
            </w:r>
            <w:r w:rsidR="00352F39" w:rsidRPr="00E308E7">
              <w:rPr>
                <w:i/>
                <w:iCs/>
              </w:rPr>
              <w:t>Eiropas Savienības Oficiālajā Vēstnesī</w:t>
            </w:r>
            <w:r w:rsidR="00352F39" w:rsidRPr="00E308E7">
              <w:rPr>
                <w:iCs/>
              </w:rPr>
              <w:t>.</w:t>
            </w:r>
            <w:r w:rsidR="005838DF">
              <w:rPr>
                <w:iCs/>
              </w:rPr>
              <w:t xml:space="preserve"> Tā kā </w:t>
            </w:r>
            <w:r w:rsidR="009427C3">
              <w:rPr>
                <w:iCs/>
              </w:rPr>
              <w:t>šāds L</w:t>
            </w:r>
            <w:r w:rsidR="005838DF" w:rsidRPr="005838DF">
              <w:rPr>
                <w:iCs/>
              </w:rPr>
              <w:t>ēmumā</w:t>
            </w:r>
            <w:r w:rsidR="009427C3">
              <w:rPr>
                <w:iCs/>
              </w:rPr>
              <w:t> 2017/1014/ES paredzētais pasākums</w:t>
            </w:r>
            <w:r w:rsidR="00807675">
              <w:rPr>
                <w:iCs/>
              </w:rPr>
              <w:t xml:space="preserve"> tika atzīts par apmierinošu un ir </w:t>
            </w:r>
            <w:r w:rsidR="005838DF" w:rsidRPr="005838DF">
              <w:rPr>
                <w:iCs/>
              </w:rPr>
              <w:t>saskaņā ar atzinumu, ko sniegusi ar Direktīvu 2001/95/EK izveidotā komiteja</w:t>
            </w:r>
            <w:r w:rsidR="009427C3">
              <w:rPr>
                <w:iCs/>
              </w:rPr>
              <w:t xml:space="preserve">, </w:t>
            </w:r>
            <w:r w:rsidR="009427C3" w:rsidRPr="00E308E7">
              <w:rPr>
                <w:rFonts w:eastAsia="Calibri"/>
              </w:rPr>
              <w:t>Lēmuma 2006/502/EK spēkā esības termiņš</w:t>
            </w:r>
            <w:r w:rsidR="009427C3">
              <w:rPr>
                <w:rFonts w:eastAsia="Calibri"/>
              </w:rPr>
              <w:t xml:space="preserve"> vairs netika pagarināts</w:t>
            </w:r>
            <w:r w:rsidR="00487EA5">
              <w:rPr>
                <w:rFonts w:eastAsia="Calibri"/>
              </w:rPr>
              <w:t xml:space="preserve">. Līdz ar to </w:t>
            </w:r>
            <w:r w:rsidR="000446BE">
              <w:rPr>
                <w:rFonts w:eastAsia="Calibri"/>
              </w:rPr>
              <w:t>Lēmums</w:t>
            </w:r>
            <w:r w:rsidR="000446BE" w:rsidRPr="00E308E7">
              <w:rPr>
                <w:rFonts w:eastAsia="Calibri"/>
              </w:rPr>
              <w:t xml:space="preserve"> 2006/502/EK</w:t>
            </w:r>
            <w:r w:rsidR="009427C3">
              <w:rPr>
                <w:rFonts w:eastAsia="Calibri"/>
              </w:rPr>
              <w:t xml:space="preserve"> ir zaudējis spēku.</w:t>
            </w:r>
          </w:p>
          <w:p w14:paraId="53BC59C2" w14:textId="705B5CCF" w:rsidR="00E308E7" w:rsidRPr="00E308E7" w:rsidRDefault="009C36E7" w:rsidP="00E308E7">
            <w:pPr>
              <w:autoSpaceDE w:val="0"/>
              <w:autoSpaceDN w:val="0"/>
              <w:adjustRightInd w:val="0"/>
              <w:ind w:firstLine="198"/>
              <w:jc w:val="both"/>
            </w:pPr>
            <w:r>
              <w:rPr>
                <w:rFonts w:eastAsia="Calibri"/>
              </w:rPr>
              <w:t>Saskaņā ar</w:t>
            </w:r>
            <w:r w:rsidR="00E308E7">
              <w:rPr>
                <w:rFonts w:ascii="TimesNewRoman" w:eastAsia="Calibri" w:hAnsi="TimesNewRoman" w:cs="TimesNewRoman"/>
              </w:rPr>
              <w:t xml:space="preserve"> Preču un pakalpojumu drošuma likumu (turpmāk – Likums)</w:t>
            </w:r>
            <w:r>
              <w:rPr>
                <w:rFonts w:ascii="TimesNewRoman" w:eastAsia="Calibri" w:hAnsi="TimesNewRoman" w:cs="TimesNewRoman"/>
              </w:rPr>
              <w:t xml:space="preserve">, ar kuru ir pārņemta Direktīva </w:t>
            </w:r>
            <w:r w:rsidRPr="00E308E7">
              <w:rPr>
                <w:bCs/>
              </w:rPr>
              <w:t>2001/95/EK</w:t>
            </w:r>
            <w:r>
              <w:rPr>
                <w:bCs/>
              </w:rPr>
              <w:t>, un konkrēti Likuma</w:t>
            </w:r>
            <w:r w:rsidR="00E308E7">
              <w:rPr>
                <w:rFonts w:ascii="TimesNewRoman" w:eastAsia="Calibri" w:hAnsi="TimesNewRoman" w:cs="TimesNewRoman"/>
              </w:rPr>
              <w:t xml:space="preserve"> 5. panta otrās daļas 2. punktu</w:t>
            </w:r>
            <w:r>
              <w:rPr>
                <w:rFonts w:ascii="TimesNewRoman" w:eastAsia="Calibri" w:hAnsi="TimesNewRoman" w:cs="TimesNewRoman"/>
              </w:rPr>
              <w:t>,</w:t>
            </w:r>
            <w:r w:rsidR="00E308E7">
              <w:rPr>
                <w:rFonts w:ascii="TimesNewRoman" w:eastAsia="Calibri" w:hAnsi="TimesNewRoman" w:cs="TimesNewRoman"/>
              </w:rPr>
              <w:t xml:space="preserve"> p</w:t>
            </w:r>
            <w:r w:rsidR="00E308E7" w:rsidRPr="00191D5C">
              <w:rPr>
                <w:rFonts w:ascii="TimesNewRoman" w:eastAsia="Calibri" w:hAnsi="TimesNewRoman" w:cs="TimesNewRoman"/>
              </w:rPr>
              <w:t>rece atzīstama par drošu, ja tā atbilst</w:t>
            </w:r>
            <w:r w:rsidR="00E308E7">
              <w:rPr>
                <w:rFonts w:ascii="TimesNewRoman" w:eastAsia="Calibri" w:hAnsi="TimesNewRoman" w:cs="TimesNewRoman"/>
              </w:rPr>
              <w:t xml:space="preserve"> </w:t>
            </w:r>
            <w:r w:rsidR="00E308E7" w:rsidRPr="00191D5C">
              <w:rPr>
                <w:rFonts w:ascii="TimesNewRoman" w:eastAsia="Calibri" w:hAnsi="TimesNewRoman" w:cs="TimesNewRoman"/>
              </w:rPr>
              <w:t>nacionālā standarta statusā adaptētiem Eiropas standartiem</w:t>
            </w:r>
            <w:r w:rsidR="00E308E7">
              <w:rPr>
                <w:rFonts w:ascii="TimesNewRoman" w:eastAsia="Calibri" w:hAnsi="TimesNewRoman" w:cs="TimesNewRoman"/>
              </w:rPr>
              <w:t>.</w:t>
            </w:r>
            <w:r w:rsidR="00812F77">
              <w:rPr>
                <w:rFonts w:ascii="TimesNewRoman" w:eastAsia="Calibri" w:hAnsi="TimesNewRoman" w:cs="TimesNewRoman"/>
              </w:rPr>
              <w:t xml:space="preserve"> Tā kā pēc </w:t>
            </w:r>
            <w:r w:rsidR="00812F77">
              <w:rPr>
                <w:bCs/>
              </w:rPr>
              <w:t>Eiropas standarta</w:t>
            </w:r>
            <w:r w:rsidR="00812F77" w:rsidRPr="00E308E7">
              <w:rPr>
                <w:bCs/>
              </w:rPr>
              <w:t xml:space="preserve"> EN 13869:2016 par </w:t>
            </w:r>
            <w:proofErr w:type="spellStart"/>
            <w:r w:rsidR="00812F77" w:rsidRPr="00E308E7">
              <w:rPr>
                <w:bCs/>
              </w:rPr>
              <w:t>bērnudrošu</w:t>
            </w:r>
            <w:proofErr w:type="spellEnd"/>
            <w:r w:rsidR="00812F77" w:rsidRPr="00E308E7">
              <w:rPr>
                <w:bCs/>
              </w:rPr>
              <w:t xml:space="preserve"> šķiltavu prasībām</w:t>
            </w:r>
            <w:r w:rsidR="00812F77">
              <w:rPr>
                <w:bCs/>
              </w:rPr>
              <w:t xml:space="preserve"> publicēšanas </w:t>
            </w:r>
            <w:r w:rsidR="00812F77" w:rsidRPr="00E308E7">
              <w:rPr>
                <w:bCs/>
                <w:i/>
                <w:iCs/>
              </w:rPr>
              <w:t>Eiropas Savienības Oficiālajā Vēstnesī</w:t>
            </w:r>
            <w:r w:rsidR="00812F77">
              <w:rPr>
                <w:bCs/>
                <w:iCs/>
              </w:rPr>
              <w:t xml:space="preserve"> šis standarts ir </w:t>
            </w:r>
            <w:r w:rsidR="00812F77">
              <w:rPr>
                <w:bCs/>
                <w:iCs/>
              </w:rPr>
              <w:lastRenderedPageBreak/>
              <w:t xml:space="preserve">adaptēts arī Latvijas </w:t>
            </w:r>
            <w:r w:rsidR="00812F77" w:rsidRPr="00191D5C">
              <w:rPr>
                <w:rFonts w:ascii="TimesNewRoman" w:eastAsia="Calibri" w:hAnsi="TimesNewRoman" w:cs="TimesNewRoman"/>
              </w:rPr>
              <w:t xml:space="preserve">nacionālā </w:t>
            </w:r>
            <w:r w:rsidR="00812F77" w:rsidRPr="00575226">
              <w:rPr>
                <w:rFonts w:ascii="TimesNewRoman" w:eastAsia="Calibri" w:hAnsi="TimesNewRoman" w:cs="TimesNewRoman"/>
              </w:rPr>
              <w:t>standarta statusā</w:t>
            </w:r>
            <w:r w:rsidR="00E143B9">
              <w:rPr>
                <w:rFonts w:ascii="TimesNewRoman" w:eastAsia="Calibri" w:hAnsi="TimesNewRoman" w:cs="TimesNewRoman"/>
              </w:rPr>
              <w:t xml:space="preserve"> un</w:t>
            </w:r>
            <w:r w:rsidR="005744AF" w:rsidRPr="00575226">
              <w:rPr>
                <w:rFonts w:ascii="TimesNewRoman" w:eastAsia="Calibri" w:hAnsi="TimesNewRoman" w:cs="TimesNewRoman"/>
              </w:rPr>
              <w:t xml:space="preserve"> </w:t>
            </w:r>
            <w:r w:rsidR="00E143B9">
              <w:rPr>
                <w:rFonts w:ascii="TimesNewRoman" w:eastAsia="Calibri" w:hAnsi="TimesNewRoman" w:cs="TimesNewRoman"/>
              </w:rPr>
              <w:t>ietver</w:t>
            </w:r>
            <w:r w:rsidR="00575226" w:rsidRPr="00575226">
              <w:rPr>
                <w:rFonts w:ascii="TimesNewRoman" w:eastAsia="Calibri" w:hAnsi="TimesNewRoman" w:cs="TimesNewRoman"/>
              </w:rPr>
              <w:t>t</w:t>
            </w:r>
            <w:r w:rsidR="00E143B9">
              <w:rPr>
                <w:rFonts w:ascii="TimesNewRoman" w:eastAsia="Calibri" w:hAnsi="TimesNewRoman" w:cs="TimesNewRoman"/>
              </w:rPr>
              <w:t>s</w:t>
            </w:r>
            <w:r w:rsidR="00575226" w:rsidRPr="00575226">
              <w:rPr>
                <w:rFonts w:ascii="TimesNewRoman" w:eastAsia="Calibri" w:hAnsi="TimesNewRoman" w:cs="TimesNewRoman"/>
              </w:rPr>
              <w:t xml:space="preserve"> </w:t>
            </w:r>
            <w:r w:rsidR="00575226">
              <w:rPr>
                <w:rFonts w:ascii="TimesNewRoman" w:eastAsia="Calibri" w:hAnsi="TimesNewRoman" w:cs="TimesNewRoman"/>
              </w:rPr>
              <w:t xml:space="preserve">Latvijas </w:t>
            </w:r>
            <w:r w:rsidR="00575226" w:rsidRPr="00575226">
              <w:rPr>
                <w:rFonts w:ascii="TimesNewRoman" w:eastAsia="Calibri" w:hAnsi="TimesNewRoman" w:cs="TimesNewRoman"/>
              </w:rPr>
              <w:t>Nacionālās standartizācijas institūcijas (</w:t>
            </w:r>
            <w:r w:rsidR="00A556C7" w:rsidRPr="00575226">
              <w:rPr>
                <w:rFonts w:ascii="TimesNewRoman" w:eastAsia="Calibri" w:hAnsi="TimesNewRoman" w:cs="TimesNewRoman"/>
              </w:rPr>
              <w:t>Sabiedrības ar ierob</w:t>
            </w:r>
            <w:r w:rsidR="00D803EA">
              <w:rPr>
                <w:rFonts w:ascii="TimesNewRoman" w:eastAsia="Calibri" w:hAnsi="TimesNewRoman" w:cs="TimesNewRoman"/>
              </w:rPr>
              <w:t>ežotu atbildību “</w:t>
            </w:r>
            <w:r w:rsidR="00A556C7" w:rsidRPr="00575226">
              <w:rPr>
                <w:rFonts w:ascii="TimesNewRoman" w:eastAsia="Calibri" w:hAnsi="TimesNewRoman" w:cs="TimesNewRoman"/>
              </w:rPr>
              <w:t>Standartizācijas, akred</w:t>
            </w:r>
            <w:r w:rsidR="00D803EA">
              <w:rPr>
                <w:rFonts w:ascii="TimesNewRoman" w:eastAsia="Calibri" w:hAnsi="TimesNewRoman" w:cs="TimesNewRoman"/>
              </w:rPr>
              <w:t>itācijas un metroloģijas centrs”</w:t>
            </w:r>
            <w:r w:rsidR="00575226" w:rsidRPr="00575226">
              <w:rPr>
                <w:rFonts w:ascii="TimesNewRoman" w:eastAsia="Calibri" w:hAnsi="TimesNewRoman" w:cs="TimesNewRoman"/>
              </w:rPr>
              <w:t>)</w:t>
            </w:r>
            <w:r w:rsidR="00A556C7" w:rsidRPr="00575226">
              <w:rPr>
                <w:rFonts w:ascii="TimesNewRoman" w:eastAsia="Calibri" w:hAnsi="TimesNewRoman" w:cs="TimesNewRoman"/>
              </w:rPr>
              <w:t xml:space="preserve"> mājaslapā internetā (www.lvs.lv) </w:t>
            </w:r>
            <w:r w:rsidR="00575226" w:rsidRPr="00575226">
              <w:rPr>
                <w:rFonts w:ascii="TimesNewRoman" w:eastAsia="Calibri" w:hAnsi="TimesNewRoman" w:cs="TimesNewRoman"/>
              </w:rPr>
              <w:t>publicētajā nacionālā standarta statusā adaptēto Eiropas standartu sarakstā</w:t>
            </w:r>
            <w:r w:rsidR="005744AF" w:rsidRPr="00575226">
              <w:rPr>
                <w:rFonts w:ascii="TimesNewRoman" w:eastAsia="Calibri" w:hAnsi="TimesNewRoman" w:cs="TimesNewRoman"/>
              </w:rPr>
              <w:t xml:space="preserve">, </w:t>
            </w:r>
            <w:r w:rsidR="00BF562D">
              <w:rPr>
                <w:rFonts w:ascii="TimesNewRoman" w:eastAsia="Calibri" w:hAnsi="TimesNewRoman" w:cs="TimesNewRoman"/>
              </w:rPr>
              <w:t xml:space="preserve">kas piemērojami saskaņā ar Likumu, </w:t>
            </w:r>
            <w:r w:rsidR="005744AF" w:rsidRPr="00575226">
              <w:rPr>
                <w:rFonts w:ascii="TimesNewRoman" w:eastAsia="Calibri" w:hAnsi="TimesNewRoman" w:cs="TimesNewRoman"/>
              </w:rPr>
              <w:t xml:space="preserve">tad šobrīd </w:t>
            </w:r>
            <w:r w:rsidR="005744AF" w:rsidRPr="00575226">
              <w:t>MK noteikumu Nr. 942 mē</w:t>
            </w:r>
            <w:r w:rsidR="00D66847" w:rsidRPr="00575226">
              <w:t>r</w:t>
            </w:r>
            <w:r w:rsidR="005744AF" w:rsidRPr="00575226">
              <w:t>ķis – noteikt prasības bērniem drošām šķiltavām</w:t>
            </w:r>
            <w:r w:rsidR="008C2024">
              <w:t>, tai skaitā aizliegumu laist tirgū jaunrades šķiltavas</w:t>
            </w:r>
            <w:r w:rsidR="005744AF">
              <w:t xml:space="preserve"> – tiek nodrošināts ar </w:t>
            </w:r>
            <w:r w:rsidR="00ED12FE">
              <w:t xml:space="preserve">minētā  standarta </w:t>
            </w:r>
            <w:r w:rsidR="00ED12FE" w:rsidRPr="00E308E7">
              <w:rPr>
                <w:bCs/>
              </w:rPr>
              <w:t>EN 13869:2016</w:t>
            </w:r>
            <w:r w:rsidR="00ED12FE">
              <w:rPr>
                <w:bCs/>
              </w:rPr>
              <w:t xml:space="preserve"> </w:t>
            </w:r>
            <w:r w:rsidR="00575226">
              <w:rPr>
                <w:bCs/>
                <w:iCs/>
              </w:rPr>
              <w:t xml:space="preserve">adaptēšanu Latvijas </w:t>
            </w:r>
            <w:r w:rsidR="00575226" w:rsidRPr="00191D5C">
              <w:rPr>
                <w:rFonts w:ascii="TimesNewRoman" w:eastAsia="Calibri" w:hAnsi="TimesNewRoman" w:cs="TimesNewRoman"/>
              </w:rPr>
              <w:t>nacionālā standarta statusā</w:t>
            </w:r>
            <w:r w:rsidR="00BF562D">
              <w:rPr>
                <w:rFonts w:ascii="TimesNewRoman" w:eastAsia="Calibri" w:hAnsi="TimesNewRoman" w:cs="TimesNewRoman"/>
              </w:rPr>
              <w:t xml:space="preserve"> un ietveršanu saskaņā ar Likumu piemērojamo standartu sarakstā</w:t>
            </w:r>
            <w:r w:rsidR="00ED12FE">
              <w:rPr>
                <w:bCs/>
              </w:rPr>
              <w:t>.</w:t>
            </w:r>
            <w:r w:rsidR="00E5625C">
              <w:rPr>
                <w:bCs/>
              </w:rPr>
              <w:t xml:space="preserve"> Savukārt tirgus uzraudzības iestāžu </w:t>
            </w:r>
            <w:r w:rsidR="00373E25">
              <w:rPr>
                <w:bCs/>
              </w:rPr>
              <w:t xml:space="preserve">darbība, kas saistīta ar šķiltavu drošuma kontroli un attiecīgu lēmumu pieņemšanu, arī pēc </w:t>
            </w:r>
            <w:r w:rsidR="00373E25">
              <w:t>MK noteikumu</w:t>
            </w:r>
            <w:r w:rsidR="00373E25" w:rsidRPr="00E308E7">
              <w:t xml:space="preserve"> Nr. 942</w:t>
            </w:r>
            <w:r w:rsidR="00373E25">
              <w:t xml:space="preserve"> atcelšanas tiks veikta, pamatojoties uz Likumu, tāpat kā līdz šim.</w:t>
            </w:r>
          </w:p>
          <w:p w14:paraId="1EADB5C0" w14:textId="0755D5F5" w:rsidR="002974AA" w:rsidRPr="00E308E7" w:rsidRDefault="002974AA" w:rsidP="004E34D0">
            <w:pPr>
              <w:pStyle w:val="tv2131"/>
              <w:spacing w:line="240" w:lineRule="auto"/>
              <w:ind w:right="130" w:firstLine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D4367" w:rsidRPr="00FB41DC" w14:paraId="2DE8B5E3" w14:textId="77777777" w:rsidTr="004E34D0">
        <w:tc>
          <w:tcPr>
            <w:tcW w:w="701" w:type="dxa"/>
          </w:tcPr>
          <w:p w14:paraId="061CDB53" w14:textId="77777777" w:rsidR="00AD4367" w:rsidRPr="00FB41DC" w:rsidRDefault="00AD4367" w:rsidP="00572718">
            <w:pPr>
              <w:jc w:val="center"/>
            </w:pPr>
            <w:r>
              <w:lastRenderedPageBreak/>
              <w:t>3</w:t>
            </w:r>
            <w:r w:rsidRPr="00FB41DC">
              <w:t>.</w:t>
            </w:r>
          </w:p>
        </w:tc>
        <w:tc>
          <w:tcPr>
            <w:tcW w:w="1436" w:type="dxa"/>
          </w:tcPr>
          <w:p w14:paraId="1C16BDDF" w14:textId="77777777" w:rsidR="00AD4367" w:rsidRPr="00FB41DC" w:rsidRDefault="00AD4367" w:rsidP="00572718">
            <w:r w:rsidRPr="00FB41DC">
              <w:t>Projekta izstrādē iesaistītās institūcijas</w:t>
            </w:r>
          </w:p>
        </w:tc>
        <w:tc>
          <w:tcPr>
            <w:tcW w:w="6996" w:type="dxa"/>
          </w:tcPr>
          <w:p w14:paraId="2F7EC8C3" w14:textId="07015AA3" w:rsidR="00AD4367" w:rsidRPr="00FB41DC" w:rsidRDefault="00E308E7" w:rsidP="00572718">
            <w:pPr>
              <w:pStyle w:val="naiskr"/>
              <w:jc w:val="both"/>
            </w:pPr>
            <w:r>
              <w:t>Ekonomikas</w:t>
            </w:r>
            <w:r w:rsidR="00AD4367">
              <w:t xml:space="preserve"> ministrija.</w:t>
            </w:r>
          </w:p>
        </w:tc>
      </w:tr>
      <w:tr w:rsidR="00AD4367" w:rsidRPr="00FB41DC" w14:paraId="12FAE124" w14:textId="77777777" w:rsidTr="004E34D0">
        <w:trPr>
          <w:trHeight w:val="571"/>
        </w:trPr>
        <w:tc>
          <w:tcPr>
            <w:tcW w:w="701" w:type="dxa"/>
          </w:tcPr>
          <w:p w14:paraId="53967F29" w14:textId="77777777" w:rsidR="00AD4367" w:rsidRPr="00FB41DC" w:rsidRDefault="00AD4367" w:rsidP="00572718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1436" w:type="dxa"/>
          </w:tcPr>
          <w:p w14:paraId="4F991C7D" w14:textId="77777777" w:rsidR="00AD4367" w:rsidRPr="00FB41DC" w:rsidRDefault="00AD4367" w:rsidP="00572718">
            <w:r w:rsidRPr="00FB41DC">
              <w:t>Cita informācija</w:t>
            </w:r>
          </w:p>
        </w:tc>
        <w:tc>
          <w:tcPr>
            <w:tcW w:w="6996" w:type="dxa"/>
          </w:tcPr>
          <w:p w14:paraId="3FE6C406" w14:textId="77777777" w:rsidR="00AD4367" w:rsidRPr="00FB41DC" w:rsidRDefault="00AD4367" w:rsidP="00572718">
            <w:pPr>
              <w:jc w:val="both"/>
            </w:pPr>
            <w:r>
              <w:t>Nav</w:t>
            </w:r>
          </w:p>
        </w:tc>
      </w:tr>
    </w:tbl>
    <w:p w14:paraId="3D9BD614" w14:textId="77777777" w:rsidR="00AD4367" w:rsidRPr="00FB41DC" w:rsidRDefault="00AD4367" w:rsidP="00AD43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661"/>
        <w:gridCol w:w="5762"/>
      </w:tblGrid>
      <w:tr w:rsidR="00AD4367" w:rsidRPr="00FB41DC" w14:paraId="60B7F499" w14:textId="77777777" w:rsidTr="00572718">
        <w:tc>
          <w:tcPr>
            <w:tcW w:w="9287" w:type="dxa"/>
            <w:gridSpan w:val="3"/>
          </w:tcPr>
          <w:p w14:paraId="1E70995B" w14:textId="77777777" w:rsidR="00AD4367" w:rsidRPr="00FB41DC" w:rsidRDefault="00AD4367" w:rsidP="00572718">
            <w:pPr>
              <w:jc w:val="center"/>
              <w:rPr>
                <w:b/>
              </w:rPr>
            </w:pPr>
            <w:r w:rsidRPr="00FB41DC">
              <w:rPr>
                <w:b/>
              </w:rPr>
              <w:t>II.</w:t>
            </w:r>
            <w:r w:rsidR="008536DA">
              <w:rPr>
                <w:b/>
              </w:rPr>
              <w:t> </w:t>
            </w:r>
            <w:r w:rsidRPr="00FB41DC">
              <w:rPr>
                <w:b/>
              </w:rPr>
              <w:t>Tiesību akta projekta ietekme uz sabiedrību</w:t>
            </w:r>
          </w:p>
        </w:tc>
      </w:tr>
      <w:tr w:rsidR="00AD4367" w:rsidRPr="00FB41DC" w14:paraId="44242B50" w14:textId="77777777" w:rsidTr="00572718">
        <w:tc>
          <w:tcPr>
            <w:tcW w:w="648" w:type="dxa"/>
          </w:tcPr>
          <w:p w14:paraId="0C2F88CC" w14:textId="77777777" w:rsidR="00AD4367" w:rsidRPr="00FB41DC" w:rsidRDefault="00AD4367" w:rsidP="00572718">
            <w:pPr>
              <w:jc w:val="center"/>
            </w:pPr>
            <w:r w:rsidRPr="00FB41DC">
              <w:t>1.</w:t>
            </w:r>
          </w:p>
        </w:tc>
        <w:tc>
          <w:tcPr>
            <w:tcW w:w="2700" w:type="dxa"/>
          </w:tcPr>
          <w:p w14:paraId="169FAD37" w14:textId="77777777" w:rsidR="00AD4367" w:rsidRPr="00FB41DC" w:rsidRDefault="00AD4367" w:rsidP="00572718">
            <w:r w:rsidRPr="00FB41DC">
              <w:t xml:space="preserve">Sabiedrības </w:t>
            </w:r>
            <w:proofErr w:type="spellStart"/>
            <w:r w:rsidRPr="00FB41DC">
              <w:t>mērķgrupa</w:t>
            </w:r>
            <w:r>
              <w:t>s</w:t>
            </w:r>
            <w:proofErr w:type="spellEnd"/>
            <w:r>
              <w:t>, kuras tiesiskais regulējums ietekmē vai varētu ietekmēt</w:t>
            </w:r>
          </w:p>
        </w:tc>
        <w:tc>
          <w:tcPr>
            <w:tcW w:w="5939" w:type="dxa"/>
          </w:tcPr>
          <w:p w14:paraId="110D3E85" w14:textId="6885E98D" w:rsidR="00C13EFF" w:rsidRPr="00FB41DC" w:rsidRDefault="004F3FE5" w:rsidP="00572718">
            <w:pPr>
              <w:jc w:val="both"/>
            </w:pPr>
            <w:r>
              <w:t xml:space="preserve">Šķiltavu ražotāji, </w:t>
            </w:r>
            <w:r w:rsidR="008C2024">
              <w:t>importētāji, izplatītāji</w:t>
            </w:r>
            <w:r>
              <w:t>, tirgus uzraudzības iestādes</w:t>
            </w:r>
            <w:r w:rsidR="00C13EFF">
              <w:t>.</w:t>
            </w:r>
          </w:p>
        </w:tc>
      </w:tr>
      <w:tr w:rsidR="00AD4367" w:rsidRPr="00CC4F9A" w14:paraId="6C4302D8" w14:textId="77777777" w:rsidTr="00572718">
        <w:tc>
          <w:tcPr>
            <w:tcW w:w="648" w:type="dxa"/>
            <w:shd w:val="clear" w:color="auto" w:fill="auto"/>
          </w:tcPr>
          <w:p w14:paraId="3A9E8257" w14:textId="77777777" w:rsidR="00AD4367" w:rsidRPr="00CC4F9A" w:rsidRDefault="00AD4367" w:rsidP="00572718">
            <w:pPr>
              <w:jc w:val="center"/>
              <w:rPr>
                <w:highlight w:val="yellow"/>
              </w:rPr>
            </w:pPr>
            <w:r>
              <w:t>2</w:t>
            </w:r>
            <w:r w:rsidRPr="00331BA5">
              <w:t>.</w:t>
            </w:r>
          </w:p>
        </w:tc>
        <w:tc>
          <w:tcPr>
            <w:tcW w:w="2700" w:type="dxa"/>
            <w:shd w:val="clear" w:color="auto" w:fill="FFFFFF"/>
          </w:tcPr>
          <w:p w14:paraId="6DFB1B1F" w14:textId="77777777" w:rsidR="00AD4367" w:rsidRPr="00CC4F9A" w:rsidRDefault="00AD4367" w:rsidP="00572718">
            <w:pPr>
              <w:rPr>
                <w:highlight w:val="yellow"/>
              </w:rPr>
            </w:pPr>
            <w:r w:rsidRPr="00331BA5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5939" w:type="dxa"/>
            <w:shd w:val="clear" w:color="auto" w:fill="auto"/>
          </w:tcPr>
          <w:p w14:paraId="554C5418" w14:textId="2C79B99C" w:rsidR="00092204" w:rsidRPr="00DB4477" w:rsidRDefault="00B2469C" w:rsidP="00572718">
            <w:pPr>
              <w:jc w:val="both"/>
            </w:pPr>
            <w:r>
              <w:t>Noteikumu p</w:t>
            </w:r>
            <w:r w:rsidR="00ED12FE" w:rsidRPr="00ED12FE">
              <w:t>rojekts neparedz ad</w:t>
            </w:r>
            <w:r w:rsidR="00ED12FE">
              <w:t>ministratīvo procedūru izmaiņas</w:t>
            </w:r>
            <w:r w:rsidR="00ED12FE" w:rsidRPr="00ED12FE">
              <w:t>. Tirgus uzraudzības iestādes</w:t>
            </w:r>
            <w:r w:rsidR="004F3FE5">
              <w:t xml:space="preserve"> darbosies kā līdz šim. Ražotājiem</w:t>
            </w:r>
            <w:r w:rsidR="00E77002">
              <w:t>, importētājiem</w:t>
            </w:r>
            <w:r w:rsidR="004F3FE5">
              <w:t xml:space="preserve"> un </w:t>
            </w:r>
            <w:r w:rsidR="00E77002">
              <w:t>izplatītāj</w:t>
            </w:r>
            <w:r w:rsidR="004F3FE5">
              <w:t>iem</w:t>
            </w:r>
            <w:r w:rsidR="00ED12FE" w:rsidRPr="00ED12FE">
              <w:t xml:space="preserve"> </w:t>
            </w:r>
            <w:r w:rsidR="00ED12FE">
              <w:t xml:space="preserve">līdz šim ar Ministru kabineta noteikumiem paredzētās prasības attiecībā uz bērniem drošām šķiltavām turpmāk </w:t>
            </w:r>
            <w:r w:rsidR="004F3FE5">
              <w:t xml:space="preserve">būs noteiktas </w:t>
            </w:r>
            <w:r w:rsidR="0087536F">
              <w:rPr>
                <w:bCs/>
                <w:iCs/>
              </w:rPr>
              <w:t xml:space="preserve">Latvijas </w:t>
            </w:r>
            <w:r w:rsidR="0087536F" w:rsidRPr="00191D5C">
              <w:rPr>
                <w:rFonts w:ascii="TimesNewRoman" w:eastAsia="Calibri" w:hAnsi="TimesNewRoman" w:cs="TimesNewRoman"/>
              </w:rPr>
              <w:t>nacionālā standarta statusā</w:t>
            </w:r>
            <w:r w:rsidR="0087536F">
              <w:rPr>
                <w:rFonts w:ascii="TimesNewRoman" w:eastAsia="Calibri" w:hAnsi="TimesNewRoman" w:cs="TimesNewRoman"/>
              </w:rPr>
              <w:t xml:space="preserve"> adaptētajā</w:t>
            </w:r>
            <w:r w:rsidR="004F3FE5">
              <w:t xml:space="preserve"> standartā LVS </w:t>
            </w:r>
            <w:r w:rsidR="004F3FE5" w:rsidRPr="00E308E7">
              <w:rPr>
                <w:bCs/>
              </w:rPr>
              <w:t>EN 13869:2016</w:t>
            </w:r>
            <w:r w:rsidR="00BF562D">
              <w:rPr>
                <w:bCs/>
              </w:rPr>
              <w:t>, kurš ietverts saskaņā ar Likumu piemērojamo standartu sarakstā</w:t>
            </w:r>
            <w:r w:rsidR="00ED12FE" w:rsidRPr="00ED12FE">
              <w:t>.</w:t>
            </w:r>
          </w:p>
        </w:tc>
      </w:tr>
      <w:tr w:rsidR="00AD4367" w:rsidRPr="00FB41DC" w14:paraId="1129EEBE" w14:textId="77777777" w:rsidTr="00572718">
        <w:tc>
          <w:tcPr>
            <w:tcW w:w="648" w:type="dxa"/>
          </w:tcPr>
          <w:p w14:paraId="61D10869" w14:textId="77777777" w:rsidR="00AD4367" w:rsidRPr="00FB41DC" w:rsidRDefault="00AD4367" w:rsidP="00572718">
            <w:pPr>
              <w:jc w:val="center"/>
            </w:pPr>
            <w:r>
              <w:t>3</w:t>
            </w:r>
            <w:r w:rsidRPr="00FB41DC">
              <w:t>.</w:t>
            </w:r>
          </w:p>
        </w:tc>
        <w:tc>
          <w:tcPr>
            <w:tcW w:w="2700" w:type="dxa"/>
          </w:tcPr>
          <w:p w14:paraId="2B3C8C5F" w14:textId="77777777" w:rsidR="00AD4367" w:rsidRPr="00FB41DC" w:rsidRDefault="00AD4367" w:rsidP="00572718">
            <w:r w:rsidRPr="00FB41DC">
              <w:t>Administratīvo izmaksu monetārs novērtējums</w:t>
            </w:r>
          </w:p>
        </w:tc>
        <w:tc>
          <w:tcPr>
            <w:tcW w:w="5939" w:type="dxa"/>
          </w:tcPr>
          <w:p w14:paraId="4CE1E563" w14:textId="17F7BC78" w:rsidR="00AD4367" w:rsidRPr="00FB41DC" w:rsidRDefault="00B2469C" w:rsidP="00572718">
            <w:r>
              <w:t>Noteikumu p</w:t>
            </w:r>
            <w:r w:rsidR="00AD4367">
              <w:t>rojekts šo jomu neskar.</w:t>
            </w:r>
          </w:p>
        </w:tc>
      </w:tr>
      <w:tr w:rsidR="00AD4367" w:rsidRPr="00FB41DC" w14:paraId="1E943383" w14:textId="77777777" w:rsidTr="00572718">
        <w:tc>
          <w:tcPr>
            <w:tcW w:w="648" w:type="dxa"/>
          </w:tcPr>
          <w:p w14:paraId="10B8B875" w14:textId="77777777" w:rsidR="00AD4367" w:rsidRPr="00FB41DC" w:rsidRDefault="00AD4367" w:rsidP="00572718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2700" w:type="dxa"/>
          </w:tcPr>
          <w:p w14:paraId="19891448" w14:textId="77777777" w:rsidR="00AD4367" w:rsidRPr="00FB41DC" w:rsidRDefault="00AD4367" w:rsidP="00572718">
            <w:r w:rsidRPr="00FB41DC">
              <w:t>Cita informācija</w:t>
            </w:r>
          </w:p>
        </w:tc>
        <w:tc>
          <w:tcPr>
            <w:tcW w:w="5939" w:type="dxa"/>
          </w:tcPr>
          <w:p w14:paraId="3ADBD557" w14:textId="77777777" w:rsidR="00AD4367" w:rsidRPr="00FB41DC" w:rsidRDefault="00AD4367" w:rsidP="00572718">
            <w:pPr>
              <w:jc w:val="both"/>
            </w:pPr>
            <w:r>
              <w:t>Nav</w:t>
            </w:r>
          </w:p>
        </w:tc>
      </w:tr>
    </w:tbl>
    <w:p w14:paraId="3688F850" w14:textId="77777777" w:rsidR="00AD4367" w:rsidRDefault="00AD4367" w:rsidP="00AD4367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51311" w14:paraId="5F21AAC0" w14:textId="77777777" w:rsidTr="00F513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F298" w14:textId="77777777" w:rsidR="00F51311" w:rsidRDefault="00F51311">
            <w:pPr>
              <w:jc w:val="center"/>
              <w:rPr>
                <w:b/>
              </w:rPr>
            </w:pPr>
            <w:r>
              <w:rPr>
                <w:b/>
              </w:rPr>
              <w:t>III. Tiesību akta projekta ietekme uz valsts budžetu un pašvaldību budžetiem</w:t>
            </w:r>
          </w:p>
        </w:tc>
      </w:tr>
      <w:tr w:rsidR="00F51311" w14:paraId="0C648626" w14:textId="77777777" w:rsidTr="00F513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7991" w14:textId="10B54FF8" w:rsidR="00F51311" w:rsidRDefault="00B2469C">
            <w:pPr>
              <w:jc w:val="center"/>
            </w:pPr>
            <w:r>
              <w:t>Noteikumu p</w:t>
            </w:r>
            <w:r w:rsidR="00F51311">
              <w:t>rojekts šo jomu neskar.</w:t>
            </w:r>
          </w:p>
        </w:tc>
      </w:tr>
    </w:tbl>
    <w:p w14:paraId="077B0473" w14:textId="77777777" w:rsidR="00F51311" w:rsidRDefault="00F51311" w:rsidP="00F51311"/>
    <w:p w14:paraId="15665C70" w14:textId="77777777" w:rsidR="00F51311" w:rsidRDefault="00F51311" w:rsidP="00F51311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51311" w14:paraId="59F6D3DB" w14:textId="77777777" w:rsidTr="00F513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F20F" w14:textId="77777777" w:rsidR="00F51311" w:rsidRDefault="00F51311">
            <w:pPr>
              <w:jc w:val="center"/>
              <w:rPr>
                <w:b/>
              </w:rPr>
            </w:pPr>
            <w:r>
              <w:rPr>
                <w:b/>
              </w:rPr>
              <w:t>IV. Tiesību akta projekta ietekme uz spēkā esošo tiesību normu sistēmu</w:t>
            </w:r>
          </w:p>
        </w:tc>
      </w:tr>
      <w:tr w:rsidR="00F51311" w14:paraId="104DEF30" w14:textId="77777777" w:rsidTr="00F513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16A" w14:textId="41015DA6" w:rsidR="00F51311" w:rsidRDefault="00B2469C">
            <w:pPr>
              <w:jc w:val="center"/>
            </w:pPr>
            <w:r>
              <w:t>Noteikumu p</w:t>
            </w:r>
            <w:r w:rsidR="00F51311">
              <w:t>rojekts šo jomu neskar.</w:t>
            </w:r>
          </w:p>
        </w:tc>
      </w:tr>
    </w:tbl>
    <w:p w14:paraId="0DF97C9B" w14:textId="77777777" w:rsidR="00F51311" w:rsidRDefault="00F51311" w:rsidP="00AD4367"/>
    <w:p w14:paraId="3FAAF918" w14:textId="77777777" w:rsidR="00AD4367" w:rsidRPr="00FB41DC" w:rsidRDefault="00AD4367" w:rsidP="00AD4367"/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901"/>
        <w:gridCol w:w="5972"/>
      </w:tblGrid>
      <w:tr w:rsidR="00AD4367" w:rsidRPr="00FB41DC" w14:paraId="5C2BEC60" w14:textId="77777777" w:rsidTr="00572718">
        <w:trPr>
          <w:jc w:val="center"/>
        </w:trPr>
        <w:tc>
          <w:tcPr>
            <w:tcW w:w="9396" w:type="dxa"/>
            <w:gridSpan w:val="3"/>
          </w:tcPr>
          <w:p w14:paraId="1D22D401" w14:textId="77777777" w:rsidR="00AD4367" w:rsidRPr="00FB41DC" w:rsidRDefault="00AD4367" w:rsidP="00572718">
            <w:pPr>
              <w:pStyle w:val="naisnod"/>
              <w:spacing w:before="0" w:after="0"/>
            </w:pPr>
            <w:r w:rsidRPr="00FB41DC">
              <w:t>V. Tiesību akta projekta atbilstība Latvijas Republikas starptautiskajām saistībām</w:t>
            </w:r>
          </w:p>
        </w:tc>
      </w:tr>
      <w:tr w:rsidR="00AD4367" w:rsidRPr="0062273E" w14:paraId="2AC70035" w14:textId="77777777" w:rsidTr="00DC6733">
        <w:trPr>
          <w:jc w:val="center"/>
        </w:trPr>
        <w:tc>
          <w:tcPr>
            <w:tcW w:w="523" w:type="dxa"/>
          </w:tcPr>
          <w:p w14:paraId="1C17F9B1" w14:textId="77777777" w:rsidR="00AD4367" w:rsidRPr="0062273E" w:rsidRDefault="00AD4367" w:rsidP="0057271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1.</w:t>
            </w:r>
          </w:p>
        </w:tc>
        <w:tc>
          <w:tcPr>
            <w:tcW w:w="2901" w:type="dxa"/>
          </w:tcPr>
          <w:p w14:paraId="5ED2B478" w14:textId="77777777" w:rsidR="00AD4367" w:rsidRPr="004B69A2" w:rsidRDefault="00AD4367" w:rsidP="0057271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B69A2">
              <w:t>Saistības pret Eiropas Savienību</w:t>
            </w:r>
          </w:p>
        </w:tc>
        <w:tc>
          <w:tcPr>
            <w:tcW w:w="5972" w:type="dxa"/>
          </w:tcPr>
          <w:p w14:paraId="2582ECE6" w14:textId="154E5B04" w:rsidR="00AD4367" w:rsidRPr="00483F49" w:rsidRDefault="0087536F" w:rsidP="00E13FF8">
            <w:pPr>
              <w:pStyle w:val="naisc"/>
              <w:spacing w:before="0" w:after="0"/>
              <w:jc w:val="both"/>
            </w:pPr>
            <w:r>
              <w:rPr>
                <w:bCs/>
              </w:rPr>
              <w:t>Ar Noteikumu projektu tiek nodrošināta atbilstība</w:t>
            </w:r>
            <w:r w:rsidR="00CB2618">
              <w:rPr>
                <w:bCs/>
              </w:rPr>
              <w:t xml:space="preserve"> </w:t>
            </w:r>
            <w:r>
              <w:rPr>
                <w:bCs/>
              </w:rPr>
              <w:t>Komisijas īstenošanas lēmumam</w:t>
            </w:r>
            <w:r w:rsidRPr="0087536F">
              <w:rPr>
                <w:bCs/>
              </w:rPr>
              <w:t xml:space="preserve"> (ES) 2017/1014 par to, lai saskaņā ar Eiropas Parlamenta un Padomes Direktīvu 2001/95/EK </w:t>
            </w:r>
            <w:r w:rsidRPr="0087536F">
              <w:rPr>
                <w:bCs/>
                <w:i/>
                <w:iCs/>
              </w:rPr>
              <w:t xml:space="preserve">Eiropas Savienības Oficiālajā Vēstnesī </w:t>
            </w:r>
            <w:r w:rsidRPr="0087536F">
              <w:rPr>
                <w:bCs/>
              </w:rPr>
              <w:t xml:space="preserve">publicētu atsauces uz Eiropas standartiem EN 13869:2016 par </w:t>
            </w:r>
            <w:proofErr w:type="spellStart"/>
            <w:r w:rsidRPr="0087536F">
              <w:rPr>
                <w:bCs/>
              </w:rPr>
              <w:t>bērnudrošu</w:t>
            </w:r>
            <w:proofErr w:type="spellEnd"/>
            <w:r w:rsidRPr="0087536F">
              <w:rPr>
                <w:bCs/>
              </w:rPr>
              <w:t xml:space="preserve"> šķiltavu prasībām un EN 13209-2:2015 par bērnu pārnēsājamām somām</w:t>
            </w:r>
            <w:r w:rsidR="00CB2618">
              <w:rPr>
                <w:bCs/>
              </w:rPr>
              <w:t>.</w:t>
            </w:r>
          </w:p>
        </w:tc>
      </w:tr>
      <w:tr w:rsidR="00AD4367" w:rsidRPr="00FB41DC" w14:paraId="6BC5D036" w14:textId="77777777" w:rsidTr="00DC6733">
        <w:trPr>
          <w:jc w:val="center"/>
        </w:trPr>
        <w:tc>
          <w:tcPr>
            <w:tcW w:w="523" w:type="dxa"/>
          </w:tcPr>
          <w:p w14:paraId="2F5FC420" w14:textId="77777777" w:rsidR="00AD4367" w:rsidRPr="00FB41DC" w:rsidRDefault="00AD4367" w:rsidP="0057271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2.</w:t>
            </w:r>
          </w:p>
        </w:tc>
        <w:tc>
          <w:tcPr>
            <w:tcW w:w="2901" w:type="dxa"/>
          </w:tcPr>
          <w:p w14:paraId="07F3D56C" w14:textId="77777777" w:rsidR="00AD4367" w:rsidRPr="00FB41DC" w:rsidRDefault="00AD4367" w:rsidP="0057271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Citas starptautiskās saistības</w:t>
            </w:r>
          </w:p>
        </w:tc>
        <w:tc>
          <w:tcPr>
            <w:tcW w:w="5972" w:type="dxa"/>
          </w:tcPr>
          <w:p w14:paraId="304F42E3" w14:textId="1CB7D7B9" w:rsidR="00AD4367" w:rsidRPr="00FB41DC" w:rsidRDefault="00B2469C" w:rsidP="0057271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Noteikumu p</w:t>
            </w:r>
            <w:r w:rsidR="00AD4367">
              <w:t>rojekts šo jomu neskar.</w:t>
            </w:r>
          </w:p>
        </w:tc>
      </w:tr>
      <w:tr w:rsidR="00AD4367" w:rsidRPr="00FB41DC" w14:paraId="4853404F" w14:textId="77777777" w:rsidTr="00DC6733">
        <w:trPr>
          <w:jc w:val="center"/>
        </w:trPr>
        <w:tc>
          <w:tcPr>
            <w:tcW w:w="523" w:type="dxa"/>
          </w:tcPr>
          <w:p w14:paraId="1ED187FA" w14:textId="77777777" w:rsidR="00AD4367" w:rsidRPr="00FB41DC" w:rsidRDefault="00AD4367" w:rsidP="0057271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3.</w:t>
            </w:r>
          </w:p>
        </w:tc>
        <w:tc>
          <w:tcPr>
            <w:tcW w:w="2901" w:type="dxa"/>
          </w:tcPr>
          <w:p w14:paraId="675A4C12" w14:textId="77777777" w:rsidR="00AD4367" w:rsidRPr="00FB41DC" w:rsidRDefault="00AD4367" w:rsidP="0057271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 informācija</w:t>
            </w:r>
          </w:p>
        </w:tc>
        <w:tc>
          <w:tcPr>
            <w:tcW w:w="5972" w:type="dxa"/>
          </w:tcPr>
          <w:p w14:paraId="0E254EF8" w14:textId="35B758A7" w:rsidR="00AD4367" w:rsidRPr="00FB41DC" w:rsidRDefault="000A65E3" w:rsidP="0057271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rPr>
                <w:bCs/>
              </w:rPr>
              <w:t>Noteikumu projekts izstrādāts Eiropas Savienībā pieņemta tiesību akta un izstrādāta un publicēta standarta rezultātā, tomēr ar Noteikumu projektu netiek pārņemts neviens Eiropas Savienības tiesību akts.</w:t>
            </w:r>
          </w:p>
        </w:tc>
      </w:tr>
    </w:tbl>
    <w:p w14:paraId="3CD6E3BA" w14:textId="77777777" w:rsidR="00AD4367" w:rsidRPr="00FB41DC" w:rsidRDefault="00AD4367" w:rsidP="00AD4367">
      <w:pPr>
        <w:pStyle w:val="naisf"/>
        <w:spacing w:before="0" w:after="0"/>
        <w:ind w:firstLine="0"/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1843"/>
        <w:gridCol w:w="1701"/>
        <w:gridCol w:w="3876"/>
      </w:tblGrid>
      <w:tr w:rsidR="00AD4367" w:rsidRPr="00FB41DC" w14:paraId="78102B9F" w14:textId="77777777" w:rsidTr="00572718">
        <w:trPr>
          <w:trHeight w:val="523"/>
          <w:jc w:val="center"/>
        </w:trPr>
        <w:tc>
          <w:tcPr>
            <w:tcW w:w="9455" w:type="dxa"/>
            <w:gridSpan w:val="4"/>
            <w:vAlign w:val="center"/>
          </w:tcPr>
          <w:p w14:paraId="1AEB25EC" w14:textId="77777777" w:rsidR="00AD4367" w:rsidRPr="00FB41DC" w:rsidRDefault="00AD4367" w:rsidP="00572718">
            <w:pPr>
              <w:pStyle w:val="naisnod"/>
              <w:spacing w:before="0" w:after="0"/>
            </w:pPr>
            <w:r w:rsidRPr="00FB41DC">
              <w:t>1.</w:t>
            </w:r>
            <w:r w:rsidR="008536DA">
              <w:t> </w:t>
            </w:r>
            <w:r w:rsidRPr="00FB41DC">
              <w:t>tabula</w:t>
            </w:r>
          </w:p>
          <w:p w14:paraId="4A1A8FEC" w14:textId="77777777" w:rsidR="00AD4367" w:rsidRPr="00FB41DC" w:rsidRDefault="00AD4367" w:rsidP="00572718">
            <w:pPr>
              <w:pStyle w:val="naisnod"/>
              <w:spacing w:before="0" w:after="0"/>
              <w:rPr>
                <w:i/>
              </w:rPr>
            </w:pPr>
            <w:r w:rsidRPr="00FB41DC">
              <w:t>Tiesību akta projekta atbilstība ES tiesību aktiem</w:t>
            </w:r>
          </w:p>
        </w:tc>
      </w:tr>
      <w:tr w:rsidR="00AD4367" w:rsidRPr="00A977E6" w14:paraId="79164B4F" w14:textId="77777777" w:rsidTr="00572718">
        <w:trPr>
          <w:trHeight w:val="1252"/>
          <w:jc w:val="center"/>
        </w:trPr>
        <w:tc>
          <w:tcPr>
            <w:tcW w:w="2035" w:type="dxa"/>
            <w:vAlign w:val="center"/>
          </w:tcPr>
          <w:p w14:paraId="1F665944" w14:textId="77777777" w:rsidR="00AD4367" w:rsidRPr="00FB41DC" w:rsidRDefault="00AD4367" w:rsidP="00572718">
            <w:pPr>
              <w:pStyle w:val="naiskr"/>
              <w:spacing w:before="0" w:after="0"/>
              <w:ind w:hanging="10"/>
              <w:jc w:val="both"/>
            </w:pPr>
            <w:r w:rsidRPr="00FB41DC">
              <w:t>Attiecīgā ES tiesību akta datums, numurs un nosaukums</w:t>
            </w:r>
          </w:p>
        </w:tc>
        <w:tc>
          <w:tcPr>
            <w:tcW w:w="7420" w:type="dxa"/>
            <w:gridSpan w:val="3"/>
            <w:vAlign w:val="center"/>
          </w:tcPr>
          <w:p w14:paraId="347B4BC3" w14:textId="2BF7172F" w:rsidR="00F11331" w:rsidRPr="003871B4" w:rsidRDefault="00F11331" w:rsidP="00B2468A">
            <w:pPr>
              <w:pStyle w:val="naisc"/>
              <w:spacing w:before="0" w:after="0"/>
              <w:jc w:val="both"/>
            </w:pPr>
          </w:p>
        </w:tc>
      </w:tr>
      <w:tr w:rsidR="00AD4367" w:rsidRPr="00FB41DC" w14:paraId="069D7440" w14:textId="77777777" w:rsidTr="00DC6733">
        <w:trPr>
          <w:trHeight w:val="165"/>
          <w:jc w:val="center"/>
        </w:trPr>
        <w:tc>
          <w:tcPr>
            <w:tcW w:w="2035" w:type="dxa"/>
            <w:vAlign w:val="center"/>
          </w:tcPr>
          <w:p w14:paraId="6753FCE0" w14:textId="77777777" w:rsidR="00AD4367" w:rsidRPr="00FB41DC" w:rsidRDefault="00AD4367" w:rsidP="00572718">
            <w:pPr>
              <w:pStyle w:val="naiskr"/>
              <w:spacing w:before="0" w:after="0"/>
              <w:jc w:val="both"/>
            </w:pPr>
            <w:r w:rsidRPr="00FB41DC">
              <w:t>A</w:t>
            </w:r>
          </w:p>
        </w:tc>
        <w:tc>
          <w:tcPr>
            <w:tcW w:w="1843" w:type="dxa"/>
            <w:vAlign w:val="center"/>
          </w:tcPr>
          <w:p w14:paraId="1C18FBDD" w14:textId="77777777" w:rsidR="00AD4367" w:rsidRPr="00FB41DC" w:rsidRDefault="00AD4367" w:rsidP="00572718">
            <w:pPr>
              <w:pStyle w:val="naiskr"/>
              <w:spacing w:before="0" w:after="0"/>
              <w:jc w:val="both"/>
            </w:pPr>
            <w:r w:rsidRPr="00FB41DC">
              <w:t>B</w:t>
            </w:r>
          </w:p>
        </w:tc>
        <w:tc>
          <w:tcPr>
            <w:tcW w:w="1701" w:type="dxa"/>
            <w:vAlign w:val="center"/>
          </w:tcPr>
          <w:p w14:paraId="058302A3" w14:textId="77777777" w:rsidR="00AD4367" w:rsidRPr="00FB41DC" w:rsidRDefault="00AD4367" w:rsidP="00572718">
            <w:pPr>
              <w:pStyle w:val="naiskr"/>
              <w:spacing w:before="0" w:after="0"/>
              <w:jc w:val="both"/>
            </w:pPr>
            <w:r w:rsidRPr="00FB41DC">
              <w:t>C</w:t>
            </w:r>
          </w:p>
        </w:tc>
        <w:tc>
          <w:tcPr>
            <w:tcW w:w="3876" w:type="dxa"/>
            <w:vAlign w:val="center"/>
          </w:tcPr>
          <w:p w14:paraId="0E08E748" w14:textId="77777777" w:rsidR="00AD4367" w:rsidRPr="00FB41DC" w:rsidRDefault="00AD4367" w:rsidP="00572718">
            <w:pPr>
              <w:pStyle w:val="naiskr"/>
              <w:spacing w:before="0" w:after="0"/>
              <w:jc w:val="both"/>
            </w:pPr>
            <w:r w:rsidRPr="00FB41DC">
              <w:t>D</w:t>
            </w:r>
          </w:p>
        </w:tc>
      </w:tr>
      <w:tr w:rsidR="00CB2618" w14:paraId="2BF34D7B" w14:textId="77777777" w:rsidTr="00DC6733">
        <w:trPr>
          <w:trHeight w:val="313"/>
          <w:jc w:val="center"/>
        </w:trPr>
        <w:tc>
          <w:tcPr>
            <w:tcW w:w="2035" w:type="dxa"/>
          </w:tcPr>
          <w:p w14:paraId="61816C7A" w14:textId="76860B60" w:rsidR="00CB2618" w:rsidRDefault="00CB2618" w:rsidP="00CB2618">
            <w:pPr>
              <w:pStyle w:val="naiskr"/>
              <w:spacing w:before="0" w:after="0"/>
              <w:jc w:val="both"/>
            </w:pPr>
            <w:r w:rsidRPr="0087395B">
              <w:rPr>
                <w:iCs/>
                <w:lang w:eastAsia="en-US"/>
              </w:rPr>
              <w:t>Noteikumu projekts šo jomu neskar.</w:t>
            </w:r>
          </w:p>
        </w:tc>
        <w:tc>
          <w:tcPr>
            <w:tcW w:w="1843" w:type="dxa"/>
          </w:tcPr>
          <w:p w14:paraId="3D2B6B1F" w14:textId="405A1C45" w:rsidR="00CB2618" w:rsidRDefault="00CB2618" w:rsidP="00CB2618">
            <w:pPr>
              <w:pStyle w:val="naiskr"/>
              <w:spacing w:before="0" w:after="0"/>
              <w:jc w:val="both"/>
            </w:pPr>
            <w:r w:rsidRPr="0087395B">
              <w:rPr>
                <w:iCs/>
                <w:lang w:eastAsia="en-US"/>
              </w:rPr>
              <w:t>Noteikumu projekts šo jomu neskar.</w:t>
            </w:r>
          </w:p>
        </w:tc>
        <w:tc>
          <w:tcPr>
            <w:tcW w:w="1701" w:type="dxa"/>
          </w:tcPr>
          <w:p w14:paraId="45B96631" w14:textId="54B7E6FF" w:rsidR="00CB2618" w:rsidRDefault="00CB2618" w:rsidP="00CB2618">
            <w:pPr>
              <w:pStyle w:val="naiskr"/>
              <w:spacing w:before="0" w:after="0"/>
              <w:jc w:val="both"/>
            </w:pPr>
            <w:r w:rsidRPr="0087395B">
              <w:rPr>
                <w:iCs/>
                <w:lang w:eastAsia="en-US"/>
              </w:rPr>
              <w:t>Noteikumu projekts šo jomu neskar.</w:t>
            </w:r>
          </w:p>
        </w:tc>
        <w:tc>
          <w:tcPr>
            <w:tcW w:w="3876" w:type="dxa"/>
          </w:tcPr>
          <w:p w14:paraId="74924F26" w14:textId="75431438" w:rsidR="00CB2618" w:rsidRDefault="00CB2618" w:rsidP="00CB2618">
            <w:pPr>
              <w:pStyle w:val="naiskr"/>
              <w:spacing w:before="0" w:after="0"/>
              <w:jc w:val="both"/>
            </w:pPr>
            <w:r w:rsidRPr="0087395B">
              <w:rPr>
                <w:iCs/>
                <w:lang w:eastAsia="en-US"/>
              </w:rPr>
              <w:t>Noteikumu projekts šo jomu neskar.</w:t>
            </w:r>
          </w:p>
        </w:tc>
      </w:tr>
    </w:tbl>
    <w:p w14:paraId="53CAE764" w14:textId="77777777" w:rsidR="003871B4" w:rsidRDefault="003871B4" w:rsidP="00AD4367">
      <w:pPr>
        <w:pStyle w:val="naisf"/>
        <w:spacing w:before="0" w:after="0"/>
        <w:ind w:firstLine="0"/>
      </w:pPr>
    </w:p>
    <w:tbl>
      <w:tblPr>
        <w:tblW w:w="935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AD4367" w:rsidRPr="006C4B9F" w14:paraId="7F863B1D" w14:textId="77777777" w:rsidTr="00285B2A">
        <w:trPr>
          <w:trHeight w:val="281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02C74" w14:textId="42792A3C" w:rsidR="00AD4367" w:rsidRPr="006C4B9F" w:rsidRDefault="00AD4367" w:rsidP="00942C57">
            <w:pPr>
              <w:pStyle w:val="naiskr"/>
              <w:spacing w:before="0" w:after="0"/>
              <w:jc w:val="both"/>
            </w:pPr>
            <w:r w:rsidRPr="006C4B9F">
              <w:t> Kā ir izmantota ES tiesību aktā paredzētā rīcības brīvība dalībvalstij pārņemt vai ieviest noteiktas ES tiesību akta normas.</w:t>
            </w:r>
            <w:r w:rsidR="00942C57">
              <w:t xml:space="preserve"> </w:t>
            </w:r>
            <w:r w:rsidRPr="006C4B9F">
              <w:t>Kādēļ?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614E9" w14:textId="77777777" w:rsidR="00AD4367" w:rsidRPr="00C1048C" w:rsidRDefault="00AD4367" w:rsidP="00572718">
            <w:pPr>
              <w:ind w:right="750"/>
              <w:jc w:val="both"/>
              <w:rPr>
                <w:b/>
              </w:rPr>
            </w:pPr>
          </w:p>
          <w:p w14:paraId="5C0D2661" w14:textId="2E4DF50B" w:rsidR="00AD4367" w:rsidRPr="00120E6E" w:rsidRDefault="00CB2618" w:rsidP="00901094">
            <w:pPr>
              <w:jc w:val="both"/>
            </w:pPr>
            <w:r w:rsidRPr="0087395B">
              <w:rPr>
                <w:iCs/>
                <w:lang w:eastAsia="en-US"/>
              </w:rPr>
              <w:t xml:space="preserve">Noteikumu projekts </w:t>
            </w:r>
            <w:r w:rsidR="00587A9E">
              <w:t>šo jomu neskar.</w:t>
            </w:r>
          </w:p>
        </w:tc>
      </w:tr>
      <w:tr w:rsidR="00AD4367" w:rsidRPr="006C4B9F" w14:paraId="4791CC29" w14:textId="77777777" w:rsidTr="00285B2A">
        <w:trPr>
          <w:trHeight w:val="913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6CC9B" w14:textId="77777777" w:rsidR="00AD4367" w:rsidRPr="006C4B9F" w:rsidRDefault="00AD4367" w:rsidP="00572718">
            <w:pPr>
              <w:pStyle w:val="naiskr"/>
              <w:spacing w:before="0" w:after="0"/>
              <w:jc w:val="both"/>
            </w:pPr>
            <w:r w:rsidRPr="006C4B9F">
              <w:t> 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446ED" w14:textId="040FB7D6" w:rsidR="00AD4367" w:rsidRPr="006C4B9F" w:rsidRDefault="00CB2618" w:rsidP="00572718">
            <w:pPr>
              <w:pStyle w:val="naiskr"/>
              <w:spacing w:before="0" w:after="0"/>
            </w:pPr>
            <w:r w:rsidRPr="0087395B">
              <w:rPr>
                <w:iCs/>
                <w:lang w:eastAsia="en-US"/>
              </w:rPr>
              <w:t xml:space="preserve">Noteikumu projekts </w:t>
            </w:r>
            <w:r w:rsidR="00AD4367">
              <w:t>šo jomu neskar.</w:t>
            </w:r>
          </w:p>
        </w:tc>
      </w:tr>
      <w:tr w:rsidR="00AD4367" w:rsidRPr="006C4B9F" w14:paraId="414BE3BE" w14:textId="77777777" w:rsidTr="00285B2A">
        <w:trPr>
          <w:trHeight w:val="579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22779" w14:textId="77777777" w:rsidR="00AD4367" w:rsidRPr="006C4B9F" w:rsidRDefault="00AD4367" w:rsidP="00572718">
            <w:pPr>
              <w:pStyle w:val="naiskr"/>
              <w:spacing w:before="0" w:after="0"/>
            </w:pPr>
            <w:r w:rsidRPr="006C4B9F">
              <w:t> Cita informācija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119FC" w14:textId="77777777" w:rsidR="00AD4367" w:rsidRPr="006C4B9F" w:rsidRDefault="00AD4367" w:rsidP="00572718">
            <w:pPr>
              <w:pStyle w:val="naiskr"/>
              <w:spacing w:before="0" w:after="0"/>
              <w:jc w:val="both"/>
            </w:pPr>
            <w:r>
              <w:t>Nav</w:t>
            </w:r>
          </w:p>
          <w:p w14:paraId="040EA7E6" w14:textId="77777777" w:rsidR="00AD4367" w:rsidRPr="006C4B9F" w:rsidRDefault="00AD4367" w:rsidP="00572718">
            <w:pPr>
              <w:pStyle w:val="naiskr"/>
              <w:spacing w:before="0" w:after="0"/>
              <w:jc w:val="both"/>
            </w:pPr>
          </w:p>
        </w:tc>
      </w:tr>
    </w:tbl>
    <w:p w14:paraId="176CCAEA" w14:textId="77777777" w:rsidR="00AD4367" w:rsidRPr="006C4B9F" w:rsidRDefault="00AD4367" w:rsidP="00AD4367">
      <w:pPr>
        <w:pStyle w:val="naisf"/>
        <w:ind w:firstLine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835"/>
        <w:gridCol w:w="3090"/>
      </w:tblGrid>
      <w:tr w:rsidR="00F51311" w14:paraId="3F1C11C2" w14:textId="77777777" w:rsidTr="00F513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BB9B" w14:textId="60E979EF" w:rsidR="00F51311" w:rsidRDefault="00F513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1940CB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tabula. Ar tiesību akta projektu uzņemtās saistības, kas izriet no starptautiskajiem tiesību aktiem vai starptautiskas institūcijas vai organizācijas dokumentiem</w:t>
            </w:r>
          </w:p>
          <w:p w14:paraId="7AEF083D" w14:textId="77777777" w:rsidR="00F51311" w:rsidRDefault="00F51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Pasākumi šo saistību izpildei</w:t>
            </w:r>
          </w:p>
        </w:tc>
      </w:tr>
      <w:tr w:rsidR="00F51311" w14:paraId="63C619E8" w14:textId="77777777" w:rsidTr="00F5131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439" w14:textId="77777777" w:rsidR="00F51311" w:rsidRDefault="00F51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92E5" w14:textId="77777777" w:rsidR="00F51311" w:rsidRDefault="00F51311">
            <w:pPr>
              <w:tabs>
                <w:tab w:val="left" w:pos="325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Noteikumu projekts šo jomu neskar.</w:t>
            </w:r>
          </w:p>
        </w:tc>
      </w:tr>
      <w:tr w:rsidR="00F51311" w14:paraId="5A0B46A7" w14:textId="77777777" w:rsidTr="00F5131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B465" w14:textId="77777777" w:rsidR="00F51311" w:rsidRDefault="00F51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BBC" w14:textId="77777777" w:rsidR="00F51311" w:rsidRDefault="00F51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1B5C" w14:textId="77777777" w:rsidR="00F51311" w:rsidRDefault="00F51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F51311" w14:paraId="5EDECB83" w14:textId="77777777" w:rsidTr="00F5131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5147" w14:textId="77777777" w:rsidR="00F51311" w:rsidRDefault="00F51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Noteikumu projekts šo jomu neskar.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FE1D" w14:textId="77777777" w:rsidR="00F51311" w:rsidRDefault="00F51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Noteikumu projekts šo jomu neskar.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78F9" w14:textId="77777777" w:rsidR="00F51311" w:rsidRDefault="00F51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Noteikumu projekts šo jomu neskar.</w:t>
            </w:r>
          </w:p>
        </w:tc>
      </w:tr>
      <w:tr w:rsidR="00F51311" w14:paraId="02A0F007" w14:textId="77777777" w:rsidTr="00F5131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3F60" w14:textId="77777777" w:rsidR="00F51311" w:rsidRDefault="00F51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1719" w14:textId="77777777" w:rsidR="00F51311" w:rsidRDefault="00F51311">
            <w:pPr>
              <w:spacing w:line="256" w:lineRule="auto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Noteikumu projekts šo jomu neskar.</w:t>
            </w:r>
          </w:p>
        </w:tc>
      </w:tr>
      <w:tr w:rsidR="00F51311" w14:paraId="11E62BAC" w14:textId="77777777" w:rsidTr="00F5131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FD21" w14:textId="77777777" w:rsidR="00F51311" w:rsidRDefault="00F513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Cita informācija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CADB" w14:textId="2349D9D3" w:rsidR="00F51311" w:rsidRDefault="00F513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Nav</w:t>
            </w:r>
          </w:p>
        </w:tc>
      </w:tr>
    </w:tbl>
    <w:p w14:paraId="40442539" w14:textId="77777777" w:rsidR="00AD4367" w:rsidRPr="00FB41DC" w:rsidRDefault="00AD4367" w:rsidP="00AD4367"/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118"/>
        <w:gridCol w:w="5869"/>
      </w:tblGrid>
      <w:tr w:rsidR="00AD4367" w:rsidRPr="00FB41DC" w14:paraId="7BEDABEB" w14:textId="77777777" w:rsidTr="00572718">
        <w:trPr>
          <w:jc w:val="center"/>
        </w:trPr>
        <w:tc>
          <w:tcPr>
            <w:tcW w:w="94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4C3F1" w14:textId="77777777" w:rsidR="00AD4367" w:rsidRPr="00FB41DC" w:rsidRDefault="00AD4367" w:rsidP="00572718">
            <w:pPr>
              <w:pStyle w:val="naisnod"/>
              <w:spacing w:before="0" w:after="0"/>
              <w:ind w:left="57" w:right="57"/>
            </w:pPr>
            <w:r w:rsidRPr="00FB41DC">
              <w:t>VI.</w:t>
            </w:r>
            <w:r w:rsidR="008536DA">
              <w:t> </w:t>
            </w:r>
            <w:r w:rsidRPr="00FB41DC">
              <w:t xml:space="preserve">Sabiedrības līdzdalība un </w:t>
            </w:r>
            <w:r>
              <w:t>komunikācijas aktivitātes</w:t>
            </w:r>
          </w:p>
        </w:tc>
      </w:tr>
      <w:tr w:rsidR="00AD4367" w:rsidRPr="00FB41DC" w14:paraId="2836AB7B" w14:textId="77777777" w:rsidTr="00DC6733">
        <w:trPr>
          <w:trHeight w:val="553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95F7D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127D5" w14:textId="77777777" w:rsidR="00AD4367" w:rsidRPr="00FB41DC" w:rsidRDefault="00AD4367" w:rsidP="00572718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</w:t>
            </w:r>
            <w:r w:rsidRPr="00FB41DC">
              <w:t xml:space="preserve">abiedrības </w:t>
            </w:r>
            <w:r>
              <w:t xml:space="preserve">līdzdalības un komunikācijas aktivitātes saistībā ar projektu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B9EC4" w14:textId="132B6339" w:rsidR="00AD4367" w:rsidRPr="00FB41DC" w:rsidRDefault="00D70F96" w:rsidP="00055928">
            <w:pPr>
              <w:pStyle w:val="naiskr"/>
              <w:spacing w:before="0" w:after="0"/>
              <w:ind w:left="57" w:right="57"/>
              <w:jc w:val="both"/>
            </w:pPr>
            <w:r>
              <w:t>Ņemot vērā projekta saturu, sabiedrības līdzdarbība nav nepieciešama.</w:t>
            </w:r>
          </w:p>
        </w:tc>
      </w:tr>
      <w:tr w:rsidR="00AD4367" w:rsidRPr="00FB41DC" w14:paraId="2A153AEF" w14:textId="77777777" w:rsidTr="00DC6733">
        <w:trPr>
          <w:trHeight w:val="339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D6533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0355D" w14:textId="485F9B89" w:rsidR="0087536F" w:rsidRDefault="00AD4367" w:rsidP="00572718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 projekta izstrādē </w:t>
            </w:r>
          </w:p>
          <w:p w14:paraId="16DEB2B6" w14:textId="77777777" w:rsidR="00AD4367" w:rsidRPr="0087536F" w:rsidRDefault="00AD4367" w:rsidP="0087536F">
            <w:pPr>
              <w:jc w:val="center"/>
            </w:pP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BF07A" w14:textId="105E84A5" w:rsidR="00AD4367" w:rsidRPr="00FB41DC" w:rsidRDefault="002E5077" w:rsidP="00572718">
            <w:pPr>
              <w:pStyle w:val="naiskr"/>
              <w:spacing w:before="0" w:after="0"/>
              <w:ind w:right="57"/>
              <w:jc w:val="both"/>
            </w:pPr>
            <w:r>
              <w:t>Nav notikusi.</w:t>
            </w:r>
          </w:p>
        </w:tc>
      </w:tr>
      <w:tr w:rsidR="00AD4367" w:rsidRPr="00FB41DC" w14:paraId="3AA614C8" w14:textId="77777777" w:rsidTr="00DC6733">
        <w:trPr>
          <w:trHeight w:val="375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2A8A9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3.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D19F6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līdzdalības rezultāti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9BF8A" w14:textId="0012DD53" w:rsidR="00AD4367" w:rsidRPr="00FB41DC" w:rsidRDefault="00CD5149" w:rsidP="00572718">
            <w:pPr>
              <w:pStyle w:val="naiskr"/>
              <w:spacing w:before="0" w:after="0"/>
              <w:ind w:right="57"/>
              <w:jc w:val="both"/>
            </w:pPr>
            <w:r>
              <w:t>Nav</w:t>
            </w:r>
          </w:p>
        </w:tc>
      </w:tr>
      <w:tr w:rsidR="00AD4367" w:rsidRPr="00FB41DC" w14:paraId="6CD51328" w14:textId="77777777" w:rsidTr="00DC6733">
        <w:trPr>
          <w:trHeight w:val="476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81C0B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Pr="00FB41DC">
              <w:rPr>
                <w:bCs/>
              </w:rPr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88E3C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59580" w14:textId="77777777" w:rsidR="00AD4367" w:rsidRPr="00FB41DC" w:rsidRDefault="00AD4367" w:rsidP="00572718">
            <w:pPr>
              <w:pStyle w:val="naiskr"/>
              <w:spacing w:before="0" w:after="0"/>
              <w:ind w:right="57"/>
              <w:jc w:val="both"/>
            </w:pPr>
            <w:r>
              <w:t>Nav</w:t>
            </w:r>
          </w:p>
        </w:tc>
      </w:tr>
    </w:tbl>
    <w:p w14:paraId="454CE68F" w14:textId="77777777" w:rsidR="00AD4367" w:rsidRPr="00FB41DC" w:rsidRDefault="00AD4367" w:rsidP="00AD4367"/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5870"/>
      </w:tblGrid>
      <w:tr w:rsidR="00AD4367" w:rsidRPr="00FB41DC" w14:paraId="55210605" w14:textId="77777777" w:rsidTr="00572718">
        <w:trPr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5CDB2" w14:textId="77777777" w:rsidR="00AD4367" w:rsidRPr="00FB41DC" w:rsidRDefault="00AD4367" w:rsidP="00572718">
            <w:pPr>
              <w:pStyle w:val="naisnod"/>
              <w:spacing w:before="0" w:after="0"/>
              <w:ind w:left="57" w:right="57"/>
            </w:pPr>
            <w:r w:rsidRPr="00FB41DC">
              <w:t>VII.</w:t>
            </w:r>
            <w:r w:rsidR="00055928">
              <w:t> </w:t>
            </w:r>
            <w:r w:rsidRPr="00FB41DC">
              <w:t>Tiesību akta projekta izpildes nodrošināšana un tās ietekme uz institūcijām</w:t>
            </w:r>
          </w:p>
        </w:tc>
      </w:tr>
      <w:tr w:rsidR="00AD4367" w:rsidRPr="00FB41DC" w14:paraId="705AFF1D" w14:textId="77777777" w:rsidTr="00DC6733">
        <w:trPr>
          <w:trHeight w:val="427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0DE48" w14:textId="77777777" w:rsidR="00AD4367" w:rsidRPr="00FB41DC" w:rsidRDefault="00AD4367" w:rsidP="0057271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C62A6" w14:textId="77777777" w:rsidR="00AD4367" w:rsidRPr="00FB41DC" w:rsidRDefault="00AD4367" w:rsidP="00572718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izpildē iesaistītās institūcijas 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142C4" w14:textId="47B79B5E" w:rsidR="00AD4367" w:rsidRPr="00563D3C" w:rsidRDefault="00E33ECD" w:rsidP="00AD4367">
            <w:pPr>
              <w:pStyle w:val="naisc"/>
              <w:spacing w:before="0" w:after="0"/>
              <w:jc w:val="both"/>
            </w:pPr>
            <w:r>
              <w:t>Ekonomikas</w:t>
            </w:r>
            <w:r w:rsidR="00AD4367" w:rsidRPr="00563D3C">
              <w:t xml:space="preserve"> ministrija, Patērētā</w:t>
            </w:r>
            <w:r>
              <w:t>ju tiesību aizsardzības centrs.</w:t>
            </w:r>
          </w:p>
        </w:tc>
      </w:tr>
      <w:tr w:rsidR="00AD4367" w:rsidRPr="00FB41DC" w14:paraId="4C7FE61E" w14:textId="77777777" w:rsidTr="00DC6733">
        <w:trPr>
          <w:trHeight w:val="4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9F84A" w14:textId="77777777" w:rsidR="00AD4367" w:rsidRPr="00FB41DC" w:rsidRDefault="00AD4367" w:rsidP="0057271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7195C" w14:textId="77777777" w:rsidR="00AD4367" w:rsidRPr="00FB41DC" w:rsidRDefault="00AD4367" w:rsidP="00572718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izpildes ietekme uz pārvaldes funkcijām </w:t>
            </w:r>
            <w:r>
              <w:t xml:space="preserve">un </w:t>
            </w:r>
            <w:r w:rsidRPr="00FB41DC">
              <w:t>institucionālo struktūru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4963E" w14:textId="77777777" w:rsidR="00AD4367" w:rsidRDefault="00AD4367" w:rsidP="00563D3C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projekts neietekmē iesaistīto institūciju funkcijas un uzdevumus.</w:t>
            </w:r>
          </w:p>
          <w:p w14:paraId="7814AEB9" w14:textId="77777777" w:rsidR="00AD4367" w:rsidRPr="00F862E3" w:rsidRDefault="00055928" w:rsidP="002F2520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2F2520">
              <w:rPr>
                <w:b w:val="0"/>
                <w:bCs w:val="0"/>
              </w:rPr>
              <w:t>Jaunas institūcijas nav jāveido. Esošās institūcijas nav jāreorganizē.</w:t>
            </w:r>
          </w:p>
        </w:tc>
      </w:tr>
      <w:tr w:rsidR="00AD4367" w:rsidRPr="00FB41DC" w14:paraId="551E00DE" w14:textId="77777777" w:rsidTr="00DC6733">
        <w:trPr>
          <w:trHeight w:val="476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BF0ED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</w:pPr>
            <w:r>
              <w:t>3</w:t>
            </w:r>
            <w:r w:rsidRPr="00FB41DC"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6A0BF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18166" w14:textId="77777777" w:rsidR="00AD4367" w:rsidRPr="00FB41DC" w:rsidRDefault="00AD4367" w:rsidP="00572718">
            <w:pPr>
              <w:pStyle w:val="naiskr"/>
              <w:spacing w:before="0" w:after="0"/>
              <w:ind w:left="57" w:right="57"/>
            </w:pPr>
            <w:r>
              <w:t>Nav</w:t>
            </w:r>
          </w:p>
        </w:tc>
      </w:tr>
    </w:tbl>
    <w:p w14:paraId="4EBCE941" w14:textId="5DD78EB2" w:rsidR="00AD4367" w:rsidRDefault="00AD4367" w:rsidP="00AD4367">
      <w:pPr>
        <w:pStyle w:val="naisf"/>
        <w:spacing w:before="0" w:after="0"/>
        <w:ind w:firstLine="374"/>
        <w:rPr>
          <w:b/>
        </w:rPr>
      </w:pPr>
    </w:p>
    <w:p w14:paraId="318A353B" w14:textId="77777777" w:rsidR="0030652C" w:rsidRDefault="0030652C" w:rsidP="00AD4367">
      <w:pPr>
        <w:pStyle w:val="naisf"/>
        <w:spacing w:before="0" w:after="0"/>
        <w:ind w:firstLine="374"/>
        <w:rPr>
          <w:b/>
        </w:rPr>
      </w:pPr>
    </w:p>
    <w:p w14:paraId="6D180B31" w14:textId="21DEC5A6" w:rsidR="0061486C" w:rsidRDefault="00E33ECD" w:rsidP="00AD4367">
      <w:r>
        <w:t>Ministru prezidenta biedr</w:t>
      </w:r>
      <w:r w:rsidR="00D46076">
        <w:t>s</w:t>
      </w:r>
      <w:r>
        <w:t>, ekonomikas ministrs</w:t>
      </w:r>
      <w:r>
        <w:tab/>
      </w:r>
      <w:r>
        <w:tab/>
      </w:r>
      <w:r>
        <w:tab/>
        <w:t xml:space="preserve">           </w:t>
      </w:r>
      <w:r>
        <w:tab/>
        <w:t>Arvils Ašeradens</w:t>
      </w:r>
    </w:p>
    <w:p w14:paraId="66558D46" w14:textId="46960DC4" w:rsidR="00F51311" w:rsidRDefault="00F51311" w:rsidP="00AD4367"/>
    <w:p w14:paraId="059AEC34" w14:textId="77777777" w:rsidR="0030652C" w:rsidRDefault="0030652C" w:rsidP="00AD4367"/>
    <w:p w14:paraId="7B19AC24" w14:textId="25A77757" w:rsidR="00F51311" w:rsidRDefault="00E33ECD" w:rsidP="00F51311">
      <w:r>
        <w:t>Ekonomikas</w:t>
      </w:r>
      <w:r w:rsidR="00F51311">
        <w:t xml:space="preserve"> ministrijas </w:t>
      </w:r>
      <w:bookmarkStart w:id="1" w:name="p2008"/>
      <w:bookmarkEnd w:id="1"/>
      <w:r w:rsidR="00FD0E20">
        <w:t>valsts sekretārs</w:t>
      </w:r>
      <w:r w:rsidR="00FD0E20">
        <w:tab/>
      </w:r>
      <w:r w:rsidR="00FD0E20">
        <w:tab/>
      </w:r>
      <w:r>
        <w:tab/>
      </w:r>
      <w:r>
        <w:tab/>
      </w:r>
      <w:r w:rsidR="00FD0E20">
        <w:tab/>
      </w:r>
      <w:r>
        <w:t xml:space="preserve">Juris </w:t>
      </w:r>
      <w:proofErr w:type="spellStart"/>
      <w:r>
        <w:t>Stinka</w:t>
      </w:r>
      <w:proofErr w:type="spellEnd"/>
    </w:p>
    <w:p w14:paraId="4E724193" w14:textId="25F4F33D" w:rsidR="00AD4367" w:rsidRDefault="00AD4367" w:rsidP="00AD4367"/>
    <w:p w14:paraId="41242E72" w14:textId="162D702A" w:rsidR="0030652C" w:rsidRDefault="0030652C" w:rsidP="00AD4367"/>
    <w:p w14:paraId="6834BF11" w14:textId="3EA96189" w:rsidR="0030652C" w:rsidRDefault="0030652C" w:rsidP="00AD4367"/>
    <w:p w14:paraId="030F8C08" w14:textId="37CB63E3" w:rsidR="0030652C" w:rsidRDefault="0030652C" w:rsidP="00AD4367"/>
    <w:p w14:paraId="10C3D263" w14:textId="4773F28B" w:rsidR="0030652C" w:rsidRDefault="0030652C" w:rsidP="00AD4367"/>
    <w:p w14:paraId="462C962A" w14:textId="57B4B3C8" w:rsidR="0030652C" w:rsidRDefault="0030652C" w:rsidP="00AD4367"/>
    <w:p w14:paraId="4A61E449" w14:textId="560739DA" w:rsidR="0030652C" w:rsidRDefault="0030652C" w:rsidP="00AD4367"/>
    <w:p w14:paraId="3529EECA" w14:textId="6A020CA1" w:rsidR="0030652C" w:rsidRDefault="0030652C" w:rsidP="00AD4367"/>
    <w:p w14:paraId="6BAB665C" w14:textId="1F272D48" w:rsidR="0030652C" w:rsidRDefault="0030652C" w:rsidP="00AD4367"/>
    <w:p w14:paraId="3D00D728" w14:textId="025D8BC5" w:rsidR="0030652C" w:rsidRDefault="0030652C" w:rsidP="00AD4367"/>
    <w:p w14:paraId="59C7C514" w14:textId="49558919" w:rsidR="0030652C" w:rsidRDefault="0030652C" w:rsidP="00AD4367"/>
    <w:p w14:paraId="109CD646" w14:textId="6F056884" w:rsidR="0030652C" w:rsidRDefault="0030652C" w:rsidP="00AD4367"/>
    <w:p w14:paraId="3D877448" w14:textId="5BCF5043" w:rsidR="0030652C" w:rsidRDefault="0030652C" w:rsidP="00AD4367"/>
    <w:p w14:paraId="3B470B7B" w14:textId="52C031AB" w:rsidR="0030652C" w:rsidRDefault="0030652C" w:rsidP="00AD4367"/>
    <w:p w14:paraId="323E56C6" w14:textId="7F7369A5" w:rsidR="0030652C" w:rsidRDefault="0030652C" w:rsidP="00AD4367"/>
    <w:p w14:paraId="09A8CD50" w14:textId="62F0ACC6" w:rsidR="0030652C" w:rsidRDefault="0030652C" w:rsidP="00AD4367"/>
    <w:p w14:paraId="46210DE8" w14:textId="77777777" w:rsidR="0030652C" w:rsidRPr="00ED433D" w:rsidRDefault="0030652C" w:rsidP="00AD4367"/>
    <w:p w14:paraId="27D69310" w14:textId="5D365245" w:rsidR="00E13FF8" w:rsidRDefault="00E33ECD">
      <w:pPr>
        <w:rPr>
          <w:sz w:val="20"/>
          <w:szCs w:val="20"/>
        </w:rPr>
      </w:pPr>
      <w:r>
        <w:rPr>
          <w:sz w:val="20"/>
          <w:szCs w:val="20"/>
        </w:rPr>
        <w:t>Bulāns</w:t>
      </w:r>
      <w:r w:rsidR="00E13FF8">
        <w:rPr>
          <w:sz w:val="20"/>
          <w:szCs w:val="20"/>
        </w:rPr>
        <w:t xml:space="preserve">, </w:t>
      </w:r>
      <w:r>
        <w:rPr>
          <w:sz w:val="20"/>
          <w:szCs w:val="20"/>
        </w:rPr>
        <w:t>67013</w:t>
      </w:r>
      <w:r w:rsidR="00AD4367" w:rsidRPr="00055928">
        <w:rPr>
          <w:sz w:val="20"/>
          <w:szCs w:val="20"/>
        </w:rPr>
        <w:t>15</w:t>
      </w:r>
      <w:r w:rsidR="00D34D1C">
        <w:rPr>
          <w:sz w:val="20"/>
          <w:szCs w:val="20"/>
        </w:rPr>
        <w:t>6</w:t>
      </w:r>
      <w:r w:rsidR="00AD4367" w:rsidRPr="00055928">
        <w:rPr>
          <w:sz w:val="20"/>
          <w:szCs w:val="20"/>
        </w:rPr>
        <w:t xml:space="preserve">; </w:t>
      </w:r>
    </w:p>
    <w:p w14:paraId="37D46632" w14:textId="5873CFFA" w:rsidR="00572718" w:rsidRPr="00563D3C" w:rsidRDefault="00E142FD">
      <w:pPr>
        <w:rPr>
          <w:sz w:val="20"/>
          <w:szCs w:val="20"/>
        </w:rPr>
      </w:pPr>
      <w:hyperlink r:id="rId10" w:history="1">
        <w:r w:rsidR="006349BC" w:rsidRPr="002D5B51">
          <w:rPr>
            <w:rStyle w:val="Hyperlink"/>
            <w:sz w:val="20"/>
            <w:szCs w:val="20"/>
          </w:rPr>
          <w:t>Juris.Bulans@em.gov.lv</w:t>
        </w:r>
      </w:hyperlink>
    </w:p>
    <w:sectPr w:rsidR="00572718" w:rsidRPr="00563D3C" w:rsidSect="00572718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039E" w14:textId="77777777" w:rsidR="004D0EC1" w:rsidRDefault="004D0EC1">
      <w:r>
        <w:separator/>
      </w:r>
    </w:p>
  </w:endnote>
  <w:endnote w:type="continuationSeparator" w:id="0">
    <w:p w14:paraId="365D1697" w14:textId="77777777" w:rsidR="004D0EC1" w:rsidRDefault="004D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55ED" w14:textId="617BBBA4" w:rsidR="0067567B" w:rsidRPr="002F2520" w:rsidRDefault="00797B10" w:rsidP="00563D3C">
    <w:pPr>
      <w:jc w:val="both"/>
      <w:rPr>
        <w:sz w:val="20"/>
        <w:szCs w:val="20"/>
      </w:rPr>
    </w:pPr>
    <w:r>
      <w:rPr>
        <w:sz w:val="20"/>
        <w:szCs w:val="20"/>
      </w:rPr>
      <w:t>E</w:t>
    </w:r>
    <w:r w:rsidR="0067567B" w:rsidRPr="002F2520">
      <w:rPr>
        <w:sz w:val="20"/>
        <w:szCs w:val="20"/>
      </w:rPr>
      <w:t>MAnot_</w:t>
    </w:r>
    <w:r w:rsidR="00ED34DD">
      <w:rPr>
        <w:sz w:val="20"/>
        <w:szCs w:val="20"/>
      </w:rPr>
      <w:t>2</w:t>
    </w:r>
    <w:r w:rsidR="00FF159A">
      <w:rPr>
        <w:sz w:val="20"/>
        <w:szCs w:val="20"/>
      </w:rPr>
      <w:t>7</w:t>
    </w:r>
    <w:r w:rsidR="0087536F">
      <w:rPr>
        <w:sz w:val="20"/>
        <w:szCs w:val="20"/>
      </w:rPr>
      <w:t>12</w:t>
    </w:r>
    <w:r w:rsidR="00E13FF8">
      <w:rPr>
        <w:sz w:val="20"/>
        <w:szCs w:val="20"/>
      </w:rPr>
      <w:t>17</w:t>
    </w:r>
    <w:r w:rsidR="0067567B" w:rsidRPr="002F2520">
      <w:rPr>
        <w:sz w:val="20"/>
        <w:szCs w:val="20"/>
      </w:rPr>
      <w:t>_</w:t>
    </w:r>
    <w:r>
      <w:rPr>
        <w:sz w:val="20"/>
        <w:szCs w:val="20"/>
      </w:rPr>
      <w:t>SKILT</w:t>
    </w:r>
  </w:p>
  <w:p w14:paraId="1CE25797" w14:textId="77777777" w:rsidR="0067567B" w:rsidRPr="00DA6AC0" w:rsidRDefault="0067567B" w:rsidP="00572718">
    <w:pPr>
      <w:pStyle w:val="Title"/>
      <w:jc w:val="both"/>
      <w:rPr>
        <w:b w:val="0"/>
        <w:bCs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756A" w14:textId="19EA9620" w:rsidR="0067567B" w:rsidRPr="00797B10" w:rsidRDefault="00797B10" w:rsidP="00797B10">
    <w:pPr>
      <w:jc w:val="both"/>
      <w:rPr>
        <w:sz w:val="20"/>
        <w:szCs w:val="20"/>
      </w:rPr>
    </w:pPr>
    <w:r>
      <w:rPr>
        <w:sz w:val="20"/>
        <w:szCs w:val="20"/>
      </w:rPr>
      <w:t>E</w:t>
    </w:r>
    <w:r w:rsidRPr="002F2520">
      <w:rPr>
        <w:sz w:val="20"/>
        <w:szCs w:val="20"/>
      </w:rPr>
      <w:t>MAnot_</w:t>
    </w:r>
    <w:r w:rsidR="00FF159A">
      <w:rPr>
        <w:sz w:val="20"/>
        <w:szCs w:val="20"/>
      </w:rPr>
      <w:t>27</w:t>
    </w:r>
    <w:r w:rsidR="0087536F">
      <w:rPr>
        <w:sz w:val="20"/>
        <w:szCs w:val="20"/>
      </w:rPr>
      <w:t>12</w:t>
    </w:r>
    <w:r>
      <w:rPr>
        <w:sz w:val="20"/>
        <w:szCs w:val="20"/>
      </w:rPr>
      <w:t>17</w:t>
    </w:r>
    <w:r w:rsidRPr="002F2520">
      <w:rPr>
        <w:sz w:val="20"/>
        <w:szCs w:val="20"/>
      </w:rPr>
      <w:t>_</w:t>
    </w:r>
    <w:r>
      <w:rPr>
        <w:sz w:val="20"/>
        <w:szCs w:val="20"/>
      </w:rPr>
      <w:t>SKILT</w:t>
    </w:r>
  </w:p>
  <w:p w14:paraId="7169207F" w14:textId="77777777" w:rsidR="0067567B" w:rsidRPr="00503A61" w:rsidRDefault="0067567B" w:rsidP="00572718">
    <w:pPr>
      <w:pStyle w:val="Title"/>
      <w:jc w:val="both"/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27D1" w14:textId="77777777" w:rsidR="004D0EC1" w:rsidRDefault="004D0EC1">
      <w:r>
        <w:separator/>
      </w:r>
    </w:p>
  </w:footnote>
  <w:footnote w:type="continuationSeparator" w:id="0">
    <w:p w14:paraId="109F1DF4" w14:textId="77777777" w:rsidR="004D0EC1" w:rsidRDefault="004D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76B0" w14:textId="78961847" w:rsidR="0067567B" w:rsidRDefault="0067567B">
    <w:pPr>
      <w:pStyle w:val="Header"/>
    </w:pPr>
    <w:r w:rsidRPr="00013525">
      <w:rPr>
        <w:rStyle w:val="PageNumber"/>
      </w:rPr>
      <w:tab/>
      <w:t xml:space="preserve"> </w:t>
    </w:r>
    <w:r w:rsidR="00560264" w:rsidRPr="00013525">
      <w:rPr>
        <w:rStyle w:val="PageNumber"/>
      </w:rPr>
      <w:fldChar w:fldCharType="begin"/>
    </w:r>
    <w:r w:rsidRPr="00013525">
      <w:rPr>
        <w:rStyle w:val="PageNumber"/>
      </w:rPr>
      <w:instrText xml:space="preserve"> PAGE </w:instrText>
    </w:r>
    <w:r w:rsidR="00560264" w:rsidRPr="00013525">
      <w:rPr>
        <w:rStyle w:val="PageNumber"/>
      </w:rPr>
      <w:fldChar w:fldCharType="separate"/>
    </w:r>
    <w:r w:rsidR="00E142FD">
      <w:rPr>
        <w:rStyle w:val="PageNumber"/>
        <w:noProof/>
      </w:rPr>
      <w:t>4</w:t>
    </w:r>
    <w:r w:rsidR="00560264" w:rsidRPr="00013525"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8C7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64A"/>
    <w:multiLevelType w:val="hybridMultilevel"/>
    <w:tmpl w:val="F91E760E"/>
    <w:lvl w:ilvl="0" w:tplc="D966A4A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E4B4E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FC0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256BC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B94"/>
    <w:multiLevelType w:val="hybridMultilevel"/>
    <w:tmpl w:val="1F126264"/>
    <w:lvl w:ilvl="0" w:tplc="FD3465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20C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5F5"/>
    <w:multiLevelType w:val="hybridMultilevel"/>
    <w:tmpl w:val="117E7F7A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46B5F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9779F"/>
    <w:multiLevelType w:val="hybridMultilevel"/>
    <w:tmpl w:val="F91E760E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26927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52A0"/>
    <w:multiLevelType w:val="hybridMultilevel"/>
    <w:tmpl w:val="F91E760E"/>
    <w:lvl w:ilvl="0" w:tplc="D966A4A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6230B98"/>
    <w:multiLevelType w:val="hybridMultilevel"/>
    <w:tmpl w:val="E3E8EE6A"/>
    <w:lvl w:ilvl="0" w:tplc="0F021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1B18"/>
    <w:multiLevelType w:val="hybridMultilevel"/>
    <w:tmpl w:val="1FA2D3B4"/>
    <w:lvl w:ilvl="0" w:tplc="E1BC9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6E81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41DF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53DA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0012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F121E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54D2F"/>
    <w:multiLevelType w:val="hybridMultilevel"/>
    <w:tmpl w:val="F91E760E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D70C5"/>
    <w:multiLevelType w:val="hybridMultilevel"/>
    <w:tmpl w:val="F91E760E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D5876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4419B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D7213"/>
    <w:multiLevelType w:val="hybridMultilevel"/>
    <w:tmpl w:val="1FA2D3B4"/>
    <w:lvl w:ilvl="0" w:tplc="E1BC9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6C2C"/>
    <w:multiLevelType w:val="hybridMultilevel"/>
    <w:tmpl w:val="DA7419B0"/>
    <w:lvl w:ilvl="0" w:tplc="D966A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2"/>
  </w:num>
  <w:num w:numId="5">
    <w:abstractNumId w:val="2"/>
  </w:num>
  <w:num w:numId="6">
    <w:abstractNumId w:val="6"/>
  </w:num>
  <w:num w:numId="7">
    <w:abstractNumId w:val="0"/>
  </w:num>
  <w:num w:numId="8">
    <w:abstractNumId w:val="18"/>
  </w:num>
  <w:num w:numId="9">
    <w:abstractNumId w:val="15"/>
  </w:num>
  <w:num w:numId="10">
    <w:abstractNumId w:val="16"/>
  </w:num>
  <w:num w:numId="11">
    <w:abstractNumId w:val="4"/>
  </w:num>
  <w:num w:numId="12">
    <w:abstractNumId w:val="14"/>
  </w:num>
  <w:num w:numId="13">
    <w:abstractNumId w:val="3"/>
  </w:num>
  <w:num w:numId="14">
    <w:abstractNumId w:val="24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9"/>
  </w:num>
  <w:num w:numId="20">
    <w:abstractNumId w:val="9"/>
  </w:num>
  <w:num w:numId="21">
    <w:abstractNumId w:val="20"/>
  </w:num>
  <w:num w:numId="22">
    <w:abstractNumId w:val="1"/>
  </w:num>
  <w:num w:numId="23">
    <w:abstractNumId w:val="5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7"/>
    <w:rsid w:val="00005BF3"/>
    <w:rsid w:val="00027FCF"/>
    <w:rsid w:val="000446BE"/>
    <w:rsid w:val="00055928"/>
    <w:rsid w:val="0007137D"/>
    <w:rsid w:val="0007509B"/>
    <w:rsid w:val="000844BD"/>
    <w:rsid w:val="00092204"/>
    <w:rsid w:val="000A2B72"/>
    <w:rsid w:val="000A65E3"/>
    <w:rsid w:val="000C3C7A"/>
    <w:rsid w:val="000E1729"/>
    <w:rsid w:val="000E4CEA"/>
    <w:rsid w:val="001331E0"/>
    <w:rsid w:val="0015330A"/>
    <w:rsid w:val="00172401"/>
    <w:rsid w:val="00175EF7"/>
    <w:rsid w:val="00190532"/>
    <w:rsid w:val="00191D5C"/>
    <w:rsid w:val="001940CB"/>
    <w:rsid w:val="001B0B25"/>
    <w:rsid w:val="001D7143"/>
    <w:rsid w:val="00267B0D"/>
    <w:rsid w:val="00285B2A"/>
    <w:rsid w:val="00295D97"/>
    <w:rsid w:val="002974AA"/>
    <w:rsid w:val="002B6A1C"/>
    <w:rsid w:val="002B7C2E"/>
    <w:rsid w:val="002D3A61"/>
    <w:rsid w:val="002E5077"/>
    <w:rsid w:val="002F2520"/>
    <w:rsid w:val="002F5119"/>
    <w:rsid w:val="00304D92"/>
    <w:rsid w:val="0030652C"/>
    <w:rsid w:val="0030731D"/>
    <w:rsid w:val="003164A5"/>
    <w:rsid w:val="00316B49"/>
    <w:rsid w:val="00352F39"/>
    <w:rsid w:val="00356D05"/>
    <w:rsid w:val="00373E25"/>
    <w:rsid w:val="003748C5"/>
    <w:rsid w:val="0038000C"/>
    <w:rsid w:val="003871B4"/>
    <w:rsid w:val="00392A7D"/>
    <w:rsid w:val="00395D15"/>
    <w:rsid w:val="00397469"/>
    <w:rsid w:val="003A551B"/>
    <w:rsid w:val="003B190D"/>
    <w:rsid w:val="003C633D"/>
    <w:rsid w:val="003E5387"/>
    <w:rsid w:val="00421612"/>
    <w:rsid w:val="004660AE"/>
    <w:rsid w:val="004760D9"/>
    <w:rsid w:val="00483F49"/>
    <w:rsid w:val="00487EA5"/>
    <w:rsid w:val="00495300"/>
    <w:rsid w:val="004A52AC"/>
    <w:rsid w:val="004B2B1A"/>
    <w:rsid w:val="004B69A2"/>
    <w:rsid w:val="004C1186"/>
    <w:rsid w:val="004C26A3"/>
    <w:rsid w:val="004D0EC1"/>
    <w:rsid w:val="004E34D0"/>
    <w:rsid w:val="004F3FE5"/>
    <w:rsid w:val="004F4B2C"/>
    <w:rsid w:val="0053106E"/>
    <w:rsid w:val="005357D2"/>
    <w:rsid w:val="00560264"/>
    <w:rsid w:val="00563D3C"/>
    <w:rsid w:val="00572718"/>
    <w:rsid w:val="005744AF"/>
    <w:rsid w:val="00575226"/>
    <w:rsid w:val="0057557F"/>
    <w:rsid w:val="005838DF"/>
    <w:rsid w:val="0058708E"/>
    <w:rsid w:val="00587A9E"/>
    <w:rsid w:val="00593AFE"/>
    <w:rsid w:val="005957AE"/>
    <w:rsid w:val="005C5105"/>
    <w:rsid w:val="005C6BAF"/>
    <w:rsid w:val="005E7BB2"/>
    <w:rsid w:val="0061486C"/>
    <w:rsid w:val="006209E6"/>
    <w:rsid w:val="006214DF"/>
    <w:rsid w:val="00631668"/>
    <w:rsid w:val="006349BC"/>
    <w:rsid w:val="006743A8"/>
    <w:rsid w:val="0067567B"/>
    <w:rsid w:val="00682A1C"/>
    <w:rsid w:val="006D12AB"/>
    <w:rsid w:val="006F7DCA"/>
    <w:rsid w:val="00723C59"/>
    <w:rsid w:val="0073522D"/>
    <w:rsid w:val="00735471"/>
    <w:rsid w:val="00736180"/>
    <w:rsid w:val="00737119"/>
    <w:rsid w:val="00750C0B"/>
    <w:rsid w:val="00777F9E"/>
    <w:rsid w:val="0078207F"/>
    <w:rsid w:val="007847BB"/>
    <w:rsid w:val="00794ABF"/>
    <w:rsid w:val="00797B10"/>
    <w:rsid w:val="007A1423"/>
    <w:rsid w:val="007A2661"/>
    <w:rsid w:val="007C1013"/>
    <w:rsid w:val="007D15FE"/>
    <w:rsid w:val="007E0A4B"/>
    <w:rsid w:val="00807675"/>
    <w:rsid w:val="00812F77"/>
    <w:rsid w:val="008140D5"/>
    <w:rsid w:val="00822185"/>
    <w:rsid w:val="00833720"/>
    <w:rsid w:val="00841B0B"/>
    <w:rsid w:val="00852F0E"/>
    <w:rsid w:val="008536DA"/>
    <w:rsid w:val="00854444"/>
    <w:rsid w:val="00871399"/>
    <w:rsid w:val="0087536F"/>
    <w:rsid w:val="008A0F9D"/>
    <w:rsid w:val="008A4446"/>
    <w:rsid w:val="008C2024"/>
    <w:rsid w:val="008F13C7"/>
    <w:rsid w:val="00901094"/>
    <w:rsid w:val="00926061"/>
    <w:rsid w:val="009265C1"/>
    <w:rsid w:val="00935CD8"/>
    <w:rsid w:val="00936C86"/>
    <w:rsid w:val="009427C3"/>
    <w:rsid w:val="00942C57"/>
    <w:rsid w:val="00954C21"/>
    <w:rsid w:val="009648AA"/>
    <w:rsid w:val="00964E99"/>
    <w:rsid w:val="00986520"/>
    <w:rsid w:val="00991BFB"/>
    <w:rsid w:val="009B0785"/>
    <w:rsid w:val="009C36E7"/>
    <w:rsid w:val="00A04AC7"/>
    <w:rsid w:val="00A217C5"/>
    <w:rsid w:val="00A556C7"/>
    <w:rsid w:val="00A650FE"/>
    <w:rsid w:val="00A76421"/>
    <w:rsid w:val="00A92523"/>
    <w:rsid w:val="00AD2449"/>
    <w:rsid w:val="00AD4367"/>
    <w:rsid w:val="00B17904"/>
    <w:rsid w:val="00B2468A"/>
    <w:rsid w:val="00B2469C"/>
    <w:rsid w:val="00B33B6B"/>
    <w:rsid w:val="00B4152D"/>
    <w:rsid w:val="00B86F99"/>
    <w:rsid w:val="00B9175F"/>
    <w:rsid w:val="00B97613"/>
    <w:rsid w:val="00BA6561"/>
    <w:rsid w:val="00BA6C07"/>
    <w:rsid w:val="00BD07EF"/>
    <w:rsid w:val="00BE6844"/>
    <w:rsid w:val="00BF562D"/>
    <w:rsid w:val="00C13EFF"/>
    <w:rsid w:val="00C34767"/>
    <w:rsid w:val="00C437D2"/>
    <w:rsid w:val="00C4779C"/>
    <w:rsid w:val="00C5096C"/>
    <w:rsid w:val="00C51938"/>
    <w:rsid w:val="00C63AA4"/>
    <w:rsid w:val="00C815EF"/>
    <w:rsid w:val="00CA3A26"/>
    <w:rsid w:val="00CA76A5"/>
    <w:rsid w:val="00CB2618"/>
    <w:rsid w:val="00CC60F6"/>
    <w:rsid w:val="00CD5149"/>
    <w:rsid w:val="00CE1F32"/>
    <w:rsid w:val="00CE3F16"/>
    <w:rsid w:val="00CF4755"/>
    <w:rsid w:val="00D15386"/>
    <w:rsid w:val="00D324C8"/>
    <w:rsid w:val="00D34D1C"/>
    <w:rsid w:val="00D46076"/>
    <w:rsid w:val="00D50604"/>
    <w:rsid w:val="00D66847"/>
    <w:rsid w:val="00D70F96"/>
    <w:rsid w:val="00D71131"/>
    <w:rsid w:val="00D803EA"/>
    <w:rsid w:val="00D90BC8"/>
    <w:rsid w:val="00DA6AC0"/>
    <w:rsid w:val="00DC6733"/>
    <w:rsid w:val="00DE4048"/>
    <w:rsid w:val="00DF5FC1"/>
    <w:rsid w:val="00E073A2"/>
    <w:rsid w:val="00E13FF8"/>
    <w:rsid w:val="00E142FD"/>
    <w:rsid w:val="00E143B9"/>
    <w:rsid w:val="00E221D4"/>
    <w:rsid w:val="00E308E7"/>
    <w:rsid w:val="00E33ECD"/>
    <w:rsid w:val="00E42C4D"/>
    <w:rsid w:val="00E539FA"/>
    <w:rsid w:val="00E5625C"/>
    <w:rsid w:val="00E74FB1"/>
    <w:rsid w:val="00E77002"/>
    <w:rsid w:val="00EA31D2"/>
    <w:rsid w:val="00ED12FE"/>
    <w:rsid w:val="00ED34DD"/>
    <w:rsid w:val="00F033CA"/>
    <w:rsid w:val="00F11331"/>
    <w:rsid w:val="00F248AA"/>
    <w:rsid w:val="00F36148"/>
    <w:rsid w:val="00F51311"/>
    <w:rsid w:val="00F51479"/>
    <w:rsid w:val="00F67B1E"/>
    <w:rsid w:val="00F94419"/>
    <w:rsid w:val="00FA3078"/>
    <w:rsid w:val="00FA7F06"/>
    <w:rsid w:val="00FC194A"/>
    <w:rsid w:val="00FD0E20"/>
    <w:rsid w:val="00FF159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89B31D6"/>
  <w15:docId w15:val="{8EB86BC7-F4CD-4F90-84DC-48DD412D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3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43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D436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AD4367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AD4367"/>
  </w:style>
  <w:style w:type="character" w:styleId="Hyperlink">
    <w:name w:val="Hyperlink"/>
    <w:rsid w:val="00AD4367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AD436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D4367"/>
    <w:pPr>
      <w:spacing w:before="75" w:after="75"/>
    </w:pPr>
  </w:style>
  <w:style w:type="paragraph" w:styleId="Title">
    <w:name w:val="Title"/>
    <w:basedOn w:val="Normal"/>
    <w:link w:val="TitleChar"/>
    <w:qFormat/>
    <w:rsid w:val="00AD4367"/>
    <w:pPr>
      <w:jc w:val="center"/>
    </w:pPr>
    <w:rPr>
      <w:b/>
      <w:bCs/>
      <w:lang w:eastAsia="en-US"/>
    </w:rPr>
  </w:style>
  <w:style w:type="character" w:customStyle="1" w:styleId="TitleChar">
    <w:name w:val="Title Char"/>
    <w:link w:val="Title"/>
    <w:rsid w:val="00AD4367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customStyle="1" w:styleId="naisc">
    <w:name w:val="naisc"/>
    <w:basedOn w:val="Normal"/>
    <w:rsid w:val="00AD4367"/>
    <w:pPr>
      <w:spacing w:before="75" w:after="75"/>
      <w:jc w:val="center"/>
    </w:pPr>
  </w:style>
  <w:style w:type="character" w:styleId="Emphasis">
    <w:name w:val="Emphasis"/>
    <w:uiPriority w:val="20"/>
    <w:qFormat/>
    <w:rsid w:val="00AD4367"/>
    <w:rPr>
      <w:i/>
      <w:iCs/>
    </w:rPr>
  </w:style>
  <w:style w:type="paragraph" w:customStyle="1" w:styleId="tvhtml1">
    <w:name w:val="tv_html1"/>
    <w:basedOn w:val="Normal"/>
    <w:rsid w:val="00AD4367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uiPriority w:val="22"/>
    <w:qFormat/>
    <w:rsid w:val="00AD4367"/>
    <w:rPr>
      <w:b/>
      <w:bCs/>
    </w:rPr>
  </w:style>
  <w:style w:type="paragraph" w:customStyle="1" w:styleId="tv2161">
    <w:name w:val="tv2161"/>
    <w:basedOn w:val="Normal"/>
    <w:rsid w:val="00AD4367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B6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v2131">
    <w:name w:val="tv2131"/>
    <w:basedOn w:val="Normal"/>
    <w:rsid w:val="00092204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3D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3D3C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131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uiPriority w:val="99"/>
    <w:semiHidden/>
    <w:unhideWhenUsed/>
    <w:rsid w:val="00D71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1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1131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1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1131"/>
    <w:rPr>
      <w:rFonts w:ascii="Times New Roman" w:eastAsia="Times New Roman" w:hAnsi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rsid w:val="00055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5928"/>
    <w:rPr>
      <w:rFonts w:ascii="Times New Roman" w:eastAsia="Times New Roman" w:hAnsi="Times New Roman"/>
    </w:rPr>
  </w:style>
  <w:style w:type="paragraph" w:customStyle="1" w:styleId="Normal1">
    <w:name w:val="Normal1"/>
    <w:basedOn w:val="Normal"/>
    <w:rsid w:val="00631668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3748C5"/>
  </w:style>
  <w:style w:type="table" w:styleId="TableGrid">
    <w:name w:val="Table Grid"/>
    <w:basedOn w:val="TableNormal"/>
    <w:uiPriority w:val="39"/>
    <w:rsid w:val="00F513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797B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7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7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91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5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8619-noteikumi-par-butiskajam-prasibam-skiltavam-un-to-uzraudzibas-kartib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48619-noteikumi-par-butiskajam-prasibam-skiltavam-un-to-uzraudzibas-kartib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ris.Bulans@e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48619-noteikumi-par-butiskajam-prasibam-skiltavam-un-to-uzraudzibas-kartib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5806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"Par Ministru kabineta 2006. gada 21. novembra noteikumu Nr. 942 “Noteikumi par būtiskajām prasībām šķiltavām un to uzraudzības kārtību” atzīšanu par spēku zaudējušiem"</vt:lpstr>
    </vt:vector>
  </TitlesOfParts>
  <Company>EM</Company>
  <LinksUpToDate>false</LinksUpToDate>
  <CharactersWithSpaces>9098</CharactersWithSpaces>
  <SharedDoc>false</SharedDoc>
  <HLinks>
    <vt:vector size="12" baseType="variant">
      <vt:variant>
        <vt:i4>2883592</vt:i4>
      </vt:variant>
      <vt:variant>
        <vt:i4>3</vt:i4>
      </vt:variant>
      <vt:variant>
        <vt:i4>0</vt:i4>
      </vt:variant>
      <vt:variant>
        <vt:i4>5</vt:i4>
      </vt:variant>
      <vt:variant>
        <vt:lpwstr>mailto:ilze.donina@varam.gov.lv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http://www.varam.gov.lv/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"Par Ministru kabineta 2006. gada 21. novembra noteikumu Nr. 942 “Noteikumi par būtiskajām prasībām šķiltavām un to uzraudzības kārtību” atzīšanu par spēku zaudējušiem"</dc:title>
  <dc:subject>Ministru kabineta noteikumu projekta anotācija</dc:subject>
  <dc:creator>Juris Bulāns</dc:creator>
  <dc:description>tālr. 67013156; Juris.Bulans@em.gov.lv</dc:description>
  <cp:lastModifiedBy>Juris Bulāns</cp:lastModifiedBy>
  <cp:revision>5</cp:revision>
  <cp:lastPrinted>2017-11-02T14:19:00Z</cp:lastPrinted>
  <dcterms:created xsi:type="dcterms:W3CDTF">2017-12-21T11:06:00Z</dcterms:created>
  <dcterms:modified xsi:type="dcterms:W3CDTF">2017-12-27T07:50:00Z</dcterms:modified>
</cp:coreProperties>
</file>