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0.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1.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2.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3.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4.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5.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6.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7.xml" ContentType="application/vnd.openxmlformats-officedocument.drawingml.chart+xml"/>
  <Override PartName="/word/charts/style16.xml" ContentType="application/vnd.ms-office.chartstyle+xml"/>
  <Override PartName="/word/charts/colors16.xml" ContentType="application/vnd.ms-office.chartcolorstyle+xml"/>
  <Override PartName="/word/drawings/drawing1.xml" ContentType="application/vnd.openxmlformats-officedocument.drawingml.chartshapes+xml"/>
  <Override PartName="/word/charts/chart18.xml" ContentType="application/vnd.openxmlformats-officedocument.drawingml.chart+xml"/>
  <Override PartName="/word/charts/style17.xml" ContentType="application/vnd.ms-office.chartstyle+xml"/>
  <Override PartName="/word/charts/colors17.xml" ContentType="application/vnd.ms-office.chartcolorstyle+xml"/>
  <Override PartName="/word/drawings/drawing2.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8D4DF3" w14:textId="77777777" w:rsidR="000A0BBA" w:rsidRPr="00D024B4" w:rsidRDefault="000A0BBA" w:rsidP="000A0BBA">
      <w:pPr>
        <w:jc w:val="center"/>
        <w:rPr>
          <w:b/>
          <w:sz w:val="24"/>
          <w:szCs w:val="24"/>
        </w:rPr>
      </w:pPr>
    </w:p>
    <w:p w14:paraId="2CF42A50" w14:textId="77777777" w:rsidR="000A0BBA" w:rsidRPr="00D024B4" w:rsidRDefault="000A0BBA" w:rsidP="000A0BBA">
      <w:pPr>
        <w:jc w:val="center"/>
        <w:rPr>
          <w:b/>
          <w:sz w:val="24"/>
          <w:szCs w:val="24"/>
        </w:rPr>
      </w:pPr>
    </w:p>
    <w:p w14:paraId="2E07FA08" w14:textId="77777777" w:rsidR="000A0BBA" w:rsidRPr="00D024B4" w:rsidRDefault="000A0BBA" w:rsidP="000A0BBA">
      <w:pPr>
        <w:jc w:val="center"/>
        <w:rPr>
          <w:b/>
          <w:sz w:val="24"/>
          <w:szCs w:val="24"/>
        </w:rPr>
      </w:pPr>
    </w:p>
    <w:p w14:paraId="030FDCE0" w14:textId="77777777" w:rsidR="000A0BBA" w:rsidRPr="00D024B4" w:rsidRDefault="000A0BBA" w:rsidP="000A0BBA">
      <w:pPr>
        <w:jc w:val="center"/>
        <w:rPr>
          <w:b/>
          <w:sz w:val="24"/>
          <w:szCs w:val="24"/>
        </w:rPr>
      </w:pPr>
    </w:p>
    <w:p w14:paraId="12993A4B" w14:textId="77777777" w:rsidR="000A0BBA" w:rsidRPr="00D024B4" w:rsidRDefault="000A0BBA" w:rsidP="000A0BBA">
      <w:pPr>
        <w:jc w:val="center"/>
        <w:rPr>
          <w:b/>
          <w:sz w:val="24"/>
          <w:szCs w:val="24"/>
        </w:rPr>
      </w:pPr>
    </w:p>
    <w:p w14:paraId="1B5E1C94" w14:textId="77777777" w:rsidR="000A0BBA" w:rsidRPr="00D024B4" w:rsidRDefault="000A0BBA" w:rsidP="000A0BBA">
      <w:pPr>
        <w:jc w:val="center"/>
        <w:rPr>
          <w:b/>
          <w:sz w:val="24"/>
          <w:szCs w:val="24"/>
        </w:rPr>
      </w:pPr>
    </w:p>
    <w:p w14:paraId="047B0F45" w14:textId="77777777" w:rsidR="000A0BBA" w:rsidRPr="00D024B4" w:rsidRDefault="000A0BBA" w:rsidP="000A0BBA">
      <w:pPr>
        <w:jc w:val="center"/>
        <w:rPr>
          <w:b/>
          <w:sz w:val="24"/>
          <w:szCs w:val="24"/>
        </w:rPr>
      </w:pPr>
    </w:p>
    <w:p w14:paraId="000571B5" w14:textId="77777777" w:rsidR="000A0BBA" w:rsidRPr="00D024B4" w:rsidRDefault="000A0BBA" w:rsidP="000A0BBA">
      <w:pPr>
        <w:jc w:val="center"/>
        <w:rPr>
          <w:b/>
          <w:sz w:val="24"/>
          <w:szCs w:val="24"/>
        </w:rPr>
      </w:pPr>
    </w:p>
    <w:p w14:paraId="6BE7E399" w14:textId="77777777" w:rsidR="000A0BBA" w:rsidRPr="00D024B4" w:rsidRDefault="000A0BBA" w:rsidP="000A0BBA">
      <w:pPr>
        <w:jc w:val="center"/>
        <w:rPr>
          <w:b/>
          <w:sz w:val="24"/>
          <w:szCs w:val="24"/>
        </w:rPr>
      </w:pPr>
    </w:p>
    <w:p w14:paraId="3A13634A" w14:textId="77777777" w:rsidR="000A0BBA" w:rsidRPr="00D024B4" w:rsidRDefault="000A0BBA" w:rsidP="000A0BBA">
      <w:pPr>
        <w:jc w:val="center"/>
        <w:rPr>
          <w:b/>
          <w:sz w:val="24"/>
          <w:szCs w:val="24"/>
        </w:rPr>
      </w:pPr>
    </w:p>
    <w:p w14:paraId="14D4D525" w14:textId="77777777" w:rsidR="000A0BBA" w:rsidRPr="00D024B4" w:rsidRDefault="000A0BBA" w:rsidP="000A0BBA">
      <w:pPr>
        <w:jc w:val="center"/>
        <w:rPr>
          <w:b/>
          <w:sz w:val="24"/>
          <w:szCs w:val="24"/>
        </w:rPr>
      </w:pPr>
    </w:p>
    <w:p w14:paraId="440195F4" w14:textId="77777777" w:rsidR="000A0BBA" w:rsidRPr="00D024B4" w:rsidRDefault="000A0BBA" w:rsidP="000A0BBA">
      <w:pPr>
        <w:jc w:val="center"/>
        <w:rPr>
          <w:b/>
          <w:sz w:val="24"/>
          <w:szCs w:val="24"/>
        </w:rPr>
      </w:pPr>
    </w:p>
    <w:p w14:paraId="0BE27D3F" w14:textId="77777777" w:rsidR="000A0BBA" w:rsidRPr="00D024B4" w:rsidRDefault="000A0BBA" w:rsidP="000A0BBA">
      <w:pPr>
        <w:jc w:val="center"/>
        <w:rPr>
          <w:b/>
          <w:sz w:val="24"/>
          <w:szCs w:val="24"/>
        </w:rPr>
      </w:pPr>
    </w:p>
    <w:p w14:paraId="0AEB97EE" w14:textId="77777777" w:rsidR="000A0BBA" w:rsidRPr="00D024B4" w:rsidRDefault="000A0BBA" w:rsidP="000A0BBA">
      <w:pPr>
        <w:jc w:val="center"/>
        <w:rPr>
          <w:b/>
          <w:sz w:val="24"/>
          <w:szCs w:val="24"/>
        </w:rPr>
      </w:pPr>
    </w:p>
    <w:p w14:paraId="0B30483A" w14:textId="77777777" w:rsidR="000A0BBA" w:rsidRPr="00D024B4" w:rsidRDefault="000A0BBA" w:rsidP="000A0BBA">
      <w:pPr>
        <w:jc w:val="center"/>
        <w:rPr>
          <w:b/>
          <w:sz w:val="24"/>
          <w:szCs w:val="24"/>
        </w:rPr>
      </w:pPr>
    </w:p>
    <w:p w14:paraId="564F867A" w14:textId="77777777" w:rsidR="000A0BBA" w:rsidRPr="00D024B4" w:rsidRDefault="000A0BBA" w:rsidP="000A0BBA">
      <w:pPr>
        <w:jc w:val="center"/>
        <w:rPr>
          <w:b/>
          <w:sz w:val="24"/>
          <w:szCs w:val="24"/>
        </w:rPr>
      </w:pPr>
    </w:p>
    <w:p w14:paraId="43E6D302" w14:textId="77777777" w:rsidR="000A0BBA" w:rsidRPr="00D024B4" w:rsidRDefault="000A0BBA" w:rsidP="000A0BBA">
      <w:pPr>
        <w:jc w:val="center"/>
        <w:rPr>
          <w:b/>
          <w:sz w:val="24"/>
          <w:szCs w:val="24"/>
        </w:rPr>
      </w:pPr>
    </w:p>
    <w:p w14:paraId="0939C1A8" w14:textId="77777777" w:rsidR="000A0BBA" w:rsidRPr="00D024B4" w:rsidRDefault="000A0BBA" w:rsidP="000A0BBA">
      <w:pPr>
        <w:jc w:val="center"/>
        <w:rPr>
          <w:b/>
          <w:sz w:val="24"/>
          <w:szCs w:val="24"/>
        </w:rPr>
      </w:pPr>
    </w:p>
    <w:p w14:paraId="07C6F9EA" w14:textId="77777777" w:rsidR="000A0BBA" w:rsidRPr="00FA718D" w:rsidRDefault="000A0BBA" w:rsidP="000A0BBA">
      <w:pPr>
        <w:jc w:val="center"/>
        <w:rPr>
          <w:b/>
          <w:szCs w:val="24"/>
        </w:rPr>
      </w:pPr>
      <w:r w:rsidRPr="00FA718D">
        <w:rPr>
          <w:b/>
          <w:szCs w:val="24"/>
        </w:rPr>
        <w:t>Informatīvais ziņojums</w:t>
      </w:r>
    </w:p>
    <w:p w14:paraId="776E3C1A" w14:textId="77777777" w:rsidR="000A0BBA" w:rsidRPr="00FA718D" w:rsidRDefault="000A0BBA" w:rsidP="000A0BBA">
      <w:pPr>
        <w:jc w:val="center"/>
        <w:rPr>
          <w:b/>
          <w:szCs w:val="24"/>
        </w:rPr>
      </w:pPr>
    </w:p>
    <w:p w14:paraId="5B04B731" w14:textId="6E07DCEE" w:rsidR="000A0BBA" w:rsidRPr="00FA718D" w:rsidRDefault="00080A18" w:rsidP="000A0BBA">
      <w:pPr>
        <w:jc w:val="center"/>
        <w:rPr>
          <w:b/>
          <w:szCs w:val="24"/>
        </w:rPr>
      </w:pPr>
      <w:r w:rsidRPr="00FA718D">
        <w:rPr>
          <w:b/>
          <w:szCs w:val="24"/>
        </w:rPr>
        <w:t xml:space="preserve">Par </w:t>
      </w:r>
      <w:r w:rsidR="000A0BBA" w:rsidRPr="00FA718D">
        <w:rPr>
          <w:b/>
          <w:szCs w:val="24"/>
        </w:rPr>
        <w:t xml:space="preserve">Latvijas </w:t>
      </w:r>
      <w:r w:rsidR="00AA10EF">
        <w:rPr>
          <w:b/>
          <w:szCs w:val="24"/>
        </w:rPr>
        <w:t>tūrisma attīstības</w:t>
      </w:r>
      <w:r w:rsidRPr="00FA718D">
        <w:rPr>
          <w:b/>
          <w:szCs w:val="24"/>
        </w:rPr>
        <w:t xml:space="preserve"> pamatnostādņu 201</w:t>
      </w:r>
      <w:r w:rsidR="00887C7F">
        <w:rPr>
          <w:b/>
          <w:szCs w:val="24"/>
        </w:rPr>
        <w:t>4</w:t>
      </w:r>
      <w:r w:rsidRPr="00FA718D">
        <w:rPr>
          <w:b/>
          <w:szCs w:val="24"/>
        </w:rPr>
        <w:t>.-20</w:t>
      </w:r>
      <w:r w:rsidR="00887C7F">
        <w:rPr>
          <w:b/>
          <w:szCs w:val="24"/>
        </w:rPr>
        <w:t>20</w:t>
      </w:r>
      <w:r w:rsidRPr="00FA718D">
        <w:rPr>
          <w:b/>
          <w:szCs w:val="24"/>
        </w:rPr>
        <w:t>.gadam</w:t>
      </w:r>
      <w:r w:rsidR="000A0BBA" w:rsidRPr="00FA718D">
        <w:rPr>
          <w:b/>
          <w:szCs w:val="24"/>
        </w:rPr>
        <w:t xml:space="preserve"> īstenošanas 201</w:t>
      </w:r>
      <w:r w:rsidR="00887C7F">
        <w:rPr>
          <w:b/>
          <w:szCs w:val="24"/>
        </w:rPr>
        <w:t>4</w:t>
      </w:r>
      <w:r w:rsidR="000A0BBA" w:rsidRPr="00FA718D">
        <w:rPr>
          <w:b/>
          <w:szCs w:val="24"/>
        </w:rPr>
        <w:t>. – 201</w:t>
      </w:r>
      <w:r w:rsidR="00887C7F">
        <w:rPr>
          <w:b/>
          <w:szCs w:val="24"/>
        </w:rPr>
        <w:t>6</w:t>
      </w:r>
      <w:r w:rsidR="000A0BBA" w:rsidRPr="00FA718D">
        <w:rPr>
          <w:b/>
          <w:szCs w:val="24"/>
        </w:rPr>
        <w:t xml:space="preserve">.gadā </w:t>
      </w:r>
      <w:r w:rsidRPr="00FA718D">
        <w:rPr>
          <w:b/>
          <w:szCs w:val="24"/>
        </w:rPr>
        <w:t xml:space="preserve">starpposma </w:t>
      </w:r>
      <w:r w:rsidR="000A0BBA" w:rsidRPr="00FA718D">
        <w:rPr>
          <w:b/>
          <w:szCs w:val="24"/>
        </w:rPr>
        <w:t>novērtējumu</w:t>
      </w:r>
    </w:p>
    <w:p w14:paraId="5EF4B57B" w14:textId="77777777" w:rsidR="000A0BBA" w:rsidRPr="00D847C3" w:rsidRDefault="000A0BBA" w:rsidP="000A0BBA">
      <w:pPr>
        <w:jc w:val="center"/>
        <w:rPr>
          <w:b/>
          <w:sz w:val="24"/>
          <w:szCs w:val="24"/>
        </w:rPr>
      </w:pPr>
    </w:p>
    <w:p w14:paraId="6CE311FD" w14:textId="77777777" w:rsidR="00FA718D" w:rsidRDefault="00FA718D" w:rsidP="00FA718D">
      <w:pPr>
        <w:jc w:val="center"/>
        <w:rPr>
          <w:sz w:val="26"/>
          <w:szCs w:val="26"/>
        </w:rPr>
      </w:pPr>
    </w:p>
    <w:p w14:paraId="5E35FCBC" w14:textId="77777777" w:rsidR="00FA718D" w:rsidRDefault="00FA718D" w:rsidP="00FA718D">
      <w:pPr>
        <w:jc w:val="center"/>
        <w:rPr>
          <w:sz w:val="26"/>
          <w:szCs w:val="26"/>
        </w:rPr>
      </w:pPr>
    </w:p>
    <w:p w14:paraId="582DB2CE" w14:textId="77777777" w:rsidR="00FA718D" w:rsidRDefault="00FA718D" w:rsidP="00FA718D">
      <w:pPr>
        <w:jc w:val="center"/>
        <w:rPr>
          <w:sz w:val="26"/>
          <w:szCs w:val="26"/>
        </w:rPr>
      </w:pPr>
    </w:p>
    <w:p w14:paraId="6C316200" w14:textId="77777777" w:rsidR="00FA718D" w:rsidRDefault="00FA718D" w:rsidP="00FA718D">
      <w:pPr>
        <w:jc w:val="center"/>
        <w:rPr>
          <w:sz w:val="26"/>
          <w:szCs w:val="26"/>
        </w:rPr>
      </w:pPr>
    </w:p>
    <w:p w14:paraId="3D8979AF" w14:textId="77777777" w:rsidR="00FA718D" w:rsidRDefault="00FA718D" w:rsidP="00FA718D">
      <w:pPr>
        <w:jc w:val="center"/>
        <w:rPr>
          <w:sz w:val="26"/>
          <w:szCs w:val="26"/>
        </w:rPr>
      </w:pPr>
    </w:p>
    <w:p w14:paraId="5E0E06C3" w14:textId="77777777" w:rsidR="00FA718D" w:rsidRDefault="00FA718D" w:rsidP="00FA718D">
      <w:pPr>
        <w:jc w:val="center"/>
        <w:rPr>
          <w:sz w:val="26"/>
          <w:szCs w:val="26"/>
        </w:rPr>
      </w:pPr>
    </w:p>
    <w:p w14:paraId="5B265F06" w14:textId="77777777" w:rsidR="00FA718D" w:rsidRDefault="00FA718D" w:rsidP="00FA718D">
      <w:pPr>
        <w:jc w:val="center"/>
        <w:rPr>
          <w:sz w:val="26"/>
          <w:szCs w:val="26"/>
        </w:rPr>
      </w:pPr>
    </w:p>
    <w:p w14:paraId="6A185081" w14:textId="77777777" w:rsidR="00FA718D" w:rsidRDefault="00FA718D" w:rsidP="00FA718D">
      <w:pPr>
        <w:jc w:val="center"/>
        <w:rPr>
          <w:sz w:val="26"/>
          <w:szCs w:val="26"/>
        </w:rPr>
      </w:pPr>
    </w:p>
    <w:p w14:paraId="41D55136" w14:textId="77777777" w:rsidR="00FA718D" w:rsidRDefault="00FA718D" w:rsidP="00FA718D">
      <w:pPr>
        <w:jc w:val="center"/>
        <w:rPr>
          <w:sz w:val="26"/>
          <w:szCs w:val="26"/>
        </w:rPr>
      </w:pPr>
    </w:p>
    <w:p w14:paraId="2F99511F" w14:textId="77777777" w:rsidR="00FA718D" w:rsidRDefault="00FA718D" w:rsidP="00FA718D">
      <w:pPr>
        <w:jc w:val="center"/>
        <w:rPr>
          <w:sz w:val="26"/>
          <w:szCs w:val="26"/>
        </w:rPr>
      </w:pPr>
    </w:p>
    <w:p w14:paraId="27C9D733" w14:textId="77777777" w:rsidR="00FA718D" w:rsidRDefault="00FA718D" w:rsidP="00FA718D">
      <w:pPr>
        <w:jc w:val="center"/>
        <w:rPr>
          <w:sz w:val="26"/>
          <w:szCs w:val="26"/>
        </w:rPr>
      </w:pPr>
    </w:p>
    <w:p w14:paraId="05517734" w14:textId="77777777" w:rsidR="00FA718D" w:rsidRDefault="00FA718D" w:rsidP="00FA718D">
      <w:pPr>
        <w:jc w:val="center"/>
        <w:rPr>
          <w:sz w:val="26"/>
          <w:szCs w:val="26"/>
        </w:rPr>
      </w:pPr>
    </w:p>
    <w:p w14:paraId="2156B7CC" w14:textId="77777777" w:rsidR="00FA718D" w:rsidRDefault="00FA718D" w:rsidP="00FA718D">
      <w:pPr>
        <w:jc w:val="center"/>
        <w:rPr>
          <w:sz w:val="26"/>
          <w:szCs w:val="26"/>
        </w:rPr>
      </w:pPr>
    </w:p>
    <w:p w14:paraId="16D5BF8A" w14:textId="77777777" w:rsidR="00FA718D" w:rsidRDefault="00FA718D" w:rsidP="00FA718D">
      <w:pPr>
        <w:jc w:val="center"/>
        <w:rPr>
          <w:sz w:val="26"/>
          <w:szCs w:val="26"/>
        </w:rPr>
      </w:pPr>
    </w:p>
    <w:p w14:paraId="2121CDFA" w14:textId="77777777" w:rsidR="00FA718D" w:rsidRDefault="00FA718D" w:rsidP="00FA718D">
      <w:pPr>
        <w:jc w:val="center"/>
        <w:rPr>
          <w:sz w:val="26"/>
          <w:szCs w:val="26"/>
        </w:rPr>
      </w:pPr>
    </w:p>
    <w:p w14:paraId="28E7B62E" w14:textId="77777777" w:rsidR="00FA718D" w:rsidRDefault="00FA718D" w:rsidP="00FA718D">
      <w:pPr>
        <w:jc w:val="center"/>
        <w:rPr>
          <w:sz w:val="26"/>
          <w:szCs w:val="26"/>
        </w:rPr>
      </w:pPr>
    </w:p>
    <w:p w14:paraId="5C44CBB1" w14:textId="77777777" w:rsidR="00FA718D" w:rsidRDefault="00FA718D" w:rsidP="00FA718D">
      <w:pPr>
        <w:jc w:val="center"/>
        <w:rPr>
          <w:sz w:val="26"/>
          <w:szCs w:val="26"/>
        </w:rPr>
      </w:pPr>
    </w:p>
    <w:p w14:paraId="56471BFE" w14:textId="77777777" w:rsidR="00FA718D" w:rsidRDefault="00FA718D" w:rsidP="00FA718D">
      <w:pPr>
        <w:jc w:val="center"/>
        <w:rPr>
          <w:sz w:val="26"/>
          <w:szCs w:val="26"/>
        </w:rPr>
      </w:pPr>
    </w:p>
    <w:p w14:paraId="0109BF30" w14:textId="77777777" w:rsidR="00FA718D" w:rsidRDefault="00FA718D" w:rsidP="00FA718D">
      <w:pPr>
        <w:jc w:val="center"/>
        <w:rPr>
          <w:sz w:val="26"/>
          <w:szCs w:val="26"/>
        </w:rPr>
      </w:pPr>
    </w:p>
    <w:p w14:paraId="6DF834BB" w14:textId="77777777" w:rsidR="00FA718D" w:rsidRDefault="00FA718D" w:rsidP="00FA718D">
      <w:pPr>
        <w:jc w:val="center"/>
        <w:rPr>
          <w:sz w:val="26"/>
          <w:szCs w:val="26"/>
        </w:rPr>
      </w:pPr>
    </w:p>
    <w:p w14:paraId="660BCEC9" w14:textId="77777777" w:rsidR="00FA718D" w:rsidRDefault="00FA718D" w:rsidP="00FA718D">
      <w:pPr>
        <w:jc w:val="center"/>
        <w:rPr>
          <w:sz w:val="26"/>
          <w:szCs w:val="26"/>
        </w:rPr>
      </w:pPr>
    </w:p>
    <w:p w14:paraId="6E08ED21" w14:textId="77777777" w:rsidR="00FA718D" w:rsidRDefault="00FA718D" w:rsidP="00FA718D">
      <w:pPr>
        <w:jc w:val="center"/>
        <w:rPr>
          <w:sz w:val="26"/>
          <w:szCs w:val="26"/>
        </w:rPr>
      </w:pPr>
    </w:p>
    <w:p w14:paraId="677DEB58" w14:textId="77777777" w:rsidR="00FA718D" w:rsidRDefault="00FA718D" w:rsidP="00FA718D">
      <w:pPr>
        <w:jc w:val="center"/>
        <w:rPr>
          <w:sz w:val="26"/>
          <w:szCs w:val="26"/>
        </w:rPr>
      </w:pPr>
    </w:p>
    <w:p w14:paraId="64BA7F96" w14:textId="77777777" w:rsidR="00FA718D" w:rsidRPr="00FA718D" w:rsidRDefault="00FA718D" w:rsidP="00FA718D">
      <w:pPr>
        <w:jc w:val="center"/>
        <w:rPr>
          <w:sz w:val="26"/>
          <w:szCs w:val="26"/>
        </w:rPr>
      </w:pPr>
      <w:r w:rsidRPr="00FA718D">
        <w:rPr>
          <w:sz w:val="26"/>
          <w:szCs w:val="26"/>
        </w:rPr>
        <w:t>RĪGA</w:t>
      </w:r>
    </w:p>
    <w:p w14:paraId="61BD778E" w14:textId="205AA331" w:rsidR="00FC287C" w:rsidRDefault="00FA718D" w:rsidP="00FA718D">
      <w:pPr>
        <w:jc w:val="center"/>
        <w:rPr>
          <w:sz w:val="26"/>
          <w:szCs w:val="26"/>
        </w:rPr>
      </w:pPr>
      <w:r w:rsidRPr="00FA718D">
        <w:rPr>
          <w:sz w:val="26"/>
          <w:szCs w:val="26"/>
        </w:rPr>
        <w:t>201</w:t>
      </w:r>
      <w:r w:rsidR="00887C7F">
        <w:rPr>
          <w:sz w:val="26"/>
          <w:szCs w:val="26"/>
        </w:rPr>
        <w:t>7</w:t>
      </w:r>
      <w:r w:rsidRPr="00FA718D">
        <w:rPr>
          <w:sz w:val="26"/>
          <w:szCs w:val="26"/>
        </w:rPr>
        <w:t xml:space="preserve">.gada </w:t>
      </w:r>
      <w:r w:rsidR="00A92927">
        <w:rPr>
          <w:sz w:val="26"/>
          <w:szCs w:val="26"/>
        </w:rPr>
        <w:t>decembris</w:t>
      </w:r>
    </w:p>
    <w:p w14:paraId="3CA0692A" w14:textId="77777777" w:rsidR="00FC287C" w:rsidRDefault="00FC287C" w:rsidP="00FA718D">
      <w:pPr>
        <w:jc w:val="center"/>
        <w:rPr>
          <w:sz w:val="26"/>
          <w:szCs w:val="26"/>
        </w:rPr>
      </w:pPr>
    </w:p>
    <w:p w14:paraId="47BECCA7" w14:textId="77777777" w:rsidR="00887C7F" w:rsidRDefault="00887C7F">
      <w:pPr>
        <w:rPr>
          <w:b/>
          <w:bCs/>
          <w:color w:val="FFFFFF" w:themeColor="background1"/>
          <w:szCs w:val="36"/>
        </w:rPr>
      </w:pPr>
      <w:r>
        <w:rPr>
          <w:b/>
          <w:bCs/>
          <w:color w:val="FFFFFF" w:themeColor="background1"/>
          <w:szCs w:val="36"/>
        </w:rPr>
        <w:br w:type="page"/>
      </w:r>
    </w:p>
    <w:p w14:paraId="70EF3D48" w14:textId="06F38841" w:rsidR="00FC287C" w:rsidRPr="00D46FBB" w:rsidRDefault="00FC287C" w:rsidP="00FC287C">
      <w:pPr>
        <w:shd w:val="clear" w:color="auto" w:fill="1DA0A7"/>
        <w:jc w:val="center"/>
        <w:rPr>
          <w:b/>
          <w:bCs/>
          <w:color w:val="FFFFFF" w:themeColor="background1"/>
          <w:szCs w:val="36"/>
        </w:rPr>
      </w:pPr>
      <w:r w:rsidRPr="001B35D6">
        <w:rPr>
          <w:b/>
          <w:bCs/>
          <w:color w:val="FFFFFF" w:themeColor="background1"/>
          <w:szCs w:val="36"/>
        </w:rPr>
        <w:lastRenderedPageBreak/>
        <w:t>Saturs</w:t>
      </w:r>
    </w:p>
    <w:p w14:paraId="250EE8DF" w14:textId="77777777" w:rsidR="00FC287C" w:rsidRPr="009F6E8E" w:rsidRDefault="00FC287C" w:rsidP="00FC287C">
      <w:pPr>
        <w:jc w:val="center"/>
        <w:rPr>
          <w:sz w:val="8"/>
          <w:szCs w:val="32"/>
        </w:rPr>
      </w:pPr>
    </w:p>
    <w:sdt>
      <w:sdtPr>
        <w:rPr>
          <w:rFonts w:ascii="Times New Roman" w:eastAsiaTheme="minorHAnsi" w:hAnsi="Times New Roman" w:cstheme="minorBidi"/>
          <w:color w:val="auto"/>
          <w:sz w:val="28"/>
          <w:szCs w:val="22"/>
          <w:lang w:val="lv-LV"/>
        </w:rPr>
        <w:id w:val="1130984410"/>
        <w:docPartObj>
          <w:docPartGallery w:val="Table of Contents"/>
          <w:docPartUnique/>
        </w:docPartObj>
      </w:sdtPr>
      <w:sdtEndPr>
        <w:rPr>
          <w:b/>
          <w:bCs/>
          <w:noProof/>
        </w:rPr>
      </w:sdtEndPr>
      <w:sdtContent>
        <w:p w14:paraId="0761834A" w14:textId="77777777" w:rsidR="00DE0F41" w:rsidRPr="007950A1" w:rsidRDefault="00DE0F41">
          <w:pPr>
            <w:pStyle w:val="TOCHeading"/>
            <w:rPr>
              <w:sz w:val="2"/>
            </w:rPr>
          </w:pPr>
        </w:p>
        <w:p w14:paraId="1BD60BA4" w14:textId="43B0CA86" w:rsidR="007B0B94" w:rsidRDefault="00DE0F41">
          <w:pPr>
            <w:pStyle w:val="TOC1"/>
            <w:tabs>
              <w:tab w:val="right" w:leader="dot" w:pos="9771"/>
            </w:tabs>
            <w:rPr>
              <w:rFonts w:asciiTheme="minorHAnsi" w:eastAsiaTheme="minorEastAsia" w:hAnsiTheme="minorHAnsi"/>
              <w:noProof/>
              <w:sz w:val="22"/>
              <w:lang w:eastAsia="lv-LV"/>
            </w:rPr>
          </w:pPr>
          <w:r>
            <w:fldChar w:fldCharType="begin"/>
          </w:r>
          <w:r>
            <w:instrText xml:space="preserve"> TOC \o "1-3" \h \z \u </w:instrText>
          </w:r>
          <w:r>
            <w:fldChar w:fldCharType="separate"/>
          </w:r>
          <w:hyperlink w:anchor="_Toc500423586" w:history="1">
            <w:r w:rsidR="007B0B94" w:rsidRPr="00F2043D">
              <w:rPr>
                <w:rStyle w:val="Hyperlink"/>
                <w:noProof/>
              </w:rPr>
              <w:t>Kopsavilkums</w:t>
            </w:r>
            <w:r w:rsidR="007B0B94">
              <w:rPr>
                <w:noProof/>
                <w:webHidden/>
              </w:rPr>
              <w:tab/>
            </w:r>
            <w:r w:rsidR="007B0B94">
              <w:rPr>
                <w:noProof/>
                <w:webHidden/>
              </w:rPr>
              <w:fldChar w:fldCharType="begin"/>
            </w:r>
            <w:r w:rsidR="007B0B94">
              <w:rPr>
                <w:noProof/>
                <w:webHidden/>
              </w:rPr>
              <w:instrText xml:space="preserve"> PAGEREF _Toc500423586 \h </w:instrText>
            </w:r>
            <w:r w:rsidR="007B0B94">
              <w:rPr>
                <w:noProof/>
                <w:webHidden/>
              </w:rPr>
            </w:r>
            <w:r w:rsidR="007B0B94">
              <w:rPr>
                <w:noProof/>
                <w:webHidden/>
              </w:rPr>
              <w:fldChar w:fldCharType="separate"/>
            </w:r>
            <w:r w:rsidR="007B0B94">
              <w:rPr>
                <w:noProof/>
                <w:webHidden/>
              </w:rPr>
              <w:t>3</w:t>
            </w:r>
            <w:r w:rsidR="007B0B94">
              <w:rPr>
                <w:noProof/>
                <w:webHidden/>
              </w:rPr>
              <w:fldChar w:fldCharType="end"/>
            </w:r>
          </w:hyperlink>
        </w:p>
        <w:p w14:paraId="7D895A22" w14:textId="6EFA9E30" w:rsidR="007B0B94" w:rsidRDefault="00A92927">
          <w:pPr>
            <w:pStyle w:val="TOC1"/>
            <w:tabs>
              <w:tab w:val="right" w:leader="dot" w:pos="9771"/>
            </w:tabs>
            <w:rPr>
              <w:rFonts w:asciiTheme="minorHAnsi" w:eastAsiaTheme="minorEastAsia" w:hAnsiTheme="minorHAnsi"/>
              <w:noProof/>
              <w:sz w:val="22"/>
              <w:lang w:eastAsia="lv-LV"/>
            </w:rPr>
          </w:pPr>
          <w:hyperlink w:anchor="_Toc500423587" w:history="1">
            <w:r w:rsidR="007B0B94" w:rsidRPr="007B0B94">
              <w:rPr>
                <w:rStyle w:val="Hyperlink"/>
                <w:noProof/>
              </w:rPr>
              <w:t>Ievads</w:t>
            </w:r>
            <w:r w:rsidR="007B0B94">
              <w:rPr>
                <w:noProof/>
                <w:webHidden/>
              </w:rPr>
              <w:tab/>
            </w:r>
            <w:r w:rsidR="007B0B94">
              <w:rPr>
                <w:noProof/>
                <w:webHidden/>
              </w:rPr>
              <w:fldChar w:fldCharType="begin"/>
            </w:r>
            <w:r w:rsidR="007B0B94">
              <w:rPr>
                <w:noProof/>
                <w:webHidden/>
              </w:rPr>
              <w:instrText xml:space="preserve"> PAGEREF _Toc500423587 \h </w:instrText>
            </w:r>
            <w:r w:rsidR="007B0B94">
              <w:rPr>
                <w:noProof/>
                <w:webHidden/>
              </w:rPr>
            </w:r>
            <w:r w:rsidR="007B0B94">
              <w:rPr>
                <w:noProof/>
                <w:webHidden/>
              </w:rPr>
              <w:fldChar w:fldCharType="separate"/>
            </w:r>
            <w:r w:rsidR="007B0B94">
              <w:rPr>
                <w:noProof/>
                <w:webHidden/>
              </w:rPr>
              <w:t>4</w:t>
            </w:r>
            <w:r w:rsidR="007B0B94">
              <w:rPr>
                <w:noProof/>
                <w:webHidden/>
              </w:rPr>
              <w:fldChar w:fldCharType="end"/>
            </w:r>
          </w:hyperlink>
        </w:p>
        <w:p w14:paraId="1953B61A" w14:textId="3149A7DA" w:rsidR="007B0B94" w:rsidRDefault="00A92927">
          <w:pPr>
            <w:pStyle w:val="TOC1"/>
            <w:tabs>
              <w:tab w:val="right" w:leader="dot" w:pos="9771"/>
            </w:tabs>
            <w:rPr>
              <w:rFonts w:asciiTheme="minorHAnsi" w:eastAsiaTheme="minorEastAsia" w:hAnsiTheme="minorHAnsi"/>
              <w:noProof/>
              <w:sz w:val="22"/>
              <w:lang w:eastAsia="lv-LV"/>
            </w:rPr>
          </w:pPr>
          <w:hyperlink w:anchor="_Toc500423588" w:history="1">
            <w:r w:rsidR="007B0B94" w:rsidRPr="00F2043D">
              <w:rPr>
                <w:rStyle w:val="Hyperlink"/>
                <w:noProof/>
              </w:rPr>
              <w:t>1. Latvijas tūrisma nozares attīstība 2014.-2016.gadā</w:t>
            </w:r>
            <w:r w:rsidR="007B0B94">
              <w:rPr>
                <w:noProof/>
                <w:webHidden/>
              </w:rPr>
              <w:tab/>
            </w:r>
            <w:r w:rsidR="007B0B94">
              <w:rPr>
                <w:noProof/>
                <w:webHidden/>
              </w:rPr>
              <w:fldChar w:fldCharType="begin"/>
            </w:r>
            <w:r w:rsidR="007B0B94">
              <w:rPr>
                <w:noProof/>
                <w:webHidden/>
              </w:rPr>
              <w:instrText xml:space="preserve"> PAGEREF _Toc500423588 \h </w:instrText>
            </w:r>
            <w:r w:rsidR="007B0B94">
              <w:rPr>
                <w:noProof/>
                <w:webHidden/>
              </w:rPr>
            </w:r>
            <w:r w:rsidR="007B0B94">
              <w:rPr>
                <w:noProof/>
                <w:webHidden/>
              </w:rPr>
              <w:fldChar w:fldCharType="separate"/>
            </w:r>
            <w:r w:rsidR="007B0B94">
              <w:rPr>
                <w:noProof/>
                <w:webHidden/>
              </w:rPr>
              <w:t>6</w:t>
            </w:r>
            <w:r w:rsidR="007B0B94">
              <w:rPr>
                <w:noProof/>
                <w:webHidden/>
              </w:rPr>
              <w:fldChar w:fldCharType="end"/>
            </w:r>
          </w:hyperlink>
        </w:p>
        <w:p w14:paraId="3B7DBEB7" w14:textId="087D4138" w:rsidR="007B0B94" w:rsidRDefault="00A92927">
          <w:pPr>
            <w:pStyle w:val="TOC2"/>
            <w:tabs>
              <w:tab w:val="right" w:leader="dot" w:pos="9771"/>
            </w:tabs>
            <w:rPr>
              <w:rFonts w:asciiTheme="minorHAnsi" w:eastAsiaTheme="minorEastAsia" w:hAnsiTheme="minorHAnsi"/>
              <w:noProof/>
              <w:sz w:val="22"/>
              <w:lang w:eastAsia="lv-LV"/>
            </w:rPr>
          </w:pPr>
          <w:hyperlink w:anchor="_Toc500423589" w:history="1">
            <w:r w:rsidR="007B0B94" w:rsidRPr="00F2043D">
              <w:rPr>
                <w:rStyle w:val="Hyperlink"/>
                <w:noProof/>
              </w:rPr>
              <w:t>1.1.Tūrisma pakalpojumu eksports</w:t>
            </w:r>
            <w:r w:rsidR="007B0B94">
              <w:rPr>
                <w:noProof/>
                <w:webHidden/>
              </w:rPr>
              <w:tab/>
            </w:r>
            <w:r w:rsidR="007B0B94">
              <w:rPr>
                <w:noProof/>
                <w:webHidden/>
              </w:rPr>
              <w:fldChar w:fldCharType="begin"/>
            </w:r>
            <w:r w:rsidR="007B0B94">
              <w:rPr>
                <w:noProof/>
                <w:webHidden/>
              </w:rPr>
              <w:instrText xml:space="preserve"> PAGEREF _Toc500423589 \h </w:instrText>
            </w:r>
            <w:r w:rsidR="007B0B94">
              <w:rPr>
                <w:noProof/>
                <w:webHidden/>
              </w:rPr>
            </w:r>
            <w:r w:rsidR="007B0B94">
              <w:rPr>
                <w:noProof/>
                <w:webHidden/>
              </w:rPr>
              <w:fldChar w:fldCharType="separate"/>
            </w:r>
            <w:r w:rsidR="007B0B94">
              <w:rPr>
                <w:noProof/>
                <w:webHidden/>
              </w:rPr>
              <w:t>6</w:t>
            </w:r>
            <w:r w:rsidR="007B0B94">
              <w:rPr>
                <w:noProof/>
                <w:webHidden/>
              </w:rPr>
              <w:fldChar w:fldCharType="end"/>
            </w:r>
          </w:hyperlink>
        </w:p>
        <w:p w14:paraId="620A3FF4" w14:textId="741937CA" w:rsidR="007B0B94" w:rsidRDefault="00A92927">
          <w:pPr>
            <w:pStyle w:val="TOC2"/>
            <w:tabs>
              <w:tab w:val="right" w:leader="dot" w:pos="9771"/>
            </w:tabs>
            <w:rPr>
              <w:rFonts w:asciiTheme="minorHAnsi" w:eastAsiaTheme="minorEastAsia" w:hAnsiTheme="minorHAnsi"/>
              <w:noProof/>
              <w:sz w:val="22"/>
              <w:lang w:eastAsia="lv-LV"/>
            </w:rPr>
          </w:pPr>
          <w:hyperlink w:anchor="_Toc500423590" w:history="1">
            <w:r w:rsidR="007B0B94" w:rsidRPr="00F2043D">
              <w:rPr>
                <w:rStyle w:val="Hyperlink"/>
                <w:noProof/>
              </w:rPr>
              <w:t>1.2. Ārvalstu ceļotāju (Latvijā) raksturojošie rādītāji</w:t>
            </w:r>
            <w:r w:rsidR="007B0B94">
              <w:rPr>
                <w:noProof/>
                <w:webHidden/>
              </w:rPr>
              <w:tab/>
            </w:r>
            <w:r w:rsidR="007B0B94">
              <w:rPr>
                <w:noProof/>
                <w:webHidden/>
              </w:rPr>
              <w:fldChar w:fldCharType="begin"/>
            </w:r>
            <w:r w:rsidR="007B0B94">
              <w:rPr>
                <w:noProof/>
                <w:webHidden/>
              </w:rPr>
              <w:instrText xml:space="preserve"> PAGEREF _Toc500423590 \h </w:instrText>
            </w:r>
            <w:r w:rsidR="007B0B94">
              <w:rPr>
                <w:noProof/>
                <w:webHidden/>
              </w:rPr>
            </w:r>
            <w:r w:rsidR="007B0B94">
              <w:rPr>
                <w:noProof/>
                <w:webHidden/>
              </w:rPr>
              <w:fldChar w:fldCharType="separate"/>
            </w:r>
            <w:r w:rsidR="007B0B94">
              <w:rPr>
                <w:noProof/>
                <w:webHidden/>
              </w:rPr>
              <w:t>8</w:t>
            </w:r>
            <w:r w:rsidR="007B0B94">
              <w:rPr>
                <w:noProof/>
                <w:webHidden/>
              </w:rPr>
              <w:fldChar w:fldCharType="end"/>
            </w:r>
          </w:hyperlink>
        </w:p>
        <w:p w14:paraId="3E446CCD" w14:textId="015844F2" w:rsidR="007B0B94" w:rsidRDefault="00A92927">
          <w:pPr>
            <w:pStyle w:val="TOC2"/>
            <w:tabs>
              <w:tab w:val="right" w:leader="dot" w:pos="9771"/>
            </w:tabs>
            <w:rPr>
              <w:rFonts w:asciiTheme="minorHAnsi" w:eastAsiaTheme="minorEastAsia" w:hAnsiTheme="minorHAnsi"/>
              <w:noProof/>
              <w:sz w:val="22"/>
              <w:lang w:eastAsia="lv-LV"/>
            </w:rPr>
          </w:pPr>
          <w:hyperlink w:anchor="_Toc500423591" w:history="1">
            <w:r w:rsidR="007B0B94" w:rsidRPr="00F2043D">
              <w:rPr>
                <w:rStyle w:val="Hyperlink"/>
                <w:noProof/>
              </w:rPr>
              <w:t>1.3. Latvijas tūrisma konkurētspēja Baltijas valstīs</w:t>
            </w:r>
            <w:r w:rsidR="007B0B94">
              <w:rPr>
                <w:noProof/>
                <w:webHidden/>
              </w:rPr>
              <w:tab/>
            </w:r>
            <w:r w:rsidR="007B0B94">
              <w:rPr>
                <w:noProof/>
                <w:webHidden/>
              </w:rPr>
              <w:fldChar w:fldCharType="begin"/>
            </w:r>
            <w:r w:rsidR="007B0B94">
              <w:rPr>
                <w:noProof/>
                <w:webHidden/>
              </w:rPr>
              <w:instrText xml:space="preserve"> PAGEREF _Toc500423591 \h </w:instrText>
            </w:r>
            <w:r w:rsidR="007B0B94">
              <w:rPr>
                <w:noProof/>
                <w:webHidden/>
              </w:rPr>
            </w:r>
            <w:r w:rsidR="007B0B94">
              <w:rPr>
                <w:noProof/>
                <w:webHidden/>
              </w:rPr>
              <w:fldChar w:fldCharType="separate"/>
            </w:r>
            <w:r w:rsidR="007B0B94">
              <w:rPr>
                <w:noProof/>
                <w:webHidden/>
              </w:rPr>
              <w:t>9</w:t>
            </w:r>
            <w:r w:rsidR="007B0B94">
              <w:rPr>
                <w:noProof/>
                <w:webHidden/>
              </w:rPr>
              <w:fldChar w:fldCharType="end"/>
            </w:r>
          </w:hyperlink>
        </w:p>
        <w:p w14:paraId="620EC34C" w14:textId="6E19FC4B" w:rsidR="007B0B94" w:rsidRDefault="00A92927">
          <w:pPr>
            <w:pStyle w:val="TOC1"/>
            <w:tabs>
              <w:tab w:val="right" w:leader="dot" w:pos="9771"/>
            </w:tabs>
            <w:rPr>
              <w:rFonts w:asciiTheme="minorHAnsi" w:eastAsiaTheme="minorEastAsia" w:hAnsiTheme="minorHAnsi"/>
              <w:noProof/>
              <w:sz w:val="22"/>
              <w:lang w:eastAsia="lv-LV"/>
            </w:rPr>
          </w:pPr>
          <w:hyperlink w:anchor="_Toc500423592" w:history="1">
            <w:r w:rsidR="007B0B94" w:rsidRPr="00F2043D">
              <w:rPr>
                <w:rStyle w:val="Hyperlink"/>
                <w:noProof/>
              </w:rPr>
              <w:t>2. Pamatnostādnēs noteikto rezultatīvo rādītāju izpildes novērtējums</w:t>
            </w:r>
            <w:r w:rsidR="007B0B94">
              <w:rPr>
                <w:noProof/>
                <w:webHidden/>
              </w:rPr>
              <w:tab/>
            </w:r>
            <w:r w:rsidR="007B0B94">
              <w:rPr>
                <w:noProof/>
                <w:webHidden/>
              </w:rPr>
              <w:fldChar w:fldCharType="begin"/>
            </w:r>
            <w:r w:rsidR="007B0B94">
              <w:rPr>
                <w:noProof/>
                <w:webHidden/>
              </w:rPr>
              <w:instrText xml:space="preserve"> PAGEREF _Toc500423592 \h </w:instrText>
            </w:r>
            <w:r w:rsidR="007B0B94">
              <w:rPr>
                <w:noProof/>
                <w:webHidden/>
              </w:rPr>
            </w:r>
            <w:r w:rsidR="007B0B94">
              <w:rPr>
                <w:noProof/>
                <w:webHidden/>
              </w:rPr>
              <w:fldChar w:fldCharType="separate"/>
            </w:r>
            <w:r w:rsidR="007B0B94">
              <w:rPr>
                <w:noProof/>
                <w:webHidden/>
              </w:rPr>
              <w:t>11</w:t>
            </w:r>
            <w:r w:rsidR="007B0B94">
              <w:rPr>
                <w:noProof/>
                <w:webHidden/>
              </w:rPr>
              <w:fldChar w:fldCharType="end"/>
            </w:r>
          </w:hyperlink>
        </w:p>
        <w:p w14:paraId="6B6717BE" w14:textId="61DEA5B8" w:rsidR="007B0B94" w:rsidRDefault="00A92927">
          <w:pPr>
            <w:pStyle w:val="TOC2"/>
            <w:tabs>
              <w:tab w:val="right" w:leader="dot" w:pos="9771"/>
            </w:tabs>
            <w:rPr>
              <w:rFonts w:asciiTheme="minorHAnsi" w:eastAsiaTheme="minorEastAsia" w:hAnsiTheme="minorHAnsi"/>
              <w:noProof/>
              <w:sz w:val="22"/>
              <w:lang w:eastAsia="lv-LV"/>
            </w:rPr>
          </w:pPr>
          <w:hyperlink w:anchor="_Toc500423593" w:history="1">
            <w:r w:rsidR="007B0B94" w:rsidRPr="00F2043D">
              <w:rPr>
                <w:rStyle w:val="Hyperlink"/>
                <w:rFonts w:eastAsia="Times New Roman" w:cs="Times New Roman"/>
                <w:noProof/>
                <w:lang w:val="x-none" w:eastAsia="x-none"/>
              </w:rPr>
              <w:t>2.1. Ārvalstu vairākdienu ceļotāju skaita pieaugums</w:t>
            </w:r>
            <w:r w:rsidR="007B0B94">
              <w:rPr>
                <w:noProof/>
                <w:webHidden/>
              </w:rPr>
              <w:tab/>
            </w:r>
            <w:r w:rsidR="007B0B94">
              <w:rPr>
                <w:noProof/>
                <w:webHidden/>
              </w:rPr>
              <w:fldChar w:fldCharType="begin"/>
            </w:r>
            <w:r w:rsidR="007B0B94">
              <w:rPr>
                <w:noProof/>
                <w:webHidden/>
              </w:rPr>
              <w:instrText xml:space="preserve"> PAGEREF _Toc500423593 \h </w:instrText>
            </w:r>
            <w:r w:rsidR="007B0B94">
              <w:rPr>
                <w:noProof/>
                <w:webHidden/>
              </w:rPr>
            </w:r>
            <w:r w:rsidR="007B0B94">
              <w:rPr>
                <w:noProof/>
                <w:webHidden/>
              </w:rPr>
              <w:fldChar w:fldCharType="separate"/>
            </w:r>
            <w:r w:rsidR="007B0B94">
              <w:rPr>
                <w:noProof/>
                <w:webHidden/>
              </w:rPr>
              <w:t>11</w:t>
            </w:r>
            <w:r w:rsidR="007B0B94">
              <w:rPr>
                <w:noProof/>
                <w:webHidden/>
              </w:rPr>
              <w:fldChar w:fldCharType="end"/>
            </w:r>
          </w:hyperlink>
        </w:p>
        <w:p w14:paraId="6D06CBC2" w14:textId="6175B6EB" w:rsidR="007B0B94" w:rsidRDefault="00A92927">
          <w:pPr>
            <w:pStyle w:val="TOC2"/>
            <w:tabs>
              <w:tab w:val="right" w:leader="dot" w:pos="9771"/>
            </w:tabs>
            <w:rPr>
              <w:rFonts w:asciiTheme="minorHAnsi" w:eastAsiaTheme="minorEastAsia" w:hAnsiTheme="minorHAnsi"/>
              <w:noProof/>
              <w:sz w:val="22"/>
              <w:lang w:eastAsia="lv-LV"/>
            </w:rPr>
          </w:pPr>
          <w:hyperlink w:anchor="_Toc500423594" w:history="1">
            <w:r w:rsidR="007B0B94" w:rsidRPr="00F2043D">
              <w:rPr>
                <w:rStyle w:val="Hyperlink"/>
                <w:rFonts w:eastAsia="Times New Roman" w:cs="Times New Roman"/>
                <w:noProof/>
                <w:lang w:val="x-none" w:eastAsia="x-none"/>
              </w:rPr>
              <w:t>2.2. Vidējās noslodzes (gultas vietu noslogojums) palielināšanās izmitināšanas mītnēs ārpus noslogotākās vasaras sezonas (izņemot jūn.-aug.)</w:t>
            </w:r>
            <w:r w:rsidR="007B0B94">
              <w:rPr>
                <w:noProof/>
                <w:webHidden/>
              </w:rPr>
              <w:tab/>
            </w:r>
            <w:r w:rsidR="007B0B94">
              <w:rPr>
                <w:noProof/>
                <w:webHidden/>
              </w:rPr>
              <w:fldChar w:fldCharType="begin"/>
            </w:r>
            <w:r w:rsidR="007B0B94">
              <w:rPr>
                <w:noProof/>
                <w:webHidden/>
              </w:rPr>
              <w:instrText xml:space="preserve"> PAGEREF _Toc500423594 \h </w:instrText>
            </w:r>
            <w:r w:rsidR="007B0B94">
              <w:rPr>
                <w:noProof/>
                <w:webHidden/>
              </w:rPr>
            </w:r>
            <w:r w:rsidR="007B0B94">
              <w:rPr>
                <w:noProof/>
                <w:webHidden/>
              </w:rPr>
              <w:fldChar w:fldCharType="separate"/>
            </w:r>
            <w:r w:rsidR="007B0B94">
              <w:rPr>
                <w:noProof/>
                <w:webHidden/>
              </w:rPr>
              <w:t>13</w:t>
            </w:r>
            <w:r w:rsidR="007B0B94">
              <w:rPr>
                <w:noProof/>
                <w:webHidden/>
              </w:rPr>
              <w:fldChar w:fldCharType="end"/>
            </w:r>
          </w:hyperlink>
        </w:p>
        <w:p w14:paraId="38C3B582" w14:textId="1AFDFB20" w:rsidR="007B0B94" w:rsidRDefault="00A92927">
          <w:pPr>
            <w:pStyle w:val="TOC2"/>
            <w:tabs>
              <w:tab w:val="right" w:leader="dot" w:pos="9771"/>
            </w:tabs>
            <w:rPr>
              <w:rFonts w:asciiTheme="minorHAnsi" w:eastAsiaTheme="minorEastAsia" w:hAnsiTheme="minorHAnsi"/>
              <w:noProof/>
              <w:sz w:val="22"/>
              <w:lang w:eastAsia="lv-LV"/>
            </w:rPr>
          </w:pPr>
          <w:hyperlink w:anchor="_Toc500423595" w:history="1">
            <w:r w:rsidR="007B0B94" w:rsidRPr="00F2043D">
              <w:rPr>
                <w:rStyle w:val="Hyperlink"/>
                <w:noProof/>
              </w:rPr>
              <w:t>2.3. Viena ārvalstu vairākdienu ceļotāja vidējo izdevumu diennaktī pieaugums.</w:t>
            </w:r>
            <w:r w:rsidR="007B0B94">
              <w:rPr>
                <w:noProof/>
                <w:webHidden/>
              </w:rPr>
              <w:tab/>
            </w:r>
            <w:r w:rsidR="007B0B94">
              <w:rPr>
                <w:noProof/>
                <w:webHidden/>
              </w:rPr>
              <w:fldChar w:fldCharType="begin"/>
            </w:r>
            <w:r w:rsidR="007B0B94">
              <w:rPr>
                <w:noProof/>
                <w:webHidden/>
              </w:rPr>
              <w:instrText xml:space="preserve"> PAGEREF _Toc500423595 \h </w:instrText>
            </w:r>
            <w:r w:rsidR="007B0B94">
              <w:rPr>
                <w:noProof/>
                <w:webHidden/>
              </w:rPr>
            </w:r>
            <w:r w:rsidR="007B0B94">
              <w:rPr>
                <w:noProof/>
                <w:webHidden/>
              </w:rPr>
              <w:fldChar w:fldCharType="separate"/>
            </w:r>
            <w:r w:rsidR="007B0B94">
              <w:rPr>
                <w:noProof/>
                <w:webHidden/>
              </w:rPr>
              <w:t>15</w:t>
            </w:r>
            <w:r w:rsidR="007B0B94">
              <w:rPr>
                <w:noProof/>
                <w:webHidden/>
              </w:rPr>
              <w:fldChar w:fldCharType="end"/>
            </w:r>
          </w:hyperlink>
        </w:p>
        <w:p w14:paraId="47170296" w14:textId="6B5B0794" w:rsidR="007B0B94" w:rsidRDefault="00A92927">
          <w:pPr>
            <w:pStyle w:val="TOC2"/>
            <w:tabs>
              <w:tab w:val="right" w:leader="dot" w:pos="9771"/>
            </w:tabs>
            <w:rPr>
              <w:rFonts w:asciiTheme="minorHAnsi" w:eastAsiaTheme="minorEastAsia" w:hAnsiTheme="minorHAnsi"/>
              <w:noProof/>
              <w:sz w:val="22"/>
              <w:lang w:eastAsia="lv-LV"/>
            </w:rPr>
          </w:pPr>
          <w:hyperlink w:anchor="_Toc500423596" w:history="1">
            <w:r w:rsidR="007B0B94" w:rsidRPr="00F2043D">
              <w:rPr>
                <w:rStyle w:val="Hyperlink"/>
                <w:noProof/>
              </w:rPr>
              <w:t>2.4. Ārvalstu vairākdienu ceļotāju kopējo izdevumu gadā pieaugums.</w:t>
            </w:r>
            <w:r w:rsidR="007B0B94">
              <w:rPr>
                <w:noProof/>
                <w:webHidden/>
              </w:rPr>
              <w:tab/>
            </w:r>
            <w:r w:rsidR="007B0B94">
              <w:rPr>
                <w:noProof/>
                <w:webHidden/>
              </w:rPr>
              <w:fldChar w:fldCharType="begin"/>
            </w:r>
            <w:r w:rsidR="007B0B94">
              <w:rPr>
                <w:noProof/>
                <w:webHidden/>
              </w:rPr>
              <w:instrText xml:space="preserve"> PAGEREF _Toc500423596 \h </w:instrText>
            </w:r>
            <w:r w:rsidR="007B0B94">
              <w:rPr>
                <w:noProof/>
                <w:webHidden/>
              </w:rPr>
            </w:r>
            <w:r w:rsidR="007B0B94">
              <w:rPr>
                <w:noProof/>
                <w:webHidden/>
              </w:rPr>
              <w:fldChar w:fldCharType="separate"/>
            </w:r>
            <w:r w:rsidR="007B0B94">
              <w:rPr>
                <w:noProof/>
                <w:webHidden/>
              </w:rPr>
              <w:t>17</w:t>
            </w:r>
            <w:r w:rsidR="007B0B94">
              <w:rPr>
                <w:noProof/>
                <w:webHidden/>
              </w:rPr>
              <w:fldChar w:fldCharType="end"/>
            </w:r>
          </w:hyperlink>
        </w:p>
        <w:p w14:paraId="58CAFD79" w14:textId="591C850C" w:rsidR="007B0B94" w:rsidRDefault="00A92927">
          <w:pPr>
            <w:pStyle w:val="TOC1"/>
            <w:tabs>
              <w:tab w:val="right" w:leader="dot" w:pos="9771"/>
            </w:tabs>
            <w:rPr>
              <w:rFonts w:asciiTheme="minorHAnsi" w:eastAsiaTheme="minorEastAsia" w:hAnsiTheme="minorHAnsi"/>
              <w:noProof/>
              <w:sz w:val="22"/>
              <w:lang w:eastAsia="lv-LV"/>
            </w:rPr>
          </w:pPr>
          <w:hyperlink w:anchor="_Toc500423597" w:history="1">
            <w:r w:rsidR="007B0B94" w:rsidRPr="00F2043D">
              <w:rPr>
                <w:rStyle w:val="Hyperlink"/>
                <w:noProof/>
              </w:rPr>
              <w:t>3. Rezultatīvo rādītāju prognozes Pamatnostādņu periodam (2018.-2020.gads)</w:t>
            </w:r>
            <w:r w:rsidR="007B0B94">
              <w:rPr>
                <w:noProof/>
                <w:webHidden/>
              </w:rPr>
              <w:tab/>
            </w:r>
            <w:r w:rsidR="007B0B94">
              <w:rPr>
                <w:noProof/>
                <w:webHidden/>
              </w:rPr>
              <w:fldChar w:fldCharType="begin"/>
            </w:r>
            <w:r w:rsidR="007B0B94">
              <w:rPr>
                <w:noProof/>
                <w:webHidden/>
              </w:rPr>
              <w:instrText xml:space="preserve"> PAGEREF _Toc500423597 \h </w:instrText>
            </w:r>
            <w:r w:rsidR="007B0B94">
              <w:rPr>
                <w:noProof/>
                <w:webHidden/>
              </w:rPr>
            </w:r>
            <w:r w:rsidR="007B0B94">
              <w:rPr>
                <w:noProof/>
                <w:webHidden/>
              </w:rPr>
              <w:fldChar w:fldCharType="separate"/>
            </w:r>
            <w:r w:rsidR="007B0B94">
              <w:rPr>
                <w:noProof/>
                <w:webHidden/>
              </w:rPr>
              <w:t>19</w:t>
            </w:r>
            <w:r w:rsidR="007B0B94">
              <w:rPr>
                <w:noProof/>
                <w:webHidden/>
              </w:rPr>
              <w:fldChar w:fldCharType="end"/>
            </w:r>
          </w:hyperlink>
        </w:p>
        <w:p w14:paraId="7E6AE1A5" w14:textId="394E3E63" w:rsidR="007B0B94" w:rsidRDefault="00A92927">
          <w:pPr>
            <w:pStyle w:val="TOC2"/>
            <w:tabs>
              <w:tab w:val="right" w:leader="dot" w:pos="9771"/>
            </w:tabs>
            <w:rPr>
              <w:rFonts w:asciiTheme="minorHAnsi" w:eastAsiaTheme="minorEastAsia" w:hAnsiTheme="minorHAnsi"/>
              <w:noProof/>
              <w:sz w:val="22"/>
              <w:lang w:eastAsia="lv-LV"/>
            </w:rPr>
          </w:pPr>
          <w:hyperlink w:anchor="_Toc500423598" w:history="1">
            <w:r w:rsidR="007B0B94" w:rsidRPr="00F2043D">
              <w:rPr>
                <w:rStyle w:val="Hyperlink"/>
                <w:noProof/>
              </w:rPr>
              <w:t>3.1. Tūrisma kā tautsaimniecības sektora attīstības prognozes</w:t>
            </w:r>
            <w:r w:rsidR="007B0B94">
              <w:rPr>
                <w:noProof/>
                <w:webHidden/>
              </w:rPr>
              <w:tab/>
            </w:r>
            <w:r w:rsidR="007B0B94">
              <w:rPr>
                <w:noProof/>
                <w:webHidden/>
              </w:rPr>
              <w:fldChar w:fldCharType="begin"/>
            </w:r>
            <w:r w:rsidR="007B0B94">
              <w:rPr>
                <w:noProof/>
                <w:webHidden/>
              </w:rPr>
              <w:instrText xml:space="preserve"> PAGEREF _Toc500423598 \h </w:instrText>
            </w:r>
            <w:r w:rsidR="007B0B94">
              <w:rPr>
                <w:noProof/>
                <w:webHidden/>
              </w:rPr>
            </w:r>
            <w:r w:rsidR="007B0B94">
              <w:rPr>
                <w:noProof/>
                <w:webHidden/>
              </w:rPr>
              <w:fldChar w:fldCharType="separate"/>
            </w:r>
            <w:r w:rsidR="007B0B94">
              <w:rPr>
                <w:noProof/>
                <w:webHidden/>
              </w:rPr>
              <w:t>19</w:t>
            </w:r>
            <w:r w:rsidR="007B0B94">
              <w:rPr>
                <w:noProof/>
                <w:webHidden/>
              </w:rPr>
              <w:fldChar w:fldCharType="end"/>
            </w:r>
          </w:hyperlink>
        </w:p>
        <w:p w14:paraId="655F7D36" w14:textId="7058D4D6" w:rsidR="007B0B94" w:rsidRDefault="00A92927">
          <w:pPr>
            <w:pStyle w:val="TOC2"/>
            <w:tabs>
              <w:tab w:val="right" w:leader="dot" w:pos="9771"/>
            </w:tabs>
            <w:rPr>
              <w:rFonts w:asciiTheme="minorHAnsi" w:eastAsiaTheme="minorEastAsia" w:hAnsiTheme="minorHAnsi"/>
              <w:noProof/>
              <w:sz w:val="22"/>
              <w:lang w:eastAsia="lv-LV"/>
            </w:rPr>
          </w:pPr>
          <w:hyperlink w:anchor="_Toc500423599" w:history="1">
            <w:r w:rsidR="007B0B94" w:rsidRPr="00F2043D">
              <w:rPr>
                <w:rStyle w:val="Hyperlink"/>
                <w:noProof/>
              </w:rPr>
              <w:t>3.2. Prognozētie rezultatīvie rādītāji un to skaitliskās vērtības</w:t>
            </w:r>
            <w:r w:rsidR="007B0B94">
              <w:rPr>
                <w:noProof/>
                <w:webHidden/>
              </w:rPr>
              <w:tab/>
            </w:r>
            <w:r w:rsidR="007B0B94">
              <w:rPr>
                <w:noProof/>
                <w:webHidden/>
              </w:rPr>
              <w:fldChar w:fldCharType="begin"/>
            </w:r>
            <w:r w:rsidR="007B0B94">
              <w:rPr>
                <w:noProof/>
                <w:webHidden/>
              </w:rPr>
              <w:instrText xml:space="preserve"> PAGEREF _Toc500423599 \h </w:instrText>
            </w:r>
            <w:r w:rsidR="007B0B94">
              <w:rPr>
                <w:noProof/>
                <w:webHidden/>
              </w:rPr>
            </w:r>
            <w:r w:rsidR="007B0B94">
              <w:rPr>
                <w:noProof/>
                <w:webHidden/>
              </w:rPr>
              <w:fldChar w:fldCharType="separate"/>
            </w:r>
            <w:r w:rsidR="007B0B94">
              <w:rPr>
                <w:noProof/>
                <w:webHidden/>
              </w:rPr>
              <w:t>20</w:t>
            </w:r>
            <w:r w:rsidR="007B0B94">
              <w:rPr>
                <w:noProof/>
                <w:webHidden/>
              </w:rPr>
              <w:fldChar w:fldCharType="end"/>
            </w:r>
          </w:hyperlink>
        </w:p>
        <w:p w14:paraId="1B536DA4" w14:textId="02CBCB4E" w:rsidR="007B0B94" w:rsidRDefault="00A92927">
          <w:pPr>
            <w:pStyle w:val="TOC1"/>
            <w:tabs>
              <w:tab w:val="right" w:leader="dot" w:pos="9771"/>
            </w:tabs>
            <w:rPr>
              <w:rFonts w:asciiTheme="minorHAnsi" w:eastAsiaTheme="minorEastAsia" w:hAnsiTheme="minorHAnsi"/>
              <w:noProof/>
              <w:sz w:val="22"/>
              <w:lang w:eastAsia="lv-LV"/>
            </w:rPr>
          </w:pPr>
          <w:hyperlink w:anchor="_Toc500423600" w:history="1">
            <w:r w:rsidR="007B0B94" w:rsidRPr="00F2043D">
              <w:rPr>
                <w:rStyle w:val="Hyperlink"/>
                <w:noProof/>
              </w:rPr>
              <w:t>4. Pamatnostādņu īstenošanā ieguldīto resursu un to izlietojuma efektivitātes novērtējums</w:t>
            </w:r>
            <w:r w:rsidR="007B0B94">
              <w:rPr>
                <w:noProof/>
                <w:webHidden/>
              </w:rPr>
              <w:tab/>
            </w:r>
            <w:r w:rsidR="007B0B94">
              <w:rPr>
                <w:noProof/>
                <w:webHidden/>
              </w:rPr>
              <w:fldChar w:fldCharType="begin"/>
            </w:r>
            <w:r w:rsidR="007B0B94">
              <w:rPr>
                <w:noProof/>
                <w:webHidden/>
              </w:rPr>
              <w:instrText xml:space="preserve"> PAGEREF _Toc500423600 \h </w:instrText>
            </w:r>
            <w:r w:rsidR="007B0B94">
              <w:rPr>
                <w:noProof/>
                <w:webHidden/>
              </w:rPr>
            </w:r>
            <w:r w:rsidR="007B0B94">
              <w:rPr>
                <w:noProof/>
                <w:webHidden/>
              </w:rPr>
              <w:fldChar w:fldCharType="separate"/>
            </w:r>
            <w:r w:rsidR="007B0B94">
              <w:rPr>
                <w:noProof/>
                <w:webHidden/>
              </w:rPr>
              <w:t>21</w:t>
            </w:r>
            <w:r w:rsidR="007B0B94">
              <w:rPr>
                <w:noProof/>
                <w:webHidden/>
              </w:rPr>
              <w:fldChar w:fldCharType="end"/>
            </w:r>
          </w:hyperlink>
        </w:p>
        <w:p w14:paraId="6AA1EB11" w14:textId="31C3DA8E" w:rsidR="007B0B94" w:rsidRDefault="00A92927">
          <w:pPr>
            <w:pStyle w:val="TOC1"/>
            <w:tabs>
              <w:tab w:val="right" w:leader="dot" w:pos="9771"/>
            </w:tabs>
            <w:rPr>
              <w:rFonts w:asciiTheme="minorHAnsi" w:eastAsiaTheme="minorEastAsia" w:hAnsiTheme="minorHAnsi"/>
              <w:noProof/>
              <w:sz w:val="22"/>
              <w:lang w:eastAsia="lv-LV"/>
            </w:rPr>
          </w:pPr>
          <w:hyperlink w:anchor="_Toc500423601" w:history="1">
            <w:r w:rsidR="007B0B94" w:rsidRPr="00F2043D">
              <w:rPr>
                <w:rStyle w:val="Hyperlink"/>
                <w:noProof/>
              </w:rPr>
              <w:t>5. Turpmākie rīcības virzieni Latvijas tūrisma attīstības veicināšanai</w:t>
            </w:r>
            <w:r w:rsidR="007B0B94">
              <w:rPr>
                <w:noProof/>
                <w:webHidden/>
              </w:rPr>
              <w:tab/>
            </w:r>
            <w:r w:rsidR="007B0B94">
              <w:rPr>
                <w:noProof/>
                <w:webHidden/>
              </w:rPr>
              <w:fldChar w:fldCharType="begin"/>
            </w:r>
            <w:r w:rsidR="007B0B94">
              <w:rPr>
                <w:noProof/>
                <w:webHidden/>
              </w:rPr>
              <w:instrText xml:space="preserve"> PAGEREF _Toc500423601 \h </w:instrText>
            </w:r>
            <w:r w:rsidR="007B0B94">
              <w:rPr>
                <w:noProof/>
                <w:webHidden/>
              </w:rPr>
            </w:r>
            <w:r w:rsidR="007B0B94">
              <w:rPr>
                <w:noProof/>
                <w:webHidden/>
              </w:rPr>
              <w:fldChar w:fldCharType="separate"/>
            </w:r>
            <w:r w:rsidR="007B0B94">
              <w:rPr>
                <w:noProof/>
                <w:webHidden/>
              </w:rPr>
              <w:t>24</w:t>
            </w:r>
            <w:r w:rsidR="007B0B94">
              <w:rPr>
                <w:noProof/>
                <w:webHidden/>
              </w:rPr>
              <w:fldChar w:fldCharType="end"/>
            </w:r>
          </w:hyperlink>
        </w:p>
        <w:p w14:paraId="71AE77D7" w14:textId="2199942B" w:rsidR="00DE0F41" w:rsidRDefault="00DE0F41">
          <w:r>
            <w:rPr>
              <w:b/>
              <w:bCs/>
              <w:noProof/>
            </w:rPr>
            <w:fldChar w:fldCharType="end"/>
          </w:r>
        </w:p>
      </w:sdtContent>
    </w:sdt>
    <w:p w14:paraId="4D3866CB" w14:textId="77777777" w:rsidR="00FC287C" w:rsidRPr="009F6E8E" w:rsidRDefault="00FC287C" w:rsidP="00FC287C">
      <w:pPr>
        <w:jc w:val="center"/>
        <w:rPr>
          <w:szCs w:val="32"/>
        </w:rPr>
      </w:pPr>
    </w:p>
    <w:p w14:paraId="07CC64F9" w14:textId="77777777" w:rsidR="00FC287C" w:rsidRPr="00916055" w:rsidRDefault="00FC287C" w:rsidP="00FC287C">
      <w:pPr>
        <w:pStyle w:val="Heading1"/>
        <w:tabs>
          <w:tab w:val="right" w:leader="dot" w:pos="8789"/>
          <w:tab w:val="right" w:leader="dot" w:pos="9072"/>
          <w:tab w:val="right" w:leader="dot" w:pos="9356"/>
        </w:tabs>
        <w:spacing w:before="120" w:after="120"/>
        <w:ind w:left="1134"/>
        <w:rPr>
          <w:b w:val="0"/>
          <w:sz w:val="36"/>
        </w:rPr>
      </w:pPr>
      <w:r w:rsidRPr="00916055">
        <w:rPr>
          <w:b w:val="0"/>
          <w:sz w:val="36"/>
        </w:rPr>
        <w:br w:type="page"/>
      </w:r>
    </w:p>
    <w:p w14:paraId="09B1E249" w14:textId="7173FE0F" w:rsidR="00FC287C" w:rsidRPr="00BF3DC4" w:rsidRDefault="00FC287C" w:rsidP="00BF3DC4">
      <w:pPr>
        <w:pStyle w:val="Heading1"/>
        <w:shd w:val="clear" w:color="auto" w:fill="1DA0A7"/>
        <w:rPr>
          <w:color w:val="FFFFFF" w:themeColor="background1"/>
          <w:sz w:val="28"/>
        </w:rPr>
      </w:pPr>
      <w:bookmarkStart w:id="0" w:name="_Toc462739793"/>
      <w:bookmarkStart w:id="1" w:name="_Toc500423586"/>
      <w:r w:rsidRPr="00360F54">
        <w:rPr>
          <w:color w:val="FFFFFF" w:themeColor="background1"/>
          <w:sz w:val="28"/>
        </w:rPr>
        <w:lastRenderedPageBreak/>
        <w:t>Kopsavilkums</w:t>
      </w:r>
      <w:bookmarkEnd w:id="0"/>
      <w:bookmarkEnd w:id="1"/>
    </w:p>
    <w:p w14:paraId="0B140E93" w14:textId="77777777" w:rsidR="00BF3DC4" w:rsidRDefault="00BF3DC4" w:rsidP="00BF3DC4">
      <w:pPr>
        <w:ind w:firstLine="426"/>
        <w:jc w:val="both"/>
        <w:rPr>
          <w:rFonts w:cs="Times New Roman"/>
          <w:sz w:val="24"/>
          <w:szCs w:val="24"/>
        </w:rPr>
      </w:pPr>
    </w:p>
    <w:p w14:paraId="5C75F9FB" w14:textId="21C19C06" w:rsidR="00BF3DC4" w:rsidRDefault="00BF3DC4" w:rsidP="00BF3DC4">
      <w:pPr>
        <w:ind w:firstLine="426"/>
        <w:jc w:val="both"/>
        <w:rPr>
          <w:rFonts w:cs="Times New Roman"/>
          <w:sz w:val="24"/>
          <w:szCs w:val="24"/>
        </w:rPr>
      </w:pPr>
      <w:r>
        <w:rPr>
          <w:rFonts w:cs="Times New Roman"/>
          <w:sz w:val="24"/>
          <w:szCs w:val="24"/>
        </w:rPr>
        <w:t>Informatīvajā ziņojumā “</w:t>
      </w:r>
      <w:r w:rsidRPr="00B862D6">
        <w:rPr>
          <w:rFonts w:cs="Times New Roman"/>
          <w:sz w:val="24"/>
          <w:szCs w:val="24"/>
        </w:rPr>
        <w:t>Par Latvijas tūrisma attīstības pamatnostādņu 2014.-2020.gadam īstenošanas 2014. – 2016.gadā starpposma novērtējumu</w:t>
      </w:r>
      <w:r>
        <w:rPr>
          <w:rFonts w:cs="Times New Roman"/>
          <w:sz w:val="24"/>
          <w:szCs w:val="24"/>
        </w:rPr>
        <w:t xml:space="preserve">” </w:t>
      </w:r>
      <w:r w:rsidR="007B19F1">
        <w:rPr>
          <w:rFonts w:cs="Times New Roman"/>
          <w:sz w:val="24"/>
          <w:szCs w:val="24"/>
        </w:rPr>
        <w:t>aktualizēta informācija par</w:t>
      </w:r>
      <w:r w:rsidRPr="003D6EAB">
        <w:rPr>
          <w:rFonts w:cs="Times New Roman"/>
          <w:sz w:val="24"/>
          <w:szCs w:val="24"/>
        </w:rPr>
        <w:t xml:space="preserve"> iesaistīto pušu veicam</w:t>
      </w:r>
      <w:r w:rsidR="007B19F1">
        <w:rPr>
          <w:rFonts w:cs="Times New Roman"/>
          <w:sz w:val="24"/>
          <w:szCs w:val="24"/>
        </w:rPr>
        <w:t>o</w:t>
      </w:r>
      <w:r w:rsidRPr="003D6EAB">
        <w:rPr>
          <w:rFonts w:cs="Times New Roman"/>
          <w:sz w:val="24"/>
          <w:szCs w:val="24"/>
        </w:rPr>
        <w:t xml:space="preserve"> uzdevum</w:t>
      </w:r>
      <w:r w:rsidR="007B19F1">
        <w:rPr>
          <w:rFonts w:cs="Times New Roman"/>
          <w:sz w:val="24"/>
          <w:szCs w:val="24"/>
        </w:rPr>
        <w:t>u izpildi</w:t>
      </w:r>
      <w:r w:rsidRPr="003D6EAB">
        <w:rPr>
          <w:rFonts w:cs="Times New Roman"/>
          <w:sz w:val="24"/>
          <w:szCs w:val="24"/>
        </w:rPr>
        <w:t xml:space="preserve"> izvirzīto mērķu sasniegšanai, kā arī </w:t>
      </w:r>
      <w:r w:rsidR="007B19F1">
        <w:rPr>
          <w:rFonts w:cs="Times New Roman"/>
          <w:sz w:val="24"/>
          <w:szCs w:val="24"/>
        </w:rPr>
        <w:t xml:space="preserve">ir </w:t>
      </w:r>
      <w:r w:rsidRPr="003D6EAB">
        <w:rPr>
          <w:rFonts w:cs="Times New Roman"/>
          <w:sz w:val="24"/>
          <w:szCs w:val="24"/>
        </w:rPr>
        <w:t>vērtēta nepieciešamība veikt korekcijas Pamatnostādnēs</w:t>
      </w:r>
      <w:r>
        <w:rPr>
          <w:rFonts w:cs="Times New Roman"/>
          <w:sz w:val="24"/>
          <w:szCs w:val="24"/>
        </w:rPr>
        <w:t xml:space="preserve"> noteikto rezultatīvo rādītāju </w:t>
      </w:r>
      <w:r w:rsidR="007B19F1">
        <w:rPr>
          <w:rFonts w:cs="Times New Roman"/>
          <w:sz w:val="24"/>
          <w:szCs w:val="24"/>
        </w:rPr>
        <w:t xml:space="preserve">un to prognožu </w:t>
      </w:r>
      <w:r>
        <w:rPr>
          <w:rFonts w:cs="Times New Roman"/>
          <w:sz w:val="24"/>
          <w:szCs w:val="24"/>
        </w:rPr>
        <w:t>apmēros.</w:t>
      </w:r>
      <w:r w:rsidRPr="003D6EAB">
        <w:rPr>
          <w:rFonts w:cs="Times New Roman"/>
          <w:sz w:val="24"/>
          <w:szCs w:val="24"/>
        </w:rPr>
        <w:t xml:space="preserve"> </w:t>
      </w:r>
      <w:r w:rsidRPr="00373625">
        <w:rPr>
          <w:rFonts w:cs="Times New Roman"/>
          <w:sz w:val="24"/>
          <w:szCs w:val="24"/>
        </w:rPr>
        <w:t>Tāpat informatīvajā ziņojumā vērtēta politikas plānošanas dokumenta īstenošanā ieguldīto resursu un to izlietojuma efektivitāte.</w:t>
      </w:r>
    </w:p>
    <w:p w14:paraId="3A395E8D" w14:textId="77777777" w:rsidR="00BF3DC4" w:rsidRDefault="00BF3DC4" w:rsidP="00BF3DC4">
      <w:pPr>
        <w:ind w:firstLine="426"/>
        <w:jc w:val="both"/>
        <w:rPr>
          <w:rFonts w:cs="Times New Roman"/>
          <w:sz w:val="24"/>
        </w:rPr>
      </w:pPr>
    </w:p>
    <w:p w14:paraId="3AB577AC" w14:textId="5DAC5C4A" w:rsidR="00BF3DC4" w:rsidRPr="00BF3DC4" w:rsidRDefault="00BF3DC4" w:rsidP="00BF3DC4">
      <w:pPr>
        <w:ind w:firstLine="426"/>
        <w:jc w:val="both"/>
        <w:rPr>
          <w:rFonts w:cs="Times New Roman"/>
          <w:sz w:val="24"/>
          <w:szCs w:val="24"/>
        </w:rPr>
      </w:pPr>
      <w:r w:rsidRPr="003D6EAB">
        <w:rPr>
          <w:rFonts w:cs="Times New Roman"/>
          <w:sz w:val="24"/>
        </w:rPr>
        <w:t xml:space="preserve">Tūrisma nozares pēdējo </w:t>
      </w:r>
      <w:r>
        <w:rPr>
          <w:rFonts w:cs="Times New Roman"/>
          <w:sz w:val="24"/>
        </w:rPr>
        <w:t xml:space="preserve">divu-trīs </w:t>
      </w:r>
      <w:r w:rsidRPr="003D6EAB">
        <w:rPr>
          <w:rFonts w:cs="Times New Roman"/>
          <w:sz w:val="24"/>
        </w:rPr>
        <w:t xml:space="preserve">gadu lielākais izaicinājums Latvijā bija nestabilā, </w:t>
      </w:r>
      <w:r>
        <w:rPr>
          <w:rFonts w:cs="Times New Roman"/>
          <w:sz w:val="24"/>
        </w:rPr>
        <w:t>ģeopolitiskā</w:t>
      </w:r>
      <w:r w:rsidRPr="003D6EAB">
        <w:rPr>
          <w:rFonts w:cs="Times New Roman"/>
          <w:sz w:val="24"/>
        </w:rPr>
        <w:t xml:space="preserve"> situācija</w:t>
      </w:r>
      <w:r>
        <w:rPr>
          <w:rFonts w:cs="Times New Roman"/>
          <w:sz w:val="24"/>
        </w:rPr>
        <w:t xml:space="preserve"> Krievijā</w:t>
      </w:r>
      <w:r w:rsidRPr="003D6EAB">
        <w:rPr>
          <w:rFonts w:cs="Times New Roman"/>
          <w:sz w:val="24"/>
        </w:rPr>
        <w:t xml:space="preserve">, kuras ietekmē, mazinoties starptautiskajai </w:t>
      </w:r>
      <w:r>
        <w:rPr>
          <w:rFonts w:cs="Times New Roman"/>
          <w:sz w:val="24"/>
        </w:rPr>
        <w:t>Krievijas tūristu plūsmai uz Latviju</w:t>
      </w:r>
      <w:r w:rsidRPr="003D6EAB">
        <w:rPr>
          <w:rFonts w:cs="Times New Roman"/>
          <w:sz w:val="24"/>
        </w:rPr>
        <w:t xml:space="preserve">, Latvijas tūrisma pakalpojumu eksports </w:t>
      </w:r>
      <w:r>
        <w:rPr>
          <w:rFonts w:cs="Times New Roman"/>
          <w:sz w:val="24"/>
        </w:rPr>
        <w:t>2016</w:t>
      </w:r>
      <w:r w:rsidRPr="003D6EAB">
        <w:rPr>
          <w:rFonts w:cs="Times New Roman"/>
          <w:sz w:val="24"/>
        </w:rPr>
        <w:t>.gadā pieredzēja lejupslīdi</w:t>
      </w:r>
      <w:r>
        <w:rPr>
          <w:rFonts w:cs="Times New Roman"/>
          <w:sz w:val="24"/>
        </w:rPr>
        <w:t xml:space="preserve"> par 2,6%. </w:t>
      </w:r>
      <w:r w:rsidRPr="003D6EAB">
        <w:rPr>
          <w:rFonts w:cs="Times New Roman"/>
          <w:sz w:val="24"/>
        </w:rPr>
        <w:t xml:space="preserve">Tomēr, neraugoties uz </w:t>
      </w:r>
      <w:r>
        <w:rPr>
          <w:rFonts w:cs="Times New Roman"/>
          <w:sz w:val="24"/>
        </w:rPr>
        <w:t xml:space="preserve">kaimiņvalsts </w:t>
      </w:r>
      <w:r w:rsidRPr="003D6EAB">
        <w:rPr>
          <w:rFonts w:cs="Times New Roman"/>
          <w:sz w:val="24"/>
        </w:rPr>
        <w:t xml:space="preserve">ekonomisko nestabilitāti, kas radīja negatīvo tendenci, šo gadu laikā tūrisms ir spējis </w:t>
      </w:r>
      <w:r>
        <w:rPr>
          <w:rFonts w:cs="Times New Roman"/>
          <w:sz w:val="24"/>
        </w:rPr>
        <w:t>saglabāt augsto</w:t>
      </w:r>
      <w:r w:rsidRPr="003D6EAB">
        <w:rPr>
          <w:rFonts w:cs="Times New Roman"/>
          <w:sz w:val="24"/>
        </w:rPr>
        <w:t xml:space="preserve"> pozīciju Latvijas pakalpojumu eksporta struktūrā, veidojot vidēji </w:t>
      </w:r>
      <w:r>
        <w:rPr>
          <w:rFonts w:cs="Times New Roman"/>
          <w:sz w:val="24"/>
        </w:rPr>
        <w:t>1</w:t>
      </w:r>
      <w:r w:rsidR="00A810F0">
        <w:rPr>
          <w:rFonts w:cs="Times New Roman"/>
          <w:sz w:val="24"/>
        </w:rPr>
        <w:t>8</w:t>
      </w:r>
      <w:r w:rsidRPr="003D6EAB">
        <w:rPr>
          <w:rFonts w:cs="Times New Roman"/>
          <w:sz w:val="24"/>
        </w:rPr>
        <w:t xml:space="preserve">% </w:t>
      </w:r>
      <w:r w:rsidRPr="006C6BED">
        <w:rPr>
          <w:rFonts w:cs="Times New Roman"/>
          <w:sz w:val="24"/>
        </w:rPr>
        <w:t>jeb 783 mlj.</w:t>
      </w:r>
      <w:r w:rsidR="001453AE">
        <w:rPr>
          <w:rFonts w:cs="Times New Roman"/>
          <w:sz w:val="24"/>
        </w:rPr>
        <w:t xml:space="preserve"> </w:t>
      </w:r>
      <w:r w:rsidRPr="006C6BED">
        <w:rPr>
          <w:rFonts w:cs="Times New Roman"/>
          <w:sz w:val="24"/>
        </w:rPr>
        <w:t xml:space="preserve">EUR </w:t>
      </w:r>
      <w:r w:rsidRPr="003D6EAB">
        <w:rPr>
          <w:rFonts w:cs="Times New Roman"/>
          <w:sz w:val="24"/>
        </w:rPr>
        <w:t>no kop</w:t>
      </w:r>
      <w:r>
        <w:rPr>
          <w:rFonts w:cs="Times New Roman"/>
          <w:sz w:val="24"/>
        </w:rPr>
        <w:t>ējā valsts pakalpojumu eksporta.</w:t>
      </w:r>
      <w:r w:rsidRPr="006C6BED">
        <w:rPr>
          <w:rFonts w:cs="Times New Roman"/>
          <w:sz w:val="24"/>
        </w:rPr>
        <w:t xml:space="preserve"> </w:t>
      </w:r>
    </w:p>
    <w:p w14:paraId="4584E1EB" w14:textId="0169C7FA" w:rsidR="00BF3DC4" w:rsidRPr="002601EE" w:rsidRDefault="00BF3DC4" w:rsidP="00D62462">
      <w:pPr>
        <w:ind w:firstLine="426"/>
        <w:jc w:val="both"/>
        <w:rPr>
          <w:rFonts w:cs="Times New Roman"/>
          <w:sz w:val="24"/>
        </w:rPr>
      </w:pPr>
      <w:r w:rsidRPr="00BF3DC4">
        <w:rPr>
          <w:rFonts w:cs="Times New Roman"/>
          <w:b/>
          <w:sz w:val="24"/>
        </w:rPr>
        <w:t>Analizējot tūrisma nozares attīstību</w:t>
      </w:r>
      <w:r>
        <w:rPr>
          <w:rFonts w:cs="Times New Roman"/>
          <w:sz w:val="24"/>
        </w:rPr>
        <w:t>, tiek secināts, ka t</w:t>
      </w:r>
      <w:r w:rsidRPr="00B1784E">
        <w:rPr>
          <w:rFonts w:cs="Times New Roman"/>
          <w:sz w:val="24"/>
        </w:rPr>
        <w:t>ūrisma daļas būtisko pieaugumu 2016.gada rādītājos ne tik daudz noteica tūrisma nozares pozitīvā dinamika, bet lielākā mērā ekonomikas kopīgo izaugsmes tempu samazinājums, t.i., pārējo tautsaimniecības nozaru sniegums. Pie tam 2016.gadā straujāk pieauga tieši iekšējais tūrisms.</w:t>
      </w:r>
      <w:r>
        <w:rPr>
          <w:rFonts w:cs="Times New Roman"/>
          <w:sz w:val="24"/>
        </w:rPr>
        <w:t xml:space="preserve"> Kā būtisku</w:t>
      </w:r>
      <w:r w:rsidR="00D62462">
        <w:rPr>
          <w:rFonts w:cs="Times New Roman"/>
          <w:sz w:val="24"/>
        </w:rPr>
        <w:t>s</w:t>
      </w:r>
      <w:r>
        <w:rPr>
          <w:rFonts w:cs="Times New Roman"/>
          <w:sz w:val="24"/>
        </w:rPr>
        <w:t xml:space="preserve"> izaicinājumu</w:t>
      </w:r>
      <w:r w:rsidR="00D62462">
        <w:rPr>
          <w:rFonts w:cs="Times New Roman"/>
          <w:sz w:val="24"/>
        </w:rPr>
        <w:t>s</w:t>
      </w:r>
      <w:r>
        <w:rPr>
          <w:rFonts w:cs="Times New Roman"/>
          <w:sz w:val="24"/>
        </w:rPr>
        <w:t xml:space="preserve"> nozarē var minēt viesnīcu vidējo cenu samazināšanos Baltijas valstu sīvās konkurences ietekmē, kas veicinājusi tūrista vidējā tēriņa samazināšanos Latvijā</w:t>
      </w:r>
      <w:r w:rsidR="00D62462">
        <w:rPr>
          <w:rFonts w:cs="Times New Roman"/>
          <w:sz w:val="24"/>
        </w:rPr>
        <w:t xml:space="preserve"> sadarbības ekonomikas </w:t>
      </w:r>
      <w:r>
        <w:rPr>
          <w:rFonts w:ascii="12" w:hAnsi="12"/>
          <w:sz w:val="24"/>
          <w:szCs w:val="24"/>
        </w:rPr>
        <w:t>attīstība un tās ietekme</w:t>
      </w:r>
      <w:r w:rsidR="00D62462">
        <w:rPr>
          <w:rFonts w:ascii="12" w:hAnsi="12"/>
          <w:sz w:val="24"/>
          <w:szCs w:val="24"/>
        </w:rPr>
        <w:t xml:space="preserve"> uz tradicionālajām naktsmītnēm, kas sev līdzi ved jaunu tūristu tipu – </w:t>
      </w:r>
      <w:r w:rsidR="00D62462" w:rsidRPr="00D62462">
        <w:rPr>
          <w:rFonts w:ascii="12" w:hAnsi="12"/>
          <w:i/>
          <w:sz w:val="24"/>
          <w:szCs w:val="24"/>
        </w:rPr>
        <w:t>Millenials</w:t>
      </w:r>
      <w:r w:rsidR="00D62462">
        <w:rPr>
          <w:rFonts w:ascii="12" w:hAnsi="12"/>
          <w:sz w:val="24"/>
          <w:szCs w:val="24"/>
        </w:rPr>
        <w:t xml:space="preserve">. </w:t>
      </w:r>
      <w:r>
        <w:rPr>
          <w:rFonts w:ascii="12" w:hAnsi="12"/>
          <w:sz w:val="24"/>
          <w:szCs w:val="24"/>
        </w:rPr>
        <w:t xml:space="preserve"> </w:t>
      </w:r>
      <w:r w:rsidR="00D62462">
        <w:rPr>
          <w:rFonts w:cs="Times New Roman"/>
          <w:sz w:val="24"/>
        </w:rPr>
        <w:t>Savukārt, p</w:t>
      </w:r>
      <w:r w:rsidRPr="00D62462">
        <w:rPr>
          <w:rFonts w:cs="Times New Roman"/>
          <w:sz w:val="24"/>
        </w:rPr>
        <w:t>rognozējot tūrisma dinamiku</w:t>
      </w:r>
      <w:r w:rsidRPr="00B1784E">
        <w:rPr>
          <w:rFonts w:cs="Times New Roman"/>
          <w:sz w:val="24"/>
        </w:rPr>
        <w:t xml:space="preserve"> 2017.-2020.gadam, </w:t>
      </w:r>
      <w:r w:rsidR="00D62462">
        <w:rPr>
          <w:rFonts w:cs="Times New Roman"/>
          <w:sz w:val="24"/>
        </w:rPr>
        <w:t xml:space="preserve">ir paredzams, </w:t>
      </w:r>
      <w:r w:rsidRPr="00B1784E">
        <w:rPr>
          <w:rFonts w:cs="Times New Roman"/>
          <w:sz w:val="24"/>
        </w:rPr>
        <w:t>ka līdz 2018.gadam nozares īpatsvars tautsaimniecībā un eksportā palielināsies, bet pēc tā var nedaudz samazināties, jo paredzēts, ka pārējo tautsaimniecības nozaru izaugsme var būt straujāka.</w:t>
      </w:r>
    </w:p>
    <w:p w14:paraId="1C5BA023" w14:textId="5005C784" w:rsidR="00BF3DC4" w:rsidRPr="00D62462" w:rsidRDefault="00BF3DC4" w:rsidP="00D62462">
      <w:pPr>
        <w:ind w:firstLine="426"/>
        <w:jc w:val="both"/>
        <w:rPr>
          <w:sz w:val="24"/>
          <w:szCs w:val="24"/>
        </w:rPr>
      </w:pPr>
      <w:r w:rsidRPr="00BF3DC4">
        <w:rPr>
          <w:b/>
          <w:sz w:val="24"/>
          <w:szCs w:val="24"/>
        </w:rPr>
        <w:t>Izvērtējot rezultatīvos rādītājus</w:t>
      </w:r>
      <w:r>
        <w:rPr>
          <w:sz w:val="24"/>
          <w:szCs w:val="24"/>
        </w:rPr>
        <w:t xml:space="preserve"> par 2014., 2015.un 2016.gadu, jāsecina, ka līdz 2017.gadam nospraustie mērķi tiks īstenoti tikai daļēji. Paredzams, ka 2017.gadā tiks ievērojami pārsniegts rādītājs “</w:t>
      </w:r>
      <w:r w:rsidRPr="00A82A0F">
        <w:rPr>
          <w:sz w:val="24"/>
          <w:szCs w:val="24"/>
        </w:rPr>
        <w:t>Ārvalstu vairākdienu ceļotāju skaits</w:t>
      </w:r>
      <w:r>
        <w:rPr>
          <w:sz w:val="24"/>
          <w:szCs w:val="24"/>
        </w:rPr>
        <w:t>”, iespējams tiks sasniegts rādītājs “</w:t>
      </w:r>
      <w:r w:rsidRPr="00A82A0F">
        <w:rPr>
          <w:sz w:val="24"/>
          <w:szCs w:val="24"/>
        </w:rPr>
        <w:t>Vidējā izmitināšanas mītņu noslodze (gultas vietu noslogojums) ārpus noslogotākās vasaras sezonas (izņemot jūn.-aug.)</w:t>
      </w:r>
      <w:r>
        <w:rPr>
          <w:sz w:val="24"/>
          <w:szCs w:val="24"/>
        </w:rPr>
        <w:t>” un “</w:t>
      </w:r>
      <w:r w:rsidRPr="00CB7A6E">
        <w:rPr>
          <w:sz w:val="24"/>
          <w:szCs w:val="24"/>
        </w:rPr>
        <w:t>Ārvalstu vairākdienu ceļotāju kopējie izdevumi gadā</w:t>
      </w:r>
      <w:r>
        <w:rPr>
          <w:sz w:val="24"/>
          <w:szCs w:val="24"/>
        </w:rPr>
        <w:t>”, taču rādītāji “</w:t>
      </w:r>
      <w:r w:rsidRPr="00CB7A6E">
        <w:rPr>
          <w:sz w:val="24"/>
          <w:szCs w:val="24"/>
        </w:rPr>
        <w:t>Viena ārvalstu vairākdienu ceļotāja vidējie izdevumi diennaktī</w:t>
      </w:r>
      <w:r>
        <w:rPr>
          <w:sz w:val="24"/>
          <w:szCs w:val="24"/>
        </w:rPr>
        <w:t xml:space="preserve">” nesasniegs 2017.vai 2020.gada prognozes. </w:t>
      </w:r>
    </w:p>
    <w:p w14:paraId="29DA41B4" w14:textId="77777777" w:rsidR="00C064FC" w:rsidRDefault="00C064FC" w:rsidP="00C064FC">
      <w:pPr>
        <w:ind w:firstLine="426"/>
        <w:jc w:val="both"/>
        <w:rPr>
          <w:rFonts w:cs="Times New Roman"/>
          <w:sz w:val="24"/>
          <w:szCs w:val="24"/>
        </w:rPr>
      </w:pPr>
    </w:p>
    <w:p w14:paraId="16656EFE" w14:textId="1A682EDB" w:rsidR="00C064FC" w:rsidRDefault="00C064FC" w:rsidP="00C064FC">
      <w:pPr>
        <w:ind w:firstLine="426"/>
        <w:jc w:val="both"/>
        <w:rPr>
          <w:rFonts w:cs="Times New Roman"/>
          <w:sz w:val="24"/>
          <w:szCs w:val="24"/>
        </w:rPr>
      </w:pPr>
      <w:r w:rsidRPr="00C064FC">
        <w:rPr>
          <w:rFonts w:cs="Times New Roman"/>
          <w:sz w:val="24"/>
          <w:szCs w:val="24"/>
        </w:rPr>
        <w:t xml:space="preserve">Atbilstoši informatīvajā ziņojumā ietvertajiem secinājumiem tūrisma nozarē tiek novērotas būtiskas tendenču maiņas, kā rezultātā, tiek izvirzīti vairāki </w:t>
      </w:r>
      <w:r w:rsidRPr="00C064FC">
        <w:rPr>
          <w:rFonts w:cs="Times New Roman"/>
          <w:b/>
          <w:sz w:val="24"/>
          <w:szCs w:val="24"/>
        </w:rPr>
        <w:t>rīcības virzieni</w:t>
      </w:r>
      <w:r w:rsidRPr="00C064FC">
        <w:rPr>
          <w:rFonts w:cs="Times New Roman"/>
          <w:sz w:val="24"/>
          <w:szCs w:val="24"/>
        </w:rPr>
        <w:t>, uz kuru pamata ir plānots sastādīt nākošā perioda (2021- 2027) plānošanas dokumentu un attīstības plānu</w:t>
      </w:r>
      <w:r>
        <w:rPr>
          <w:rFonts w:cs="Times New Roman"/>
          <w:sz w:val="24"/>
          <w:szCs w:val="24"/>
        </w:rPr>
        <w:t>. T</w:t>
      </w:r>
      <w:r w:rsidR="00021B5B" w:rsidRPr="00021B5B">
        <w:rPr>
          <w:rFonts w:cs="Times New Roman"/>
          <w:sz w:val="24"/>
          <w:szCs w:val="24"/>
        </w:rPr>
        <w:t>iek secināts,</w:t>
      </w:r>
      <w:r w:rsidR="00D62462">
        <w:rPr>
          <w:rFonts w:cs="Times New Roman"/>
          <w:b/>
          <w:sz w:val="24"/>
          <w:szCs w:val="24"/>
        </w:rPr>
        <w:t xml:space="preserve"> </w:t>
      </w:r>
      <w:r w:rsidR="00D62462" w:rsidRPr="00B72CEC">
        <w:rPr>
          <w:rFonts w:cs="Times New Roman"/>
          <w:sz w:val="24"/>
          <w:szCs w:val="24"/>
        </w:rPr>
        <w:t xml:space="preserve">ka Latvijas tūrisma produktu konkurētspējas un kvalitātes celšanai ir nepieciešams radīt jaunus tūrisma produktus ar augstu pievienoto vērtību. Radot jaunus un interesantus produktus, Latvija nodrošinās, ka tūrists uzturas Latvijā ilgāk un iztērē vairāk naudas tās teritorijā. </w:t>
      </w:r>
    </w:p>
    <w:p w14:paraId="59B71772" w14:textId="23873E15" w:rsidR="00637988" w:rsidRPr="00C064FC" w:rsidRDefault="00C064FC" w:rsidP="00C064FC">
      <w:pPr>
        <w:ind w:firstLine="426"/>
        <w:jc w:val="both"/>
        <w:rPr>
          <w:rFonts w:cs="Times New Roman"/>
          <w:sz w:val="24"/>
          <w:szCs w:val="24"/>
        </w:rPr>
      </w:pPr>
      <w:r w:rsidRPr="00B72CEC">
        <w:rPr>
          <w:rFonts w:cs="Times New Roman"/>
          <w:sz w:val="24"/>
          <w:szCs w:val="24"/>
        </w:rPr>
        <w:t>Ņemot vērā minēto, tie noteikti šādi rīcības virzieni turpmākajai tūrisma nozares attīstības veicināšanai</w:t>
      </w:r>
      <w:r>
        <w:rPr>
          <w:rFonts w:cs="Times New Roman"/>
          <w:sz w:val="24"/>
          <w:szCs w:val="24"/>
        </w:rPr>
        <w:t xml:space="preserve">, kurus </w:t>
      </w:r>
      <w:r w:rsidRPr="003C0D9F">
        <w:rPr>
          <w:rFonts w:cs="Times New Roman"/>
          <w:sz w:val="24"/>
          <w:szCs w:val="24"/>
        </w:rPr>
        <w:t>paredzēts īstenot esošo formātu ietvaros</w:t>
      </w:r>
      <w:r w:rsidRPr="00B72CEC">
        <w:rPr>
          <w:rFonts w:cs="Times New Roman"/>
          <w:sz w:val="24"/>
          <w:szCs w:val="24"/>
        </w:rPr>
        <w:t>:</w:t>
      </w:r>
      <w:r>
        <w:rPr>
          <w:rFonts w:cs="Times New Roman"/>
          <w:sz w:val="24"/>
          <w:szCs w:val="24"/>
        </w:rPr>
        <w:t xml:space="preserve"> </w:t>
      </w:r>
      <w:r w:rsidR="00021B5B">
        <w:rPr>
          <w:rFonts w:cs="Times New Roman"/>
          <w:sz w:val="24"/>
          <w:szCs w:val="24"/>
        </w:rPr>
        <w:t>j</w:t>
      </w:r>
      <w:r w:rsidR="00021B5B" w:rsidRPr="00021B5B">
        <w:rPr>
          <w:rFonts w:cs="Times New Roman"/>
          <w:sz w:val="24"/>
          <w:szCs w:val="24"/>
        </w:rPr>
        <w:t>aunu tūrisma pr</w:t>
      </w:r>
      <w:r w:rsidR="00021B5B">
        <w:rPr>
          <w:rFonts w:cs="Times New Roman"/>
          <w:sz w:val="24"/>
          <w:szCs w:val="24"/>
        </w:rPr>
        <w:t xml:space="preserve">oduktu </w:t>
      </w:r>
      <w:r w:rsidR="000E5EEC">
        <w:rPr>
          <w:rFonts w:cs="Times New Roman"/>
          <w:sz w:val="24"/>
          <w:szCs w:val="24"/>
        </w:rPr>
        <w:t>veidošana;</w:t>
      </w:r>
      <w:r w:rsidR="00021B5B" w:rsidRPr="00021B5B">
        <w:rPr>
          <w:rFonts w:cs="Times New Roman"/>
          <w:sz w:val="24"/>
          <w:szCs w:val="24"/>
        </w:rPr>
        <w:t xml:space="preserve"> v</w:t>
      </w:r>
      <w:r w:rsidR="00021B5B" w:rsidRPr="00021B5B">
        <w:rPr>
          <w:sz w:val="24"/>
          <w:szCs w:val="24"/>
        </w:rPr>
        <w:t>ietējā tūrisma veicināšana; s</w:t>
      </w:r>
      <w:r w:rsidR="00021B5B" w:rsidRPr="00021B5B">
        <w:rPr>
          <w:rFonts w:cs="Times New Roman"/>
          <w:sz w:val="24"/>
          <w:szCs w:val="24"/>
        </w:rPr>
        <w:t>adarbības ekonomikas ietekmes uz tūrisma indust</w:t>
      </w:r>
      <w:r w:rsidR="00021B5B" w:rsidRPr="00021B5B">
        <w:rPr>
          <w:sz w:val="24"/>
          <w:szCs w:val="24"/>
        </w:rPr>
        <w:t xml:space="preserve">riju analīze; </w:t>
      </w:r>
      <w:r w:rsidR="00021B5B" w:rsidRPr="00021B5B">
        <w:rPr>
          <w:rFonts w:cs="Times New Roman"/>
          <w:sz w:val="24"/>
          <w:szCs w:val="24"/>
        </w:rPr>
        <w:t xml:space="preserve">MICE un veselības tūrisma attīstība; </w:t>
      </w:r>
      <w:r w:rsidR="00021B5B" w:rsidRPr="00021B5B">
        <w:rPr>
          <w:sz w:val="24"/>
          <w:szCs w:val="24"/>
        </w:rPr>
        <w:t>tūrisma puduru jeb klasteru veidošana.</w:t>
      </w:r>
    </w:p>
    <w:p w14:paraId="417F2F2C" w14:textId="77777777" w:rsidR="00C064FC" w:rsidRDefault="00C064FC" w:rsidP="00C064FC">
      <w:pPr>
        <w:ind w:firstLine="426"/>
        <w:jc w:val="both"/>
        <w:rPr>
          <w:rFonts w:cs="Times New Roman"/>
          <w:sz w:val="24"/>
          <w:szCs w:val="24"/>
        </w:rPr>
      </w:pPr>
    </w:p>
    <w:p w14:paraId="55090887" w14:textId="6C08EB76" w:rsidR="00F1454F" w:rsidRDefault="00F1454F">
      <w:pPr>
        <w:rPr>
          <w:rFonts w:cs="Times New Roman"/>
          <w:sz w:val="24"/>
          <w:szCs w:val="24"/>
        </w:rPr>
      </w:pPr>
    </w:p>
    <w:p w14:paraId="2D3E0AC6" w14:textId="77777777" w:rsidR="00C064FC" w:rsidRDefault="00C064FC">
      <w:pPr>
        <w:rPr>
          <w:b/>
          <w:sz w:val="24"/>
          <w:szCs w:val="24"/>
        </w:rPr>
      </w:pPr>
    </w:p>
    <w:p w14:paraId="5699014D" w14:textId="77777777" w:rsidR="00F1454F" w:rsidRDefault="00F1454F">
      <w:pPr>
        <w:rPr>
          <w:b/>
          <w:sz w:val="24"/>
          <w:szCs w:val="24"/>
        </w:rPr>
      </w:pPr>
    </w:p>
    <w:p w14:paraId="46D3D425" w14:textId="77777777" w:rsidR="00F1454F" w:rsidRDefault="00F1454F">
      <w:pPr>
        <w:rPr>
          <w:b/>
          <w:sz w:val="24"/>
          <w:szCs w:val="24"/>
        </w:rPr>
      </w:pPr>
    </w:p>
    <w:p w14:paraId="3F808B1D" w14:textId="77777777" w:rsidR="00DE303E" w:rsidRDefault="00DE303E">
      <w:pPr>
        <w:rPr>
          <w:b/>
          <w:sz w:val="24"/>
          <w:szCs w:val="24"/>
        </w:rPr>
      </w:pPr>
    </w:p>
    <w:p w14:paraId="477E5BDE" w14:textId="77777777" w:rsidR="00F1454F" w:rsidRDefault="00F1454F">
      <w:pPr>
        <w:rPr>
          <w:b/>
          <w:sz w:val="24"/>
          <w:szCs w:val="24"/>
        </w:rPr>
      </w:pPr>
    </w:p>
    <w:p w14:paraId="559737FA" w14:textId="77777777" w:rsidR="00F1454F" w:rsidRDefault="00F1454F">
      <w:pPr>
        <w:rPr>
          <w:b/>
          <w:sz w:val="24"/>
          <w:szCs w:val="24"/>
        </w:rPr>
      </w:pPr>
    </w:p>
    <w:p w14:paraId="2CEC277C" w14:textId="6A191C95" w:rsidR="00D06054" w:rsidRPr="00DE0F41" w:rsidRDefault="00FA718D" w:rsidP="00DE0F41">
      <w:pPr>
        <w:pStyle w:val="Heading1"/>
        <w:shd w:val="clear" w:color="auto" w:fill="009999"/>
        <w:rPr>
          <w:color w:val="FFFFFF" w:themeColor="background1"/>
          <w:sz w:val="28"/>
        </w:rPr>
      </w:pPr>
      <w:bookmarkStart w:id="2" w:name="_Toc500423587"/>
      <w:r w:rsidRPr="00DE0F41">
        <w:rPr>
          <w:color w:val="FFFFFF" w:themeColor="background1"/>
          <w:sz w:val="28"/>
          <w:shd w:val="clear" w:color="auto" w:fill="009999"/>
        </w:rPr>
        <w:lastRenderedPageBreak/>
        <w:t>Ievads</w:t>
      </w:r>
      <w:bookmarkEnd w:id="2"/>
      <w:r w:rsidR="00694F03" w:rsidRPr="00DE0F41">
        <w:rPr>
          <w:color w:val="FFFFFF" w:themeColor="background1"/>
          <w:sz w:val="28"/>
        </w:rPr>
        <w:tab/>
      </w:r>
    </w:p>
    <w:p w14:paraId="7AB37B9D" w14:textId="77777777" w:rsidR="00FA718D" w:rsidRPr="003D6EAB" w:rsidRDefault="00FA718D" w:rsidP="00FA718D">
      <w:pPr>
        <w:ind w:firstLine="426"/>
        <w:jc w:val="both"/>
        <w:rPr>
          <w:sz w:val="24"/>
          <w:szCs w:val="24"/>
        </w:rPr>
      </w:pPr>
    </w:p>
    <w:p w14:paraId="529A1F62" w14:textId="65C9F224" w:rsidR="00CF3350" w:rsidRPr="003D6EAB" w:rsidRDefault="00CF3350" w:rsidP="00FA718D">
      <w:pPr>
        <w:ind w:firstLine="426"/>
        <w:jc w:val="both"/>
        <w:rPr>
          <w:sz w:val="24"/>
          <w:szCs w:val="24"/>
        </w:rPr>
      </w:pPr>
      <w:r w:rsidRPr="003D6EAB">
        <w:rPr>
          <w:sz w:val="24"/>
          <w:szCs w:val="24"/>
        </w:rPr>
        <w:t>Informatīvais ziņojums “</w:t>
      </w:r>
      <w:r w:rsidR="001453AE">
        <w:rPr>
          <w:sz w:val="24"/>
          <w:szCs w:val="24"/>
        </w:rPr>
        <w:t xml:space="preserve">Par </w:t>
      </w:r>
      <w:r w:rsidR="00887C7F" w:rsidRPr="003D6EAB">
        <w:rPr>
          <w:sz w:val="24"/>
          <w:szCs w:val="24"/>
        </w:rPr>
        <w:t>Latvijas tūrisma attīstības pamatnostādņu 2014.-2020.gadam” īstenošanas 2014. – 2016.gadā starpposma novērtējumu</w:t>
      </w:r>
      <w:r w:rsidRPr="003D6EAB">
        <w:rPr>
          <w:sz w:val="24"/>
          <w:szCs w:val="24"/>
        </w:rPr>
        <w:t xml:space="preserve">” </w:t>
      </w:r>
      <w:r w:rsidR="003E3484" w:rsidRPr="003D6EAB">
        <w:rPr>
          <w:sz w:val="24"/>
          <w:szCs w:val="24"/>
        </w:rPr>
        <w:t xml:space="preserve">(turpmāk – </w:t>
      </w:r>
      <w:r w:rsidR="00AD23D6" w:rsidRPr="003D6EAB">
        <w:rPr>
          <w:sz w:val="24"/>
          <w:szCs w:val="24"/>
        </w:rPr>
        <w:t>I</w:t>
      </w:r>
      <w:r w:rsidR="003E3484" w:rsidRPr="003D6EAB">
        <w:rPr>
          <w:sz w:val="24"/>
          <w:szCs w:val="24"/>
        </w:rPr>
        <w:t xml:space="preserve">nformatīvais ziņojums) </w:t>
      </w:r>
      <w:r w:rsidRPr="003D6EAB">
        <w:rPr>
          <w:sz w:val="24"/>
          <w:szCs w:val="24"/>
        </w:rPr>
        <w:t xml:space="preserve">sagatavots saskaņā ar </w:t>
      </w:r>
      <w:r w:rsidR="006A7EF9" w:rsidRPr="003D6EAB">
        <w:rPr>
          <w:sz w:val="24"/>
          <w:szCs w:val="24"/>
        </w:rPr>
        <w:t>Ministru kabineta 201</w:t>
      </w:r>
      <w:r w:rsidR="00887C7F" w:rsidRPr="003D6EAB">
        <w:rPr>
          <w:sz w:val="24"/>
          <w:szCs w:val="24"/>
        </w:rPr>
        <w:t>4</w:t>
      </w:r>
      <w:r w:rsidR="006A7EF9" w:rsidRPr="003D6EAB">
        <w:rPr>
          <w:sz w:val="24"/>
          <w:szCs w:val="24"/>
        </w:rPr>
        <w:t xml:space="preserve">.gada </w:t>
      </w:r>
      <w:r w:rsidR="00887C7F" w:rsidRPr="003D6EAB">
        <w:rPr>
          <w:sz w:val="24"/>
          <w:szCs w:val="24"/>
        </w:rPr>
        <w:t>3.jūlija</w:t>
      </w:r>
      <w:r w:rsidR="006A7EF9" w:rsidRPr="003D6EAB">
        <w:rPr>
          <w:sz w:val="24"/>
          <w:szCs w:val="24"/>
        </w:rPr>
        <w:t xml:space="preserve"> rīkojuma Nr.</w:t>
      </w:r>
      <w:r w:rsidR="00887C7F" w:rsidRPr="003D6EAB">
        <w:rPr>
          <w:sz w:val="24"/>
          <w:szCs w:val="24"/>
        </w:rPr>
        <w:t>326</w:t>
      </w:r>
      <w:r w:rsidR="006A7EF9" w:rsidRPr="003D6EAB">
        <w:rPr>
          <w:sz w:val="24"/>
          <w:szCs w:val="24"/>
        </w:rPr>
        <w:t xml:space="preserve"> “</w:t>
      </w:r>
      <w:r w:rsidR="00887C7F" w:rsidRPr="003D6EAB">
        <w:rPr>
          <w:sz w:val="24"/>
          <w:szCs w:val="24"/>
        </w:rPr>
        <w:t>Par Latvijas tūrisma attīstības pamatnostādnēm 2014.‒2020.gadam</w:t>
      </w:r>
      <w:r w:rsidR="006A7EF9" w:rsidRPr="003D6EAB">
        <w:rPr>
          <w:sz w:val="24"/>
          <w:szCs w:val="24"/>
        </w:rPr>
        <w:t>” 6.</w:t>
      </w:r>
      <w:r w:rsidR="00887C7F" w:rsidRPr="003D6EAB">
        <w:rPr>
          <w:sz w:val="24"/>
          <w:szCs w:val="24"/>
        </w:rPr>
        <w:t>1.apakš</w:t>
      </w:r>
      <w:r w:rsidR="006A7EF9" w:rsidRPr="003D6EAB">
        <w:rPr>
          <w:sz w:val="24"/>
          <w:szCs w:val="24"/>
        </w:rPr>
        <w:t xml:space="preserve">punktā doto uzdevumu Ekonomikas ministrijai </w:t>
      </w:r>
      <w:r w:rsidR="003E3484" w:rsidRPr="003D6EAB">
        <w:rPr>
          <w:sz w:val="24"/>
          <w:szCs w:val="24"/>
        </w:rPr>
        <w:t xml:space="preserve">iesniegt </w:t>
      </w:r>
      <w:r w:rsidR="006A7EF9" w:rsidRPr="003D6EAB">
        <w:rPr>
          <w:sz w:val="24"/>
          <w:szCs w:val="24"/>
        </w:rPr>
        <w:t xml:space="preserve">Ministru kabinetā </w:t>
      </w:r>
      <w:r w:rsidR="003E3484" w:rsidRPr="003D6EAB">
        <w:rPr>
          <w:sz w:val="24"/>
          <w:szCs w:val="24"/>
        </w:rPr>
        <w:t>starpposma novērtējum</w:t>
      </w:r>
      <w:r w:rsidR="00887C7F" w:rsidRPr="003D6EAB">
        <w:rPr>
          <w:sz w:val="24"/>
          <w:szCs w:val="24"/>
        </w:rPr>
        <w:t>u</w:t>
      </w:r>
      <w:r w:rsidR="003E3484" w:rsidRPr="003D6EAB">
        <w:rPr>
          <w:sz w:val="24"/>
          <w:szCs w:val="24"/>
        </w:rPr>
        <w:t xml:space="preserve"> </w:t>
      </w:r>
      <w:r w:rsidR="006A7EF9" w:rsidRPr="003D6EAB">
        <w:rPr>
          <w:sz w:val="24"/>
          <w:szCs w:val="24"/>
        </w:rPr>
        <w:t xml:space="preserve">par </w:t>
      </w:r>
      <w:r w:rsidR="003E3484" w:rsidRPr="003D6EAB">
        <w:rPr>
          <w:sz w:val="24"/>
          <w:szCs w:val="24"/>
        </w:rPr>
        <w:t>“</w:t>
      </w:r>
      <w:r w:rsidR="00887C7F" w:rsidRPr="003D6EAB">
        <w:rPr>
          <w:sz w:val="24"/>
          <w:szCs w:val="24"/>
        </w:rPr>
        <w:t>Latvijas tūrisma attīstības pamatnostādnes 2014.‒2020.gadam</w:t>
      </w:r>
      <w:r w:rsidR="003E3484" w:rsidRPr="003D6EAB">
        <w:rPr>
          <w:sz w:val="24"/>
          <w:szCs w:val="24"/>
        </w:rPr>
        <w:t>”</w:t>
      </w:r>
      <w:r w:rsidR="006A7EF9" w:rsidRPr="003D6EAB">
        <w:rPr>
          <w:sz w:val="24"/>
          <w:szCs w:val="24"/>
        </w:rPr>
        <w:t xml:space="preserve"> (turpmāk – </w:t>
      </w:r>
      <w:r w:rsidR="00AD23D6" w:rsidRPr="003D6EAB">
        <w:rPr>
          <w:sz w:val="24"/>
          <w:szCs w:val="24"/>
        </w:rPr>
        <w:t>P</w:t>
      </w:r>
      <w:r w:rsidR="006A7EF9" w:rsidRPr="003D6EAB">
        <w:rPr>
          <w:sz w:val="24"/>
          <w:szCs w:val="24"/>
        </w:rPr>
        <w:t xml:space="preserve">amatnostādnes) īstenošanas gaitu. </w:t>
      </w:r>
    </w:p>
    <w:p w14:paraId="7DB2DB6C" w14:textId="4488F690" w:rsidR="00F446D6" w:rsidRPr="003D6EAB" w:rsidRDefault="003E3484" w:rsidP="00FA718D">
      <w:pPr>
        <w:ind w:firstLine="426"/>
        <w:jc w:val="both"/>
        <w:rPr>
          <w:sz w:val="24"/>
          <w:szCs w:val="24"/>
        </w:rPr>
      </w:pPr>
      <w:r w:rsidRPr="003D6EAB">
        <w:rPr>
          <w:sz w:val="24"/>
          <w:szCs w:val="24"/>
        </w:rPr>
        <w:t>Pamatnostād</w:t>
      </w:r>
      <w:r w:rsidR="00E565F5" w:rsidRPr="003D6EAB">
        <w:rPr>
          <w:sz w:val="24"/>
          <w:szCs w:val="24"/>
        </w:rPr>
        <w:t>nes</w:t>
      </w:r>
      <w:r w:rsidRPr="003D6EAB">
        <w:rPr>
          <w:sz w:val="24"/>
          <w:szCs w:val="24"/>
        </w:rPr>
        <w:t xml:space="preserve"> </w:t>
      </w:r>
      <w:r w:rsidR="00E565F5" w:rsidRPr="003D6EAB">
        <w:rPr>
          <w:sz w:val="24"/>
          <w:szCs w:val="24"/>
        </w:rPr>
        <w:t xml:space="preserve">nosaka </w:t>
      </w:r>
      <w:r w:rsidR="00887C7F" w:rsidRPr="003D6EAB">
        <w:rPr>
          <w:sz w:val="24"/>
          <w:szCs w:val="24"/>
        </w:rPr>
        <w:t>Latvijas tūrisma</w:t>
      </w:r>
      <w:r w:rsidR="00E565F5" w:rsidRPr="003D6EAB">
        <w:rPr>
          <w:sz w:val="24"/>
          <w:szCs w:val="24"/>
        </w:rPr>
        <w:t xml:space="preserve"> politikas galvenos mērķus, principus un rīcības virzienus, </w:t>
      </w:r>
      <w:r w:rsidR="00430A37" w:rsidRPr="003D6EAB">
        <w:rPr>
          <w:sz w:val="24"/>
          <w:szCs w:val="24"/>
        </w:rPr>
        <w:t xml:space="preserve">kā arī ir noteikti </w:t>
      </w:r>
      <w:r w:rsidR="00430A37" w:rsidRPr="003D6EAB">
        <w:rPr>
          <w:bCs/>
          <w:sz w:val="24"/>
          <w:szCs w:val="24"/>
        </w:rPr>
        <w:t>Latvijas tūrisma produktu attīstības pamatprincipi un būtiskākie uzdevumi tūrisma nozares attīstībai Latvijā,</w:t>
      </w:r>
      <w:r w:rsidR="00430A37" w:rsidRPr="003D6EAB">
        <w:rPr>
          <w:sz w:val="24"/>
          <w:szCs w:val="24"/>
        </w:rPr>
        <w:t xml:space="preserve"> </w:t>
      </w:r>
      <w:r w:rsidR="00E565F5" w:rsidRPr="003D6EAB">
        <w:rPr>
          <w:sz w:val="24"/>
          <w:szCs w:val="24"/>
        </w:rPr>
        <w:t>veidojot</w:t>
      </w:r>
      <w:r w:rsidRPr="003D6EAB">
        <w:rPr>
          <w:sz w:val="24"/>
          <w:szCs w:val="24"/>
        </w:rPr>
        <w:t xml:space="preserve"> vienotu, dinamisku, uz ciešu sadarbību balstītu </w:t>
      </w:r>
      <w:r w:rsidR="00887C7F" w:rsidRPr="003D6EAB">
        <w:rPr>
          <w:sz w:val="24"/>
          <w:szCs w:val="24"/>
        </w:rPr>
        <w:t>tūrisma politiku</w:t>
      </w:r>
      <w:r w:rsidRPr="003D6EAB">
        <w:rPr>
          <w:sz w:val="24"/>
          <w:szCs w:val="24"/>
        </w:rPr>
        <w:t>,</w:t>
      </w:r>
      <w:r w:rsidR="00887C7F" w:rsidRPr="003D6EAB">
        <w:rPr>
          <w:sz w:val="24"/>
          <w:szCs w:val="24"/>
        </w:rPr>
        <w:t xml:space="preserve"> </w:t>
      </w:r>
      <w:r w:rsidRPr="003D6EAB">
        <w:rPr>
          <w:sz w:val="24"/>
          <w:szCs w:val="24"/>
        </w:rPr>
        <w:t>kurā ar noteiktu atbildību un kompetenci darbojas visas iesaistītās puses – valsts institūcijas, privātais sektors</w:t>
      </w:r>
      <w:r w:rsidR="00430A37" w:rsidRPr="003D6EAB">
        <w:rPr>
          <w:sz w:val="24"/>
          <w:szCs w:val="24"/>
        </w:rPr>
        <w:t xml:space="preserve"> un pašvaldības.</w:t>
      </w:r>
    </w:p>
    <w:p w14:paraId="5198C2DB" w14:textId="50B5A8EF" w:rsidR="003E3484" w:rsidRPr="003D6EAB" w:rsidRDefault="00AD23D6" w:rsidP="00FA718D">
      <w:pPr>
        <w:ind w:firstLine="426"/>
        <w:jc w:val="both"/>
        <w:rPr>
          <w:sz w:val="24"/>
          <w:szCs w:val="24"/>
        </w:rPr>
      </w:pPr>
      <w:r w:rsidRPr="003D6EAB">
        <w:rPr>
          <w:sz w:val="24"/>
          <w:szCs w:val="24"/>
        </w:rPr>
        <w:t>No tā izriet P</w:t>
      </w:r>
      <w:r w:rsidR="00E565F5" w:rsidRPr="003D6EAB">
        <w:rPr>
          <w:sz w:val="24"/>
          <w:szCs w:val="24"/>
        </w:rPr>
        <w:t xml:space="preserve">amatnostādņu </w:t>
      </w:r>
      <w:r w:rsidR="00E565F5" w:rsidRPr="003D6EAB">
        <w:rPr>
          <w:b/>
          <w:sz w:val="24"/>
          <w:szCs w:val="24"/>
        </w:rPr>
        <w:t>mērķis</w:t>
      </w:r>
      <w:r w:rsidR="00E565F5" w:rsidRPr="003D6EAB">
        <w:rPr>
          <w:sz w:val="24"/>
          <w:szCs w:val="24"/>
        </w:rPr>
        <w:t xml:space="preserve">: </w:t>
      </w:r>
      <w:r w:rsidR="00430A37" w:rsidRPr="003D6EAB">
        <w:rPr>
          <w:sz w:val="24"/>
          <w:szCs w:val="24"/>
        </w:rPr>
        <w:t>ilgtspējīga Latvijas tūrisma attīstība, veicinot tūrisma produktu konkurētspējas palielināšanos ārvalstu tirgos</w:t>
      </w:r>
      <w:r w:rsidR="00E45CD5" w:rsidRPr="003D6EAB">
        <w:rPr>
          <w:sz w:val="24"/>
          <w:szCs w:val="24"/>
        </w:rPr>
        <w:t xml:space="preserve">. </w:t>
      </w:r>
    </w:p>
    <w:p w14:paraId="641EA64C" w14:textId="62D30A9E" w:rsidR="00442937" w:rsidRPr="003D6EAB" w:rsidRDefault="00442937" w:rsidP="00FA718D">
      <w:pPr>
        <w:ind w:firstLine="426"/>
        <w:jc w:val="both"/>
        <w:rPr>
          <w:sz w:val="24"/>
          <w:szCs w:val="24"/>
        </w:rPr>
      </w:pPr>
      <w:r w:rsidRPr="003D6EAB">
        <w:rPr>
          <w:sz w:val="24"/>
          <w:szCs w:val="24"/>
        </w:rPr>
        <w:t xml:space="preserve">Lai sasniegtu izvirzīto mērķi, Pamatnostādnēs tika definēti šādi </w:t>
      </w:r>
      <w:r w:rsidRPr="003D6EAB">
        <w:rPr>
          <w:b/>
          <w:sz w:val="24"/>
          <w:szCs w:val="24"/>
        </w:rPr>
        <w:t>galvenie rīcības virzieni</w:t>
      </w:r>
      <w:r w:rsidRPr="003D6EAB">
        <w:rPr>
          <w:sz w:val="24"/>
          <w:szCs w:val="24"/>
        </w:rPr>
        <w:t>:</w:t>
      </w:r>
    </w:p>
    <w:p w14:paraId="3BFE9390" w14:textId="77777777" w:rsidR="00442937" w:rsidRPr="003D6EAB" w:rsidRDefault="00442937" w:rsidP="00442937">
      <w:pPr>
        <w:numPr>
          <w:ilvl w:val="0"/>
          <w:numId w:val="11"/>
        </w:numPr>
        <w:jc w:val="both"/>
        <w:rPr>
          <w:sz w:val="24"/>
          <w:szCs w:val="24"/>
        </w:rPr>
      </w:pPr>
      <w:r w:rsidRPr="003D6EAB">
        <w:rPr>
          <w:sz w:val="24"/>
          <w:szCs w:val="24"/>
        </w:rPr>
        <w:t>Veicināt konkurētspējīgu tūrisma produktu attīstību, atbalstot jaunu, inovatīvu, ar augstāku pievienoto vērtību tūrisma produktu izstrādi, t.sk. attīstot infrastruktūru tūrisma izaugsmei, veicinot reģionālo tūrisma puduru veidošanos un Latvijas tūrisma produkta iekļaušanu kopējā Baltijas jūras reģiona valstu tūrisma piedāvājumā;</w:t>
      </w:r>
    </w:p>
    <w:p w14:paraId="306FBE26" w14:textId="77777777" w:rsidR="00442937" w:rsidRPr="003D6EAB" w:rsidRDefault="00442937" w:rsidP="00442937">
      <w:pPr>
        <w:numPr>
          <w:ilvl w:val="0"/>
          <w:numId w:val="11"/>
        </w:numPr>
        <w:jc w:val="both"/>
        <w:rPr>
          <w:sz w:val="24"/>
          <w:szCs w:val="24"/>
        </w:rPr>
      </w:pPr>
      <w:r w:rsidRPr="003D6EAB">
        <w:rPr>
          <w:sz w:val="24"/>
          <w:szCs w:val="24"/>
        </w:rPr>
        <w:t>Veicināt tūrisma produktu kvalitātes uzlabošanos, t.sk. nodrošinot labāku nozares tiesisko regulējumu un atbalstu gan tūrisma komersantiem, gan produktu patērētājiem;</w:t>
      </w:r>
    </w:p>
    <w:p w14:paraId="2692C598" w14:textId="2EE9F9DE" w:rsidR="00442937" w:rsidRPr="003D6EAB" w:rsidRDefault="00442937" w:rsidP="00442937">
      <w:pPr>
        <w:numPr>
          <w:ilvl w:val="0"/>
          <w:numId w:val="11"/>
        </w:numPr>
        <w:jc w:val="both"/>
        <w:rPr>
          <w:sz w:val="24"/>
          <w:szCs w:val="24"/>
        </w:rPr>
      </w:pPr>
      <w:r w:rsidRPr="003D6EAB">
        <w:rPr>
          <w:sz w:val="24"/>
          <w:szCs w:val="24"/>
        </w:rPr>
        <w:t>Nodrošināt Latvijas tūrisma piedāvājuma atpazīstamību mērķa tirgos, īpaši izmantojot mūsdienīgus saziņas līdzekļus.</w:t>
      </w:r>
    </w:p>
    <w:p w14:paraId="6C7838E0" w14:textId="12B970AE" w:rsidR="003C5618" w:rsidRDefault="003C5618" w:rsidP="00FA718D">
      <w:pPr>
        <w:ind w:firstLine="426"/>
        <w:jc w:val="both"/>
        <w:rPr>
          <w:sz w:val="24"/>
          <w:szCs w:val="24"/>
        </w:rPr>
      </w:pPr>
      <w:r w:rsidRPr="003D6EAB">
        <w:rPr>
          <w:sz w:val="24"/>
          <w:szCs w:val="24"/>
        </w:rPr>
        <w:t xml:space="preserve">Lai novērtētu </w:t>
      </w:r>
      <w:r w:rsidR="000848F1" w:rsidRPr="003D6EAB">
        <w:rPr>
          <w:sz w:val="24"/>
          <w:szCs w:val="24"/>
        </w:rPr>
        <w:t>tūrisma</w:t>
      </w:r>
      <w:r w:rsidRPr="003D6EAB">
        <w:rPr>
          <w:sz w:val="24"/>
          <w:szCs w:val="24"/>
        </w:rPr>
        <w:t xml:space="preserve"> politikas īstenošanu, </w:t>
      </w:r>
      <w:r w:rsidR="00AD23D6" w:rsidRPr="003D6EAB">
        <w:rPr>
          <w:sz w:val="24"/>
          <w:szCs w:val="24"/>
        </w:rPr>
        <w:t>P</w:t>
      </w:r>
      <w:r w:rsidRPr="003D6EAB">
        <w:rPr>
          <w:sz w:val="24"/>
          <w:szCs w:val="24"/>
        </w:rPr>
        <w:t xml:space="preserve">amatnostādnēs </w:t>
      </w:r>
      <w:r w:rsidR="009B7ED5" w:rsidRPr="003D6EAB">
        <w:rPr>
          <w:sz w:val="24"/>
          <w:szCs w:val="24"/>
        </w:rPr>
        <w:t xml:space="preserve">tika </w:t>
      </w:r>
      <w:r w:rsidRPr="003D6EAB">
        <w:rPr>
          <w:sz w:val="24"/>
          <w:szCs w:val="24"/>
        </w:rPr>
        <w:t xml:space="preserve">definēti šādi </w:t>
      </w:r>
      <w:r w:rsidRPr="003D6EAB">
        <w:rPr>
          <w:b/>
          <w:sz w:val="24"/>
          <w:szCs w:val="24"/>
        </w:rPr>
        <w:t>rezultatīvie rādītāji</w:t>
      </w:r>
      <w:r w:rsidR="001112A0" w:rsidRPr="003D6EAB">
        <w:rPr>
          <w:b/>
          <w:sz w:val="24"/>
          <w:szCs w:val="24"/>
        </w:rPr>
        <w:t xml:space="preserve"> un to sasniedzamās rezultatīvās vērtības</w:t>
      </w:r>
      <w:r w:rsidRPr="003D6EAB">
        <w:rPr>
          <w:sz w:val="24"/>
          <w:szCs w:val="24"/>
        </w:rPr>
        <w:t>:</w:t>
      </w:r>
    </w:p>
    <w:p w14:paraId="6F248BAA" w14:textId="77777777" w:rsidR="003D6EAB" w:rsidRPr="003D6EAB" w:rsidRDefault="003D6EAB" w:rsidP="00FA718D">
      <w:pPr>
        <w:ind w:firstLine="426"/>
        <w:jc w:val="both"/>
        <w:rPr>
          <w:sz w:val="24"/>
          <w:szCs w:val="24"/>
        </w:rPr>
      </w:pPr>
    </w:p>
    <w:tbl>
      <w:tblPr>
        <w:tblStyle w:val="TableGrid"/>
        <w:tblW w:w="5000" w:type="pct"/>
        <w:jc w:val="center"/>
        <w:tblLook w:val="04A0" w:firstRow="1" w:lastRow="0" w:firstColumn="1" w:lastColumn="0" w:noHBand="0" w:noVBand="1"/>
      </w:tblPr>
      <w:tblGrid>
        <w:gridCol w:w="2689"/>
        <w:gridCol w:w="2578"/>
        <w:gridCol w:w="1056"/>
        <w:gridCol w:w="1189"/>
        <w:gridCol w:w="1137"/>
        <w:gridCol w:w="1122"/>
      </w:tblGrid>
      <w:tr w:rsidR="002340ED" w:rsidRPr="0092374C" w14:paraId="2D3F05BA" w14:textId="77777777" w:rsidTr="002340ED">
        <w:trPr>
          <w:jc w:val="center"/>
        </w:trPr>
        <w:tc>
          <w:tcPr>
            <w:tcW w:w="1376" w:type="pct"/>
            <w:vAlign w:val="center"/>
          </w:tcPr>
          <w:p w14:paraId="6278A08D" w14:textId="77777777" w:rsidR="000848F1" w:rsidRPr="0092374C" w:rsidRDefault="000848F1" w:rsidP="002340ED">
            <w:pPr>
              <w:ind w:firstLine="426"/>
              <w:rPr>
                <w:rFonts w:eastAsia="Calibri" w:cs="Times New Roman"/>
                <w:b/>
                <w:sz w:val="20"/>
                <w:szCs w:val="23"/>
              </w:rPr>
            </w:pPr>
          </w:p>
        </w:tc>
        <w:tc>
          <w:tcPr>
            <w:tcW w:w="1319" w:type="pct"/>
            <w:shd w:val="clear" w:color="auto" w:fill="D9D9D9" w:themeFill="background1" w:themeFillShade="D9"/>
            <w:vAlign w:val="center"/>
          </w:tcPr>
          <w:p w14:paraId="48B41B23" w14:textId="77777777" w:rsidR="000848F1" w:rsidRPr="0092374C" w:rsidRDefault="000848F1" w:rsidP="002340ED">
            <w:pPr>
              <w:ind w:firstLine="426"/>
              <w:jc w:val="center"/>
              <w:rPr>
                <w:rFonts w:eastAsia="Calibri" w:cs="Times New Roman"/>
                <w:b/>
                <w:sz w:val="20"/>
                <w:szCs w:val="23"/>
              </w:rPr>
            </w:pPr>
            <w:r w:rsidRPr="0092374C">
              <w:rPr>
                <w:rFonts w:eastAsia="Calibri" w:cs="Times New Roman"/>
                <w:b/>
                <w:sz w:val="20"/>
                <w:szCs w:val="23"/>
              </w:rPr>
              <w:t>Rādītājs</w:t>
            </w:r>
          </w:p>
        </w:tc>
        <w:tc>
          <w:tcPr>
            <w:tcW w:w="540" w:type="pct"/>
            <w:shd w:val="clear" w:color="auto" w:fill="D9D9D9" w:themeFill="background1" w:themeFillShade="D9"/>
            <w:vAlign w:val="center"/>
          </w:tcPr>
          <w:p w14:paraId="4081E65B" w14:textId="77777777" w:rsidR="000848F1" w:rsidRPr="0092374C" w:rsidRDefault="000848F1" w:rsidP="002340ED">
            <w:pPr>
              <w:jc w:val="center"/>
              <w:rPr>
                <w:rFonts w:eastAsia="Calibri" w:cs="Times New Roman"/>
                <w:b/>
                <w:sz w:val="20"/>
                <w:szCs w:val="23"/>
              </w:rPr>
            </w:pPr>
            <w:r w:rsidRPr="0092374C">
              <w:rPr>
                <w:rFonts w:eastAsia="Calibri" w:cs="Times New Roman"/>
                <w:b/>
                <w:sz w:val="20"/>
                <w:szCs w:val="23"/>
              </w:rPr>
              <w:t>2005.gads</w:t>
            </w:r>
          </w:p>
        </w:tc>
        <w:tc>
          <w:tcPr>
            <w:tcW w:w="608" w:type="pct"/>
            <w:shd w:val="clear" w:color="auto" w:fill="D9D9D9" w:themeFill="background1" w:themeFillShade="D9"/>
            <w:vAlign w:val="center"/>
          </w:tcPr>
          <w:p w14:paraId="526F0654" w14:textId="3DF963CD" w:rsidR="000848F1" w:rsidRPr="0092374C" w:rsidRDefault="000848F1" w:rsidP="002340ED">
            <w:pPr>
              <w:jc w:val="center"/>
              <w:rPr>
                <w:rFonts w:eastAsia="Calibri" w:cs="Times New Roman"/>
                <w:b/>
                <w:sz w:val="20"/>
                <w:szCs w:val="23"/>
              </w:rPr>
            </w:pPr>
            <w:r w:rsidRPr="0092374C">
              <w:rPr>
                <w:rFonts w:eastAsia="Calibri" w:cs="Times New Roman"/>
                <w:b/>
                <w:sz w:val="20"/>
                <w:szCs w:val="23"/>
              </w:rPr>
              <w:t>Bāzes vērtība (2012.gads)</w:t>
            </w:r>
          </w:p>
        </w:tc>
        <w:tc>
          <w:tcPr>
            <w:tcW w:w="582" w:type="pct"/>
            <w:shd w:val="clear" w:color="auto" w:fill="D9D9D9" w:themeFill="background1" w:themeFillShade="D9"/>
            <w:vAlign w:val="center"/>
          </w:tcPr>
          <w:p w14:paraId="0852931E" w14:textId="77777777" w:rsidR="000848F1" w:rsidRPr="0092374C" w:rsidRDefault="000848F1" w:rsidP="002340ED">
            <w:pPr>
              <w:jc w:val="center"/>
              <w:rPr>
                <w:rFonts w:eastAsia="Calibri" w:cs="Times New Roman"/>
                <w:b/>
                <w:sz w:val="20"/>
                <w:szCs w:val="23"/>
              </w:rPr>
            </w:pPr>
            <w:r w:rsidRPr="0092374C">
              <w:rPr>
                <w:rFonts w:eastAsia="Calibri" w:cs="Times New Roman"/>
                <w:b/>
                <w:sz w:val="20"/>
                <w:szCs w:val="23"/>
              </w:rPr>
              <w:t>2017.gads</w:t>
            </w:r>
          </w:p>
        </w:tc>
        <w:tc>
          <w:tcPr>
            <w:tcW w:w="574" w:type="pct"/>
            <w:shd w:val="clear" w:color="auto" w:fill="D9D9D9" w:themeFill="background1" w:themeFillShade="D9"/>
            <w:vAlign w:val="center"/>
          </w:tcPr>
          <w:p w14:paraId="62E2AE21" w14:textId="77777777" w:rsidR="000848F1" w:rsidRPr="0092374C" w:rsidRDefault="000848F1" w:rsidP="002340ED">
            <w:pPr>
              <w:jc w:val="center"/>
              <w:rPr>
                <w:rFonts w:eastAsia="Calibri" w:cs="Times New Roman"/>
                <w:b/>
                <w:sz w:val="20"/>
                <w:szCs w:val="23"/>
              </w:rPr>
            </w:pPr>
            <w:r w:rsidRPr="0092374C">
              <w:rPr>
                <w:rFonts w:eastAsia="Calibri" w:cs="Times New Roman"/>
                <w:b/>
                <w:sz w:val="20"/>
                <w:szCs w:val="23"/>
              </w:rPr>
              <w:t>2020.gads</w:t>
            </w:r>
          </w:p>
        </w:tc>
      </w:tr>
      <w:tr w:rsidR="002340ED" w:rsidRPr="0092374C" w14:paraId="4DC8783D" w14:textId="77777777" w:rsidTr="002340ED">
        <w:trPr>
          <w:trHeight w:val="987"/>
          <w:jc w:val="center"/>
        </w:trPr>
        <w:tc>
          <w:tcPr>
            <w:tcW w:w="1376" w:type="pct"/>
            <w:shd w:val="clear" w:color="auto" w:fill="D9D9D9" w:themeFill="background1" w:themeFillShade="D9"/>
            <w:vAlign w:val="center"/>
          </w:tcPr>
          <w:p w14:paraId="65CB6CF6" w14:textId="77777777" w:rsidR="000848F1" w:rsidRPr="0092374C" w:rsidRDefault="000848F1" w:rsidP="002340ED">
            <w:pPr>
              <w:rPr>
                <w:rFonts w:eastAsia="Calibri" w:cs="Times New Roman"/>
                <w:sz w:val="20"/>
                <w:szCs w:val="23"/>
              </w:rPr>
            </w:pPr>
            <w:r w:rsidRPr="0092374C">
              <w:rPr>
                <w:rFonts w:eastAsia="Calibri" w:cs="Times New Roman"/>
                <w:sz w:val="20"/>
                <w:szCs w:val="23"/>
              </w:rPr>
              <w:t>1. Ārvalstu vairākdienu ceļotāju skaita pieaugums.</w:t>
            </w:r>
          </w:p>
        </w:tc>
        <w:tc>
          <w:tcPr>
            <w:tcW w:w="1319" w:type="pct"/>
            <w:vAlign w:val="center"/>
          </w:tcPr>
          <w:p w14:paraId="482002A4" w14:textId="77777777" w:rsidR="000848F1" w:rsidRPr="0092374C" w:rsidRDefault="000848F1" w:rsidP="002340ED">
            <w:pPr>
              <w:jc w:val="center"/>
              <w:rPr>
                <w:rFonts w:eastAsia="Calibri" w:cs="Times New Roman"/>
                <w:sz w:val="20"/>
                <w:szCs w:val="23"/>
              </w:rPr>
            </w:pPr>
            <w:r w:rsidRPr="0092374C">
              <w:rPr>
                <w:rFonts w:eastAsia="Calibri" w:cs="Times New Roman"/>
                <w:sz w:val="20"/>
                <w:szCs w:val="23"/>
              </w:rPr>
              <w:t>Ārvalstu vairākdienu ceļotāju skaits, tūkst.</w:t>
            </w:r>
          </w:p>
        </w:tc>
        <w:tc>
          <w:tcPr>
            <w:tcW w:w="540" w:type="pct"/>
            <w:vAlign w:val="center"/>
          </w:tcPr>
          <w:p w14:paraId="0F122F4A" w14:textId="77777777" w:rsidR="000848F1" w:rsidRPr="0092374C" w:rsidRDefault="000848F1" w:rsidP="002340ED">
            <w:pPr>
              <w:jc w:val="center"/>
              <w:rPr>
                <w:rFonts w:eastAsia="Calibri" w:cs="Times New Roman"/>
                <w:sz w:val="20"/>
                <w:szCs w:val="23"/>
              </w:rPr>
            </w:pPr>
            <w:r w:rsidRPr="0092374C">
              <w:rPr>
                <w:rFonts w:eastAsia="Calibri" w:cs="Times New Roman"/>
                <w:sz w:val="20"/>
                <w:szCs w:val="23"/>
              </w:rPr>
              <w:t>1089</w:t>
            </w:r>
          </w:p>
        </w:tc>
        <w:tc>
          <w:tcPr>
            <w:tcW w:w="608" w:type="pct"/>
            <w:vAlign w:val="center"/>
          </w:tcPr>
          <w:p w14:paraId="47ACD7F7" w14:textId="77777777" w:rsidR="000848F1" w:rsidRPr="0092374C" w:rsidRDefault="000848F1" w:rsidP="002340ED">
            <w:pPr>
              <w:jc w:val="center"/>
              <w:rPr>
                <w:rFonts w:eastAsia="Calibri" w:cs="Times New Roman"/>
                <w:sz w:val="20"/>
                <w:szCs w:val="23"/>
              </w:rPr>
            </w:pPr>
            <w:r w:rsidRPr="0092374C">
              <w:rPr>
                <w:rFonts w:eastAsia="Calibri" w:cs="Times New Roman"/>
                <w:sz w:val="20"/>
                <w:szCs w:val="23"/>
              </w:rPr>
              <w:t>1 435</w:t>
            </w:r>
          </w:p>
        </w:tc>
        <w:tc>
          <w:tcPr>
            <w:tcW w:w="582" w:type="pct"/>
            <w:vAlign w:val="center"/>
          </w:tcPr>
          <w:p w14:paraId="4CE5ED68" w14:textId="77777777" w:rsidR="000848F1" w:rsidRPr="0092374C" w:rsidRDefault="000848F1" w:rsidP="002340ED">
            <w:pPr>
              <w:jc w:val="center"/>
              <w:rPr>
                <w:rFonts w:eastAsia="Calibri" w:cs="Times New Roman"/>
                <w:sz w:val="20"/>
                <w:szCs w:val="23"/>
              </w:rPr>
            </w:pPr>
            <w:r w:rsidRPr="0092374C">
              <w:rPr>
                <w:rFonts w:eastAsia="Calibri" w:cs="Times New Roman"/>
                <w:sz w:val="20"/>
                <w:szCs w:val="23"/>
              </w:rPr>
              <w:t>1 650 (+15%  pret 2012.gadu)</w:t>
            </w:r>
          </w:p>
        </w:tc>
        <w:tc>
          <w:tcPr>
            <w:tcW w:w="574" w:type="pct"/>
            <w:vAlign w:val="center"/>
          </w:tcPr>
          <w:p w14:paraId="2BD17DFB" w14:textId="77777777" w:rsidR="000848F1" w:rsidRPr="0092374C" w:rsidRDefault="000848F1" w:rsidP="002340ED">
            <w:pPr>
              <w:jc w:val="center"/>
              <w:rPr>
                <w:rFonts w:eastAsia="Calibri" w:cs="Times New Roman"/>
                <w:sz w:val="20"/>
                <w:szCs w:val="23"/>
              </w:rPr>
            </w:pPr>
            <w:r w:rsidRPr="0092374C">
              <w:rPr>
                <w:rFonts w:eastAsia="Calibri" w:cs="Times New Roman"/>
                <w:sz w:val="20"/>
                <w:szCs w:val="23"/>
              </w:rPr>
              <w:t>1 722</w:t>
            </w:r>
          </w:p>
          <w:p w14:paraId="1EDADFCD" w14:textId="77777777" w:rsidR="000848F1" w:rsidRPr="0092374C" w:rsidRDefault="000848F1" w:rsidP="002340ED">
            <w:pPr>
              <w:jc w:val="center"/>
              <w:rPr>
                <w:rFonts w:eastAsia="Calibri" w:cs="Times New Roman"/>
                <w:sz w:val="20"/>
                <w:szCs w:val="23"/>
              </w:rPr>
            </w:pPr>
            <w:r w:rsidRPr="0092374C">
              <w:rPr>
                <w:rFonts w:eastAsia="Calibri" w:cs="Times New Roman"/>
                <w:sz w:val="20"/>
                <w:szCs w:val="23"/>
              </w:rPr>
              <w:t>(+20% pret 2012.gadu)</w:t>
            </w:r>
          </w:p>
        </w:tc>
      </w:tr>
      <w:tr w:rsidR="002340ED" w:rsidRPr="0092374C" w14:paraId="55B606CE" w14:textId="77777777" w:rsidTr="002340ED">
        <w:trPr>
          <w:jc w:val="center"/>
        </w:trPr>
        <w:tc>
          <w:tcPr>
            <w:tcW w:w="1376" w:type="pct"/>
            <w:shd w:val="clear" w:color="auto" w:fill="D9D9D9" w:themeFill="background1" w:themeFillShade="D9"/>
            <w:vAlign w:val="center"/>
          </w:tcPr>
          <w:p w14:paraId="1EB9A1EA" w14:textId="77777777" w:rsidR="000848F1" w:rsidRPr="0092374C" w:rsidRDefault="000848F1" w:rsidP="002340ED">
            <w:pPr>
              <w:rPr>
                <w:rFonts w:eastAsia="Calibri" w:cs="Times New Roman"/>
                <w:sz w:val="20"/>
                <w:szCs w:val="23"/>
              </w:rPr>
            </w:pPr>
            <w:r w:rsidRPr="0092374C">
              <w:rPr>
                <w:rFonts w:eastAsia="Calibri" w:cs="Times New Roman"/>
                <w:sz w:val="20"/>
                <w:szCs w:val="23"/>
              </w:rPr>
              <w:t>2. Vidējās noslodzes (gultas vietu noslogojums) palielināšanās izmitināšanas mītnēs ārpus noslogotākās vasaras sezonas (izņemot jūn.-aug.).</w:t>
            </w:r>
          </w:p>
        </w:tc>
        <w:tc>
          <w:tcPr>
            <w:tcW w:w="1319" w:type="pct"/>
            <w:vAlign w:val="center"/>
          </w:tcPr>
          <w:p w14:paraId="52855B1C" w14:textId="77777777" w:rsidR="000848F1" w:rsidRPr="0092374C" w:rsidRDefault="000848F1" w:rsidP="002340ED">
            <w:pPr>
              <w:jc w:val="center"/>
              <w:rPr>
                <w:rFonts w:eastAsia="Calibri" w:cs="Times New Roman"/>
                <w:sz w:val="20"/>
                <w:szCs w:val="23"/>
              </w:rPr>
            </w:pPr>
            <w:r w:rsidRPr="0092374C">
              <w:rPr>
                <w:rFonts w:eastAsia="Calibri" w:cs="Times New Roman"/>
                <w:sz w:val="20"/>
                <w:szCs w:val="23"/>
              </w:rPr>
              <w:t>Vidējā izmitināšanas mītņu noslodze (gultas vietu noslogojums) ārpus noslogotākās vasaras sezonas (izņemot jūn.-aug.), %</w:t>
            </w:r>
          </w:p>
        </w:tc>
        <w:tc>
          <w:tcPr>
            <w:tcW w:w="540" w:type="pct"/>
            <w:vAlign w:val="center"/>
          </w:tcPr>
          <w:p w14:paraId="6105177D" w14:textId="77777777" w:rsidR="000848F1" w:rsidRPr="0092374C" w:rsidRDefault="000848F1" w:rsidP="002340ED">
            <w:pPr>
              <w:jc w:val="center"/>
              <w:rPr>
                <w:rFonts w:eastAsia="Calibri" w:cs="Times New Roman"/>
                <w:sz w:val="20"/>
                <w:szCs w:val="23"/>
              </w:rPr>
            </w:pPr>
            <w:r w:rsidRPr="0092374C">
              <w:rPr>
                <w:rFonts w:eastAsia="Calibri" w:cs="Times New Roman"/>
                <w:sz w:val="20"/>
                <w:szCs w:val="23"/>
              </w:rPr>
              <w:t>35</w:t>
            </w:r>
          </w:p>
        </w:tc>
        <w:tc>
          <w:tcPr>
            <w:tcW w:w="608" w:type="pct"/>
            <w:vAlign w:val="center"/>
          </w:tcPr>
          <w:p w14:paraId="1B62F9D8" w14:textId="77777777" w:rsidR="000848F1" w:rsidRPr="0092374C" w:rsidRDefault="000848F1" w:rsidP="002340ED">
            <w:pPr>
              <w:jc w:val="center"/>
              <w:rPr>
                <w:rFonts w:eastAsia="Calibri" w:cs="Times New Roman"/>
                <w:sz w:val="20"/>
                <w:szCs w:val="23"/>
              </w:rPr>
            </w:pPr>
            <w:r w:rsidRPr="0092374C">
              <w:rPr>
                <w:rFonts w:eastAsia="Calibri" w:cs="Times New Roman"/>
                <w:sz w:val="20"/>
                <w:szCs w:val="23"/>
              </w:rPr>
              <w:t>30</w:t>
            </w:r>
          </w:p>
        </w:tc>
        <w:tc>
          <w:tcPr>
            <w:tcW w:w="582" w:type="pct"/>
            <w:vAlign w:val="center"/>
          </w:tcPr>
          <w:p w14:paraId="3F17885E" w14:textId="77777777" w:rsidR="000848F1" w:rsidRPr="0092374C" w:rsidRDefault="000848F1" w:rsidP="002340ED">
            <w:pPr>
              <w:jc w:val="center"/>
              <w:rPr>
                <w:rFonts w:eastAsia="Calibri" w:cs="Times New Roman"/>
                <w:sz w:val="20"/>
                <w:szCs w:val="23"/>
              </w:rPr>
            </w:pPr>
            <w:r w:rsidRPr="0092374C">
              <w:rPr>
                <w:rFonts w:eastAsia="Calibri" w:cs="Times New Roman"/>
                <w:sz w:val="20"/>
                <w:szCs w:val="23"/>
              </w:rPr>
              <w:t>34</w:t>
            </w:r>
          </w:p>
        </w:tc>
        <w:tc>
          <w:tcPr>
            <w:tcW w:w="574" w:type="pct"/>
            <w:vAlign w:val="center"/>
          </w:tcPr>
          <w:p w14:paraId="04D76122" w14:textId="77777777" w:rsidR="000848F1" w:rsidRPr="0092374C" w:rsidRDefault="000848F1" w:rsidP="002340ED">
            <w:pPr>
              <w:jc w:val="center"/>
              <w:rPr>
                <w:rFonts w:eastAsia="Calibri" w:cs="Times New Roman"/>
                <w:sz w:val="20"/>
                <w:szCs w:val="23"/>
              </w:rPr>
            </w:pPr>
            <w:r w:rsidRPr="0092374C">
              <w:rPr>
                <w:rFonts w:eastAsia="Calibri" w:cs="Times New Roman"/>
                <w:sz w:val="20"/>
                <w:szCs w:val="23"/>
              </w:rPr>
              <w:t>37</w:t>
            </w:r>
          </w:p>
        </w:tc>
      </w:tr>
      <w:tr w:rsidR="002340ED" w:rsidRPr="0092374C" w14:paraId="18E0F54A" w14:textId="77777777" w:rsidTr="002340ED">
        <w:trPr>
          <w:jc w:val="center"/>
        </w:trPr>
        <w:tc>
          <w:tcPr>
            <w:tcW w:w="1376" w:type="pct"/>
            <w:shd w:val="clear" w:color="auto" w:fill="D9D9D9" w:themeFill="background1" w:themeFillShade="D9"/>
            <w:vAlign w:val="center"/>
          </w:tcPr>
          <w:p w14:paraId="432FE22E" w14:textId="77777777" w:rsidR="000848F1" w:rsidRPr="0092374C" w:rsidRDefault="000848F1" w:rsidP="002340ED">
            <w:pPr>
              <w:rPr>
                <w:rFonts w:eastAsia="Calibri" w:cs="Times New Roman"/>
                <w:sz w:val="20"/>
                <w:szCs w:val="23"/>
              </w:rPr>
            </w:pPr>
            <w:r w:rsidRPr="0092374C">
              <w:rPr>
                <w:rFonts w:eastAsia="Calibri" w:cs="Times New Roman"/>
                <w:sz w:val="20"/>
                <w:szCs w:val="23"/>
              </w:rPr>
              <w:t>3. Viena ārvalstu vairākdienu ceļotāja vidējo izdevumu diennaktī pieaugums.</w:t>
            </w:r>
          </w:p>
        </w:tc>
        <w:tc>
          <w:tcPr>
            <w:tcW w:w="1319" w:type="pct"/>
            <w:vAlign w:val="center"/>
          </w:tcPr>
          <w:p w14:paraId="1F04D448" w14:textId="77777777" w:rsidR="000848F1" w:rsidRPr="0092374C" w:rsidRDefault="000848F1" w:rsidP="002340ED">
            <w:pPr>
              <w:jc w:val="center"/>
              <w:rPr>
                <w:rFonts w:eastAsia="Calibri" w:cs="Times New Roman"/>
                <w:sz w:val="20"/>
                <w:szCs w:val="23"/>
              </w:rPr>
            </w:pPr>
            <w:r w:rsidRPr="0092374C">
              <w:rPr>
                <w:rFonts w:eastAsia="Calibri" w:cs="Times New Roman"/>
                <w:sz w:val="20"/>
                <w:szCs w:val="23"/>
              </w:rPr>
              <w:t>Viena ārvalstu vairākdienu ceļotāja vidējie izdevumi diennaktī, EUR</w:t>
            </w:r>
          </w:p>
        </w:tc>
        <w:tc>
          <w:tcPr>
            <w:tcW w:w="540" w:type="pct"/>
            <w:vAlign w:val="center"/>
          </w:tcPr>
          <w:p w14:paraId="17509245" w14:textId="77777777" w:rsidR="000848F1" w:rsidRPr="0092374C" w:rsidRDefault="000848F1" w:rsidP="002340ED">
            <w:pPr>
              <w:jc w:val="center"/>
              <w:rPr>
                <w:rFonts w:eastAsia="Calibri" w:cs="Times New Roman"/>
                <w:sz w:val="20"/>
                <w:szCs w:val="23"/>
              </w:rPr>
            </w:pPr>
            <w:r w:rsidRPr="0092374C">
              <w:rPr>
                <w:rFonts w:eastAsia="Calibri" w:cs="Times New Roman"/>
                <w:sz w:val="20"/>
                <w:szCs w:val="23"/>
              </w:rPr>
              <w:t>41,3</w:t>
            </w:r>
          </w:p>
        </w:tc>
        <w:tc>
          <w:tcPr>
            <w:tcW w:w="608" w:type="pct"/>
            <w:vAlign w:val="center"/>
          </w:tcPr>
          <w:p w14:paraId="090818D1" w14:textId="77777777" w:rsidR="000848F1" w:rsidRPr="0092374C" w:rsidRDefault="000848F1" w:rsidP="002340ED">
            <w:pPr>
              <w:jc w:val="center"/>
              <w:rPr>
                <w:rFonts w:eastAsia="Calibri" w:cs="Times New Roman"/>
                <w:sz w:val="20"/>
                <w:szCs w:val="23"/>
              </w:rPr>
            </w:pPr>
            <w:r w:rsidRPr="0092374C">
              <w:rPr>
                <w:rFonts w:eastAsia="Calibri" w:cs="Times New Roman"/>
                <w:sz w:val="20"/>
                <w:szCs w:val="23"/>
              </w:rPr>
              <w:t>75,4</w:t>
            </w:r>
          </w:p>
        </w:tc>
        <w:tc>
          <w:tcPr>
            <w:tcW w:w="582" w:type="pct"/>
            <w:vAlign w:val="center"/>
          </w:tcPr>
          <w:p w14:paraId="16ACC2CD" w14:textId="77777777" w:rsidR="000848F1" w:rsidRPr="0092374C" w:rsidRDefault="000848F1" w:rsidP="002340ED">
            <w:pPr>
              <w:jc w:val="center"/>
              <w:rPr>
                <w:rFonts w:eastAsia="Calibri" w:cs="Times New Roman"/>
                <w:sz w:val="20"/>
                <w:szCs w:val="23"/>
              </w:rPr>
            </w:pPr>
            <w:r w:rsidRPr="0092374C">
              <w:rPr>
                <w:rFonts w:eastAsia="Calibri" w:cs="Times New Roman"/>
                <w:sz w:val="20"/>
                <w:szCs w:val="23"/>
              </w:rPr>
              <w:t>87,5</w:t>
            </w:r>
          </w:p>
        </w:tc>
        <w:tc>
          <w:tcPr>
            <w:tcW w:w="574" w:type="pct"/>
            <w:vAlign w:val="center"/>
          </w:tcPr>
          <w:p w14:paraId="7CB9E0C6" w14:textId="77777777" w:rsidR="000848F1" w:rsidRPr="0092374C" w:rsidRDefault="000848F1" w:rsidP="002340ED">
            <w:pPr>
              <w:jc w:val="center"/>
              <w:rPr>
                <w:rFonts w:eastAsia="Calibri" w:cs="Times New Roman"/>
                <w:sz w:val="20"/>
                <w:szCs w:val="23"/>
              </w:rPr>
            </w:pPr>
            <w:r w:rsidRPr="0092374C">
              <w:rPr>
                <w:rFonts w:eastAsia="Calibri" w:cs="Times New Roman"/>
                <w:sz w:val="20"/>
                <w:szCs w:val="23"/>
              </w:rPr>
              <w:t>95,5</w:t>
            </w:r>
          </w:p>
          <w:p w14:paraId="01F115E0" w14:textId="77777777" w:rsidR="000848F1" w:rsidRPr="0092374C" w:rsidRDefault="000848F1" w:rsidP="002340ED">
            <w:pPr>
              <w:jc w:val="center"/>
              <w:rPr>
                <w:rFonts w:eastAsia="Calibri" w:cs="Times New Roman"/>
                <w:sz w:val="20"/>
                <w:szCs w:val="23"/>
              </w:rPr>
            </w:pPr>
            <w:r w:rsidRPr="0092374C">
              <w:rPr>
                <w:rFonts w:eastAsia="Calibri" w:cs="Times New Roman"/>
                <w:sz w:val="20"/>
                <w:szCs w:val="23"/>
              </w:rPr>
              <w:t>(ikgadējais pieaugums 3%)</w:t>
            </w:r>
          </w:p>
        </w:tc>
      </w:tr>
      <w:tr w:rsidR="002340ED" w:rsidRPr="000848F1" w14:paraId="08F3C953" w14:textId="77777777" w:rsidTr="002340ED">
        <w:trPr>
          <w:jc w:val="center"/>
        </w:trPr>
        <w:tc>
          <w:tcPr>
            <w:tcW w:w="1376" w:type="pct"/>
            <w:shd w:val="clear" w:color="auto" w:fill="D9D9D9" w:themeFill="background1" w:themeFillShade="D9"/>
            <w:vAlign w:val="center"/>
          </w:tcPr>
          <w:p w14:paraId="092ED33B" w14:textId="77777777" w:rsidR="000848F1" w:rsidRPr="0092374C" w:rsidRDefault="000848F1" w:rsidP="002340ED">
            <w:pPr>
              <w:rPr>
                <w:rFonts w:eastAsia="Calibri" w:cs="Times New Roman"/>
                <w:sz w:val="20"/>
                <w:szCs w:val="23"/>
              </w:rPr>
            </w:pPr>
            <w:r w:rsidRPr="0092374C">
              <w:rPr>
                <w:rFonts w:eastAsia="Calibri" w:cs="Times New Roman"/>
                <w:sz w:val="20"/>
                <w:szCs w:val="23"/>
              </w:rPr>
              <w:t>4. Ārvalstu vairākdienu ceļotāju kopējo izdevumu gadā pieaugums.</w:t>
            </w:r>
          </w:p>
        </w:tc>
        <w:tc>
          <w:tcPr>
            <w:tcW w:w="1319" w:type="pct"/>
            <w:vAlign w:val="center"/>
          </w:tcPr>
          <w:p w14:paraId="646A4384" w14:textId="77777777" w:rsidR="000848F1" w:rsidRPr="0092374C" w:rsidRDefault="000848F1" w:rsidP="002340ED">
            <w:pPr>
              <w:jc w:val="center"/>
              <w:rPr>
                <w:rFonts w:eastAsia="Calibri" w:cs="Times New Roman"/>
                <w:sz w:val="20"/>
                <w:szCs w:val="23"/>
              </w:rPr>
            </w:pPr>
            <w:r w:rsidRPr="0092374C">
              <w:rPr>
                <w:rFonts w:eastAsia="Calibri" w:cs="Times New Roman"/>
                <w:sz w:val="20"/>
                <w:szCs w:val="23"/>
              </w:rPr>
              <w:t>Ārvalstu vairākdienu ceļotāju kopējie izdevumi gadā, milj. EUR</w:t>
            </w:r>
          </w:p>
        </w:tc>
        <w:tc>
          <w:tcPr>
            <w:tcW w:w="540" w:type="pct"/>
            <w:vAlign w:val="center"/>
          </w:tcPr>
          <w:p w14:paraId="5BAD0AEC" w14:textId="77777777" w:rsidR="000848F1" w:rsidRPr="0092374C" w:rsidRDefault="000848F1" w:rsidP="002340ED">
            <w:pPr>
              <w:jc w:val="center"/>
              <w:rPr>
                <w:rFonts w:eastAsia="Calibri" w:cs="Times New Roman"/>
                <w:sz w:val="20"/>
                <w:szCs w:val="23"/>
              </w:rPr>
            </w:pPr>
            <w:r w:rsidRPr="0092374C">
              <w:rPr>
                <w:rFonts w:eastAsia="Calibri" w:cs="Times New Roman"/>
                <w:sz w:val="20"/>
                <w:szCs w:val="23"/>
              </w:rPr>
              <w:t>356</w:t>
            </w:r>
          </w:p>
        </w:tc>
        <w:tc>
          <w:tcPr>
            <w:tcW w:w="608" w:type="pct"/>
            <w:vAlign w:val="center"/>
          </w:tcPr>
          <w:p w14:paraId="5956DCCD" w14:textId="4C7A032F" w:rsidR="000848F1" w:rsidRPr="0092374C" w:rsidRDefault="000848F1" w:rsidP="002340ED">
            <w:pPr>
              <w:jc w:val="center"/>
              <w:rPr>
                <w:rFonts w:eastAsia="Calibri" w:cs="Times New Roman"/>
                <w:sz w:val="20"/>
                <w:szCs w:val="23"/>
              </w:rPr>
            </w:pPr>
            <w:r w:rsidRPr="0092374C">
              <w:rPr>
                <w:rFonts w:eastAsia="Calibri" w:cs="Times New Roman"/>
                <w:sz w:val="20"/>
                <w:szCs w:val="23"/>
              </w:rPr>
              <w:t>438 (vidējais ceļojumu ilgums - 4 diennaktis)</w:t>
            </w:r>
          </w:p>
        </w:tc>
        <w:tc>
          <w:tcPr>
            <w:tcW w:w="582" w:type="pct"/>
            <w:vAlign w:val="center"/>
          </w:tcPr>
          <w:p w14:paraId="746180A2" w14:textId="77777777" w:rsidR="000848F1" w:rsidRPr="0092374C" w:rsidRDefault="000848F1" w:rsidP="002340ED">
            <w:pPr>
              <w:jc w:val="center"/>
              <w:rPr>
                <w:rFonts w:eastAsia="Calibri" w:cs="Times New Roman"/>
                <w:sz w:val="20"/>
                <w:szCs w:val="23"/>
              </w:rPr>
            </w:pPr>
            <w:r w:rsidRPr="0092374C">
              <w:rPr>
                <w:rFonts w:eastAsia="Calibri" w:cs="Times New Roman"/>
                <w:sz w:val="20"/>
                <w:szCs w:val="23"/>
              </w:rPr>
              <w:t>577,5</w:t>
            </w:r>
          </w:p>
        </w:tc>
        <w:tc>
          <w:tcPr>
            <w:tcW w:w="574" w:type="pct"/>
            <w:vAlign w:val="center"/>
          </w:tcPr>
          <w:p w14:paraId="5B90B0B9" w14:textId="77777777" w:rsidR="000848F1" w:rsidRPr="0092374C" w:rsidRDefault="000848F1" w:rsidP="002340ED">
            <w:pPr>
              <w:jc w:val="center"/>
              <w:rPr>
                <w:rFonts w:eastAsia="Calibri" w:cs="Times New Roman"/>
                <w:sz w:val="20"/>
                <w:szCs w:val="23"/>
              </w:rPr>
            </w:pPr>
            <w:r w:rsidRPr="0092374C">
              <w:rPr>
                <w:rFonts w:eastAsia="Calibri" w:cs="Times New Roman"/>
                <w:sz w:val="20"/>
                <w:szCs w:val="23"/>
              </w:rPr>
              <w:t>657,8</w:t>
            </w:r>
          </w:p>
          <w:p w14:paraId="58D89C5F" w14:textId="77777777" w:rsidR="000848F1" w:rsidRPr="000848F1" w:rsidRDefault="000848F1" w:rsidP="002340ED">
            <w:pPr>
              <w:jc w:val="center"/>
              <w:rPr>
                <w:rFonts w:eastAsia="Calibri" w:cs="Times New Roman"/>
                <w:sz w:val="20"/>
                <w:szCs w:val="23"/>
              </w:rPr>
            </w:pPr>
            <w:r w:rsidRPr="0092374C">
              <w:rPr>
                <w:rFonts w:eastAsia="Calibri" w:cs="Times New Roman"/>
                <w:sz w:val="20"/>
                <w:szCs w:val="23"/>
              </w:rPr>
              <w:t>(vidējais ceļojumu ilgums - 4 diennaktis)</w:t>
            </w:r>
          </w:p>
        </w:tc>
      </w:tr>
    </w:tbl>
    <w:p w14:paraId="099802A3" w14:textId="77777777" w:rsidR="003D6EAB" w:rsidRPr="00267BCC" w:rsidRDefault="003D6EAB" w:rsidP="003D6EAB">
      <w:pPr>
        <w:jc w:val="both"/>
        <w:rPr>
          <w:sz w:val="20"/>
          <w:szCs w:val="20"/>
        </w:rPr>
      </w:pPr>
      <w:r w:rsidRPr="00267BCC">
        <w:rPr>
          <w:sz w:val="20"/>
          <w:szCs w:val="20"/>
        </w:rPr>
        <w:t>Datu avots: CSP, Prognoze: EM</w:t>
      </w:r>
    </w:p>
    <w:p w14:paraId="7AC7A699" w14:textId="77777777" w:rsidR="003D6EAB" w:rsidRDefault="003D6EAB" w:rsidP="002D0C55">
      <w:pPr>
        <w:ind w:firstLine="426"/>
        <w:jc w:val="both"/>
        <w:rPr>
          <w:bCs/>
          <w:sz w:val="23"/>
          <w:szCs w:val="23"/>
        </w:rPr>
      </w:pPr>
    </w:p>
    <w:p w14:paraId="765D6C63" w14:textId="15445D9A" w:rsidR="002D0C55" w:rsidRPr="003D6EAB" w:rsidRDefault="002D0C55" w:rsidP="002D0C55">
      <w:pPr>
        <w:ind w:firstLine="426"/>
        <w:jc w:val="both"/>
        <w:rPr>
          <w:sz w:val="24"/>
          <w:szCs w:val="24"/>
        </w:rPr>
      </w:pPr>
      <w:r w:rsidRPr="003D6EAB">
        <w:rPr>
          <w:bCs/>
          <w:sz w:val="24"/>
          <w:szCs w:val="24"/>
        </w:rPr>
        <w:t>Pamatnostādņu fokusa identificēšana, uzdevumu un mērķu formulēšana galvenokārt balstās uz konceptuālajiem pamatiem, kas ietverti Latvijas tūrisma mārketinga stratēģijā 2010.-2015.gadam, Latvijas preču un pakalpojumu eksporta veicināšanas un ārvalstu investīciju piesaistes pamatnostādnēs 2013.-2019.gadam un Nacionālajā attīstības plānā 2014.-2020.gadam.</w:t>
      </w:r>
    </w:p>
    <w:p w14:paraId="63D61083" w14:textId="7D46DE50" w:rsidR="008C3657" w:rsidRPr="003D6EAB" w:rsidRDefault="002D0C55" w:rsidP="002D0C55">
      <w:pPr>
        <w:ind w:firstLine="426"/>
        <w:jc w:val="both"/>
        <w:rPr>
          <w:sz w:val="24"/>
          <w:szCs w:val="24"/>
        </w:rPr>
      </w:pPr>
      <w:r w:rsidRPr="003D6EAB">
        <w:rPr>
          <w:sz w:val="24"/>
          <w:szCs w:val="24"/>
        </w:rPr>
        <w:lastRenderedPageBreak/>
        <w:t>Pamatnostādnēs noteikts, ka tūrisma produktu attīstībai ir jābalstās uz šādām pamatvērtībām – kvalitāte, ilgtspēja, videi draudzīgo tehnoloģiju un pieeju ieviešana, individualizācija, augsta pievienotā vērtība, sadarbība, tūristu iesaiste/pieredzes gūšana un sadarbība konkurētspējas nodrošināšanai, produkta starptautiska atpazīšana. Attiecīgi tūrisma pakalpojumu eksporta pieaugums tiek panākts, veicinot tūrisma klasteru jeb puduru veidošanu reģionos, elastīgi un operatīvi reaģējot uz izmaiņām tirgus situācijā, īstenojot katram augsti prioritārajam tūrisma tirgum izstrādāto individuālo mārketinga stratēģiju un komunikācijas plānu, kura pamatā ir precīzi definēta teritorija, mērķa tirgus segmenti, kā arī tūrisma produkti – t.i. balstoties uz fokusēšanās un dziļās iespiešanās tirgū stratēģijām, kā arī īstenojot precīzu Latvijas kā tūrisma galamērķa pozicionējumu vienotajā Baltijas un Baltijas jūras reģiona piedāvājumā.</w:t>
      </w:r>
    </w:p>
    <w:p w14:paraId="2644661B" w14:textId="4B43554A" w:rsidR="00F446D6" w:rsidRPr="003D6EAB" w:rsidRDefault="00A561BD" w:rsidP="00FA718D">
      <w:pPr>
        <w:ind w:firstLine="426"/>
        <w:jc w:val="both"/>
        <w:rPr>
          <w:sz w:val="24"/>
          <w:szCs w:val="24"/>
        </w:rPr>
      </w:pPr>
      <w:r w:rsidRPr="003D6EAB">
        <w:rPr>
          <w:sz w:val="24"/>
          <w:szCs w:val="24"/>
        </w:rPr>
        <w:t xml:space="preserve">Saskaņā ar </w:t>
      </w:r>
      <w:r w:rsidR="001453AE">
        <w:rPr>
          <w:sz w:val="24"/>
          <w:szCs w:val="24"/>
        </w:rPr>
        <w:t>Ministru kabineta</w:t>
      </w:r>
      <w:r w:rsidRPr="003D6EAB">
        <w:rPr>
          <w:sz w:val="24"/>
          <w:szCs w:val="24"/>
        </w:rPr>
        <w:t xml:space="preserve"> 2014.gada 2.decemb</w:t>
      </w:r>
      <w:r w:rsidR="001112A0" w:rsidRPr="003D6EAB">
        <w:rPr>
          <w:sz w:val="24"/>
          <w:szCs w:val="24"/>
        </w:rPr>
        <w:t xml:space="preserve">ra noteikumu Nr. 737 </w:t>
      </w:r>
      <w:r w:rsidRPr="003D6EAB">
        <w:rPr>
          <w:sz w:val="24"/>
          <w:szCs w:val="24"/>
        </w:rPr>
        <w:t>“Attīstības plānošanas dokumentu izstrādes un ietekmes izvērtēšanas noteikumi” 41.punktā noteikto kārtību, i</w:t>
      </w:r>
      <w:r w:rsidR="00E565F5" w:rsidRPr="003D6EAB">
        <w:rPr>
          <w:sz w:val="24"/>
          <w:szCs w:val="24"/>
        </w:rPr>
        <w:t xml:space="preserve">nformatīvajā ziņojumā </w:t>
      </w:r>
      <w:r w:rsidR="00AD23D6" w:rsidRPr="003D6EAB">
        <w:rPr>
          <w:sz w:val="24"/>
          <w:szCs w:val="24"/>
        </w:rPr>
        <w:t xml:space="preserve">analizēta </w:t>
      </w:r>
      <w:r w:rsidR="00AD23D6" w:rsidRPr="00EE3C8E">
        <w:rPr>
          <w:sz w:val="24"/>
          <w:szCs w:val="24"/>
        </w:rPr>
        <w:t>P</w:t>
      </w:r>
      <w:r w:rsidR="0083233C" w:rsidRPr="00EE3C8E">
        <w:rPr>
          <w:sz w:val="24"/>
          <w:szCs w:val="24"/>
        </w:rPr>
        <w:t>amatnostādnēs izvirzīto mērķu un plānoto rezultātu sasniegšan</w:t>
      </w:r>
      <w:r w:rsidR="00AD23D6" w:rsidRPr="00EE3C8E">
        <w:rPr>
          <w:sz w:val="24"/>
          <w:szCs w:val="24"/>
        </w:rPr>
        <w:t>a</w:t>
      </w:r>
      <w:r w:rsidR="0083233C" w:rsidRPr="00EE3C8E">
        <w:rPr>
          <w:sz w:val="24"/>
          <w:szCs w:val="24"/>
        </w:rPr>
        <w:t xml:space="preserve">, vērtējot </w:t>
      </w:r>
      <w:r w:rsidR="00E45CD5" w:rsidRPr="00EE3C8E">
        <w:rPr>
          <w:sz w:val="24"/>
          <w:szCs w:val="24"/>
        </w:rPr>
        <w:t>noteikto rezultatīvo rādītāju izpild</w:t>
      </w:r>
      <w:r w:rsidR="0083233C" w:rsidRPr="00EE3C8E">
        <w:rPr>
          <w:sz w:val="24"/>
          <w:szCs w:val="24"/>
        </w:rPr>
        <w:t>i</w:t>
      </w:r>
      <w:r w:rsidRPr="00373625">
        <w:rPr>
          <w:sz w:val="24"/>
          <w:szCs w:val="24"/>
        </w:rPr>
        <w:t xml:space="preserve">, </w:t>
      </w:r>
      <w:r w:rsidR="003949FA" w:rsidRPr="00373625">
        <w:rPr>
          <w:sz w:val="24"/>
          <w:szCs w:val="24"/>
        </w:rPr>
        <w:t xml:space="preserve">uzsvaru liekot uz </w:t>
      </w:r>
      <w:r w:rsidRPr="00373625">
        <w:rPr>
          <w:sz w:val="24"/>
          <w:szCs w:val="24"/>
        </w:rPr>
        <w:t>ārējās vides izmaiņu ietekm</w:t>
      </w:r>
      <w:r w:rsidR="003949FA" w:rsidRPr="00373625">
        <w:rPr>
          <w:sz w:val="24"/>
          <w:szCs w:val="24"/>
        </w:rPr>
        <w:t>i</w:t>
      </w:r>
      <w:r w:rsidRPr="00373625">
        <w:rPr>
          <w:sz w:val="24"/>
          <w:szCs w:val="24"/>
        </w:rPr>
        <w:t xml:space="preserve"> uz rezultātu sasniegšanu.</w:t>
      </w:r>
      <w:r w:rsidR="003C5618" w:rsidRPr="003D6EAB">
        <w:rPr>
          <w:sz w:val="24"/>
          <w:szCs w:val="24"/>
        </w:rPr>
        <w:t xml:space="preserve"> </w:t>
      </w:r>
    </w:p>
    <w:p w14:paraId="290DDE98" w14:textId="6DEFE79F" w:rsidR="00FA718D" w:rsidRPr="003D6EAB" w:rsidRDefault="003C5618" w:rsidP="00FA718D">
      <w:pPr>
        <w:ind w:firstLine="426"/>
        <w:jc w:val="both"/>
        <w:rPr>
          <w:rFonts w:cs="Times New Roman"/>
          <w:sz w:val="24"/>
          <w:szCs w:val="24"/>
        </w:rPr>
      </w:pPr>
      <w:r w:rsidRPr="003D6EAB">
        <w:rPr>
          <w:sz w:val="24"/>
          <w:szCs w:val="24"/>
        </w:rPr>
        <w:t xml:space="preserve">Pamatnostādņu mērķu un politikas rezultātu sasniegšanai īstenojamie uzdevumi un to darbības rezultāti noteikti rīcības plānā </w:t>
      </w:r>
      <w:r w:rsidR="00AD23D6" w:rsidRPr="003D6EAB">
        <w:rPr>
          <w:sz w:val="24"/>
          <w:szCs w:val="24"/>
        </w:rPr>
        <w:t>P</w:t>
      </w:r>
      <w:r w:rsidRPr="003D6EAB">
        <w:rPr>
          <w:sz w:val="24"/>
          <w:szCs w:val="24"/>
        </w:rPr>
        <w:t>amatnostādņu īstenošanai</w:t>
      </w:r>
      <w:r w:rsidR="00AD23D6" w:rsidRPr="003D6EAB">
        <w:rPr>
          <w:sz w:val="24"/>
          <w:szCs w:val="24"/>
        </w:rPr>
        <w:t xml:space="preserve"> (P</w:t>
      </w:r>
      <w:r w:rsidR="0083233C" w:rsidRPr="003D6EAB">
        <w:rPr>
          <w:sz w:val="24"/>
          <w:szCs w:val="24"/>
        </w:rPr>
        <w:t>amatnostādņu 1.pielikums)</w:t>
      </w:r>
      <w:r w:rsidRPr="003D6EAB">
        <w:rPr>
          <w:sz w:val="24"/>
          <w:szCs w:val="24"/>
        </w:rPr>
        <w:t xml:space="preserve"> – </w:t>
      </w:r>
      <w:r w:rsidRPr="00C139C0">
        <w:rPr>
          <w:sz w:val="24"/>
          <w:szCs w:val="24"/>
        </w:rPr>
        <w:t>informatīvajā ziņojumā tiks vērtēta plāna izpilde</w:t>
      </w:r>
      <w:r w:rsidR="00EE043E" w:rsidRPr="00C139C0">
        <w:rPr>
          <w:sz w:val="24"/>
          <w:szCs w:val="24"/>
        </w:rPr>
        <w:t xml:space="preserve"> (informatīvā ziņojuma 1.pielikums)</w:t>
      </w:r>
      <w:r w:rsidRPr="00C139C0">
        <w:rPr>
          <w:sz w:val="24"/>
          <w:szCs w:val="24"/>
        </w:rPr>
        <w:t xml:space="preserve">, vērtējot </w:t>
      </w:r>
      <w:r w:rsidR="00AD23D6" w:rsidRPr="00C139C0">
        <w:rPr>
          <w:sz w:val="24"/>
          <w:szCs w:val="24"/>
        </w:rPr>
        <w:t>P</w:t>
      </w:r>
      <w:r w:rsidR="0083233C" w:rsidRPr="00C139C0">
        <w:rPr>
          <w:sz w:val="24"/>
          <w:szCs w:val="24"/>
        </w:rPr>
        <w:t>amatnostādņu īstenošanā iesaistīto institūciju paveikt</w:t>
      </w:r>
      <w:r w:rsidR="001112A0" w:rsidRPr="00C139C0">
        <w:rPr>
          <w:sz w:val="24"/>
          <w:szCs w:val="24"/>
        </w:rPr>
        <w:t xml:space="preserve">o. </w:t>
      </w:r>
      <w:r w:rsidR="00EE043E" w:rsidRPr="00C139C0">
        <w:rPr>
          <w:sz w:val="24"/>
          <w:szCs w:val="24"/>
        </w:rPr>
        <w:t>Tāpat tiks sastādīts pamatnostādnēs paredzēto uzdevumu un pasākumu plāns 201</w:t>
      </w:r>
      <w:r w:rsidR="0092374C" w:rsidRPr="00C139C0">
        <w:rPr>
          <w:sz w:val="24"/>
          <w:szCs w:val="24"/>
        </w:rPr>
        <w:t>7.-2020</w:t>
      </w:r>
      <w:r w:rsidR="00EE043E" w:rsidRPr="00C139C0">
        <w:rPr>
          <w:sz w:val="24"/>
          <w:szCs w:val="24"/>
        </w:rPr>
        <w:t>.gadam</w:t>
      </w:r>
      <w:r w:rsidR="002270AD" w:rsidRPr="00C139C0">
        <w:rPr>
          <w:sz w:val="24"/>
          <w:szCs w:val="24"/>
        </w:rPr>
        <w:t>. Papildus tiek analizēta pašvaldību iesaiste pamatnostādņu īstenošanā un tūrisma veicināšanā, kā arī veikts pašvaldību</w:t>
      </w:r>
      <w:r w:rsidR="00EE043E" w:rsidRPr="00C139C0">
        <w:rPr>
          <w:sz w:val="24"/>
          <w:szCs w:val="24"/>
        </w:rPr>
        <w:t xml:space="preserve"> </w:t>
      </w:r>
      <w:r w:rsidR="002270AD" w:rsidRPr="00C139C0">
        <w:rPr>
          <w:sz w:val="24"/>
          <w:szCs w:val="24"/>
        </w:rPr>
        <w:t xml:space="preserve"> īstenoto un plānoto aktivitāšu kopsavilkums </w:t>
      </w:r>
      <w:r w:rsidR="00EE043E" w:rsidRPr="00C139C0">
        <w:rPr>
          <w:sz w:val="24"/>
          <w:szCs w:val="24"/>
        </w:rPr>
        <w:t>(informatīvā ziņojuma 2.pielikums).</w:t>
      </w:r>
      <w:r w:rsidR="00EE043E" w:rsidRPr="003D6EAB">
        <w:rPr>
          <w:sz w:val="24"/>
          <w:szCs w:val="24"/>
        </w:rPr>
        <w:t xml:space="preserve"> </w:t>
      </w:r>
      <w:r w:rsidR="00520614" w:rsidRPr="003D6EAB">
        <w:rPr>
          <w:rFonts w:cs="Times New Roman"/>
          <w:sz w:val="24"/>
          <w:szCs w:val="24"/>
        </w:rPr>
        <w:t xml:space="preserve">Novērtējumā aktualizēti iesaistīto pušu </w:t>
      </w:r>
      <w:r w:rsidR="001112A0" w:rsidRPr="003D6EAB">
        <w:rPr>
          <w:rFonts w:cs="Times New Roman"/>
          <w:sz w:val="24"/>
          <w:szCs w:val="24"/>
        </w:rPr>
        <w:t>veicamie</w:t>
      </w:r>
      <w:r w:rsidR="00520614" w:rsidRPr="003D6EAB">
        <w:rPr>
          <w:rFonts w:cs="Times New Roman"/>
          <w:sz w:val="24"/>
          <w:szCs w:val="24"/>
        </w:rPr>
        <w:t xml:space="preserve"> </w:t>
      </w:r>
      <w:r w:rsidR="001112A0" w:rsidRPr="003D6EAB">
        <w:rPr>
          <w:rFonts w:cs="Times New Roman"/>
          <w:sz w:val="24"/>
          <w:szCs w:val="24"/>
        </w:rPr>
        <w:t>uzdevumi izvirzīto mērķu sasniegšanai</w:t>
      </w:r>
      <w:r w:rsidR="00AD23D6" w:rsidRPr="003D6EAB">
        <w:rPr>
          <w:rFonts w:cs="Times New Roman"/>
          <w:sz w:val="24"/>
          <w:szCs w:val="24"/>
        </w:rPr>
        <w:t>, kā arī vērtēta</w:t>
      </w:r>
      <w:r w:rsidR="00520614" w:rsidRPr="003D6EAB">
        <w:rPr>
          <w:rFonts w:cs="Times New Roman"/>
          <w:sz w:val="24"/>
          <w:szCs w:val="24"/>
        </w:rPr>
        <w:t xml:space="preserve"> </w:t>
      </w:r>
      <w:r w:rsidR="00AD23D6" w:rsidRPr="003D6EAB">
        <w:rPr>
          <w:rFonts w:cs="Times New Roman"/>
          <w:sz w:val="24"/>
          <w:szCs w:val="24"/>
        </w:rPr>
        <w:t>nepieciešamība veikt</w:t>
      </w:r>
      <w:r w:rsidR="00520614" w:rsidRPr="003D6EAB">
        <w:rPr>
          <w:rFonts w:cs="Times New Roman"/>
          <w:sz w:val="24"/>
          <w:szCs w:val="24"/>
        </w:rPr>
        <w:t xml:space="preserve"> </w:t>
      </w:r>
      <w:r w:rsidR="00AD23D6" w:rsidRPr="003D6EAB">
        <w:rPr>
          <w:rFonts w:cs="Times New Roman"/>
          <w:sz w:val="24"/>
          <w:szCs w:val="24"/>
        </w:rPr>
        <w:t>korekcijas Pamatnostādnēs</w:t>
      </w:r>
      <w:r w:rsidR="00373625">
        <w:rPr>
          <w:rFonts w:cs="Times New Roman"/>
          <w:sz w:val="24"/>
          <w:szCs w:val="24"/>
        </w:rPr>
        <w:t xml:space="preserve"> noteikto rezultatīvo rādītāju apmēros</w:t>
      </w:r>
      <w:r w:rsidR="007B19F1">
        <w:rPr>
          <w:rFonts w:cs="Times New Roman"/>
          <w:sz w:val="24"/>
          <w:szCs w:val="24"/>
        </w:rPr>
        <w:t xml:space="preserve"> un to prognozēs</w:t>
      </w:r>
      <w:r w:rsidR="00373625">
        <w:rPr>
          <w:rFonts w:cs="Times New Roman"/>
          <w:sz w:val="24"/>
          <w:szCs w:val="24"/>
        </w:rPr>
        <w:t>.</w:t>
      </w:r>
      <w:r w:rsidR="00520614" w:rsidRPr="003D6EAB">
        <w:rPr>
          <w:rFonts w:cs="Times New Roman"/>
          <w:sz w:val="24"/>
          <w:szCs w:val="24"/>
        </w:rPr>
        <w:t xml:space="preserve"> </w:t>
      </w:r>
      <w:r w:rsidR="00DF0D9D" w:rsidRPr="00373625">
        <w:rPr>
          <w:rFonts w:cs="Times New Roman"/>
          <w:sz w:val="24"/>
          <w:szCs w:val="24"/>
        </w:rPr>
        <w:t>Tāpat informatīvajā ziņojumā vērtēta politikas plānošanas</w:t>
      </w:r>
      <w:r w:rsidR="001112A0" w:rsidRPr="00373625">
        <w:rPr>
          <w:rFonts w:cs="Times New Roman"/>
          <w:sz w:val="24"/>
          <w:szCs w:val="24"/>
        </w:rPr>
        <w:t xml:space="preserve"> dokumenta īstenošanā ieguldīto resursu</w:t>
      </w:r>
      <w:r w:rsidR="00DF0D9D" w:rsidRPr="00373625">
        <w:rPr>
          <w:rFonts w:cs="Times New Roman"/>
          <w:sz w:val="24"/>
          <w:szCs w:val="24"/>
        </w:rPr>
        <w:t xml:space="preserve"> un to izlietojuma efektivitāt</w:t>
      </w:r>
      <w:r w:rsidR="0092374C" w:rsidRPr="00373625">
        <w:rPr>
          <w:rFonts w:cs="Times New Roman"/>
          <w:sz w:val="24"/>
          <w:szCs w:val="24"/>
        </w:rPr>
        <w:t>e</w:t>
      </w:r>
      <w:r w:rsidR="00E413C2" w:rsidRPr="00373625">
        <w:rPr>
          <w:rFonts w:cs="Times New Roman"/>
          <w:sz w:val="24"/>
          <w:szCs w:val="24"/>
        </w:rPr>
        <w:t>.</w:t>
      </w:r>
    </w:p>
    <w:p w14:paraId="14213D52" w14:textId="77777777" w:rsidR="00FA718D" w:rsidRPr="003D6EAB" w:rsidRDefault="00FA718D">
      <w:pPr>
        <w:rPr>
          <w:rFonts w:cs="Times New Roman"/>
          <w:sz w:val="24"/>
          <w:szCs w:val="24"/>
        </w:rPr>
      </w:pPr>
      <w:r w:rsidRPr="003D6EAB">
        <w:rPr>
          <w:rFonts w:cs="Times New Roman"/>
          <w:sz w:val="24"/>
          <w:szCs w:val="24"/>
        </w:rPr>
        <w:br w:type="page"/>
      </w:r>
    </w:p>
    <w:p w14:paraId="5A3A2CEF" w14:textId="5268532D" w:rsidR="00E92A1C" w:rsidRPr="003D6EAB" w:rsidRDefault="00026D6E" w:rsidP="00D46FBB">
      <w:pPr>
        <w:pStyle w:val="Heading1"/>
        <w:shd w:val="clear" w:color="auto" w:fill="1DA0A7"/>
        <w:rPr>
          <w:rStyle w:val="longtext1"/>
          <w:color w:val="FFFFFF" w:themeColor="background1"/>
          <w:sz w:val="28"/>
          <w:szCs w:val="28"/>
          <w:lang w:val="lv-LV"/>
        </w:rPr>
      </w:pPr>
      <w:bookmarkStart w:id="3" w:name="_Toc462739794"/>
      <w:bookmarkStart w:id="4" w:name="_Toc500423588"/>
      <w:r w:rsidRPr="00D46FBB">
        <w:rPr>
          <w:rStyle w:val="longtext1"/>
          <w:color w:val="FFFFFF" w:themeColor="background1"/>
          <w:sz w:val="28"/>
          <w:szCs w:val="28"/>
        </w:rPr>
        <w:lastRenderedPageBreak/>
        <w:t xml:space="preserve">1. </w:t>
      </w:r>
      <w:bookmarkEnd w:id="3"/>
      <w:r w:rsidR="003D6EAB" w:rsidRPr="003D6EAB">
        <w:rPr>
          <w:color w:val="FFFFFF" w:themeColor="background1"/>
          <w:sz w:val="28"/>
          <w:lang w:val="lv-LV"/>
        </w:rPr>
        <w:t xml:space="preserve">Latvijas tūrisma nozares </w:t>
      </w:r>
      <w:r w:rsidR="00B13711">
        <w:rPr>
          <w:color w:val="FFFFFF" w:themeColor="background1"/>
          <w:sz w:val="28"/>
          <w:lang w:val="lv-LV"/>
        </w:rPr>
        <w:t xml:space="preserve">attīstība </w:t>
      </w:r>
      <w:r w:rsidR="003D6EAB">
        <w:rPr>
          <w:rStyle w:val="longtext1"/>
          <w:color w:val="FFFFFF" w:themeColor="background1"/>
          <w:sz w:val="28"/>
          <w:szCs w:val="28"/>
          <w:lang w:val="lv-LV"/>
        </w:rPr>
        <w:t>2014.-2016.gadā</w:t>
      </w:r>
      <w:bookmarkEnd w:id="4"/>
    </w:p>
    <w:p w14:paraId="40D09BE9" w14:textId="55254E17" w:rsidR="003D6EAB" w:rsidRPr="003D6EAB" w:rsidRDefault="003D6EAB" w:rsidP="003D6EAB">
      <w:pPr>
        <w:spacing w:before="240"/>
        <w:ind w:firstLine="426"/>
        <w:jc w:val="both"/>
        <w:rPr>
          <w:rFonts w:cs="Times New Roman"/>
          <w:sz w:val="24"/>
        </w:rPr>
      </w:pPr>
      <w:r w:rsidRPr="003D6EAB">
        <w:rPr>
          <w:rFonts w:cs="Times New Roman"/>
          <w:sz w:val="24"/>
        </w:rPr>
        <w:t xml:space="preserve">Tūrisms ir viena no vadošajām pakalpojumu eksporta nozarēm pasaulē, kas, neskatoties uz vairākiem izaicinājumiem un satricinājumiem, stabili attīstās. Tas ir arī viens no konkurētspējīgākajiem Eiropas tautsaimniecības sektoriem, kas veido vairāk nekā 5% no </w:t>
      </w:r>
      <w:r w:rsidR="002601EE">
        <w:rPr>
          <w:rFonts w:cs="Times New Roman"/>
          <w:sz w:val="24"/>
        </w:rPr>
        <w:t xml:space="preserve">Eiropas savienības (turpmāk – </w:t>
      </w:r>
      <w:r w:rsidRPr="003D6EAB">
        <w:rPr>
          <w:rFonts w:cs="Times New Roman"/>
          <w:sz w:val="24"/>
        </w:rPr>
        <w:t>ES</w:t>
      </w:r>
      <w:r w:rsidR="002601EE">
        <w:rPr>
          <w:rFonts w:cs="Times New Roman"/>
          <w:sz w:val="24"/>
        </w:rPr>
        <w:t>)</w:t>
      </w:r>
      <w:r w:rsidRPr="003D6EAB">
        <w:rPr>
          <w:rFonts w:cs="Times New Roman"/>
          <w:sz w:val="24"/>
        </w:rPr>
        <w:t xml:space="preserve"> </w:t>
      </w:r>
      <w:r w:rsidR="002601EE">
        <w:rPr>
          <w:rFonts w:cs="Times New Roman"/>
          <w:sz w:val="24"/>
        </w:rPr>
        <w:t xml:space="preserve">iekšzemes kopprodukta (turpmāk – </w:t>
      </w:r>
      <w:r w:rsidRPr="003D6EAB">
        <w:rPr>
          <w:rFonts w:cs="Times New Roman"/>
          <w:sz w:val="24"/>
        </w:rPr>
        <w:t>IKP</w:t>
      </w:r>
      <w:r w:rsidR="002601EE">
        <w:rPr>
          <w:rFonts w:cs="Times New Roman"/>
          <w:sz w:val="24"/>
        </w:rPr>
        <w:t>)</w:t>
      </w:r>
      <w:r w:rsidRPr="003D6EAB">
        <w:rPr>
          <w:rFonts w:cs="Times New Roman"/>
          <w:sz w:val="24"/>
        </w:rPr>
        <w:t xml:space="preserve"> – aptuveni 1,8 miljoni komersantu nodrošina aptuveni 9,7 miljoni darbavietu. Turklāt tūrisma industrija kopā ar tās saistītajām nozarēm veido vairāk nekā 10% no ES IKP.</w:t>
      </w:r>
    </w:p>
    <w:p w14:paraId="1D1046A2" w14:textId="381E2654" w:rsidR="003D6EAB" w:rsidRDefault="003D6EAB" w:rsidP="006C6BED">
      <w:pPr>
        <w:ind w:firstLine="426"/>
        <w:jc w:val="both"/>
        <w:rPr>
          <w:rFonts w:cs="Times New Roman"/>
          <w:sz w:val="24"/>
        </w:rPr>
      </w:pPr>
      <w:r w:rsidRPr="003D6EAB">
        <w:rPr>
          <w:rFonts w:cs="Times New Roman"/>
          <w:sz w:val="24"/>
        </w:rPr>
        <w:t xml:space="preserve">Tūrisma nozares pēdējo </w:t>
      </w:r>
      <w:r w:rsidR="002601EE">
        <w:rPr>
          <w:rFonts w:cs="Times New Roman"/>
          <w:sz w:val="24"/>
        </w:rPr>
        <w:t xml:space="preserve">divu-trīs </w:t>
      </w:r>
      <w:r w:rsidRPr="003D6EAB">
        <w:rPr>
          <w:rFonts w:cs="Times New Roman"/>
          <w:sz w:val="24"/>
        </w:rPr>
        <w:t xml:space="preserve">gadu lielākais izaicinājums Latvijā bija nestabilā, </w:t>
      </w:r>
      <w:r w:rsidR="002601EE">
        <w:rPr>
          <w:rFonts w:cs="Times New Roman"/>
          <w:sz w:val="24"/>
        </w:rPr>
        <w:t>ģeopolitiskā</w:t>
      </w:r>
      <w:r w:rsidRPr="003D6EAB">
        <w:rPr>
          <w:rFonts w:cs="Times New Roman"/>
          <w:sz w:val="24"/>
        </w:rPr>
        <w:t xml:space="preserve"> situācija</w:t>
      </w:r>
      <w:r w:rsidR="002601EE">
        <w:rPr>
          <w:rFonts w:cs="Times New Roman"/>
          <w:sz w:val="24"/>
        </w:rPr>
        <w:t xml:space="preserve"> Krievijā</w:t>
      </w:r>
      <w:r w:rsidRPr="003D6EAB">
        <w:rPr>
          <w:rFonts w:cs="Times New Roman"/>
          <w:sz w:val="24"/>
        </w:rPr>
        <w:t xml:space="preserve">, kuras ietekmē, mazinoties starptautiskajai </w:t>
      </w:r>
      <w:r w:rsidR="002601EE">
        <w:rPr>
          <w:rFonts w:cs="Times New Roman"/>
          <w:sz w:val="24"/>
        </w:rPr>
        <w:t>Krievijas tūristu plūsmai uz Latviju</w:t>
      </w:r>
      <w:r w:rsidRPr="003D6EAB">
        <w:rPr>
          <w:rFonts w:cs="Times New Roman"/>
          <w:sz w:val="24"/>
        </w:rPr>
        <w:t xml:space="preserve">, Latvijas tūrisma pakalpojumu eksports </w:t>
      </w:r>
      <w:r w:rsidR="006C6BED">
        <w:rPr>
          <w:rFonts w:cs="Times New Roman"/>
          <w:sz w:val="24"/>
        </w:rPr>
        <w:t>2016</w:t>
      </w:r>
      <w:r w:rsidRPr="003D6EAB">
        <w:rPr>
          <w:rFonts w:cs="Times New Roman"/>
          <w:sz w:val="24"/>
        </w:rPr>
        <w:t>.gadā pieredzēja lejupslīdi</w:t>
      </w:r>
      <w:r w:rsidR="006C6BED">
        <w:rPr>
          <w:rFonts w:cs="Times New Roman"/>
          <w:sz w:val="24"/>
        </w:rPr>
        <w:t xml:space="preserve"> par 2,6%.</w:t>
      </w:r>
      <w:r w:rsidRPr="003D6EAB">
        <w:rPr>
          <w:rFonts w:cs="Times New Roman"/>
          <w:sz w:val="24"/>
        </w:rPr>
        <w:t xml:space="preserve"> Tomēr, neraugoties uz </w:t>
      </w:r>
      <w:r w:rsidR="006C6BED">
        <w:rPr>
          <w:rFonts w:cs="Times New Roman"/>
          <w:sz w:val="24"/>
        </w:rPr>
        <w:t xml:space="preserve">kaimiņvalsts </w:t>
      </w:r>
      <w:r w:rsidRPr="003D6EAB">
        <w:rPr>
          <w:rFonts w:cs="Times New Roman"/>
          <w:sz w:val="24"/>
        </w:rPr>
        <w:t xml:space="preserve">ekonomisko nestabilitāti, kas radīja negatīvo tendenci, šo gadu laikā tūrisms ir spējis </w:t>
      </w:r>
      <w:r w:rsidR="00D626C9">
        <w:rPr>
          <w:rFonts w:cs="Times New Roman"/>
          <w:sz w:val="24"/>
        </w:rPr>
        <w:t>saglabāt</w:t>
      </w:r>
      <w:r w:rsidR="006C6BED">
        <w:rPr>
          <w:rFonts w:cs="Times New Roman"/>
          <w:sz w:val="24"/>
        </w:rPr>
        <w:t xml:space="preserve"> augsto</w:t>
      </w:r>
      <w:r w:rsidRPr="003D6EAB">
        <w:rPr>
          <w:rFonts w:cs="Times New Roman"/>
          <w:sz w:val="24"/>
        </w:rPr>
        <w:t xml:space="preserve"> pozīciju Latvijas pakalpojumu eksporta struktūrā, veidojot vidēji </w:t>
      </w:r>
      <w:r w:rsidR="006C6BED">
        <w:rPr>
          <w:rFonts w:cs="Times New Roman"/>
          <w:sz w:val="24"/>
        </w:rPr>
        <w:t>1</w:t>
      </w:r>
      <w:r w:rsidR="00A810F0">
        <w:rPr>
          <w:rFonts w:cs="Times New Roman"/>
          <w:sz w:val="24"/>
        </w:rPr>
        <w:t>8</w:t>
      </w:r>
      <w:r w:rsidRPr="003D6EAB">
        <w:rPr>
          <w:rFonts w:cs="Times New Roman"/>
          <w:sz w:val="24"/>
        </w:rPr>
        <w:t xml:space="preserve">% </w:t>
      </w:r>
      <w:r w:rsidR="001453AE">
        <w:rPr>
          <w:rFonts w:cs="Times New Roman"/>
          <w:sz w:val="24"/>
        </w:rPr>
        <w:t>jeb 783 </w:t>
      </w:r>
      <w:r w:rsidR="006C6BED" w:rsidRPr="006C6BED">
        <w:rPr>
          <w:rFonts w:cs="Times New Roman"/>
          <w:sz w:val="24"/>
        </w:rPr>
        <w:t>m</w:t>
      </w:r>
      <w:r w:rsidR="001453AE">
        <w:rPr>
          <w:rFonts w:cs="Times New Roman"/>
          <w:sz w:val="24"/>
        </w:rPr>
        <w:t>i</w:t>
      </w:r>
      <w:r w:rsidR="006C6BED" w:rsidRPr="006C6BED">
        <w:rPr>
          <w:rFonts w:cs="Times New Roman"/>
          <w:sz w:val="24"/>
        </w:rPr>
        <w:t>lj.</w:t>
      </w:r>
      <w:r w:rsidR="001453AE">
        <w:rPr>
          <w:rFonts w:cs="Times New Roman"/>
          <w:sz w:val="24"/>
        </w:rPr>
        <w:t> </w:t>
      </w:r>
      <w:r w:rsidR="006C6BED" w:rsidRPr="006C6BED">
        <w:rPr>
          <w:rFonts w:cs="Times New Roman"/>
          <w:sz w:val="24"/>
        </w:rPr>
        <w:t xml:space="preserve">EUR </w:t>
      </w:r>
      <w:r w:rsidRPr="003D6EAB">
        <w:rPr>
          <w:rFonts w:cs="Times New Roman"/>
          <w:sz w:val="24"/>
        </w:rPr>
        <w:t>no kop</w:t>
      </w:r>
      <w:r w:rsidR="006C6BED">
        <w:rPr>
          <w:rFonts w:cs="Times New Roman"/>
          <w:sz w:val="24"/>
        </w:rPr>
        <w:t>ējā valsts pakalpojumu eksporta</w:t>
      </w:r>
      <w:r w:rsidR="00D626C9">
        <w:rPr>
          <w:rFonts w:cs="Times New Roman"/>
          <w:sz w:val="24"/>
        </w:rPr>
        <w:t>.</w:t>
      </w:r>
      <w:r w:rsidR="006C6BED" w:rsidRPr="006C6BED">
        <w:rPr>
          <w:rFonts w:cs="Times New Roman"/>
          <w:sz w:val="24"/>
        </w:rPr>
        <w:t xml:space="preserve"> </w:t>
      </w:r>
    </w:p>
    <w:p w14:paraId="102C51C1" w14:textId="77777777" w:rsidR="00D626C9" w:rsidRDefault="00D626C9" w:rsidP="006C6BED">
      <w:pPr>
        <w:ind w:firstLine="426"/>
        <w:jc w:val="both"/>
        <w:rPr>
          <w:rFonts w:cs="Times New Roman"/>
          <w:sz w:val="24"/>
        </w:rPr>
      </w:pPr>
    </w:p>
    <w:p w14:paraId="4749B4D2" w14:textId="32E800BA" w:rsidR="00D626C9" w:rsidRPr="00781064" w:rsidRDefault="00D626C9" w:rsidP="00D626C9">
      <w:pPr>
        <w:spacing w:before="40" w:after="40"/>
        <w:ind w:left="-57" w:right="-57"/>
        <w:jc w:val="center"/>
        <w:rPr>
          <w:rFonts w:ascii="Candara" w:eastAsia="Arial Unicode MS" w:hAnsi="Candara" w:cs="Arial Unicode MS"/>
          <w:sz w:val="20"/>
          <w:szCs w:val="18"/>
        </w:rPr>
      </w:pPr>
      <w:r w:rsidRPr="00781064">
        <w:rPr>
          <w:rFonts w:ascii="Candara" w:eastAsia="Arial Unicode MS" w:hAnsi="Candara" w:cs="Arial Unicode MS"/>
          <w:b/>
          <w:sz w:val="22"/>
          <w:szCs w:val="18"/>
        </w:rPr>
        <w:t>Pakalpojumu eksports pa posteņiem</w:t>
      </w:r>
      <w:r w:rsidRPr="00781064">
        <w:rPr>
          <w:rFonts w:ascii="Candara" w:eastAsia="Arial Unicode MS" w:hAnsi="Candara" w:cs="Arial Unicode MS"/>
          <w:b/>
          <w:sz w:val="22"/>
          <w:szCs w:val="18"/>
        </w:rPr>
        <w:br/>
      </w:r>
      <w:r w:rsidRPr="00781064">
        <w:rPr>
          <w:rFonts w:ascii="Candara" w:eastAsia="Arial Unicode MS" w:hAnsi="Candara" w:cs="Arial Unicode MS"/>
          <w:sz w:val="20"/>
          <w:szCs w:val="18"/>
        </w:rPr>
        <w:t>(mljrd. eiro un procentos)</w:t>
      </w:r>
    </w:p>
    <w:p w14:paraId="2529486C" w14:textId="0997376A" w:rsidR="00D626C9" w:rsidRDefault="00D626C9" w:rsidP="00D626C9">
      <w:pPr>
        <w:jc w:val="center"/>
        <w:rPr>
          <w:rFonts w:cs="Times New Roman"/>
          <w:sz w:val="24"/>
        </w:rPr>
      </w:pPr>
      <w:r w:rsidRPr="001E4521">
        <w:rPr>
          <w:rFonts w:ascii="Garamond" w:hAnsi="Garamond"/>
          <w:noProof/>
          <w:color w:val="FFFFFF" w:themeColor="background1"/>
          <w:sz w:val="20"/>
          <w:szCs w:val="21"/>
          <w:lang w:eastAsia="lv-LV"/>
        </w:rPr>
        <w:drawing>
          <wp:inline distT="0" distB="0" distL="0" distR="0" wp14:anchorId="09358646" wp14:editId="2B9F7EFF">
            <wp:extent cx="3588589" cy="2553419"/>
            <wp:effectExtent l="0" t="0" r="0" b="0"/>
            <wp:docPr id="25" name="Object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C069A77" w14:textId="762A43D6" w:rsidR="00E413C2" w:rsidRPr="002601EE" w:rsidRDefault="00D626C9" w:rsidP="00244266">
      <w:pPr>
        <w:spacing w:after="240"/>
        <w:ind w:firstLine="426"/>
        <w:jc w:val="both"/>
        <w:rPr>
          <w:rFonts w:cs="Times New Roman"/>
          <w:sz w:val="24"/>
        </w:rPr>
      </w:pPr>
      <w:r>
        <w:rPr>
          <w:rFonts w:cs="Times New Roman"/>
          <w:sz w:val="24"/>
        </w:rPr>
        <w:t>Tūrism</w:t>
      </w:r>
      <w:r w:rsidR="001453AE">
        <w:rPr>
          <w:rFonts w:cs="Times New Roman"/>
          <w:sz w:val="24"/>
        </w:rPr>
        <w:t>a tiešais ieguldījums Latvijas iekšzemes kopproduktam (turpmāk – IKP)</w:t>
      </w:r>
      <w:r>
        <w:rPr>
          <w:rFonts w:cs="Times New Roman"/>
          <w:sz w:val="24"/>
        </w:rPr>
        <w:t xml:space="preserve"> ir </w:t>
      </w:r>
      <w:r w:rsidR="005C0614">
        <w:rPr>
          <w:rFonts w:cs="Times New Roman"/>
          <w:sz w:val="24"/>
        </w:rPr>
        <w:t xml:space="preserve">aptuveni </w:t>
      </w:r>
      <w:r>
        <w:rPr>
          <w:rFonts w:cs="Times New Roman"/>
          <w:sz w:val="24"/>
        </w:rPr>
        <w:t>1 miljards EUR jeb 4</w:t>
      </w:r>
      <w:r w:rsidR="005C0614">
        <w:rPr>
          <w:rFonts w:cs="Times New Roman"/>
          <w:sz w:val="24"/>
        </w:rPr>
        <w:t>,1</w:t>
      </w:r>
      <w:r>
        <w:rPr>
          <w:rFonts w:cs="Times New Roman"/>
          <w:sz w:val="24"/>
        </w:rPr>
        <w:t xml:space="preserve">% no IKP. </w:t>
      </w:r>
      <w:r w:rsidR="00244266">
        <w:rPr>
          <w:rFonts w:cs="Times New Roman"/>
          <w:sz w:val="24"/>
        </w:rPr>
        <w:t xml:space="preserve">Tūrisma netiešais ieguldījums kopā ar saistītajām nozarēm kopumā sastāda 9% no IKP. </w:t>
      </w:r>
      <w:r w:rsidRPr="00D626C9">
        <w:rPr>
          <w:rFonts w:cs="Times New Roman"/>
          <w:sz w:val="24"/>
        </w:rPr>
        <w:t xml:space="preserve">Tūrisms </w:t>
      </w:r>
      <w:r w:rsidR="00244266">
        <w:rPr>
          <w:rFonts w:cs="Times New Roman"/>
          <w:sz w:val="24"/>
        </w:rPr>
        <w:t>tieši veido 4% no kopējās nodarbinātības Latvijā (36 tūkst.</w:t>
      </w:r>
      <w:r w:rsidR="001453AE">
        <w:rPr>
          <w:rFonts w:cs="Times New Roman"/>
          <w:sz w:val="24"/>
        </w:rPr>
        <w:t> </w:t>
      </w:r>
      <w:r w:rsidR="00244266">
        <w:rPr>
          <w:rFonts w:cs="Times New Roman"/>
          <w:sz w:val="24"/>
        </w:rPr>
        <w:t xml:space="preserve">darba vietas), taču pastarpināti ar saistošajām nozarēm tas </w:t>
      </w:r>
      <w:r w:rsidRPr="00D626C9">
        <w:rPr>
          <w:rFonts w:cs="Times New Roman"/>
          <w:sz w:val="24"/>
        </w:rPr>
        <w:t xml:space="preserve">veido </w:t>
      </w:r>
      <w:r>
        <w:rPr>
          <w:rFonts w:cs="Times New Roman"/>
          <w:sz w:val="24"/>
        </w:rPr>
        <w:t xml:space="preserve">9% </w:t>
      </w:r>
      <w:r w:rsidRPr="00D626C9">
        <w:rPr>
          <w:rFonts w:cs="Times New Roman"/>
          <w:sz w:val="24"/>
        </w:rPr>
        <w:t xml:space="preserve">no Latvijas kopējās nodarbinātības un </w:t>
      </w:r>
      <w:r w:rsidR="00244266">
        <w:rPr>
          <w:rFonts w:cs="Times New Roman"/>
          <w:sz w:val="24"/>
        </w:rPr>
        <w:t xml:space="preserve">attiecīgi </w:t>
      </w:r>
      <w:r w:rsidRPr="00D626C9">
        <w:rPr>
          <w:rFonts w:cs="Times New Roman"/>
          <w:sz w:val="24"/>
        </w:rPr>
        <w:t xml:space="preserve">nodrošina </w:t>
      </w:r>
      <w:r>
        <w:rPr>
          <w:rFonts w:cs="Times New Roman"/>
          <w:sz w:val="24"/>
        </w:rPr>
        <w:t>gandrīz</w:t>
      </w:r>
      <w:r w:rsidRPr="00D626C9">
        <w:rPr>
          <w:rFonts w:cs="Times New Roman"/>
          <w:sz w:val="24"/>
        </w:rPr>
        <w:t xml:space="preserve"> 7</w:t>
      </w:r>
      <w:r>
        <w:rPr>
          <w:rFonts w:cs="Times New Roman"/>
          <w:sz w:val="24"/>
        </w:rPr>
        <w:t>9</w:t>
      </w:r>
      <w:r w:rsidRPr="00D626C9">
        <w:rPr>
          <w:rFonts w:cs="Times New Roman"/>
          <w:sz w:val="24"/>
        </w:rPr>
        <w:t xml:space="preserve"> tūkstošus darba vietu.</w:t>
      </w:r>
      <w:r w:rsidR="003D6EAB" w:rsidRPr="003D6EAB">
        <w:rPr>
          <w:rFonts w:cs="Times New Roman"/>
          <w:sz w:val="24"/>
        </w:rPr>
        <w:t xml:space="preserve"> </w:t>
      </w:r>
      <w:r w:rsidRPr="00D626C9">
        <w:rPr>
          <w:rFonts w:cs="Times New Roman"/>
          <w:sz w:val="24"/>
        </w:rPr>
        <w:t>Kopējie tūristu izdevumi Latvijā</w:t>
      </w:r>
      <w:r w:rsidR="005C0614">
        <w:rPr>
          <w:rFonts w:cs="Times New Roman"/>
          <w:sz w:val="24"/>
        </w:rPr>
        <w:t xml:space="preserve"> veido</w:t>
      </w:r>
      <w:r w:rsidR="001453AE">
        <w:rPr>
          <w:rFonts w:cs="Times New Roman"/>
          <w:sz w:val="24"/>
        </w:rPr>
        <w:t xml:space="preserve"> 540,8 </w:t>
      </w:r>
      <w:r w:rsidRPr="00D626C9">
        <w:rPr>
          <w:rFonts w:cs="Times New Roman"/>
          <w:sz w:val="24"/>
        </w:rPr>
        <w:t>milj.</w:t>
      </w:r>
      <w:r w:rsidR="001453AE">
        <w:rPr>
          <w:rFonts w:cs="Times New Roman"/>
          <w:sz w:val="24"/>
        </w:rPr>
        <w:t> </w:t>
      </w:r>
      <w:r w:rsidRPr="00D626C9">
        <w:rPr>
          <w:rFonts w:cs="Times New Roman"/>
          <w:sz w:val="24"/>
        </w:rPr>
        <w:t>EUR</w:t>
      </w:r>
      <w:r w:rsidR="005C0614">
        <w:rPr>
          <w:rFonts w:cs="Times New Roman"/>
          <w:sz w:val="24"/>
        </w:rPr>
        <w:t xml:space="preserve"> gadā</w:t>
      </w:r>
      <w:r>
        <w:rPr>
          <w:rFonts w:cs="Times New Roman"/>
          <w:sz w:val="24"/>
        </w:rPr>
        <w:t>.</w:t>
      </w:r>
    </w:p>
    <w:p w14:paraId="346098AE" w14:textId="074268DC" w:rsidR="00245E5D" w:rsidRPr="00D46FBB" w:rsidRDefault="00ED5B12" w:rsidP="00D46FBB">
      <w:pPr>
        <w:pStyle w:val="Heading2"/>
        <w:shd w:val="clear" w:color="auto" w:fill="1DA0A7"/>
        <w:rPr>
          <w:b/>
          <w:color w:val="FFFFFF" w:themeColor="background1"/>
        </w:rPr>
      </w:pPr>
      <w:bookmarkStart w:id="5" w:name="_Toc500423589"/>
      <w:r w:rsidRPr="00D46FBB">
        <w:rPr>
          <w:b/>
          <w:color w:val="FFFFFF" w:themeColor="background1"/>
          <w:szCs w:val="24"/>
        </w:rPr>
        <w:t>1.1.</w:t>
      </w:r>
      <w:r w:rsidR="00D626C9">
        <w:rPr>
          <w:b/>
          <w:color w:val="FFFFFF" w:themeColor="background1"/>
        </w:rPr>
        <w:t>Tūrisma pakalpojumu</w:t>
      </w:r>
      <w:r w:rsidR="00E413C2" w:rsidRPr="00D46FBB">
        <w:rPr>
          <w:b/>
          <w:color w:val="FFFFFF" w:themeColor="background1"/>
        </w:rPr>
        <w:t xml:space="preserve"> </w:t>
      </w:r>
      <w:r w:rsidR="00D626C9">
        <w:rPr>
          <w:b/>
          <w:color w:val="FFFFFF" w:themeColor="background1"/>
        </w:rPr>
        <w:t>eksports</w:t>
      </w:r>
      <w:bookmarkEnd w:id="5"/>
    </w:p>
    <w:p w14:paraId="7E5C90DD" w14:textId="35DD929F" w:rsidR="00B62C69" w:rsidRDefault="00135C7A" w:rsidP="00AB0133">
      <w:pPr>
        <w:ind w:firstLine="426"/>
        <w:jc w:val="both"/>
        <w:rPr>
          <w:rFonts w:cs="Times New Roman"/>
          <w:sz w:val="24"/>
        </w:rPr>
      </w:pPr>
      <w:r w:rsidRPr="00135C7A">
        <w:rPr>
          <w:rFonts w:cs="Times New Roman"/>
          <w:sz w:val="24"/>
        </w:rPr>
        <w:t xml:space="preserve">Tūrisma </w:t>
      </w:r>
      <w:r>
        <w:rPr>
          <w:rFonts w:cs="Times New Roman"/>
          <w:sz w:val="24"/>
        </w:rPr>
        <w:t xml:space="preserve">pakalpojumu </w:t>
      </w:r>
      <w:r w:rsidRPr="00135C7A">
        <w:rPr>
          <w:rFonts w:cs="Times New Roman"/>
          <w:sz w:val="24"/>
        </w:rPr>
        <w:t>eksports ir ārvalstu ceļotāju izdevumi Latvijā, ko var novērtēt ar Latvijas Bankas sagatavotās valsts maksājumu bilances posteņiem: “Braucieni” (visas nerezidentu ceļotāju iegādātās preces un saņemtie pakalpojumi Latvijā, neskaitot transporta izdevumus) un “Pārvadājumi” gaisa, jūras, dzelzceļa un autotransporta pakalpojumi pasažieriem (Latvijas rezidentu sniegtie transporta pakalpojumi nerezidentiem).</w:t>
      </w:r>
    </w:p>
    <w:p w14:paraId="34A6EB62" w14:textId="25EE72CB" w:rsidR="00781064" w:rsidRDefault="00135C7A" w:rsidP="005C0614">
      <w:pPr>
        <w:ind w:firstLine="426"/>
        <w:jc w:val="both"/>
        <w:rPr>
          <w:rFonts w:cs="Times New Roman"/>
          <w:sz w:val="24"/>
        </w:rPr>
      </w:pPr>
      <w:r>
        <w:rPr>
          <w:rFonts w:cs="Times New Roman"/>
          <w:sz w:val="24"/>
        </w:rPr>
        <w:t xml:space="preserve">Pamatojoties uz Centrālās statistikas pārvaldes (turpmāk – CSP) datiem, </w:t>
      </w:r>
      <w:r w:rsidR="005C0614">
        <w:rPr>
          <w:rFonts w:cs="Times New Roman"/>
          <w:sz w:val="24"/>
        </w:rPr>
        <w:t>t</w:t>
      </w:r>
      <w:r w:rsidR="005C0614" w:rsidRPr="005C0614">
        <w:rPr>
          <w:rFonts w:cs="Times New Roman"/>
          <w:sz w:val="24"/>
        </w:rPr>
        <w:t>ūrisma</w:t>
      </w:r>
      <w:r w:rsidR="00B13711">
        <w:rPr>
          <w:rFonts w:cs="Times New Roman"/>
          <w:sz w:val="24"/>
        </w:rPr>
        <w:t xml:space="preserve"> pakalpojumu</w:t>
      </w:r>
      <w:r w:rsidR="005C0614" w:rsidRPr="005C0614">
        <w:rPr>
          <w:rFonts w:cs="Times New Roman"/>
          <w:sz w:val="24"/>
        </w:rPr>
        <w:t xml:space="preserve"> eksports 2015. gadā pieauga par 9,3 %, salīdzinot ar </w:t>
      </w:r>
      <w:r w:rsidR="005C0614">
        <w:rPr>
          <w:rFonts w:cs="Times New Roman"/>
          <w:sz w:val="24"/>
        </w:rPr>
        <w:t>2014.</w:t>
      </w:r>
      <w:r w:rsidR="005C0614" w:rsidRPr="005C0614">
        <w:rPr>
          <w:rFonts w:cs="Times New Roman"/>
          <w:sz w:val="24"/>
        </w:rPr>
        <w:t xml:space="preserve">gadu, un sasniedza 1 023,4 milj. </w:t>
      </w:r>
      <w:r w:rsidR="005C0614">
        <w:rPr>
          <w:rFonts w:cs="Times New Roman"/>
          <w:sz w:val="24"/>
        </w:rPr>
        <w:t>EUR</w:t>
      </w:r>
      <w:r w:rsidR="005C0614" w:rsidRPr="005C0614">
        <w:rPr>
          <w:rFonts w:cs="Times New Roman"/>
          <w:sz w:val="24"/>
        </w:rPr>
        <w:t>.</w:t>
      </w:r>
      <w:r w:rsidR="005C0614">
        <w:rPr>
          <w:rFonts w:cs="Times New Roman"/>
          <w:sz w:val="24"/>
        </w:rPr>
        <w:t xml:space="preserve"> Savukārt </w:t>
      </w:r>
      <w:r w:rsidR="005C0614" w:rsidRPr="005C0614">
        <w:rPr>
          <w:rFonts w:cs="Times New Roman"/>
          <w:sz w:val="24"/>
        </w:rPr>
        <w:t xml:space="preserve">2016. gadā </w:t>
      </w:r>
      <w:r w:rsidR="005C0614">
        <w:rPr>
          <w:rFonts w:cs="Times New Roman"/>
          <w:sz w:val="24"/>
        </w:rPr>
        <w:t xml:space="preserve">tas </w:t>
      </w:r>
      <w:r w:rsidR="005C0614" w:rsidRPr="005C0614">
        <w:rPr>
          <w:rFonts w:cs="Times New Roman"/>
          <w:sz w:val="24"/>
        </w:rPr>
        <w:t xml:space="preserve">samazinājās par 2,6 %, un </w:t>
      </w:r>
      <w:r w:rsidR="005C0614">
        <w:rPr>
          <w:rFonts w:cs="Times New Roman"/>
          <w:sz w:val="24"/>
        </w:rPr>
        <w:t>nokrit</w:t>
      </w:r>
      <w:r w:rsidR="00B13711">
        <w:rPr>
          <w:rFonts w:cs="Times New Roman"/>
          <w:sz w:val="24"/>
        </w:rPr>
        <w:t xml:space="preserve">a </w:t>
      </w:r>
      <w:r w:rsidR="005C0614">
        <w:rPr>
          <w:rFonts w:cs="Times New Roman"/>
          <w:sz w:val="24"/>
        </w:rPr>
        <w:t>līdz</w:t>
      </w:r>
      <w:r w:rsidR="005C0614" w:rsidRPr="005C0614">
        <w:rPr>
          <w:rFonts w:cs="Times New Roman"/>
          <w:sz w:val="24"/>
        </w:rPr>
        <w:t xml:space="preserve"> 996,46 milj. </w:t>
      </w:r>
      <w:r w:rsidR="005C0614">
        <w:rPr>
          <w:rFonts w:cs="Times New Roman"/>
          <w:sz w:val="24"/>
        </w:rPr>
        <w:t>EUR.</w:t>
      </w:r>
      <w:r w:rsidR="00D51F08">
        <w:rPr>
          <w:rFonts w:cs="Times New Roman"/>
          <w:sz w:val="24"/>
        </w:rPr>
        <w:t xml:space="preserve"> </w:t>
      </w:r>
    </w:p>
    <w:p w14:paraId="21D86D24" w14:textId="632CED17" w:rsidR="00781064" w:rsidRDefault="00781064" w:rsidP="00781064">
      <w:pPr>
        <w:ind w:firstLine="426"/>
        <w:jc w:val="both"/>
        <w:rPr>
          <w:rFonts w:cs="Times New Roman"/>
          <w:sz w:val="24"/>
        </w:rPr>
      </w:pPr>
      <w:r>
        <w:rPr>
          <w:rFonts w:cs="Times New Roman"/>
          <w:sz w:val="24"/>
        </w:rPr>
        <w:t xml:space="preserve">Kopsummā vērtējot tūrisma pakalpojumu eksporta rīdītājus ilgākā laika periodā, jāsecina, ka vērojamas pozitīvas tendences un, neskatoties uz 2016.gada lejupslīdi, tūrisma pakalpojumu eksporta rādītāji uzrāda augošu tendenci. </w:t>
      </w:r>
    </w:p>
    <w:p w14:paraId="62D8C87A" w14:textId="77777777" w:rsidR="00781064" w:rsidRDefault="00781064" w:rsidP="005C0614">
      <w:pPr>
        <w:ind w:firstLine="426"/>
        <w:jc w:val="both"/>
        <w:rPr>
          <w:rFonts w:cs="Times New Roman"/>
          <w:sz w:val="24"/>
        </w:rPr>
      </w:pPr>
    </w:p>
    <w:p w14:paraId="0F95C028" w14:textId="76C02E73" w:rsidR="00781064" w:rsidRPr="00781064" w:rsidRDefault="00781064" w:rsidP="00781064">
      <w:pPr>
        <w:keepNext/>
        <w:jc w:val="center"/>
        <w:rPr>
          <w:rFonts w:eastAsia="Arial Unicode MS" w:cs="Times New Roman"/>
          <w:b/>
          <w:sz w:val="22"/>
          <w:szCs w:val="18"/>
        </w:rPr>
      </w:pPr>
      <w:r w:rsidRPr="00781064">
        <w:rPr>
          <w:rFonts w:eastAsia="Arial Unicode MS" w:cs="Times New Roman"/>
          <w:b/>
          <w:sz w:val="22"/>
          <w:szCs w:val="18"/>
        </w:rPr>
        <w:lastRenderedPageBreak/>
        <w:t>Tūrisma pakalpojumu eksports 2005. – 2015.g. milj.</w:t>
      </w:r>
      <w:r w:rsidR="001453AE">
        <w:rPr>
          <w:rFonts w:eastAsia="Arial Unicode MS" w:cs="Times New Roman"/>
          <w:b/>
          <w:sz w:val="22"/>
          <w:szCs w:val="18"/>
        </w:rPr>
        <w:t> </w:t>
      </w:r>
      <w:r w:rsidRPr="00781064">
        <w:rPr>
          <w:rFonts w:eastAsia="Arial Unicode MS" w:cs="Times New Roman"/>
          <w:b/>
          <w:sz w:val="22"/>
          <w:szCs w:val="18"/>
        </w:rPr>
        <w:t>EUR</w:t>
      </w:r>
    </w:p>
    <w:p w14:paraId="29160EF8" w14:textId="3D393629" w:rsidR="00781064" w:rsidRDefault="00781064" w:rsidP="00C064FC">
      <w:pPr>
        <w:jc w:val="center"/>
        <w:rPr>
          <w:rFonts w:cs="Times New Roman"/>
          <w:sz w:val="24"/>
        </w:rPr>
      </w:pPr>
      <w:r w:rsidRPr="00781064">
        <w:rPr>
          <w:rFonts w:cs="Times New Roman"/>
          <w:noProof/>
          <w:sz w:val="24"/>
          <w:lang w:eastAsia="lv-LV"/>
        </w:rPr>
        <w:drawing>
          <wp:inline distT="0" distB="0" distL="0" distR="0" wp14:anchorId="56DFA4E6" wp14:editId="67A9200C">
            <wp:extent cx="5708650" cy="2752725"/>
            <wp:effectExtent l="0" t="0" r="635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7D8037C" w14:textId="2AF59EBD" w:rsidR="00D1501B" w:rsidRPr="00267BCC" w:rsidRDefault="00D1501B" w:rsidP="00C80B20">
      <w:pPr>
        <w:jc w:val="center"/>
        <w:rPr>
          <w:sz w:val="20"/>
          <w:szCs w:val="20"/>
        </w:rPr>
      </w:pPr>
      <w:r w:rsidRPr="00267BCC">
        <w:rPr>
          <w:sz w:val="20"/>
          <w:szCs w:val="20"/>
        </w:rPr>
        <w:t xml:space="preserve">Datu avots: </w:t>
      </w:r>
      <w:r>
        <w:rPr>
          <w:sz w:val="20"/>
          <w:szCs w:val="20"/>
        </w:rPr>
        <w:t>CERTUS</w:t>
      </w:r>
    </w:p>
    <w:p w14:paraId="64E1F3B9" w14:textId="77777777" w:rsidR="00135C7A" w:rsidRDefault="00135C7A" w:rsidP="00B62C69">
      <w:pPr>
        <w:ind w:firstLine="426"/>
        <w:jc w:val="both"/>
        <w:rPr>
          <w:rFonts w:cs="Times New Roman"/>
          <w:sz w:val="24"/>
        </w:rPr>
      </w:pPr>
    </w:p>
    <w:p w14:paraId="36F17A48" w14:textId="07B67F75" w:rsidR="00781064" w:rsidRDefault="00781064" w:rsidP="00B62C69">
      <w:pPr>
        <w:ind w:firstLine="426"/>
        <w:jc w:val="both"/>
        <w:rPr>
          <w:rFonts w:cs="Times New Roman"/>
          <w:sz w:val="24"/>
        </w:rPr>
      </w:pPr>
      <w:r>
        <w:rPr>
          <w:rFonts w:cs="Times New Roman"/>
          <w:sz w:val="24"/>
        </w:rPr>
        <w:t>2014., 2015.un 2016.</w:t>
      </w:r>
      <w:r w:rsidRPr="00781064">
        <w:rPr>
          <w:rFonts w:cs="Times New Roman"/>
          <w:sz w:val="24"/>
        </w:rPr>
        <w:t xml:space="preserve">gadā </w:t>
      </w:r>
      <w:r w:rsidRPr="00B13711">
        <w:rPr>
          <w:rFonts w:cs="Times New Roman"/>
          <w:b/>
          <w:sz w:val="24"/>
        </w:rPr>
        <w:t>ārvalstu un Latvijas ceļotāju bilance</w:t>
      </w:r>
      <w:r w:rsidRPr="00781064">
        <w:rPr>
          <w:rFonts w:cs="Times New Roman"/>
          <w:sz w:val="24"/>
        </w:rPr>
        <w:t xml:space="preserve"> saglabājās pozitīva, kas nozīmē, ka tūrisma </w:t>
      </w:r>
      <w:r>
        <w:rPr>
          <w:rFonts w:cs="Times New Roman"/>
          <w:sz w:val="24"/>
        </w:rPr>
        <w:t xml:space="preserve">pakalpojumu eksports ir lielāks par importu. </w:t>
      </w:r>
      <w:r w:rsidRPr="00781064">
        <w:rPr>
          <w:rFonts w:cs="Times New Roman"/>
          <w:sz w:val="24"/>
        </w:rPr>
        <w:t xml:space="preserve">Bilances saldo </w:t>
      </w:r>
      <w:r>
        <w:rPr>
          <w:rFonts w:cs="Times New Roman"/>
          <w:sz w:val="24"/>
        </w:rPr>
        <w:t xml:space="preserve">2016.gadā </w:t>
      </w:r>
      <w:r w:rsidRPr="00781064">
        <w:rPr>
          <w:rFonts w:cs="Times New Roman"/>
          <w:sz w:val="24"/>
        </w:rPr>
        <w:t>bija 155,3 milj.</w:t>
      </w:r>
      <w:r w:rsidR="001453AE">
        <w:rPr>
          <w:rFonts w:cs="Times New Roman"/>
          <w:sz w:val="24"/>
        </w:rPr>
        <w:t> </w:t>
      </w:r>
      <w:r>
        <w:rPr>
          <w:rFonts w:cs="Times New Roman"/>
          <w:sz w:val="24"/>
        </w:rPr>
        <w:t>EUR</w:t>
      </w:r>
      <w:r w:rsidRPr="00781064">
        <w:rPr>
          <w:rFonts w:cs="Times New Roman"/>
          <w:sz w:val="24"/>
        </w:rPr>
        <w:t>. Ceļotāju bilance</w:t>
      </w:r>
      <w:r w:rsidR="001453AE">
        <w:rPr>
          <w:rFonts w:cs="Times New Roman"/>
          <w:sz w:val="24"/>
        </w:rPr>
        <w:t xml:space="preserve"> Latvijā ir pozitīva kopš 2011.</w:t>
      </w:r>
      <w:r w:rsidRPr="00781064">
        <w:rPr>
          <w:rFonts w:cs="Times New Roman"/>
          <w:sz w:val="24"/>
        </w:rPr>
        <w:t xml:space="preserve">gada. </w:t>
      </w:r>
    </w:p>
    <w:p w14:paraId="50C2D90F" w14:textId="15CBE896" w:rsidR="00D1501B" w:rsidRDefault="0061177A" w:rsidP="00D1501B">
      <w:pPr>
        <w:ind w:firstLine="426"/>
        <w:jc w:val="both"/>
        <w:rPr>
          <w:rFonts w:cs="Times New Roman"/>
          <w:sz w:val="24"/>
        </w:rPr>
      </w:pPr>
      <w:r w:rsidRPr="0061177A">
        <w:rPr>
          <w:rFonts w:cs="Times New Roman"/>
          <w:sz w:val="24"/>
        </w:rPr>
        <w:t xml:space="preserve">Analizējot </w:t>
      </w:r>
      <w:r w:rsidRPr="0061177A">
        <w:rPr>
          <w:rFonts w:cs="Times New Roman"/>
          <w:b/>
          <w:sz w:val="24"/>
        </w:rPr>
        <w:t>neto apgrozījuma izmaiņas tūrisma pakalpojumu nozarēs</w:t>
      </w:r>
      <w:r w:rsidRPr="0061177A">
        <w:rPr>
          <w:rFonts w:cs="Times New Roman"/>
          <w:sz w:val="24"/>
        </w:rPr>
        <w:t>, tiek secināts,</w:t>
      </w:r>
      <w:r w:rsidR="001453AE">
        <w:rPr>
          <w:rFonts w:cs="Times New Roman"/>
          <w:sz w:val="24"/>
        </w:rPr>
        <w:t xml:space="preserve"> ka</w:t>
      </w:r>
      <w:r w:rsidRPr="0061177A">
        <w:rPr>
          <w:rFonts w:cs="Times New Roman"/>
          <w:sz w:val="24"/>
        </w:rPr>
        <w:t xml:space="preserve"> </w:t>
      </w:r>
      <w:r w:rsidR="001453AE">
        <w:rPr>
          <w:rFonts w:cs="Times New Roman"/>
          <w:sz w:val="24"/>
        </w:rPr>
        <w:t>2016.</w:t>
      </w:r>
      <w:r w:rsidR="00D1501B" w:rsidRPr="00D1501B">
        <w:rPr>
          <w:rFonts w:cs="Times New Roman"/>
          <w:sz w:val="24"/>
        </w:rPr>
        <w:t>gadā izmitināšanas pakalpojumu nozarē, kas ietver darbības veidus atbilstoši Sa</w:t>
      </w:r>
      <w:r w:rsidR="00D1501B">
        <w:rPr>
          <w:rFonts w:cs="Times New Roman"/>
          <w:sz w:val="24"/>
        </w:rPr>
        <w:t xml:space="preserve">imniecisko darbību statistiskās </w:t>
      </w:r>
      <w:r w:rsidR="00D1501B" w:rsidRPr="00D1501B">
        <w:rPr>
          <w:rFonts w:cs="Times New Roman"/>
          <w:sz w:val="24"/>
        </w:rPr>
        <w:t>klasifikācijas (NACE 2. red.) 55 klasei, bija vērojams 10,3 % neto apgrozījuma pieaugums pret iepriekšējo gadu.</w:t>
      </w:r>
      <w:r w:rsidR="00D1501B">
        <w:rPr>
          <w:rFonts w:cs="Times New Roman"/>
          <w:sz w:val="24"/>
        </w:rPr>
        <w:t xml:space="preserve"> Savukārt ē</w:t>
      </w:r>
      <w:r w:rsidR="00D1501B" w:rsidRPr="00D1501B">
        <w:rPr>
          <w:rFonts w:cs="Times New Roman"/>
          <w:sz w:val="24"/>
        </w:rPr>
        <w:t>dināšanas pakalpojumu nozarē, kas ietver darbības veidus atbilstoši 56 klasei, neto apgrozījums pieauga par 9,3 % gadā.</w:t>
      </w:r>
    </w:p>
    <w:p w14:paraId="373C96A1" w14:textId="5F0042EB" w:rsidR="00D1501B" w:rsidRDefault="00D1501B" w:rsidP="00B62C69">
      <w:pPr>
        <w:ind w:firstLine="426"/>
        <w:jc w:val="both"/>
        <w:rPr>
          <w:rFonts w:cs="Times New Roman"/>
          <w:sz w:val="24"/>
        </w:rPr>
      </w:pPr>
    </w:p>
    <w:p w14:paraId="28141A46" w14:textId="29F0AE53" w:rsidR="00D1501B" w:rsidRDefault="00D1501B" w:rsidP="00D1501B">
      <w:pPr>
        <w:jc w:val="center"/>
        <w:rPr>
          <w:rFonts w:cs="Times New Roman"/>
          <w:sz w:val="24"/>
        </w:rPr>
      </w:pPr>
      <w:r>
        <w:rPr>
          <w:noProof/>
          <w:lang w:eastAsia="lv-LV"/>
        </w:rPr>
        <w:drawing>
          <wp:inline distT="0" distB="0" distL="0" distR="0" wp14:anchorId="115C6804" wp14:editId="1A85E8C7">
            <wp:extent cx="5155387" cy="2809875"/>
            <wp:effectExtent l="0" t="0" r="762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11442" cy="2840427"/>
                    </a:xfrm>
                    <a:prstGeom prst="rect">
                      <a:avLst/>
                    </a:prstGeom>
                  </pic:spPr>
                </pic:pic>
              </a:graphicData>
            </a:graphic>
          </wp:inline>
        </w:drawing>
      </w:r>
    </w:p>
    <w:p w14:paraId="79347803" w14:textId="52637DFE" w:rsidR="00D1501B" w:rsidRPr="00267BCC" w:rsidRDefault="00D1501B" w:rsidP="00C80B20">
      <w:pPr>
        <w:jc w:val="center"/>
        <w:rPr>
          <w:sz w:val="20"/>
          <w:szCs w:val="20"/>
        </w:rPr>
      </w:pPr>
      <w:r w:rsidRPr="00267BCC">
        <w:rPr>
          <w:sz w:val="20"/>
          <w:szCs w:val="20"/>
        </w:rPr>
        <w:t>Datu avots: CSP</w:t>
      </w:r>
    </w:p>
    <w:p w14:paraId="1CAD6C2D" w14:textId="77777777" w:rsidR="00D1501B" w:rsidRDefault="00D1501B" w:rsidP="00B62C69">
      <w:pPr>
        <w:ind w:firstLine="426"/>
        <w:jc w:val="both"/>
        <w:rPr>
          <w:rFonts w:cs="Times New Roman"/>
          <w:sz w:val="24"/>
        </w:rPr>
      </w:pPr>
    </w:p>
    <w:p w14:paraId="33B0472B" w14:textId="77777777" w:rsidR="00B13711" w:rsidRPr="00B13711" w:rsidRDefault="00B13711" w:rsidP="00B13711">
      <w:pPr>
        <w:ind w:firstLine="426"/>
        <w:jc w:val="both"/>
        <w:rPr>
          <w:rFonts w:cs="Times New Roman"/>
          <w:sz w:val="24"/>
        </w:rPr>
      </w:pPr>
      <w:r w:rsidRPr="00B13711">
        <w:rPr>
          <w:rFonts w:cs="Times New Roman"/>
          <w:sz w:val="24"/>
        </w:rPr>
        <w:t>Nozares izaugsmes pamats līdz šim ir bijis valsts stratēģiski izdevīgais ģeogrāfiskais novietojums, sasniedzamība (tiešo lidojumu attīstība), kā arī kultūras un dabas resursi, cilvēkresursi un to radošums, uzņēmējdarbības spēja. Veicot pārdomātus ieguldījumus tūrisma nozares konkurētspējas stiprināšanā, ir iespējams vēl vairāk palielināt tūrisma pakalpojumu eksporta apjomus.</w:t>
      </w:r>
    </w:p>
    <w:p w14:paraId="26B578E0" w14:textId="6FDEBAFB" w:rsidR="00B13711" w:rsidRDefault="00B13711" w:rsidP="003E7833">
      <w:pPr>
        <w:jc w:val="both"/>
        <w:rPr>
          <w:rFonts w:cs="Times New Roman"/>
          <w:sz w:val="24"/>
        </w:rPr>
      </w:pPr>
    </w:p>
    <w:p w14:paraId="3BF6E43B" w14:textId="3DE249FD" w:rsidR="0028699D" w:rsidRPr="0028699D" w:rsidRDefault="00B44EF8" w:rsidP="0028699D">
      <w:pPr>
        <w:pStyle w:val="Heading2"/>
        <w:shd w:val="clear" w:color="auto" w:fill="1DA0A7"/>
        <w:rPr>
          <w:b/>
          <w:color w:val="FFFFFF" w:themeColor="background1"/>
        </w:rPr>
      </w:pPr>
      <w:bookmarkStart w:id="6" w:name="_Toc500423590"/>
      <w:r w:rsidRPr="00D46FBB">
        <w:rPr>
          <w:b/>
          <w:color w:val="FFFFFF" w:themeColor="background1"/>
        </w:rPr>
        <w:lastRenderedPageBreak/>
        <w:t xml:space="preserve">1.2. </w:t>
      </w:r>
      <w:r w:rsidR="00B13711">
        <w:rPr>
          <w:b/>
          <w:color w:val="FFFFFF" w:themeColor="background1"/>
        </w:rPr>
        <w:t>Ārvalstu ceļotāju (Latvijā) raksturojošie rādītāji</w:t>
      </w:r>
      <w:bookmarkEnd w:id="6"/>
    </w:p>
    <w:p w14:paraId="5F3DF358" w14:textId="727F29C0" w:rsidR="00A0664A" w:rsidRDefault="0028699D" w:rsidP="0028699D">
      <w:pPr>
        <w:pStyle w:val="PlainText"/>
        <w:spacing w:after="40"/>
        <w:ind w:firstLine="426"/>
        <w:jc w:val="both"/>
        <w:rPr>
          <w:rFonts w:ascii="Times New Roman" w:hAnsi="Times New Roman" w:cs="Times New Roman"/>
          <w:sz w:val="24"/>
          <w:szCs w:val="22"/>
        </w:rPr>
      </w:pPr>
      <w:r w:rsidRPr="0028699D">
        <w:rPr>
          <w:rFonts w:ascii="Times New Roman" w:hAnsi="Times New Roman" w:cs="Times New Roman"/>
          <w:sz w:val="24"/>
          <w:szCs w:val="22"/>
        </w:rPr>
        <w:t xml:space="preserve">Latvijas </w:t>
      </w:r>
      <w:r w:rsidRPr="0028699D">
        <w:rPr>
          <w:rFonts w:ascii="Times New Roman" w:hAnsi="Times New Roman" w:cs="Times New Roman"/>
          <w:b/>
          <w:sz w:val="24"/>
          <w:szCs w:val="22"/>
        </w:rPr>
        <w:t>robežšķērsotāju apsekojuma</w:t>
      </w:r>
      <w:r w:rsidRPr="0028699D">
        <w:rPr>
          <w:rFonts w:ascii="Times New Roman" w:hAnsi="Times New Roman" w:cs="Times New Roman"/>
          <w:sz w:val="24"/>
          <w:szCs w:val="22"/>
        </w:rPr>
        <w:t xml:space="preserve"> dat</w:t>
      </w:r>
      <w:r w:rsidR="001453AE">
        <w:rPr>
          <w:rFonts w:ascii="Times New Roman" w:hAnsi="Times New Roman" w:cs="Times New Roman"/>
          <w:sz w:val="24"/>
          <w:szCs w:val="22"/>
        </w:rPr>
        <w:t>i liecina, ka, sākot ar 2010.</w:t>
      </w:r>
      <w:r w:rsidRPr="0028699D">
        <w:rPr>
          <w:rFonts w:ascii="Times New Roman" w:hAnsi="Times New Roman" w:cs="Times New Roman"/>
          <w:sz w:val="24"/>
          <w:szCs w:val="22"/>
        </w:rPr>
        <w:t xml:space="preserve">gadu, pieaug robežšķērsotāju skaits pret Latvijas iedzīvotāju skaitu. </w:t>
      </w:r>
    </w:p>
    <w:p w14:paraId="67D024AD" w14:textId="0068FBDA" w:rsidR="0028699D" w:rsidRDefault="0028699D" w:rsidP="0028699D">
      <w:pPr>
        <w:pStyle w:val="PlainText"/>
        <w:spacing w:after="40"/>
        <w:ind w:firstLine="426"/>
        <w:jc w:val="both"/>
        <w:rPr>
          <w:rFonts w:ascii="Times New Roman" w:hAnsi="Times New Roman" w:cs="Times New Roman"/>
          <w:sz w:val="24"/>
          <w:szCs w:val="22"/>
        </w:rPr>
      </w:pPr>
    </w:p>
    <w:p w14:paraId="56929CBB" w14:textId="1F1827B0" w:rsidR="0028699D" w:rsidRDefault="00C31BCE" w:rsidP="00C80B20">
      <w:pPr>
        <w:pStyle w:val="PlainText"/>
        <w:spacing w:after="40"/>
        <w:jc w:val="center"/>
        <w:rPr>
          <w:rFonts w:ascii="Times New Roman" w:hAnsi="Times New Roman" w:cs="Times New Roman"/>
          <w:sz w:val="24"/>
          <w:szCs w:val="22"/>
        </w:rPr>
      </w:pPr>
      <w:r>
        <w:rPr>
          <w:noProof/>
          <w:lang w:eastAsia="lv-LV"/>
        </w:rPr>
        <w:drawing>
          <wp:inline distT="0" distB="0" distL="0" distR="0" wp14:anchorId="5600B7CC" wp14:editId="51CC4352">
            <wp:extent cx="5279137" cy="1097280"/>
            <wp:effectExtent l="0" t="0" r="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21728" cy="1106133"/>
                    </a:xfrm>
                    <a:prstGeom prst="rect">
                      <a:avLst/>
                    </a:prstGeom>
                  </pic:spPr>
                </pic:pic>
              </a:graphicData>
            </a:graphic>
          </wp:inline>
        </w:drawing>
      </w:r>
    </w:p>
    <w:p w14:paraId="5B120A8A" w14:textId="77777777" w:rsidR="0028699D" w:rsidRPr="00267BCC" w:rsidRDefault="0028699D" w:rsidP="00C80B20">
      <w:pPr>
        <w:jc w:val="center"/>
        <w:rPr>
          <w:sz w:val="20"/>
          <w:szCs w:val="20"/>
        </w:rPr>
      </w:pPr>
      <w:r w:rsidRPr="00267BCC">
        <w:rPr>
          <w:sz w:val="20"/>
          <w:szCs w:val="20"/>
        </w:rPr>
        <w:t>Datu avots: CSP</w:t>
      </w:r>
    </w:p>
    <w:p w14:paraId="50795BFA" w14:textId="77777777" w:rsidR="00E47D34" w:rsidRDefault="00E47D34" w:rsidP="0028699D">
      <w:pPr>
        <w:pStyle w:val="PlainText"/>
        <w:spacing w:after="40"/>
        <w:ind w:firstLine="426"/>
        <w:jc w:val="both"/>
        <w:rPr>
          <w:rFonts w:ascii="Times New Roman" w:hAnsi="Times New Roman" w:cs="Times New Roman"/>
          <w:sz w:val="24"/>
          <w:szCs w:val="22"/>
        </w:rPr>
      </w:pPr>
    </w:p>
    <w:p w14:paraId="0D11486F" w14:textId="47E3E4F9" w:rsidR="0028699D" w:rsidRDefault="00E47D34" w:rsidP="00CF616D">
      <w:pPr>
        <w:pStyle w:val="PlainText"/>
        <w:spacing w:after="40"/>
        <w:ind w:firstLine="426"/>
        <w:jc w:val="both"/>
        <w:rPr>
          <w:rFonts w:ascii="Times New Roman" w:hAnsi="Times New Roman" w:cs="Times New Roman"/>
          <w:sz w:val="24"/>
          <w:szCs w:val="22"/>
        </w:rPr>
      </w:pPr>
      <w:r w:rsidRPr="00E47D34">
        <w:rPr>
          <w:rFonts w:ascii="Times New Roman" w:hAnsi="Times New Roman" w:cs="Times New Roman"/>
          <w:sz w:val="24"/>
          <w:szCs w:val="22"/>
        </w:rPr>
        <w:t>Kā liecina pārskata dati par viesnīcu un citu tūristu mītņu darbību, naktsm</w:t>
      </w:r>
      <w:r w:rsidR="001453AE">
        <w:rPr>
          <w:rFonts w:ascii="Times New Roman" w:hAnsi="Times New Roman" w:cs="Times New Roman"/>
          <w:sz w:val="24"/>
          <w:szCs w:val="22"/>
        </w:rPr>
        <w:t>ītņu pakalpojumus Latvijā 2016.</w:t>
      </w:r>
      <w:r w:rsidRPr="00E47D34">
        <w:rPr>
          <w:rFonts w:ascii="Times New Roman" w:hAnsi="Times New Roman" w:cs="Times New Roman"/>
          <w:sz w:val="24"/>
          <w:szCs w:val="22"/>
        </w:rPr>
        <w:t>gadā izmantoja 1,6 milj. ārvalstu ceļotāju, kas ir par 6,7 % vairāk nekā iepriekšējā gadā.</w:t>
      </w:r>
      <w:r w:rsidR="00CF616D">
        <w:rPr>
          <w:rFonts w:ascii="Times New Roman" w:hAnsi="Times New Roman" w:cs="Times New Roman"/>
          <w:sz w:val="24"/>
          <w:szCs w:val="22"/>
        </w:rPr>
        <w:t xml:space="preserve"> Savukārt </w:t>
      </w:r>
      <w:r w:rsidR="00CF616D" w:rsidRPr="00CF616D">
        <w:rPr>
          <w:rFonts w:ascii="Times New Roman" w:hAnsi="Times New Roman" w:cs="Times New Roman"/>
          <w:sz w:val="24"/>
          <w:szCs w:val="22"/>
        </w:rPr>
        <w:t xml:space="preserve">tūrisma operatori </w:t>
      </w:r>
      <w:r w:rsidR="00CF616D">
        <w:rPr>
          <w:rFonts w:ascii="Times New Roman" w:hAnsi="Times New Roman" w:cs="Times New Roman"/>
          <w:sz w:val="24"/>
          <w:szCs w:val="22"/>
        </w:rPr>
        <w:t xml:space="preserve">2016.gadā </w:t>
      </w:r>
      <w:r w:rsidR="00CF616D" w:rsidRPr="00CF616D">
        <w:rPr>
          <w:rFonts w:ascii="Times New Roman" w:hAnsi="Times New Roman" w:cs="Times New Roman"/>
          <w:sz w:val="24"/>
          <w:szCs w:val="22"/>
        </w:rPr>
        <w:t>apkalpoja 464,6 tūkst.</w:t>
      </w:r>
      <w:r w:rsidR="001453AE">
        <w:rPr>
          <w:rFonts w:ascii="Times New Roman" w:hAnsi="Times New Roman" w:cs="Times New Roman"/>
          <w:sz w:val="24"/>
          <w:szCs w:val="22"/>
        </w:rPr>
        <w:t xml:space="preserve"> </w:t>
      </w:r>
      <w:r w:rsidR="00CF616D" w:rsidRPr="00CF616D">
        <w:rPr>
          <w:rFonts w:ascii="Times New Roman" w:hAnsi="Times New Roman" w:cs="Times New Roman"/>
          <w:sz w:val="24"/>
          <w:szCs w:val="22"/>
        </w:rPr>
        <w:t>Latvijas iedzīvotājus un ārvalstu viesus, kas ir 10 % samazinājums, salīdzinot ar iepriekšējo gadu. No tiem 285,7 tūkst. bija izejošais tūrisms jeb Latvijas iedzīvotāji, kas devās ceļojumā uz ārvalstīm, izmantojot kompleksā tūrisma piedāvājumus. Latvijā tika uzņemti 114,2 tūkst</w:t>
      </w:r>
      <w:r w:rsidR="001453AE">
        <w:rPr>
          <w:rFonts w:ascii="Times New Roman" w:hAnsi="Times New Roman" w:cs="Times New Roman"/>
          <w:sz w:val="24"/>
          <w:szCs w:val="22"/>
        </w:rPr>
        <w:t>.</w:t>
      </w:r>
      <w:r w:rsidR="00CF616D" w:rsidRPr="00CF616D">
        <w:rPr>
          <w:rFonts w:ascii="Times New Roman" w:hAnsi="Times New Roman" w:cs="Times New Roman"/>
          <w:sz w:val="24"/>
          <w:szCs w:val="22"/>
        </w:rPr>
        <w:t xml:space="preserve"> ārvalstu viesu, kas tiek uzskatīts par ienākošo tūrismu.</w:t>
      </w:r>
    </w:p>
    <w:p w14:paraId="17D55D0D" w14:textId="006A6E71" w:rsidR="00CF616D" w:rsidRDefault="00CF616D" w:rsidP="00CF616D">
      <w:pPr>
        <w:pStyle w:val="PlainText"/>
        <w:spacing w:after="40"/>
        <w:ind w:firstLine="426"/>
        <w:jc w:val="both"/>
        <w:rPr>
          <w:rFonts w:ascii="Times New Roman" w:hAnsi="Times New Roman" w:cs="Times New Roman"/>
          <w:sz w:val="24"/>
          <w:szCs w:val="22"/>
        </w:rPr>
      </w:pPr>
      <w:r>
        <w:rPr>
          <w:rFonts w:ascii="Times New Roman" w:hAnsi="Times New Roman" w:cs="Times New Roman"/>
          <w:sz w:val="24"/>
          <w:szCs w:val="22"/>
        </w:rPr>
        <w:t xml:space="preserve">Pamatojoties uz CSP datiem par </w:t>
      </w:r>
      <w:r w:rsidRPr="00C96977">
        <w:rPr>
          <w:rFonts w:ascii="Times New Roman" w:hAnsi="Times New Roman" w:cs="Times New Roman"/>
          <w:b/>
          <w:sz w:val="24"/>
          <w:szCs w:val="22"/>
        </w:rPr>
        <w:t>tūrisma mītnēs apkalpotajiem ārvalstu vairākdienu ceļotājiem</w:t>
      </w:r>
      <w:r>
        <w:rPr>
          <w:rFonts w:ascii="Times New Roman" w:hAnsi="Times New Roman" w:cs="Times New Roman"/>
          <w:sz w:val="24"/>
          <w:szCs w:val="22"/>
        </w:rPr>
        <w:t xml:space="preserve"> Latvijā, tiek secināts, ka t</w:t>
      </w:r>
      <w:r w:rsidR="001453AE">
        <w:rPr>
          <w:rFonts w:ascii="Times New Roman" w:hAnsi="Times New Roman" w:cs="Times New Roman"/>
          <w:sz w:val="24"/>
          <w:szCs w:val="22"/>
        </w:rPr>
        <w:t>ūristu skaits pēdējos piecos</w:t>
      </w:r>
      <w:r w:rsidRPr="00CF616D">
        <w:rPr>
          <w:rFonts w:ascii="Times New Roman" w:hAnsi="Times New Roman" w:cs="Times New Roman"/>
          <w:sz w:val="24"/>
          <w:szCs w:val="22"/>
        </w:rPr>
        <w:t xml:space="preserve"> gados ir pieaudzis par 65%, kopš straujā tūristu skaita krituma krīzes laikā 2008.gadā.</w:t>
      </w:r>
      <w:r>
        <w:rPr>
          <w:rFonts w:ascii="Times New Roman" w:hAnsi="Times New Roman" w:cs="Times New Roman"/>
          <w:sz w:val="24"/>
          <w:szCs w:val="22"/>
        </w:rPr>
        <w:t xml:space="preserve"> </w:t>
      </w:r>
      <w:r w:rsidRPr="00CF616D">
        <w:rPr>
          <w:rFonts w:ascii="Times New Roman" w:hAnsi="Times New Roman" w:cs="Times New Roman"/>
          <w:sz w:val="24"/>
          <w:szCs w:val="22"/>
        </w:rPr>
        <w:t>Latvijā ir viens no straujākajiem starptautisko tūristu skaita pieaugumiem Eiropā kopš 2005.gada – Eiropas vidējā izaugsme ir 2,9% gadā, Latvijā - 4,6%.</w:t>
      </w:r>
    </w:p>
    <w:p w14:paraId="4B4372DE" w14:textId="77777777" w:rsidR="00F66EC5" w:rsidRPr="003E7833" w:rsidRDefault="00F66EC5" w:rsidP="00CF616D">
      <w:pPr>
        <w:pStyle w:val="PlainText"/>
        <w:spacing w:after="40"/>
        <w:ind w:firstLine="426"/>
        <w:jc w:val="both"/>
        <w:rPr>
          <w:rFonts w:ascii="Times New Roman" w:hAnsi="Times New Roman" w:cs="Times New Roman"/>
          <w:sz w:val="14"/>
          <w:szCs w:val="22"/>
        </w:rPr>
      </w:pPr>
    </w:p>
    <w:p w14:paraId="6058AB47" w14:textId="77777777" w:rsidR="00C31BCE" w:rsidRDefault="00C31BCE" w:rsidP="00F66EC5">
      <w:pPr>
        <w:pStyle w:val="PlainText"/>
        <w:spacing w:after="40"/>
        <w:jc w:val="center"/>
        <w:rPr>
          <w:rFonts w:ascii="Times New Roman" w:hAnsi="Times New Roman" w:cs="Times New Roman"/>
          <w:b/>
          <w:sz w:val="24"/>
          <w:szCs w:val="22"/>
        </w:rPr>
      </w:pPr>
    </w:p>
    <w:p w14:paraId="0F703132" w14:textId="66F81A87" w:rsidR="00F66EC5" w:rsidRPr="00F66EC5" w:rsidRDefault="00F66EC5" w:rsidP="00F66EC5">
      <w:pPr>
        <w:pStyle w:val="PlainText"/>
        <w:spacing w:after="40"/>
        <w:jc w:val="center"/>
        <w:rPr>
          <w:rFonts w:ascii="Times New Roman" w:hAnsi="Times New Roman" w:cs="Times New Roman"/>
          <w:b/>
          <w:sz w:val="24"/>
          <w:szCs w:val="22"/>
        </w:rPr>
      </w:pPr>
      <w:r w:rsidRPr="00F66EC5">
        <w:rPr>
          <w:rFonts w:ascii="Times New Roman" w:hAnsi="Times New Roman" w:cs="Times New Roman"/>
          <w:b/>
          <w:sz w:val="24"/>
          <w:szCs w:val="22"/>
        </w:rPr>
        <w:t xml:space="preserve">Ārvalstu vairākdienu ceļotāji Latvijas tūristu mītnēs (tūkst.), 2005 </w:t>
      </w:r>
      <w:r w:rsidR="00391072">
        <w:rPr>
          <w:rFonts w:ascii="Times New Roman" w:hAnsi="Times New Roman" w:cs="Times New Roman"/>
          <w:b/>
          <w:sz w:val="24"/>
          <w:szCs w:val="22"/>
        </w:rPr>
        <w:t>–</w:t>
      </w:r>
      <w:r w:rsidRPr="00F66EC5">
        <w:rPr>
          <w:rFonts w:ascii="Times New Roman" w:hAnsi="Times New Roman" w:cs="Times New Roman"/>
          <w:b/>
          <w:sz w:val="24"/>
          <w:szCs w:val="22"/>
        </w:rPr>
        <w:t xml:space="preserve"> 201</w:t>
      </w:r>
      <w:r>
        <w:rPr>
          <w:rFonts w:ascii="Times New Roman" w:hAnsi="Times New Roman" w:cs="Times New Roman"/>
          <w:b/>
          <w:sz w:val="24"/>
          <w:szCs w:val="22"/>
        </w:rPr>
        <w:t>6</w:t>
      </w:r>
      <w:r w:rsidR="00391072">
        <w:rPr>
          <w:rFonts w:ascii="Times New Roman" w:hAnsi="Times New Roman" w:cs="Times New Roman"/>
          <w:b/>
          <w:sz w:val="24"/>
          <w:szCs w:val="22"/>
        </w:rPr>
        <w:t>.g.</w:t>
      </w:r>
    </w:p>
    <w:p w14:paraId="0B0761F3" w14:textId="0F4169C3" w:rsidR="00CF616D" w:rsidRDefault="00F66EC5" w:rsidP="00CF616D">
      <w:pPr>
        <w:pStyle w:val="PlainText"/>
        <w:spacing w:after="40"/>
        <w:jc w:val="both"/>
        <w:rPr>
          <w:rFonts w:ascii="Times New Roman" w:hAnsi="Times New Roman" w:cs="Times New Roman"/>
          <w:sz w:val="24"/>
          <w:szCs w:val="22"/>
        </w:rPr>
      </w:pPr>
      <w:r>
        <w:rPr>
          <w:rFonts w:ascii="Times New Roman" w:hAnsi="Times New Roman" w:cs="Times New Roman"/>
          <w:noProof/>
          <w:sz w:val="24"/>
          <w:szCs w:val="22"/>
          <w:lang w:eastAsia="lv-LV"/>
        </w:rPr>
        <mc:AlternateContent>
          <mc:Choice Requires="wps">
            <w:drawing>
              <wp:anchor distT="0" distB="0" distL="114300" distR="114300" simplePos="0" relativeHeight="251676672" behindDoc="0" locked="0" layoutInCell="1" allowOverlap="1" wp14:anchorId="7FD6B194" wp14:editId="61CFEB34">
                <wp:simplePos x="0" y="0"/>
                <wp:positionH relativeFrom="margin">
                  <wp:align>right</wp:align>
                </wp:positionH>
                <wp:positionV relativeFrom="paragraph">
                  <wp:posOffset>88432</wp:posOffset>
                </wp:positionV>
                <wp:extent cx="1483216" cy="3191426"/>
                <wp:effectExtent l="0" t="0" r="22225" b="28575"/>
                <wp:wrapNone/>
                <wp:docPr id="224" name="Rectangle: Rounded Corners 224"/>
                <wp:cNvGraphicFramePr/>
                <a:graphic xmlns:a="http://schemas.openxmlformats.org/drawingml/2006/main">
                  <a:graphicData uri="http://schemas.microsoft.com/office/word/2010/wordprocessingShape">
                    <wps:wsp>
                      <wps:cNvSpPr/>
                      <wps:spPr>
                        <a:xfrm>
                          <a:off x="0" y="0"/>
                          <a:ext cx="1483216" cy="3191426"/>
                        </a:xfrm>
                        <a:prstGeom prst="roundRect">
                          <a:avLst/>
                        </a:prstGeom>
                        <a:noFill/>
                        <a:ln>
                          <a:solidFill>
                            <a:srgbClr val="C00000"/>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463B3F" id="Rectangle: Rounded Corners 224" o:spid="_x0000_s1026" style="position:absolute;margin-left:65.6pt;margin-top:6.95pt;width:116.8pt;height:251.3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" filled="f" strokecolor="#c00000" strokeweight="1pt">
                <v:stroke dashstyle="longDash" joinstyle="miter"/>
                <w10:wrap anchorx="margin"/>
              </v:roundrect>
            </w:pict>
          </mc:Fallback>
        </mc:AlternateContent>
      </w:r>
      <w:r w:rsidR="00CF616D">
        <w:rPr>
          <w:noProof/>
          <w:lang w:eastAsia="lv-LV"/>
        </w:rPr>
        <w:drawing>
          <wp:inline distT="0" distB="0" distL="0" distR="0" wp14:anchorId="376ACFDA" wp14:editId="131E8C87">
            <wp:extent cx="6193682" cy="3381315"/>
            <wp:effectExtent l="0" t="0" r="17145" b="10160"/>
            <wp:docPr id="31" name="Chart 31">
              <a:extLst xmlns:a="http://schemas.openxmlformats.org/drawingml/2006/main">
                <a:ext uri="{FF2B5EF4-FFF2-40B4-BE49-F238E27FC236}">
                  <a16:creationId xmlns:a16="http://schemas.microsoft.com/office/drawing/2014/main" id="{C791722A-4AED-4027-A9A1-557E8210F92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C90A9A4" w14:textId="77777777" w:rsidR="00F66EC5" w:rsidRPr="00267BCC" w:rsidRDefault="00F66EC5" w:rsidP="00C80B20">
      <w:pPr>
        <w:jc w:val="center"/>
        <w:rPr>
          <w:sz w:val="20"/>
          <w:szCs w:val="20"/>
        </w:rPr>
      </w:pPr>
      <w:r w:rsidRPr="00267BCC">
        <w:rPr>
          <w:sz w:val="20"/>
          <w:szCs w:val="20"/>
        </w:rPr>
        <w:t>Datu avots: CSP</w:t>
      </w:r>
    </w:p>
    <w:p w14:paraId="221A21FB" w14:textId="32CF2F42" w:rsidR="0028699D" w:rsidRDefault="0028699D" w:rsidP="0028699D">
      <w:pPr>
        <w:pStyle w:val="PlainText"/>
        <w:spacing w:after="40"/>
        <w:ind w:firstLine="426"/>
        <w:jc w:val="both"/>
        <w:rPr>
          <w:rFonts w:ascii="Times New Roman" w:hAnsi="Times New Roman" w:cs="Times New Roman"/>
          <w:sz w:val="24"/>
          <w:szCs w:val="22"/>
        </w:rPr>
      </w:pPr>
    </w:p>
    <w:p w14:paraId="53BC56A9" w14:textId="065FCF31" w:rsidR="00C96977" w:rsidRDefault="00C96977" w:rsidP="00C96977">
      <w:pPr>
        <w:pStyle w:val="PlainText"/>
        <w:spacing w:after="40"/>
        <w:ind w:firstLine="426"/>
        <w:jc w:val="both"/>
        <w:rPr>
          <w:rFonts w:ascii="Times New Roman" w:hAnsi="Times New Roman" w:cs="Times New Roman"/>
          <w:sz w:val="24"/>
          <w:szCs w:val="22"/>
        </w:rPr>
      </w:pPr>
      <w:r>
        <w:rPr>
          <w:rFonts w:ascii="Times New Roman" w:hAnsi="Times New Roman" w:cs="Times New Roman"/>
          <w:sz w:val="24"/>
          <w:szCs w:val="22"/>
        </w:rPr>
        <w:t xml:space="preserve">Vērtējot </w:t>
      </w:r>
      <w:r w:rsidR="00CA6860" w:rsidRPr="00CA6860">
        <w:rPr>
          <w:rFonts w:ascii="Times New Roman" w:hAnsi="Times New Roman" w:cs="Times New Roman"/>
          <w:b/>
          <w:sz w:val="24"/>
          <w:szCs w:val="22"/>
        </w:rPr>
        <w:t>ienākošā tūrisma struktūru sadalījumā pa valstīm</w:t>
      </w:r>
      <w:r>
        <w:rPr>
          <w:rFonts w:ascii="Times New Roman" w:hAnsi="Times New Roman" w:cs="Times New Roman"/>
          <w:sz w:val="24"/>
          <w:szCs w:val="22"/>
        </w:rPr>
        <w:t xml:space="preserve">, </w:t>
      </w:r>
      <w:r w:rsidRPr="00C96977">
        <w:rPr>
          <w:rFonts w:ascii="Times New Roman" w:hAnsi="Times New Roman" w:cs="Times New Roman"/>
          <w:sz w:val="24"/>
          <w:szCs w:val="22"/>
        </w:rPr>
        <w:t xml:space="preserve">2015.gadā </w:t>
      </w:r>
      <w:r>
        <w:rPr>
          <w:rFonts w:ascii="Times New Roman" w:hAnsi="Times New Roman" w:cs="Times New Roman"/>
          <w:sz w:val="24"/>
          <w:szCs w:val="22"/>
        </w:rPr>
        <w:t xml:space="preserve">bija </w:t>
      </w:r>
      <w:r w:rsidRPr="00C96977">
        <w:rPr>
          <w:rFonts w:ascii="Times New Roman" w:hAnsi="Times New Roman" w:cs="Times New Roman"/>
          <w:sz w:val="24"/>
          <w:szCs w:val="22"/>
        </w:rPr>
        <w:t xml:space="preserve">vērojams Krievijas tūristu skaita kritums par 32%, taču </w:t>
      </w:r>
      <w:r>
        <w:rPr>
          <w:rFonts w:ascii="Times New Roman" w:hAnsi="Times New Roman" w:cs="Times New Roman"/>
          <w:sz w:val="24"/>
          <w:szCs w:val="22"/>
        </w:rPr>
        <w:t xml:space="preserve">vienlaicīgi </w:t>
      </w:r>
      <w:r w:rsidRPr="00C96977">
        <w:rPr>
          <w:rFonts w:ascii="Times New Roman" w:hAnsi="Times New Roman" w:cs="Times New Roman"/>
          <w:sz w:val="24"/>
          <w:szCs w:val="22"/>
        </w:rPr>
        <w:t xml:space="preserve">straujš tūristu skaita pieaugums </w:t>
      </w:r>
      <w:r>
        <w:rPr>
          <w:rFonts w:ascii="Times New Roman" w:hAnsi="Times New Roman" w:cs="Times New Roman"/>
          <w:sz w:val="24"/>
          <w:szCs w:val="22"/>
        </w:rPr>
        <w:t xml:space="preserve">bija </w:t>
      </w:r>
      <w:r w:rsidRPr="00C96977">
        <w:rPr>
          <w:rFonts w:ascii="Times New Roman" w:hAnsi="Times New Roman" w:cs="Times New Roman"/>
          <w:sz w:val="24"/>
          <w:szCs w:val="22"/>
        </w:rPr>
        <w:t>vērojams no Lietuvas (+20%), Lielbritānijas (+18%), Igaunijas (+15%), Zviedrijas (+12%) un Somijas (+11%)</w:t>
      </w:r>
      <w:r>
        <w:rPr>
          <w:rFonts w:ascii="Times New Roman" w:hAnsi="Times New Roman" w:cs="Times New Roman"/>
          <w:sz w:val="24"/>
          <w:szCs w:val="22"/>
        </w:rPr>
        <w:t xml:space="preserve">. Savukārt 2016.gadā </w:t>
      </w:r>
      <w:r w:rsidR="00C80B20">
        <w:rPr>
          <w:rFonts w:ascii="Times New Roman" w:hAnsi="Times New Roman" w:cs="Times New Roman"/>
          <w:sz w:val="24"/>
          <w:szCs w:val="22"/>
        </w:rPr>
        <w:t xml:space="preserve">bija vērojams jau neliels Krievijas tūristu skaita pieaugums (+2,5%), kā arī </w:t>
      </w:r>
      <w:r w:rsidR="00C80B20">
        <w:rPr>
          <w:rFonts w:ascii="Times New Roman" w:hAnsi="Times New Roman" w:cs="Times New Roman"/>
          <w:sz w:val="24"/>
          <w:szCs w:val="22"/>
        </w:rPr>
        <w:lastRenderedPageBreak/>
        <w:t xml:space="preserve">turpinājās tūristu skaita pieaugums no Somijas (+21,5%) un Lielbritānijas (+22,7%). </w:t>
      </w:r>
      <w:r w:rsidR="00C80B20" w:rsidRPr="00C80B20">
        <w:rPr>
          <w:rFonts w:ascii="Times New Roman" w:hAnsi="Times New Roman" w:cs="Times New Roman"/>
          <w:sz w:val="24"/>
          <w:szCs w:val="22"/>
        </w:rPr>
        <w:t>2016.gadā 45% no visiem tūristiem Latvijā veidoja tikai 4 valstis: Krievija, Lietuva, Igaunija un Vācija.</w:t>
      </w:r>
    </w:p>
    <w:p w14:paraId="7B260838" w14:textId="77777777" w:rsidR="00C064FC" w:rsidRDefault="00C064FC" w:rsidP="00C80B20">
      <w:pPr>
        <w:pStyle w:val="PlainText"/>
        <w:spacing w:after="40"/>
        <w:jc w:val="center"/>
        <w:rPr>
          <w:rFonts w:ascii="Times New Roman" w:hAnsi="Times New Roman" w:cs="Times New Roman"/>
          <w:sz w:val="24"/>
          <w:szCs w:val="22"/>
        </w:rPr>
      </w:pPr>
    </w:p>
    <w:p w14:paraId="71C704D3" w14:textId="39C2A44E" w:rsidR="00C80B20" w:rsidRPr="00C80B20" w:rsidRDefault="00C80B20" w:rsidP="00C80B20">
      <w:pPr>
        <w:pStyle w:val="PlainText"/>
        <w:spacing w:after="40"/>
        <w:jc w:val="center"/>
        <w:rPr>
          <w:rFonts w:ascii="Times New Roman" w:hAnsi="Times New Roman" w:cs="Times New Roman"/>
          <w:b/>
          <w:sz w:val="24"/>
          <w:szCs w:val="22"/>
        </w:rPr>
      </w:pPr>
      <w:r w:rsidRPr="00C80B20">
        <w:rPr>
          <w:rFonts w:ascii="Times New Roman" w:hAnsi="Times New Roman" w:cs="Times New Roman"/>
          <w:b/>
          <w:sz w:val="24"/>
          <w:szCs w:val="22"/>
        </w:rPr>
        <w:t>Ārvalstu tūristu skaita sadalījums pa valstīm</w:t>
      </w:r>
    </w:p>
    <w:p w14:paraId="01C2472C" w14:textId="38D271EC" w:rsidR="00C80B20" w:rsidRDefault="00C80B20" w:rsidP="00C80B20">
      <w:pPr>
        <w:pStyle w:val="PlainText"/>
        <w:spacing w:after="40"/>
        <w:jc w:val="center"/>
        <w:rPr>
          <w:rFonts w:ascii="Times New Roman" w:hAnsi="Times New Roman" w:cs="Times New Roman"/>
          <w:sz w:val="24"/>
          <w:szCs w:val="22"/>
        </w:rPr>
      </w:pPr>
      <w:r w:rsidRPr="00C80B20">
        <w:rPr>
          <w:rFonts w:ascii="Times New Roman" w:hAnsi="Times New Roman" w:cs="Times New Roman"/>
          <w:noProof/>
          <w:sz w:val="24"/>
          <w:szCs w:val="22"/>
          <w:lang w:eastAsia="lv-LV"/>
        </w:rPr>
        <w:drawing>
          <wp:inline distT="0" distB="0" distL="0" distR="0" wp14:anchorId="7C69325D" wp14:editId="72493341">
            <wp:extent cx="3535045" cy="2114550"/>
            <wp:effectExtent l="0" t="0" r="8255" b="0"/>
            <wp:docPr id="225" name="Chart 2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D2809D5" w14:textId="77777777" w:rsidR="00C80B20" w:rsidRPr="00267BCC" w:rsidRDefault="00C80B20" w:rsidP="00C80B20">
      <w:pPr>
        <w:jc w:val="center"/>
        <w:rPr>
          <w:sz w:val="20"/>
          <w:szCs w:val="20"/>
        </w:rPr>
      </w:pPr>
      <w:r w:rsidRPr="00267BCC">
        <w:rPr>
          <w:sz w:val="20"/>
          <w:szCs w:val="20"/>
        </w:rPr>
        <w:t>Datu avots: CSP</w:t>
      </w:r>
    </w:p>
    <w:p w14:paraId="7CF32AB3" w14:textId="396A9848" w:rsidR="00C80B20" w:rsidRDefault="00C80B20" w:rsidP="00C80B20">
      <w:pPr>
        <w:pStyle w:val="PlainText"/>
        <w:spacing w:after="40"/>
        <w:jc w:val="both"/>
        <w:rPr>
          <w:rFonts w:ascii="Times New Roman" w:hAnsi="Times New Roman" w:cs="Times New Roman"/>
          <w:sz w:val="24"/>
          <w:szCs w:val="22"/>
        </w:rPr>
      </w:pPr>
    </w:p>
    <w:p w14:paraId="7A40D578" w14:textId="528FDB08" w:rsidR="00C064FC" w:rsidRDefault="00C96977" w:rsidP="00C064FC">
      <w:pPr>
        <w:pStyle w:val="PlainText"/>
        <w:spacing w:after="40"/>
        <w:ind w:firstLine="426"/>
        <w:jc w:val="both"/>
        <w:rPr>
          <w:rFonts w:ascii="Times New Roman" w:hAnsi="Times New Roman" w:cs="Times New Roman"/>
          <w:sz w:val="24"/>
          <w:szCs w:val="22"/>
        </w:rPr>
      </w:pPr>
      <w:r w:rsidRPr="00C96977">
        <w:rPr>
          <w:rFonts w:ascii="Times New Roman" w:hAnsi="Times New Roman" w:cs="Times New Roman"/>
          <w:sz w:val="24"/>
          <w:szCs w:val="22"/>
        </w:rPr>
        <w:t xml:space="preserve">Vidējais ārvalstu viesu </w:t>
      </w:r>
      <w:r w:rsidRPr="00C96977">
        <w:rPr>
          <w:rFonts w:ascii="Times New Roman" w:hAnsi="Times New Roman" w:cs="Times New Roman"/>
          <w:b/>
          <w:sz w:val="24"/>
          <w:szCs w:val="22"/>
        </w:rPr>
        <w:t>uzturēšanās ilgums</w:t>
      </w:r>
      <w:r w:rsidRPr="00C96977">
        <w:rPr>
          <w:rFonts w:ascii="Times New Roman" w:hAnsi="Times New Roman" w:cs="Times New Roman"/>
          <w:sz w:val="24"/>
          <w:szCs w:val="22"/>
        </w:rPr>
        <w:t xml:space="preserve"> </w:t>
      </w:r>
      <w:r w:rsidRPr="00C96977">
        <w:rPr>
          <w:rFonts w:ascii="Times New Roman" w:hAnsi="Times New Roman" w:cs="Times New Roman"/>
          <w:b/>
          <w:sz w:val="24"/>
          <w:szCs w:val="22"/>
        </w:rPr>
        <w:t>naktsmītnēs</w:t>
      </w:r>
      <w:r w:rsidR="00391072">
        <w:rPr>
          <w:rFonts w:ascii="Times New Roman" w:hAnsi="Times New Roman" w:cs="Times New Roman"/>
          <w:sz w:val="24"/>
          <w:szCs w:val="22"/>
        </w:rPr>
        <w:t xml:space="preserve"> Latvijā 2016.</w:t>
      </w:r>
      <w:r w:rsidRPr="00C96977">
        <w:rPr>
          <w:rFonts w:ascii="Times New Roman" w:hAnsi="Times New Roman" w:cs="Times New Roman"/>
          <w:sz w:val="24"/>
          <w:szCs w:val="22"/>
        </w:rPr>
        <w:t>gadā bija 1,93 nak</w:t>
      </w:r>
      <w:r>
        <w:rPr>
          <w:rFonts w:ascii="Times New Roman" w:hAnsi="Times New Roman" w:cs="Times New Roman"/>
          <w:sz w:val="24"/>
          <w:szCs w:val="22"/>
        </w:rPr>
        <w:t xml:space="preserve">tis (2015. gadā – 1,95 naktis). </w:t>
      </w:r>
      <w:r w:rsidRPr="00C96977">
        <w:rPr>
          <w:rFonts w:ascii="Times New Roman" w:hAnsi="Times New Roman" w:cs="Times New Roman"/>
          <w:sz w:val="24"/>
          <w:szCs w:val="22"/>
        </w:rPr>
        <w:t>Vidējais uzturēšanās ilgums viesiem no augsti prioritārajiem tirgiem bija 1,8 naktis, kas bija identisks iepriekšējā gadā. Vidējais</w:t>
      </w:r>
      <w:r>
        <w:rPr>
          <w:rFonts w:ascii="Times New Roman" w:hAnsi="Times New Roman" w:cs="Times New Roman"/>
          <w:sz w:val="24"/>
          <w:szCs w:val="22"/>
        </w:rPr>
        <w:t xml:space="preserve"> </w:t>
      </w:r>
      <w:r w:rsidRPr="00C96977">
        <w:rPr>
          <w:rFonts w:ascii="Times New Roman" w:hAnsi="Times New Roman" w:cs="Times New Roman"/>
          <w:sz w:val="24"/>
          <w:szCs w:val="22"/>
        </w:rPr>
        <w:t>uzturēšanās ilgums ārvalstu viesiem turpina samazināties pēdējos četrus pārskata gadus.</w:t>
      </w:r>
    </w:p>
    <w:p w14:paraId="22381199" w14:textId="77777777" w:rsidR="00C96977" w:rsidRPr="0028699D" w:rsidRDefault="00C96977" w:rsidP="00C96977">
      <w:pPr>
        <w:pStyle w:val="PlainText"/>
        <w:spacing w:after="40"/>
        <w:ind w:firstLine="426"/>
        <w:jc w:val="both"/>
        <w:rPr>
          <w:rFonts w:ascii="Times New Roman" w:hAnsi="Times New Roman" w:cs="Times New Roman"/>
          <w:sz w:val="24"/>
          <w:szCs w:val="22"/>
        </w:rPr>
      </w:pPr>
    </w:p>
    <w:p w14:paraId="66AD5500" w14:textId="48F73D46" w:rsidR="00E413C2" w:rsidRPr="00D46FBB" w:rsidRDefault="00B44EF8" w:rsidP="00D46FBB">
      <w:pPr>
        <w:pStyle w:val="Heading2"/>
        <w:shd w:val="clear" w:color="auto" w:fill="1DA0A7"/>
        <w:rPr>
          <w:b/>
          <w:color w:val="FFFFFF" w:themeColor="background1"/>
        </w:rPr>
      </w:pPr>
      <w:bookmarkStart w:id="7" w:name="_Toc500423591"/>
      <w:r w:rsidRPr="00D46FBB">
        <w:rPr>
          <w:b/>
          <w:color w:val="FFFFFF" w:themeColor="background1"/>
        </w:rPr>
        <w:t>1.3</w:t>
      </w:r>
      <w:r w:rsidR="00ED5B12" w:rsidRPr="00D46FBB">
        <w:rPr>
          <w:b/>
          <w:color w:val="FFFFFF" w:themeColor="background1"/>
        </w:rPr>
        <w:t xml:space="preserve">. </w:t>
      </w:r>
      <w:r w:rsidR="00CA6860">
        <w:rPr>
          <w:b/>
          <w:color w:val="FFFFFF" w:themeColor="background1"/>
        </w:rPr>
        <w:t>Latvijas tūrisma konkurētspēja Baltijas valstīs</w:t>
      </w:r>
      <w:bookmarkEnd w:id="7"/>
    </w:p>
    <w:p w14:paraId="22A2DFA2" w14:textId="77777777" w:rsidR="00D46FBB" w:rsidRPr="00D46FBB" w:rsidRDefault="00DE0F41" w:rsidP="00DE0F41">
      <w:pPr>
        <w:tabs>
          <w:tab w:val="left" w:pos="2816"/>
        </w:tabs>
        <w:spacing w:after="40"/>
        <w:ind w:firstLine="284"/>
        <w:jc w:val="both"/>
        <w:rPr>
          <w:rFonts w:eastAsia="Times New Roman" w:cs="Times New Roman"/>
          <w:sz w:val="12"/>
          <w:szCs w:val="12"/>
        </w:rPr>
      </w:pPr>
      <w:r>
        <w:rPr>
          <w:rFonts w:eastAsia="Times New Roman" w:cs="Times New Roman"/>
          <w:sz w:val="12"/>
          <w:szCs w:val="12"/>
        </w:rPr>
        <w:tab/>
      </w:r>
    </w:p>
    <w:p w14:paraId="2311BDA1" w14:textId="6763176B" w:rsidR="00E9146D" w:rsidRDefault="00B141DE" w:rsidP="00B141DE">
      <w:pPr>
        <w:spacing w:after="240"/>
        <w:ind w:firstLine="426"/>
        <w:jc w:val="both"/>
        <w:rPr>
          <w:rFonts w:cs="Times New Roman"/>
          <w:color w:val="000000" w:themeColor="text1"/>
          <w:sz w:val="24"/>
          <w:szCs w:val="24"/>
        </w:rPr>
      </w:pPr>
      <w:r w:rsidRPr="00B141DE">
        <w:rPr>
          <w:rFonts w:cs="Times New Roman"/>
          <w:color w:val="000000" w:themeColor="text1"/>
          <w:sz w:val="24"/>
          <w:szCs w:val="24"/>
        </w:rPr>
        <w:t xml:space="preserve">Pasaules Ekonomikas foruma (WEF) globālajā “Ceļojumu un tūrisma konkurētspējas ziņojumā”, kurā analizēti 90 </w:t>
      </w:r>
      <w:r w:rsidRPr="006654F7">
        <w:rPr>
          <w:rFonts w:cs="Times New Roman"/>
          <w:b/>
          <w:color w:val="000000" w:themeColor="text1"/>
          <w:sz w:val="24"/>
          <w:szCs w:val="24"/>
        </w:rPr>
        <w:t>tūrisma konkurētspēju</w:t>
      </w:r>
      <w:r w:rsidRPr="00B141DE">
        <w:rPr>
          <w:rFonts w:cs="Times New Roman"/>
          <w:color w:val="000000" w:themeColor="text1"/>
          <w:sz w:val="24"/>
          <w:szCs w:val="24"/>
        </w:rPr>
        <w:t xml:space="preserve"> raksturojošie indikatori, Latvija 2015.gadā 141.valstu</w:t>
      </w:r>
      <w:r w:rsidR="00045576">
        <w:rPr>
          <w:rFonts w:cs="Times New Roman"/>
          <w:color w:val="000000" w:themeColor="text1"/>
          <w:sz w:val="24"/>
          <w:szCs w:val="24"/>
        </w:rPr>
        <w:t xml:space="preserve"> konkurencē ierindojas 53 vietā, savukārt 2017.gadā nokritās uz 54.vietu. Attiecīgi Igaunija ierindojās 37.vietā, savukārt Lietuva 56. </w:t>
      </w:r>
    </w:p>
    <w:p w14:paraId="5F8661C0" w14:textId="7FEC9199" w:rsidR="00045576" w:rsidRPr="00045576" w:rsidRDefault="00045576" w:rsidP="00045576">
      <w:pPr>
        <w:jc w:val="center"/>
        <w:rPr>
          <w:rFonts w:cs="Times New Roman"/>
          <w:b/>
          <w:color w:val="000000" w:themeColor="text1"/>
          <w:sz w:val="24"/>
          <w:szCs w:val="24"/>
        </w:rPr>
      </w:pPr>
      <w:r w:rsidRPr="00045576">
        <w:rPr>
          <w:rFonts w:cs="Times New Roman"/>
          <w:b/>
          <w:color w:val="000000" w:themeColor="text1"/>
          <w:sz w:val="24"/>
          <w:szCs w:val="24"/>
        </w:rPr>
        <w:t>Ceļojumu un tūrisma konkurētspējas indekss kopā</w:t>
      </w:r>
    </w:p>
    <w:tbl>
      <w:tblPr>
        <w:tblStyle w:val="GridTable1Light"/>
        <w:tblW w:w="0" w:type="auto"/>
        <w:jc w:val="center"/>
        <w:tblLook w:val="04A0" w:firstRow="1" w:lastRow="0" w:firstColumn="1" w:lastColumn="0" w:noHBand="0" w:noVBand="1"/>
      </w:tblPr>
      <w:tblGrid>
        <w:gridCol w:w="2263"/>
        <w:gridCol w:w="1005"/>
        <w:gridCol w:w="1006"/>
        <w:gridCol w:w="1005"/>
        <w:gridCol w:w="1006"/>
        <w:gridCol w:w="1005"/>
        <w:gridCol w:w="1006"/>
      </w:tblGrid>
      <w:tr w:rsidR="00045576" w:rsidRPr="00C064FC" w14:paraId="74623EE8" w14:textId="77777777" w:rsidTr="0004557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vMerge w:val="restart"/>
          </w:tcPr>
          <w:p w14:paraId="1DF20619" w14:textId="77777777" w:rsidR="00045576" w:rsidRPr="00C064FC" w:rsidRDefault="00045576" w:rsidP="00EE3C8E">
            <w:pPr>
              <w:jc w:val="center"/>
              <w:rPr>
                <w:sz w:val="24"/>
              </w:rPr>
            </w:pPr>
            <w:r w:rsidRPr="00C064FC">
              <w:rPr>
                <w:sz w:val="24"/>
              </w:rPr>
              <w:t>Indeksa gads / Indeksā iekļauto valstu skaits</w:t>
            </w:r>
          </w:p>
        </w:tc>
        <w:tc>
          <w:tcPr>
            <w:tcW w:w="2011" w:type="dxa"/>
            <w:gridSpan w:val="2"/>
          </w:tcPr>
          <w:p w14:paraId="68E0A3B4" w14:textId="77777777" w:rsidR="00045576" w:rsidRPr="00C064FC" w:rsidRDefault="00045576" w:rsidP="00EE3C8E">
            <w:pPr>
              <w:jc w:val="center"/>
              <w:cnfStyle w:val="100000000000" w:firstRow="1" w:lastRow="0" w:firstColumn="0" w:lastColumn="0" w:oddVBand="0" w:evenVBand="0" w:oddHBand="0" w:evenHBand="0" w:firstRowFirstColumn="0" w:firstRowLastColumn="0" w:lastRowFirstColumn="0" w:lastRowLastColumn="0"/>
              <w:rPr>
                <w:sz w:val="24"/>
              </w:rPr>
            </w:pPr>
            <w:r w:rsidRPr="00C064FC">
              <w:rPr>
                <w:sz w:val="24"/>
              </w:rPr>
              <w:t>Igaunija</w:t>
            </w:r>
          </w:p>
        </w:tc>
        <w:tc>
          <w:tcPr>
            <w:tcW w:w="2011" w:type="dxa"/>
            <w:gridSpan w:val="2"/>
          </w:tcPr>
          <w:p w14:paraId="0CF51A31" w14:textId="77777777" w:rsidR="00045576" w:rsidRPr="00C064FC" w:rsidRDefault="00045576" w:rsidP="00EE3C8E">
            <w:pPr>
              <w:jc w:val="center"/>
              <w:cnfStyle w:val="100000000000" w:firstRow="1" w:lastRow="0" w:firstColumn="0" w:lastColumn="0" w:oddVBand="0" w:evenVBand="0" w:oddHBand="0" w:evenHBand="0" w:firstRowFirstColumn="0" w:firstRowLastColumn="0" w:lastRowFirstColumn="0" w:lastRowLastColumn="0"/>
              <w:rPr>
                <w:sz w:val="24"/>
              </w:rPr>
            </w:pPr>
            <w:r w:rsidRPr="00C064FC">
              <w:rPr>
                <w:sz w:val="24"/>
              </w:rPr>
              <w:t>Latvija</w:t>
            </w:r>
          </w:p>
        </w:tc>
        <w:tc>
          <w:tcPr>
            <w:tcW w:w="2011" w:type="dxa"/>
            <w:gridSpan w:val="2"/>
          </w:tcPr>
          <w:p w14:paraId="31FA8F8F" w14:textId="77777777" w:rsidR="00045576" w:rsidRPr="00C064FC" w:rsidRDefault="00045576" w:rsidP="00EE3C8E">
            <w:pPr>
              <w:jc w:val="center"/>
              <w:cnfStyle w:val="100000000000" w:firstRow="1" w:lastRow="0" w:firstColumn="0" w:lastColumn="0" w:oddVBand="0" w:evenVBand="0" w:oddHBand="0" w:evenHBand="0" w:firstRowFirstColumn="0" w:firstRowLastColumn="0" w:lastRowFirstColumn="0" w:lastRowLastColumn="0"/>
              <w:rPr>
                <w:sz w:val="24"/>
              </w:rPr>
            </w:pPr>
            <w:r w:rsidRPr="00C064FC">
              <w:rPr>
                <w:sz w:val="24"/>
              </w:rPr>
              <w:t>Lietuva</w:t>
            </w:r>
          </w:p>
        </w:tc>
      </w:tr>
      <w:tr w:rsidR="00045576" w:rsidRPr="00C064FC" w14:paraId="671C4F25" w14:textId="77777777" w:rsidTr="00045576">
        <w:trPr>
          <w:jc w:val="center"/>
        </w:trPr>
        <w:tc>
          <w:tcPr>
            <w:cnfStyle w:val="001000000000" w:firstRow="0" w:lastRow="0" w:firstColumn="1" w:lastColumn="0" w:oddVBand="0" w:evenVBand="0" w:oddHBand="0" w:evenHBand="0" w:firstRowFirstColumn="0" w:firstRowLastColumn="0" w:lastRowFirstColumn="0" w:lastRowLastColumn="0"/>
            <w:tcW w:w="2263" w:type="dxa"/>
            <w:vMerge/>
          </w:tcPr>
          <w:p w14:paraId="781441F0" w14:textId="77777777" w:rsidR="00045576" w:rsidRPr="00C064FC" w:rsidRDefault="00045576" w:rsidP="00EE3C8E">
            <w:pPr>
              <w:rPr>
                <w:sz w:val="24"/>
              </w:rPr>
            </w:pPr>
          </w:p>
        </w:tc>
        <w:tc>
          <w:tcPr>
            <w:tcW w:w="1005" w:type="dxa"/>
          </w:tcPr>
          <w:p w14:paraId="3C32978A" w14:textId="77777777" w:rsidR="00045576" w:rsidRPr="00C064FC" w:rsidRDefault="00045576" w:rsidP="00EE3C8E">
            <w:pPr>
              <w:jc w:val="center"/>
              <w:cnfStyle w:val="000000000000" w:firstRow="0" w:lastRow="0" w:firstColumn="0" w:lastColumn="0" w:oddVBand="0" w:evenVBand="0" w:oddHBand="0" w:evenHBand="0" w:firstRowFirstColumn="0" w:firstRowLastColumn="0" w:lastRowFirstColumn="0" w:lastRowLastColumn="0"/>
              <w:rPr>
                <w:sz w:val="24"/>
              </w:rPr>
            </w:pPr>
            <w:r w:rsidRPr="00C064FC">
              <w:rPr>
                <w:sz w:val="24"/>
              </w:rPr>
              <w:t>Vieta</w:t>
            </w:r>
          </w:p>
        </w:tc>
        <w:tc>
          <w:tcPr>
            <w:tcW w:w="1006" w:type="dxa"/>
          </w:tcPr>
          <w:p w14:paraId="7BEC4CA4" w14:textId="77777777" w:rsidR="00045576" w:rsidRPr="00C064FC" w:rsidRDefault="00045576" w:rsidP="00EE3C8E">
            <w:pPr>
              <w:jc w:val="center"/>
              <w:cnfStyle w:val="000000000000" w:firstRow="0" w:lastRow="0" w:firstColumn="0" w:lastColumn="0" w:oddVBand="0" w:evenVBand="0" w:oddHBand="0" w:evenHBand="0" w:firstRowFirstColumn="0" w:firstRowLastColumn="0" w:lastRowFirstColumn="0" w:lastRowLastColumn="0"/>
              <w:rPr>
                <w:sz w:val="24"/>
              </w:rPr>
            </w:pPr>
            <w:r w:rsidRPr="00C064FC">
              <w:rPr>
                <w:sz w:val="24"/>
              </w:rPr>
              <w:t>Indekss</w:t>
            </w:r>
          </w:p>
        </w:tc>
        <w:tc>
          <w:tcPr>
            <w:tcW w:w="1005" w:type="dxa"/>
          </w:tcPr>
          <w:p w14:paraId="334522AB" w14:textId="77777777" w:rsidR="00045576" w:rsidRPr="00C064FC" w:rsidRDefault="00045576" w:rsidP="00EE3C8E">
            <w:pPr>
              <w:jc w:val="center"/>
              <w:cnfStyle w:val="000000000000" w:firstRow="0" w:lastRow="0" w:firstColumn="0" w:lastColumn="0" w:oddVBand="0" w:evenVBand="0" w:oddHBand="0" w:evenHBand="0" w:firstRowFirstColumn="0" w:firstRowLastColumn="0" w:lastRowFirstColumn="0" w:lastRowLastColumn="0"/>
              <w:rPr>
                <w:sz w:val="24"/>
              </w:rPr>
            </w:pPr>
            <w:r w:rsidRPr="00C064FC">
              <w:rPr>
                <w:sz w:val="24"/>
              </w:rPr>
              <w:t>Vieta</w:t>
            </w:r>
          </w:p>
        </w:tc>
        <w:tc>
          <w:tcPr>
            <w:tcW w:w="1006" w:type="dxa"/>
          </w:tcPr>
          <w:p w14:paraId="7E4FD3F5" w14:textId="77777777" w:rsidR="00045576" w:rsidRPr="00C064FC" w:rsidRDefault="00045576" w:rsidP="00EE3C8E">
            <w:pPr>
              <w:jc w:val="center"/>
              <w:cnfStyle w:val="000000000000" w:firstRow="0" w:lastRow="0" w:firstColumn="0" w:lastColumn="0" w:oddVBand="0" w:evenVBand="0" w:oddHBand="0" w:evenHBand="0" w:firstRowFirstColumn="0" w:firstRowLastColumn="0" w:lastRowFirstColumn="0" w:lastRowLastColumn="0"/>
              <w:rPr>
                <w:sz w:val="24"/>
              </w:rPr>
            </w:pPr>
            <w:r w:rsidRPr="00C064FC">
              <w:rPr>
                <w:sz w:val="24"/>
              </w:rPr>
              <w:t>Indekss</w:t>
            </w:r>
          </w:p>
        </w:tc>
        <w:tc>
          <w:tcPr>
            <w:tcW w:w="1005" w:type="dxa"/>
          </w:tcPr>
          <w:p w14:paraId="5783560A" w14:textId="77777777" w:rsidR="00045576" w:rsidRPr="00C064FC" w:rsidRDefault="00045576" w:rsidP="00EE3C8E">
            <w:pPr>
              <w:jc w:val="center"/>
              <w:cnfStyle w:val="000000000000" w:firstRow="0" w:lastRow="0" w:firstColumn="0" w:lastColumn="0" w:oddVBand="0" w:evenVBand="0" w:oddHBand="0" w:evenHBand="0" w:firstRowFirstColumn="0" w:firstRowLastColumn="0" w:lastRowFirstColumn="0" w:lastRowLastColumn="0"/>
              <w:rPr>
                <w:sz w:val="24"/>
              </w:rPr>
            </w:pPr>
            <w:r w:rsidRPr="00C064FC">
              <w:rPr>
                <w:sz w:val="24"/>
              </w:rPr>
              <w:t>Vieta</w:t>
            </w:r>
          </w:p>
        </w:tc>
        <w:tc>
          <w:tcPr>
            <w:tcW w:w="1006" w:type="dxa"/>
          </w:tcPr>
          <w:p w14:paraId="6488972C" w14:textId="77777777" w:rsidR="00045576" w:rsidRPr="00C064FC" w:rsidRDefault="00045576" w:rsidP="00EE3C8E">
            <w:pPr>
              <w:jc w:val="center"/>
              <w:cnfStyle w:val="000000000000" w:firstRow="0" w:lastRow="0" w:firstColumn="0" w:lastColumn="0" w:oddVBand="0" w:evenVBand="0" w:oddHBand="0" w:evenHBand="0" w:firstRowFirstColumn="0" w:firstRowLastColumn="0" w:lastRowFirstColumn="0" w:lastRowLastColumn="0"/>
              <w:rPr>
                <w:sz w:val="24"/>
              </w:rPr>
            </w:pPr>
            <w:r w:rsidRPr="00C064FC">
              <w:rPr>
                <w:sz w:val="24"/>
              </w:rPr>
              <w:t>Indekss</w:t>
            </w:r>
          </w:p>
        </w:tc>
      </w:tr>
      <w:tr w:rsidR="00045576" w:rsidRPr="00C064FC" w14:paraId="63E4C839" w14:textId="77777777" w:rsidTr="00045576">
        <w:trPr>
          <w:jc w:val="center"/>
        </w:trPr>
        <w:tc>
          <w:tcPr>
            <w:cnfStyle w:val="001000000000" w:firstRow="0" w:lastRow="0" w:firstColumn="1" w:lastColumn="0" w:oddVBand="0" w:evenVBand="0" w:oddHBand="0" w:evenHBand="0" w:firstRowFirstColumn="0" w:firstRowLastColumn="0" w:lastRowFirstColumn="0" w:lastRowLastColumn="0"/>
            <w:tcW w:w="2263" w:type="dxa"/>
          </w:tcPr>
          <w:p w14:paraId="44152851" w14:textId="77777777" w:rsidR="00045576" w:rsidRPr="00C064FC" w:rsidRDefault="00045576" w:rsidP="00EE3C8E">
            <w:pPr>
              <w:jc w:val="center"/>
              <w:rPr>
                <w:sz w:val="24"/>
              </w:rPr>
            </w:pPr>
            <w:r w:rsidRPr="00C064FC">
              <w:rPr>
                <w:sz w:val="24"/>
              </w:rPr>
              <w:t>2017 / 136</w:t>
            </w:r>
          </w:p>
        </w:tc>
        <w:tc>
          <w:tcPr>
            <w:tcW w:w="1005" w:type="dxa"/>
          </w:tcPr>
          <w:p w14:paraId="7AB87826" w14:textId="77777777" w:rsidR="00045576" w:rsidRPr="00C064FC" w:rsidRDefault="00045576" w:rsidP="00EE3C8E">
            <w:pPr>
              <w:jc w:val="center"/>
              <w:cnfStyle w:val="000000000000" w:firstRow="0" w:lastRow="0" w:firstColumn="0" w:lastColumn="0" w:oddVBand="0" w:evenVBand="0" w:oddHBand="0" w:evenHBand="0" w:firstRowFirstColumn="0" w:firstRowLastColumn="0" w:lastRowFirstColumn="0" w:lastRowLastColumn="0"/>
              <w:rPr>
                <w:sz w:val="24"/>
              </w:rPr>
            </w:pPr>
            <w:r w:rsidRPr="00C064FC">
              <w:rPr>
                <w:sz w:val="24"/>
              </w:rPr>
              <w:t>37</w:t>
            </w:r>
          </w:p>
        </w:tc>
        <w:tc>
          <w:tcPr>
            <w:tcW w:w="1006" w:type="dxa"/>
          </w:tcPr>
          <w:p w14:paraId="11E64A03" w14:textId="77777777" w:rsidR="00045576" w:rsidRPr="00C064FC" w:rsidRDefault="00045576" w:rsidP="00EE3C8E">
            <w:pPr>
              <w:jc w:val="center"/>
              <w:cnfStyle w:val="000000000000" w:firstRow="0" w:lastRow="0" w:firstColumn="0" w:lastColumn="0" w:oddVBand="0" w:evenVBand="0" w:oddHBand="0" w:evenHBand="0" w:firstRowFirstColumn="0" w:firstRowLastColumn="0" w:lastRowFirstColumn="0" w:lastRowLastColumn="0"/>
              <w:rPr>
                <w:sz w:val="24"/>
              </w:rPr>
            </w:pPr>
            <w:r w:rsidRPr="00C064FC">
              <w:rPr>
                <w:sz w:val="24"/>
              </w:rPr>
              <w:t>4,23</w:t>
            </w:r>
          </w:p>
        </w:tc>
        <w:tc>
          <w:tcPr>
            <w:tcW w:w="1005" w:type="dxa"/>
          </w:tcPr>
          <w:p w14:paraId="4AB20079" w14:textId="77777777" w:rsidR="00045576" w:rsidRPr="00C064FC" w:rsidRDefault="00045576" w:rsidP="00EE3C8E">
            <w:pPr>
              <w:jc w:val="center"/>
              <w:cnfStyle w:val="000000000000" w:firstRow="0" w:lastRow="0" w:firstColumn="0" w:lastColumn="0" w:oddVBand="0" w:evenVBand="0" w:oddHBand="0" w:evenHBand="0" w:firstRowFirstColumn="0" w:firstRowLastColumn="0" w:lastRowFirstColumn="0" w:lastRowLastColumn="0"/>
              <w:rPr>
                <w:b/>
                <w:sz w:val="24"/>
              </w:rPr>
            </w:pPr>
            <w:r w:rsidRPr="00C064FC">
              <w:rPr>
                <w:b/>
                <w:color w:val="FF0000"/>
                <w:sz w:val="24"/>
              </w:rPr>
              <w:t>54</w:t>
            </w:r>
          </w:p>
        </w:tc>
        <w:tc>
          <w:tcPr>
            <w:tcW w:w="1006" w:type="dxa"/>
          </w:tcPr>
          <w:p w14:paraId="29C90251" w14:textId="77777777" w:rsidR="00045576" w:rsidRPr="00C064FC" w:rsidRDefault="00045576" w:rsidP="00EE3C8E">
            <w:pPr>
              <w:jc w:val="center"/>
              <w:cnfStyle w:val="000000000000" w:firstRow="0" w:lastRow="0" w:firstColumn="0" w:lastColumn="0" w:oddVBand="0" w:evenVBand="0" w:oddHBand="0" w:evenHBand="0" w:firstRowFirstColumn="0" w:firstRowLastColumn="0" w:lastRowFirstColumn="0" w:lastRowLastColumn="0"/>
              <w:rPr>
                <w:sz w:val="24"/>
              </w:rPr>
            </w:pPr>
            <w:r w:rsidRPr="00C064FC">
              <w:rPr>
                <w:sz w:val="24"/>
              </w:rPr>
              <w:t>3,97</w:t>
            </w:r>
          </w:p>
        </w:tc>
        <w:tc>
          <w:tcPr>
            <w:tcW w:w="1005" w:type="dxa"/>
          </w:tcPr>
          <w:p w14:paraId="1F6AA788" w14:textId="77777777" w:rsidR="00045576" w:rsidRPr="00C064FC" w:rsidRDefault="00045576" w:rsidP="00EE3C8E">
            <w:pPr>
              <w:jc w:val="center"/>
              <w:cnfStyle w:val="000000000000" w:firstRow="0" w:lastRow="0" w:firstColumn="0" w:lastColumn="0" w:oddVBand="0" w:evenVBand="0" w:oddHBand="0" w:evenHBand="0" w:firstRowFirstColumn="0" w:firstRowLastColumn="0" w:lastRowFirstColumn="0" w:lastRowLastColumn="0"/>
              <w:rPr>
                <w:sz w:val="24"/>
              </w:rPr>
            </w:pPr>
            <w:r w:rsidRPr="00C064FC">
              <w:rPr>
                <w:sz w:val="24"/>
              </w:rPr>
              <w:t>56</w:t>
            </w:r>
          </w:p>
        </w:tc>
        <w:tc>
          <w:tcPr>
            <w:tcW w:w="1006" w:type="dxa"/>
          </w:tcPr>
          <w:p w14:paraId="59A9D888" w14:textId="77777777" w:rsidR="00045576" w:rsidRPr="00C064FC" w:rsidRDefault="00045576" w:rsidP="00EE3C8E">
            <w:pPr>
              <w:jc w:val="center"/>
              <w:cnfStyle w:val="000000000000" w:firstRow="0" w:lastRow="0" w:firstColumn="0" w:lastColumn="0" w:oddVBand="0" w:evenVBand="0" w:oddHBand="0" w:evenHBand="0" w:firstRowFirstColumn="0" w:firstRowLastColumn="0" w:lastRowFirstColumn="0" w:lastRowLastColumn="0"/>
              <w:rPr>
                <w:sz w:val="24"/>
              </w:rPr>
            </w:pPr>
            <w:r w:rsidRPr="00C064FC">
              <w:rPr>
                <w:sz w:val="24"/>
              </w:rPr>
              <w:t>3,91</w:t>
            </w:r>
          </w:p>
        </w:tc>
      </w:tr>
      <w:tr w:rsidR="00045576" w:rsidRPr="00C064FC" w14:paraId="4F9EFE70" w14:textId="77777777" w:rsidTr="00045576">
        <w:trPr>
          <w:jc w:val="center"/>
        </w:trPr>
        <w:tc>
          <w:tcPr>
            <w:cnfStyle w:val="001000000000" w:firstRow="0" w:lastRow="0" w:firstColumn="1" w:lastColumn="0" w:oddVBand="0" w:evenVBand="0" w:oddHBand="0" w:evenHBand="0" w:firstRowFirstColumn="0" w:firstRowLastColumn="0" w:lastRowFirstColumn="0" w:lastRowLastColumn="0"/>
            <w:tcW w:w="2263" w:type="dxa"/>
          </w:tcPr>
          <w:p w14:paraId="5AE22559" w14:textId="77777777" w:rsidR="00045576" w:rsidRPr="00C064FC" w:rsidRDefault="00045576" w:rsidP="00EE3C8E">
            <w:pPr>
              <w:jc w:val="center"/>
              <w:rPr>
                <w:sz w:val="24"/>
              </w:rPr>
            </w:pPr>
            <w:r w:rsidRPr="00C064FC">
              <w:rPr>
                <w:sz w:val="24"/>
              </w:rPr>
              <w:t>2015 / 141</w:t>
            </w:r>
          </w:p>
        </w:tc>
        <w:tc>
          <w:tcPr>
            <w:tcW w:w="1005" w:type="dxa"/>
          </w:tcPr>
          <w:p w14:paraId="30BF9DBA" w14:textId="77777777" w:rsidR="00045576" w:rsidRPr="00C064FC" w:rsidRDefault="00045576" w:rsidP="00EE3C8E">
            <w:pPr>
              <w:jc w:val="center"/>
              <w:cnfStyle w:val="000000000000" w:firstRow="0" w:lastRow="0" w:firstColumn="0" w:lastColumn="0" w:oddVBand="0" w:evenVBand="0" w:oddHBand="0" w:evenHBand="0" w:firstRowFirstColumn="0" w:firstRowLastColumn="0" w:lastRowFirstColumn="0" w:lastRowLastColumn="0"/>
              <w:rPr>
                <w:sz w:val="24"/>
              </w:rPr>
            </w:pPr>
            <w:r w:rsidRPr="00C064FC">
              <w:rPr>
                <w:sz w:val="24"/>
              </w:rPr>
              <w:t>38</w:t>
            </w:r>
          </w:p>
        </w:tc>
        <w:tc>
          <w:tcPr>
            <w:tcW w:w="1006" w:type="dxa"/>
          </w:tcPr>
          <w:p w14:paraId="4212AC9B" w14:textId="77777777" w:rsidR="00045576" w:rsidRPr="00C064FC" w:rsidRDefault="00045576" w:rsidP="00EE3C8E">
            <w:pPr>
              <w:jc w:val="center"/>
              <w:cnfStyle w:val="000000000000" w:firstRow="0" w:lastRow="0" w:firstColumn="0" w:lastColumn="0" w:oddVBand="0" w:evenVBand="0" w:oddHBand="0" w:evenHBand="0" w:firstRowFirstColumn="0" w:firstRowLastColumn="0" w:lastRowFirstColumn="0" w:lastRowLastColumn="0"/>
              <w:rPr>
                <w:sz w:val="24"/>
              </w:rPr>
            </w:pPr>
            <w:r w:rsidRPr="00C064FC">
              <w:rPr>
                <w:sz w:val="24"/>
              </w:rPr>
              <w:t>4,22</w:t>
            </w:r>
          </w:p>
        </w:tc>
        <w:tc>
          <w:tcPr>
            <w:tcW w:w="1005" w:type="dxa"/>
          </w:tcPr>
          <w:p w14:paraId="61748D73" w14:textId="77777777" w:rsidR="00045576" w:rsidRPr="00C064FC" w:rsidRDefault="00045576" w:rsidP="00EE3C8E">
            <w:pPr>
              <w:jc w:val="center"/>
              <w:cnfStyle w:val="000000000000" w:firstRow="0" w:lastRow="0" w:firstColumn="0" w:lastColumn="0" w:oddVBand="0" w:evenVBand="0" w:oddHBand="0" w:evenHBand="0" w:firstRowFirstColumn="0" w:firstRowLastColumn="0" w:lastRowFirstColumn="0" w:lastRowLastColumn="0"/>
              <w:rPr>
                <w:sz w:val="24"/>
              </w:rPr>
            </w:pPr>
            <w:r w:rsidRPr="00C064FC">
              <w:rPr>
                <w:sz w:val="24"/>
              </w:rPr>
              <w:t>53</w:t>
            </w:r>
          </w:p>
        </w:tc>
        <w:tc>
          <w:tcPr>
            <w:tcW w:w="1006" w:type="dxa"/>
          </w:tcPr>
          <w:p w14:paraId="4F635822" w14:textId="77777777" w:rsidR="00045576" w:rsidRPr="00C064FC" w:rsidRDefault="00045576" w:rsidP="00EE3C8E">
            <w:pPr>
              <w:jc w:val="center"/>
              <w:cnfStyle w:val="000000000000" w:firstRow="0" w:lastRow="0" w:firstColumn="0" w:lastColumn="0" w:oddVBand="0" w:evenVBand="0" w:oddHBand="0" w:evenHBand="0" w:firstRowFirstColumn="0" w:firstRowLastColumn="0" w:lastRowFirstColumn="0" w:lastRowLastColumn="0"/>
              <w:rPr>
                <w:sz w:val="24"/>
              </w:rPr>
            </w:pPr>
            <w:r w:rsidRPr="00C064FC">
              <w:rPr>
                <w:sz w:val="24"/>
              </w:rPr>
              <w:t>4,01</w:t>
            </w:r>
          </w:p>
        </w:tc>
        <w:tc>
          <w:tcPr>
            <w:tcW w:w="1005" w:type="dxa"/>
          </w:tcPr>
          <w:p w14:paraId="3138E4A6" w14:textId="77777777" w:rsidR="00045576" w:rsidRPr="00C064FC" w:rsidRDefault="00045576" w:rsidP="00EE3C8E">
            <w:pPr>
              <w:jc w:val="center"/>
              <w:cnfStyle w:val="000000000000" w:firstRow="0" w:lastRow="0" w:firstColumn="0" w:lastColumn="0" w:oddVBand="0" w:evenVBand="0" w:oddHBand="0" w:evenHBand="0" w:firstRowFirstColumn="0" w:firstRowLastColumn="0" w:lastRowFirstColumn="0" w:lastRowLastColumn="0"/>
              <w:rPr>
                <w:sz w:val="24"/>
              </w:rPr>
            </w:pPr>
            <w:r w:rsidRPr="00C064FC">
              <w:rPr>
                <w:sz w:val="24"/>
              </w:rPr>
              <w:t>59</w:t>
            </w:r>
          </w:p>
        </w:tc>
        <w:tc>
          <w:tcPr>
            <w:tcW w:w="1006" w:type="dxa"/>
          </w:tcPr>
          <w:p w14:paraId="6EA8750A" w14:textId="77777777" w:rsidR="00045576" w:rsidRPr="00C064FC" w:rsidRDefault="00045576" w:rsidP="00EE3C8E">
            <w:pPr>
              <w:jc w:val="center"/>
              <w:cnfStyle w:val="000000000000" w:firstRow="0" w:lastRow="0" w:firstColumn="0" w:lastColumn="0" w:oddVBand="0" w:evenVBand="0" w:oddHBand="0" w:evenHBand="0" w:firstRowFirstColumn="0" w:firstRowLastColumn="0" w:lastRowFirstColumn="0" w:lastRowLastColumn="0"/>
              <w:rPr>
                <w:sz w:val="24"/>
              </w:rPr>
            </w:pPr>
            <w:r w:rsidRPr="00C064FC">
              <w:rPr>
                <w:sz w:val="24"/>
              </w:rPr>
              <w:t>3,88</w:t>
            </w:r>
          </w:p>
        </w:tc>
      </w:tr>
      <w:tr w:rsidR="00045576" w:rsidRPr="00C064FC" w14:paraId="1D97CE68" w14:textId="77777777" w:rsidTr="00045576">
        <w:trPr>
          <w:jc w:val="center"/>
        </w:trPr>
        <w:tc>
          <w:tcPr>
            <w:cnfStyle w:val="001000000000" w:firstRow="0" w:lastRow="0" w:firstColumn="1" w:lastColumn="0" w:oddVBand="0" w:evenVBand="0" w:oddHBand="0" w:evenHBand="0" w:firstRowFirstColumn="0" w:firstRowLastColumn="0" w:lastRowFirstColumn="0" w:lastRowLastColumn="0"/>
            <w:tcW w:w="2263" w:type="dxa"/>
          </w:tcPr>
          <w:p w14:paraId="2193E7A1" w14:textId="77777777" w:rsidR="00045576" w:rsidRPr="00C064FC" w:rsidRDefault="00045576" w:rsidP="00EE3C8E">
            <w:pPr>
              <w:jc w:val="center"/>
              <w:rPr>
                <w:sz w:val="24"/>
              </w:rPr>
            </w:pPr>
            <w:r w:rsidRPr="00C064FC">
              <w:rPr>
                <w:sz w:val="24"/>
              </w:rPr>
              <w:t>2013 / 140</w:t>
            </w:r>
          </w:p>
        </w:tc>
        <w:tc>
          <w:tcPr>
            <w:tcW w:w="1005" w:type="dxa"/>
          </w:tcPr>
          <w:p w14:paraId="4229D644" w14:textId="77777777" w:rsidR="00045576" w:rsidRPr="00C064FC" w:rsidRDefault="00045576" w:rsidP="00EE3C8E">
            <w:pPr>
              <w:jc w:val="center"/>
              <w:cnfStyle w:val="000000000000" w:firstRow="0" w:lastRow="0" w:firstColumn="0" w:lastColumn="0" w:oddVBand="0" w:evenVBand="0" w:oddHBand="0" w:evenHBand="0" w:firstRowFirstColumn="0" w:firstRowLastColumn="0" w:lastRowFirstColumn="0" w:lastRowLastColumn="0"/>
              <w:rPr>
                <w:sz w:val="24"/>
              </w:rPr>
            </w:pPr>
            <w:r w:rsidRPr="00C064FC">
              <w:rPr>
                <w:sz w:val="24"/>
              </w:rPr>
              <w:t>30</w:t>
            </w:r>
          </w:p>
        </w:tc>
        <w:tc>
          <w:tcPr>
            <w:tcW w:w="1006" w:type="dxa"/>
          </w:tcPr>
          <w:p w14:paraId="5A0DD32E" w14:textId="77777777" w:rsidR="00045576" w:rsidRPr="00C064FC" w:rsidRDefault="00045576" w:rsidP="00EE3C8E">
            <w:pPr>
              <w:jc w:val="center"/>
              <w:cnfStyle w:val="000000000000" w:firstRow="0" w:lastRow="0" w:firstColumn="0" w:lastColumn="0" w:oddVBand="0" w:evenVBand="0" w:oddHBand="0" w:evenHBand="0" w:firstRowFirstColumn="0" w:firstRowLastColumn="0" w:lastRowFirstColumn="0" w:lastRowLastColumn="0"/>
              <w:rPr>
                <w:sz w:val="24"/>
              </w:rPr>
            </w:pPr>
            <w:r w:rsidRPr="00C064FC">
              <w:rPr>
                <w:sz w:val="24"/>
              </w:rPr>
              <w:t>4,82</w:t>
            </w:r>
          </w:p>
        </w:tc>
        <w:tc>
          <w:tcPr>
            <w:tcW w:w="1005" w:type="dxa"/>
          </w:tcPr>
          <w:p w14:paraId="5F6B7BCD" w14:textId="77777777" w:rsidR="00045576" w:rsidRPr="00C064FC" w:rsidRDefault="00045576" w:rsidP="00EE3C8E">
            <w:pPr>
              <w:jc w:val="center"/>
              <w:cnfStyle w:val="000000000000" w:firstRow="0" w:lastRow="0" w:firstColumn="0" w:lastColumn="0" w:oddVBand="0" w:evenVBand="0" w:oddHBand="0" w:evenHBand="0" w:firstRowFirstColumn="0" w:firstRowLastColumn="0" w:lastRowFirstColumn="0" w:lastRowLastColumn="0"/>
              <w:rPr>
                <w:sz w:val="24"/>
              </w:rPr>
            </w:pPr>
            <w:r w:rsidRPr="00C064FC">
              <w:rPr>
                <w:sz w:val="24"/>
              </w:rPr>
              <w:t>48</w:t>
            </w:r>
          </w:p>
        </w:tc>
        <w:tc>
          <w:tcPr>
            <w:tcW w:w="1006" w:type="dxa"/>
          </w:tcPr>
          <w:p w14:paraId="39795D7C" w14:textId="77777777" w:rsidR="00045576" w:rsidRPr="00C064FC" w:rsidRDefault="00045576" w:rsidP="00EE3C8E">
            <w:pPr>
              <w:jc w:val="center"/>
              <w:cnfStyle w:val="000000000000" w:firstRow="0" w:lastRow="0" w:firstColumn="0" w:lastColumn="0" w:oddVBand="0" w:evenVBand="0" w:oddHBand="0" w:evenHBand="0" w:firstRowFirstColumn="0" w:firstRowLastColumn="0" w:lastRowFirstColumn="0" w:lastRowLastColumn="0"/>
              <w:rPr>
                <w:sz w:val="24"/>
              </w:rPr>
            </w:pPr>
            <w:r w:rsidRPr="00C064FC">
              <w:rPr>
                <w:sz w:val="24"/>
              </w:rPr>
              <w:t>4,43</w:t>
            </w:r>
          </w:p>
        </w:tc>
        <w:tc>
          <w:tcPr>
            <w:tcW w:w="1005" w:type="dxa"/>
          </w:tcPr>
          <w:p w14:paraId="00043B1D" w14:textId="77777777" w:rsidR="00045576" w:rsidRPr="00C064FC" w:rsidRDefault="00045576" w:rsidP="00EE3C8E">
            <w:pPr>
              <w:jc w:val="center"/>
              <w:cnfStyle w:val="000000000000" w:firstRow="0" w:lastRow="0" w:firstColumn="0" w:lastColumn="0" w:oddVBand="0" w:evenVBand="0" w:oddHBand="0" w:evenHBand="0" w:firstRowFirstColumn="0" w:firstRowLastColumn="0" w:lastRowFirstColumn="0" w:lastRowLastColumn="0"/>
              <w:rPr>
                <w:sz w:val="24"/>
              </w:rPr>
            </w:pPr>
            <w:r w:rsidRPr="00C064FC">
              <w:rPr>
                <w:sz w:val="24"/>
              </w:rPr>
              <w:t>49</w:t>
            </w:r>
          </w:p>
        </w:tc>
        <w:tc>
          <w:tcPr>
            <w:tcW w:w="1006" w:type="dxa"/>
          </w:tcPr>
          <w:p w14:paraId="3D5C6B93" w14:textId="77777777" w:rsidR="00045576" w:rsidRPr="00C064FC" w:rsidRDefault="00045576" w:rsidP="00EE3C8E">
            <w:pPr>
              <w:jc w:val="center"/>
              <w:cnfStyle w:val="000000000000" w:firstRow="0" w:lastRow="0" w:firstColumn="0" w:lastColumn="0" w:oddVBand="0" w:evenVBand="0" w:oddHBand="0" w:evenHBand="0" w:firstRowFirstColumn="0" w:firstRowLastColumn="0" w:lastRowFirstColumn="0" w:lastRowLastColumn="0"/>
              <w:rPr>
                <w:sz w:val="24"/>
              </w:rPr>
            </w:pPr>
            <w:r w:rsidRPr="00C064FC">
              <w:rPr>
                <w:sz w:val="24"/>
              </w:rPr>
              <w:t>4,39</w:t>
            </w:r>
          </w:p>
        </w:tc>
      </w:tr>
      <w:tr w:rsidR="00045576" w:rsidRPr="00C064FC" w14:paraId="2A72EA2F" w14:textId="77777777" w:rsidTr="00045576">
        <w:trPr>
          <w:jc w:val="center"/>
        </w:trPr>
        <w:tc>
          <w:tcPr>
            <w:cnfStyle w:val="001000000000" w:firstRow="0" w:lastRow="0" w:firstColumn="1" w:lastColumn="0" w:oddVBand="0" w:evenVBand="0" w:oddHBand="0" w:evenHBand="0" w:firstRowFirstColumn="0" w:firstRowLastColumn="0" w:lastRowFirstColumn="0" w:lastRowLastColumn="0"/>
            <w:tcW w:w="2263" w:type="dxa"/>
          </w:tcPr>
          <w:p w14:paraId="63D6319D" w14:textId="77777777" w:rsidR="00045576" w:rsidRPr="00C064FC" w:rsidRDefault="00045576" w:rsidP="00EE3C8E">
            <w:pPr>
              <w:jc w:val="center"/>
              <w:rPr>
                <w:sz w:val="24"/>
              </w:rPr>
            </w:pPr>
            <w:r w:rsidRPr="00C064FC">
              <w:rPr>
                <w:sz w:val="24"/>
              </w:rPr>
              <w:t>2011 / 139</w:t>
            </w:r>
          </w:p>
        </w:tc>
        <w:tc>
          <w:tcPr>
            <w:tcW w:w="1005" w:type="dxa"/>
          </w:tcPr>
          <w:p w14:paraId="2B3A38F7" w14:textId="77777777" w:rsidR="00045576" w:rsidRPr="00C064FC" w:rsidRDefault="00045576" w:rsidP="00EE3C8E">
            <w:pPr>
              <w:jc w:val="center"/>
              <w:cnfStyle w:val="000000000000" w:firstRow="0" w:lastRow="0" w:firstColumn="0" w:lastColumn="0" w:oddVBand="0" w:evenVBand="0" w:oddHBand="0" w:evenHBand="0" w:firstRowFirstColumn="0" w:firstRowLastColumn="0" w:lastRowFirstColumn="0" w:lastRowLastColumn="0"/>
              <w:rPr>
                <w:sz w:val="24"/>
              </w:rPr>
            </w:pPr>
            <w:r w:rsidRPr="00C064FC">
              <w:rPr>
                <w:sz w:val="24"/>
              </w:rPr>
              <w:t>25</w:t>
            </w:r>
          </w:p>
        </w:tc>
        <w:tc>
          <w:tcPr>
            <w:tcW w:w="1006" w:type="dxa"/>
          </w:tcPr>
          <w:p w14:paraId="73A828E7" w14:textId="77777777" w:rsidR="00045576" w:rsidRPr="00C064FC" w:rsidRDefault="00045576" w:rsidP="00EE3C8E">
            <w:pPr>
              <w:jc w:val="center"/>
              <w:cnfStyle w:val="000000000000" w:firstRow="0" w:lastRow="0" w:firstColumn="0" w:lastColumn="0" w:oddVBand="0" w:evenVBand="0" w:oddHBand="0" w:evenHBand="0" w:firstRowFirstColumn="0" w:firstRowLastColumn="0" w:lastRowFirstColumn="0" w:lastRowLastColumn="0"/>
              <w:rPr>
                <w:sz w:val="24"/>
              </w:rPr>
            </w:pPr>
            <w:r w:rsidRPr="00C064FC">
              <w:rPr>
                <w:sz w:val="24"/>
              </w:rPr>
              <w:t>4,88</w:t>
            </w:r>
          </w:p>
        </w:tc>
        <w:tc>
          <w:tcPr>
            <w:tcW w:w="1005" w:type="dxa"/>
          </w:tcPr>
          <w:p w14:paraId="15362992" w14:textId="77777777" w:rsidR="00045576" w:rsidRPr="00C064FC" w:rsidRDefault="00045576" w:rsidP="00EE3C8E">
            <w:pPr>
              <w:jc w:val="center"/>
              <w:cnfStyle w:val="000000000000" w:firstRow="0" w:lastRow="0" w:firstColumn="0" w:lastColumn="0" w:oddVBand="0" w:evenVBand="0" w:oddHBand="0" w:evenHBand="0" w:firstRowFirstColumn="0" w:firstRowLastColumn="0" w:lastRowFirstColumn="0" w:lastRowLastColumn="0"/>
              <w:rPr>
                <w:sz w:val="24"/>
              </w:rPr>
            </w:pPr>
            <w:r w:rsidRPr="00C064FC">
              <w:rPr>
                <w:sz w:val="24"/>
              </w:rPr>
              <w:t>51</w:t>
            </w:r>
          </w:p>
        </w:tc>
        <w:tc>
          <w:tcPr>
            <w:tcW w:w="1006" w:type="dxa"/>
          </w:tcPr>
          <w:p w14:paraId="59E57F0F" w14:textId="77777777" w:rsidR="00045576" w:rsidRPr="00C064FC" w:rsidRDefault="00045576" w:rsidP="00EE3C8E">
            <w:pPr>
              <w:jc w:val="center"/>
              <w:cnfStyle w:val="000000000000" w:firstRow="0" w:lastRow="0" w:firstColumn="0" w:lastColumn="0" w:oddVBand="0" w:evenVBand="0" w:oddHBand="0" w:evenHBand="0" w:firstRowFirstColumn="0" w:firstRowLastColumn="0" w:lastRowFirstColumn="0" w:lastRowLastColumn="0"/>
              <w:rPr>
                <w:sz w:val="24"/>
              </w:rPr>
            </w:pPr>
            <w:r w:rsidRPr="00C064FC">
              <w:rPr>
                <w:sz w:val="24"/>
              </w:rPr>
              <w:t>4,36</w:t>
            </w:r>
          </w:p>
        </w:tc>
        <w:tc>
          <w:tcPr>
            <w:tcW w:w="1005" w:type="dxa"/>
          </w:tcPr>
          <w:p w14:paraId="5448450E" w14:textId="77777777" w:rsidR="00045576" w:rsidRPr="00C064FC" w:rsidRDefault="00045576" w:rsidP="00EE3C8E">
            <w:pPr>
              <w:jc w:val="center"/>
              <w:cnfStyle w:val="000000000000" w:firstRow="0" w:lastRow="0" w:firstColumn="0" w:lastColumn="0" w:oddVBand="0" w:evenVBand="0" w:oddHBand="0" w:evenHBand="0" w:firstRowFirstColumn="0" w:firstRowLastColumn="0" w:lastRowFirstColumn="0" w:lastRowLastColumn="0"/>
              <w:rPr>
                <w:sz w:val="24"/>
              </w:rPr>
            </w:pPr>
            <w:r w:rsidRPr="00C064FC">
              <w:rPr>
                <w:sz w:val="24"/>
              </w:rPr>
              <w:t>55</w:t>
            </w:r>
          </w:p>
        </w:tc>
        <w:tc>
          <w:tcPr>
            <w:tcW w:w="1006" w:type="dxa"/>
          </w:tcPr>
          <w:p w14:paraId="738E056C" w14:textId="77777777" w:rsidR="00045576" w:rsidRPr="00C064FC" w:rsidRDefault="00045576" w:rsidP="00EE3C8E">
            <w:pPr>
              <w:jc w:val="center"/>
              <w:cnfStyle w:val="000000000000" w:firstRow="0" w:lastRow="0" w:firstColumn="0" w:lastColumn="0" w:oddVBand="0" w:evenVBand="0" w:oddHBand="0" w:evenHBand="0" w:firstRowFirstColumn="0" w:firstRowLastColumn="0" w:lastRowFirstColumn="0" w:lastRowLastColumn="0"/>
              <w:rPr>
                <w:sz w:val="24"/>
              </w:rPr>
            </w:pPr>
            <w:r w:rsidRPr="00C064FC">
              <w:rPr>
                <w:sz w:val="24"/>
              </w:rPr>
              <w:t>4,34</w:t>
            </w:r>
          </w:p>
        </w:tc>
      </w:tr>
    </w:tbl>
    <w:p w14:paraId="4DD29525" w14:textId="42E1AAF7" w:rsidR="006654F7" w:rsidRDefault="00045576" w:rsidP="001400E8">
      <w:pPr>
        <w:spacing w:before="120"/>
        <w:jc w:val="center"/>
        <w:rPr>
          <w:sz w:val="20"/>
          <w:szCs w:val="20"/>
        </w:rPr>
      </w:pPr>
      <w:r>
        <w:rPr>
          <w:sz w:val="20"/>
          <w:szCs w:val="20"/>
        </w:rPr>
        <w:t>Datu a</w:t>
      </w:r>
      <w:r w:rsidRPr="00045576">
        <w:rPr>
          <w:sz w:val="20"/>
          <w:szCs w:val="20"/>
        </w:rPr>
        <w:t>vots: World Economic Forum, The Travel &amp; Tourism Competitiveness Reports</w:t>
      </w:r>
    </w:p>
    <w:p w14:paraId="66689347" w14:textId="77777777" w:rsidR="001400E8" w:rsidRPr="001400E8" w:rsidRDefault="001400E8" w:rsidP="001400E8">
      <w:pPr>
        <w:spacing w:before="120"/>
        <w:jc w:val="center"/>
        <w:rPr>
          <w:sz w:val="20"/>
          <w:szCs w:val="20"/>
        </w:rPr>
      </w:pPr>
    </w:p>
    <w:p w14:paraId="6F21B441" w14:textId="6E8F4058" w:rsidR="00045576" w:rsidRDefault="006654F7" w:rsidP="006654F7">
      <w:pPr>
        <w:ind w:firstLine="426"/>
        <w:jc w:val="both"/>
        <w:rPr>
          <w:rFonts w:cs="Times New Roman"/>
          <w:color w:val="000000" w:themeColor="text1"/>
          <w:sz w:val="24"/>
          <w:szCs w:val="24"/>
        </w:rPr>
      </w:pPr>
      <w:r w:rsidRPr="006654F7">
        <w:rPr>
          <w:rFonts w:cs="Times New Roman"/>
          <w:color w:val="000000" w:themeColor="text1"/>
          <w:sz w:val="24"/>
          <w:szCs w:val="24"/>
        </w:rPr>
        <w:t>Kā galvenās Latvijas konkurētspējas priekšrocības tūrismā atzīmētas cilvēkresursu</w:t>
      </w:r>
      <w:r>
        <w:rPr>
          <w:rFonts w:cs="Times New Roman"/>
          <w:color w:val="000000" w:themeColor="text1"/>
          <w:sz w:val="24"/>
          <w:szCs w:val="24"/>
        </w:rPr>
        <w:t xml:space="preserve"> un darbaspēka tirgus</w:t>
      </w:r>
      <w:r w:rsidRPr="006654F7">
        <w:rPr>
          <w:rFonts w:cs="Times New Roman"/>
          <w:color w:val="000000" w:themeColor="text1"/>
          <w:sz w:val="24"/>
          <w:szCs w:val="24"/>
        </w:rPr>
        <w:t xml:space="preserve">, informācijas un komunikāciju </w:t>
      </w:r>
      <w:r>
        <w:rPr>
          <w:rFonts w:cs="Times New Roman"/>
          <w:color w:val="000000" w:themeColor="text1"/>
          <w:sz w:val="24"/>
          <w:szCs w:val="24"/>
        </w:rPr>
        <w:t>tehnoloģiju gatavība</w:t>
      </w:r>
      <w:r w:rsidRPr="006654F7">
        <w:rPr>
          <w:rFonts w:cs="Times New Roman"/>
          <w:color w:val="000000" w:themeColor="text1"/>
          <w:sz w:val="24"/>
          <w:szCs w:val="24"/>
        </w:rPr>
        <w:t xml:space="preserve">, veselības un higiēnas aspekti </w:t>
      </w:r>
      <w:r>
        <w:rPr>
          <w:rFonts w:cs="Times New Roman"/>
          <w:color w:val="000000" w:themeColor="text1"/>
          <w:sz w:val="24"/>
          <w:szCs w:val="24"/>
        </w:rPr>
        <w:t>un vides ilgtspēja</w:t>
      </w:r>
      <w:r w:rsidRPr="006654F7">
        <w:rPr>
          <w:rFonts w:cs="Times New Roman"/>
          <w:color w:val="000000" w:themeColor="text1"/>
          <w:sz w:val="24"/>
          <w:szCs w:val="24"/>
        </w:rPr>
        <w:t>. Savukārt kā konkurētspējas vājākās vietas novērtētas kultūr</w:t>
      </w:r>
      <w:r>
        <w:rPr>
          <w:rFonts w:cs="Times New Roman"/>
          <w:color w:val="000000" w:themeColor="text1"/>
          <w:sz w:val="24"/>
          <w:szCs w:val="24"/>
        </w:rPr>
        <w:t xml:space="preserve">as resursi un darījumu ceļojumi, kā arī </w:t>
      </w:r>
      <w:r w:rsidRPr="006654F7">
        <w:rPr>
          <w:rFonts w:cs="Times New Roman"/>
          <w:color w:val="000000" w:themeColor="text1"/>
          <w:sz w:val="24"/>
          <w:szCs w:val="24"/>
        </w:rPr>
        <w:t>dabas resursi.</w:t>
      </w:r>
    </w:p>
    <w:p w14:paraId="3A8729EA" w14:textId="4C6FEEB7" w:rsidR="00045576" w:rsidRDefault="006654F7" w:rsidP="003E7833">
      <w:pPr>
        <w:ind w:firstLine="426"/>
        <w:jc w:val="both"/>
        <w:rPr>
          <w:rFonts w:cs="Times New Roman"/>
          <w:color w:val="000000" w:themeColor="text1"/>
          <w:sz w:val="24"/>
          <w:szCs w:val="24"/>
        </w:rPr>
      </w:pPr>
      <w:r>
        <w:rPr>
          <w:rFonts w:cs="Times New Roman"/>
          <w:color w:val="000000" w:themeColor="text1"/>
          <w:sz w:val="24"/>
          <w:szCs w:val="24"/>
        </w:rPr>
        <w:t>Savukārt, a</w:t>
      </w:r>
      <w:r w:rsidRPr="006654F7">
        <w:rPr>
          <w:rFonts w:cs="Times New Roman"/>
          <w:color w:val="000000" w:themeColor="text1"/>
          <w:sz w:val="24"/>
          <w:szCs w:val="24"/>
        </w:rPr>
        <w:t xml:space="preserve">nalizējot </w:t>
      </w:r>
      <w:r w:rsidRPr="006654F7">
        <w:rPr>
          <w:rFonts w:cs="Times New Roman"/>
          <w:b/>
          <w:color w:val="000000" w:themeColor="text1"/>
          <w:sz w:val="24"/>
          <w:szCs w:val="24"/>
        </w:rPr>
        <w:t>ārvalstu ceļotāju izdevumus attiecībā pret valsts iedzīvotāju skaitu Baltijas valstīs</w:t>
      </w:r>
      <w:r w:rsidRPr="006654F7">
        <w:rPr>
          <w:rFonts w:cs="Times New Roman"/>
          <w:color w:val="000000" w:themeColor="text1"/>
          <w:sz w:val="24"/>
          <w:szCs w:val="24"/>
        </w:rPr>
        <w:t>, jāsecina, ka 2016. gadā izdevu</w:t>
      </w:r>
      <w:r>
        <w:rPr>
          <w:rFonts w:cs="Times New Roman"/>
          <w:color w:val="000000" w:themeColor="text1"/>
          <w:sz w:val="24"/>
          <w:szCs w:val="24"/>
        </w:rPr>
        <w:t xml:space="preserve">mi turpināja pieaugt Lietuvā un </w:t>
      </w:r>
      <w:r w:rsidRPr="006654F7">
        <w:rPr>
          <w:rFonts w:cs="Times New Roman"/>
          <w:color w:val="000000" w:themeColor="text1"/>
          <w:sz w:val="24"/>
          <w:szCs w:val="24"/>
        </w:rPr>
        <w:t>Igaunijā, bet Latvijā samazinājās. Taču visvairāk ārvalstu ceļotāji uz vienu</w:t>
      </w:r>
      <w:r>
        <w:rPr>
          <w:rFonts w:cs="Times New Roman"/>
          <w:color w:val="000000" w:themeColor="text1"/>
          <w:sz w:val="24"/>
          <w:szCs w:val="24"/>
        </w:rPr>
        <w:t xml:space="preserve"> </w:t>
      </w:r>
      <w:r w:rsidRPr="006654F7">
        <w:rPr>
          <w:rFonts w:cs="Times New Roman"/>
          <w:color w:val="000000" w:themeColor="text1"/>
          <w:sz w:val="24"/>
          <w:szCs w:val="24"/>
        </w:rPr>
        <w:t xml:space="preserve">iedzīvotāju iztērēja Igaunijā – 1 327,5 </w:t>
      </w:r>
      <w:r w:rsidR="00391072">
        <w:rPr>
          <w:rFonts w:cs="Times New Roman"/>
          <w:color w:val="000000" w:themeColor="text1"/>
          <w:sz w:val="24"/>
          <w:szCs w:val="24"/>
        </w:rPr>
        <w:t>EUR</w:t>
      </w:r>
      <w:r w:rsidRPr="006654F7">
        <w:rPr>
          <w:rFonts w:cs="Times New Roman"/>
          <w:color w:val="000000" w:themeColor="text1"/>
          <w:sz w:val="24"/>
          <w:szCs w:val="24"/>
        </w:rPr>
        <w:t>.</w:t>
      </w:r>
    </w:p>
    <w:p w14:paraId="4514E60A" w14:textId="638B5E0B" w:rsidR="00C064FC" w:rsidRDefault="00C064FC" w:rsidP="006654F7">
      <w:pPr>
        <w:spacing w:after="240"/>
        <w:ind w:firstLine="426"/>
        <w:jc w:val="both"/>
        <w:rPr>
          <w:rFonts w:cs="Times New Roman"/>
          <w:color w:val="000000" w:themeColor="text1"/>
          <w:sz w:val="24"/>
          <w:szCs w:val="24"/>
        </w:rPr>
      </w:pPr>
    </w:p>
    <w:p w14:paraId="74A3B5E8" w14:textId="77777777" w:rsidR="00C064FC" w:rsidRDefault="00C064FC" w:rsidP="006654F7">
      <w:pPr>
        <w:spacing w:after="240"/>
        <w:ind w:firstLine="426"/>
        <w:jc w:val="both"/>
        <w:rPr>
          <w:rFonts w:cs="Times New Roman"/>
          <w:color w:val="000000" w:themeColor="text1"/>
          <w:sz w:val="24"/>
          <w:szCs w:val="24"/>
        </w:rPr>
      </w:pPr>
    </w:p>
    <w:p w14:paraId="20A98EDC" w14:textId="0560E441" w:rsidR="006654F7" w:rsidRDefault="006654F7" w:rsidP="006654F7">
      <w:pPr>
        <w:spacing w:after="240"/>
        <w:ind w:firstLine="426"/>
        <w:jc w:val="both"/>
        <w:rPr>
          <w:rFonts w:cs="Times New Roman"/>
          <w:color w:val="000000" w:themeColor="text1"/>
          <w:sz w:val="24"/>
          <w:szCs w:val="24"/>
        </w:rPr>
      </w:pPr>
      <w:r>
        <w:rPr>
          <w:rFonts w:cs="Times New Roman"/>
          <w:color w:val="000000" w:themeColor="text1"/>
          <w:sz w:val="24"/>
          <w:szCs w:val="24"/>
        </w:rPr>
        <w:lastRenderedPageBreak/>
        <w:t xml:space="preserve">Vērtējot </w:t>
      </w:r>
      <w:r w:rsidRPr="003E7833">
        <w:rPr>
          <w:rFonts w:cs="Times New Roman"/>
          <w:b/>
          <w:color w:val="000000" w:themeColor="text1"/>
          <w:sz w:val="24"/>
          <w:szCs w:val="24"/>
        </w:rPr>
        <w:t>Baltijas valstu ieņēmumus no ārvalstu tūristiem</w:t>
      </w:r>
      <w:r>
        <w:rPr>
          <w:rFonts w:cs="Times New Roman"/>
          <w:color w:val="000000" w:themeColor="text1"/>
          <w:sz w:val="24"/>
          <w:szCs w:val="24"/>
        </w:rPr>
        <w:t xml:space="preserve">, tendences uzrāda, ka </w:t>
      </w:r>
      <w:r w:rsidR="00B27B22">
        <w:rPr>
          <w:rFonts w:cs="Times New Roman"/>
          <w:color w:val="000000" w:themeColor="text1"/>
          <w:sz w:val="24"/>
          <w:szCs w:val="24"/>
        </w:rPr>
        <w:t xml:space="preserve">vislielākie ieņēmumi no ārvalstu tūristiem ir Igaunijai, taču vismazākie ir Latvijai. </w:t>
      </w:r>
      <w:r w:rsidR="001400E8">
        <w:rPr>
          <w:rFonts w:cs="Times New Roman"/>
          <w:color w:val="000000" w:themeColor="text1"/>
          <w:sz w:val="24"/>
          <w:szCs w:val="24"/>
        </w:rPr>
        <w:t>Šā</w:t>
      </w:r>
      <w:r w:rsidR="00B27B22">
        <w:rPr>
          <w:rFonts w:cs="Times New Roman"/>
          <w:color w:val="000000" w:themeColor="text1"/>
          <w:sz w:val="24"/>
          <w:szCs w:val="24"/>
        </w:rPr>
        <w:t xml:space="preserve">da tendence vērojama jau pēdējos 10 gadus. </w:t>
      </w:r>
    </w:p>
    <w:p w14:paraId="323781DD" w14:textId="5BFFCFB4" w:rsidR="006654F7" w:rsidRPr="00F566DF" w:rsidRDefault="00F566DF" w:rsidP="003E7833">
      <w:pPr>
        <w:keepNext/>
        <w:spacing w:after="240"/>
        <w:ind w:firstLine="425"/>
        <w:jc w:val="center"/>
        <w:rPr>
          <w:rFonts w:cs="Times New Roman"/>
          <w:b/>
          <w:color w:val="000000" w:themeColor="text1"/>
          <w:sz w:val="24"/>
          <w:szCs w:val="24"/>
        </w:rPr>
      </w:pPr>
      <w:r w:rsidRPr="00F566DF">
        <w:rPr>
          <w:rFonts w:cs="Times New Roman"/>
          <w:b/>
          <w:color w:val="000000" w:themeColor="text1"/>
          <w:sz w:val="24"/>
          <w:szCs w:val="24"/>
        </w:rPr>
        <w:t>Baltijas valstu i</w:t>
      </w:r>
      <w:r w:rsidR="006654F7" w:rsidRPr="00F566DF">
        <w:rPr>
          <w:rFonts w:cs="Times New Roman"/>
          <w:b/>
          <w:color w:val="000000" w:themeColor="text1"/>
          <w:sz w:val="24"/>
          <w:szCs w:val="24"/>
        </w:rPr>
        <w:t>eņēmumi no ārvalstu tūristiem, milj.</w:t>
      </w:r>
      <w:r w:rsidR="00391072">
        <w:rPr>
          <w:rFonts w:cs="Times New Roman"/>
          <w:b/>
          <w:color w:val="000000" w:themeColor="text1"/>
          <w:sz w:val="24"/>
          <w:szCs w:val="24"/>
        </w:rPr>
        <w:t xml:space="preserve"> </w:t>
      </w:r>
      <w:r w:rsidR="006654F7" w:rsidRPr="00F566DF">
        <w:rPr>
          <w:rFonts w:cs="Times New Roman"/>
          <w:b/>
          <w:color w:val="000000" w:themeColor="text1"/>
          <w:sz w:val="24"/>
          <w:szCs w:val="24"/>
        </w:rPr>
        <w:t>EUR</w:t>
      </w:r>
    </w:p>
    <w:p w14:paraId="2CA7414B" w14:textId="2321A2D0" w:rsidR="006654F7" w:rsidRDefault="006654F7" w:rsidP="00F566DF">
      <w:pPr>
        <w:spacing w:after="240"/>
        <w:jc w:val="center"/>
        <w:rPr>
          <w:rFonts w:cs="Times New Roman"/>
          <w:color w:val="000000" w:themeColor="text1"/>
          <w:sz w:val="24"/>
          <w:szCs w:val="24"/>
        </w:rPr>
      </w:pPr>
      <w:r>
        <w:rPr>
          <w:noProof/>
          <w:lang w:eastAsia="lv-LV"/>
        </w:rPr>
        <w:drawing>
          <wp:inline distT="0" distB="0" distL="0" distR="0" wp14:anchorId="5C6FBD28" wp14:editId="630A7E89">
            <wp:extent cx="4804914" cy="2717321"/>
            <wp:effectExtent l="0" t="0" r="15240" b="6985"/>
            <wp:docPr id="227" name="Chart 227">
              <a:extLst xmlns:a="http://schemas.openxmlformats.org/drawingml/2006/main">
                <a:ext uri="{FF2B5EF4-FFF2-40B4-BE49-F238E27FC236}">
                  <a16:creationId xmlns:a16="http://schemas.microsoft.com/office/drawing/2014/main" id="{FDCD679E-CA50-4C13-A22C-236112BB1E7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A1C82B5" w14:textId="77777777" w:rsidR="00D7769D" w:rsidRPr="00267BCC" w:rsidRDefault="00D7769D" w:rsidP="00D7769D">
      <w:pPr>
        <w:jc w:val="center"/>
        <w:rPr>
          <w:sz w:val="20"/>
          <w:szCs w:val="20"/>
        </w:rPr>
      </w:pPr>
      <w:r w:rsidRPr="00267BCC">
        <w:rPr>
          <w:sz w:val="20"/>
          <w:szCs w:val="20"/>
        </w:rPr>
        <w:t>Datu avots: CSP</w:t>
      </w:r>
    </w:p>
    <w:p w14:paraId="5BA584F5" w14:textId="77777777" w:rsidR="00D7769D" w:rsidRDefault="00D7769D" w:rsidP="00054FD0">
      <w:pPr>
        <w:ind w:firstLine="426"/>
        <w:jc w:val="both"/>
        <w:rPr>
          <w:rFonts w:cs="Times New Roman"/>
          <w:color w:val="000000" w:themeColor="text1"/>
          <w:sz w:val="24"/>
          <w:szCs w:val="24"/>
        </w:rPr>
      </w:pPr>
    </w:p>
    <w:p w14:paraId="4F75FCFB" w14:textId="3A1F3E4B" w:rsidR="00054FD0" w:rsidRDefault="00054FD0" w:rsidP="00054FD0">
      <w:pPr>
        <w:ind w:firstLine="426"/>
        <w:jc w:val="both"/>
        <w:rPr>
          <w:rFonts w:cs="Times New Roman"/>
          <w:color w:val="000000" w:themeColor="text1"/>
          <w:sz w:val="24"/>
          <w:szCs w:val="24"/>
        </w:rPr>
      </w:pPr>
      <w:r>
        <w:rPr>
          <w:rFonts w:cs="Times New Roman"/>
          <w:color w:val="000000" w:themeColor="text1"/>
          <w:sz w:val="24"/>
          <w:szCs w:val="24"/>
        </w:rPr>
        <w:t xml:space="preserve">Ņemot vērā minēto, diemžēl ir jāsecina, ka </w:t>
      </w:r>
      <w:r w:rsidRPr="00054FD0">
        <w:rPr>
          <w:rFonts w:cs="Times New Roman"/>
          <w:color w:val="000000" w:themeColor="text1"/>
          <w:sz w:val="24"/>
          <w:szCs w:val="24"/>
        </w:rPr>
        <w:t xml:space="preserve">Latvijas tūrisma nozare </w:t>
      </w:r>
      <w:r>
        <w:rPr>
          <w:rFonts w:cs="Times New Roman"/>
          <w:color w:val="000000" w:themeColor="text1"/>
          <w:sz w:val="24"/>
          <w:szCs w:val="24"/>
        </w:rPr>
        <w:t xml:space="preserve">joprojām </w:t>
      </w:r>
      <w:r w:rsidRPr="00054FD0">
        <w:rPr>
          <w:rFonts w:cs="Times New Roman"/>
          <w:color w:val="000000" w:themeColor="text1"/>
          <w:sz w:val="24"/>
          <w:szCs w:val="24"/>
        </w:rPr>
        <w:t xml:space="preserve">nespēj pilnvērtīgi izmantot savu tūrisma eksporta potenciālu konkurētspējas trūkuma dēļ salīdzinājumā ar Lietuvu un Igauniju, kur tiek piedāvāta attīstīta kūrortu un cita tūrisma infrastruktūra reģionos ar attīstītu un blīvu tūrisma piedāvājumu visa gada garumā. </w:t>
      </w:r>
    </w:p>
    <w:p w14:paraId="7CB3C798" w14:textId="77777777" w:rsidR="001400E8" w:rsidRDefault="00054FD0" w:rsidP="001400E8">
      <w:pPr>
        <w:ind w:firstLine="426"/>
        <w:jc w:val="both"/>
        <w:rPr>
          <w:rFonts w:cs="Times New Roman"/>
          <w:color w:val="000000" w:themeColor="text1"/>
          <w:sz w:val="24"/>
          <w:szCs w:val="24"/>
        </w:rPr>
      </w:pPr>
      <w:r w:rsidRPr="00054FD0">
        <w:rPr>
          <w:rFonts w:cs="Times New Roman"/>
          <w:color w:val="000000" w:themeColor="text1"/>
          <w:sz w:val="24"/>
          <w:szCs w:val="24"/>
        </w:rPr>
        <w:t>Latvija nevar konkurēt ar pārējām Baltijas valstīm tikai ar tās kultūras un dabas resursiem, taču tā var radīt konkurētspējas priekšrocību ar gudru un ilgtspējīgu šo resursu izmantošanu tūrisma piedāvājuma veidošanā, kas ir pielāgots mūsdienu tūristu vajadzībām. Latvijas tūrisma pakalpojumu piedāvājumu nepieciešams pilnveidot, veicot investīcijas gan infrastruktūrā (t.sk. kūrortu), gan tūrisma piedāvājuma dažādošanā, primāri attīstot uz eksportu orientētus tūri</w:t>
      </w:r>
      <w:r>
        <w:rPr>
          <w:rFonts w:cs="Times New Roman"/>
          <w:color w:val="000000" w:themeColor="text1"/>
          <w:sz w:val="24"/>
          <w:szCs w:val="24"/>
        </w:rPr>
        <w:t xml:space="preserve">sma produktus un pakalpojumus. </w:t>
      </w:r>
    </w:p>
    <w:p w14:paraId="5982B9A5" w14:textId="241CB761" w:rsidR="006654F7" w:rsidRPr="0095397B" w:rsidRDefault="00054FD0" w:rsidP="006654F7">
      <w:pPr>
        <w:spacing w:after="240"/>
        <w:ind w:firstLine="426"/>
        <w:jc w:val="both"/>
        <w:rPr>
          <w:rFonts w:cs="Times New Roman"/>
          <w:color w:val="000000" w:themeColor="text1"/>
          <w:sz w:val="24"/>
          <w:szCs w:val="24"/>
        </w:rPr>
      </w:pPr>
      <w:r>
        <w:rPr>
          <w:rFonts w:cs="Times New Roman"/>
          <w:color w:val="000000" w:themeColor="text1"/>
          <w:sz w:val="24"/>
          <w:szCs w:val="24"/>
        </w:rPr>
        <w:t>Tādēļ b</w:t>
      </w:r>
      <w:r w:rsidRPr="00054FD0">
        <w:rPr>
          <w:rFonts w:cs="Times New Roman"/>
          <w:color w:val="000000" w:themeColor="text1"/>
          <w:sz w:val="24"/>
          <w:szCs w:val="24"/>
        </w:rPr>
        <w:t>ūtiski ir atbalstīt tādu nacionālā līmeņa tūristu piesaistes objektu ar augstu komerciālo potenciālu un pelnītspēju attīstību, kas iekļautos definēto konkurētspējīgo tūrisma veidu sarakstā, lai veicinātu Latvijas tūrisma piedāvājuma konkurētspējas uzlabošanu – ārvalstu vairākdienu ceļotāju skaita palielināšanos un tūrisma sezonalitātes mazināšanos.</w:t>
      </w:r>
    </w:p>
    <w:p w14:paraId="1ACDC802" w14:textId="77777777" w:rsidR="007111B1" w:rsidRPr="007111B1" w:rsidRDefault="007111B1" w:rsidP="007111B1">
      <w:pPr>
        <w:ind w:firstLine="720"/>
        <w:jc w:val="both"/>
        <w:rPr>
          <w:rFonts w:eastAsia="Times New Roman" w:cs="Times New Roman"/>
          <w:sz w:val="8"/>
          <w:szCs w:val="8"/>
        </w:rPr>
      </w:pPr>
    </w:p>
    <w:p w14:paraId="08BC3D08" w14:textId="77777777" w:rsidR="001B35D6" w:rsidRDefault="001B35D6">
      <w:pPr>
        <w:rPr>
          <w:rFonts w:eastAsia="Times New Roman" w:cs="Times New Roman"/>
          <w:b/>
          <w:bCs/>
          <w:color w:val="FFFFFF" w:themeColor="background1"/>
          <w:szCs w:val="28"/>
          <w:lang w:val="x-none" w:eastAsia="x-none"/>
        </w:rPr>
      </w:pPr>
      <w:bookmarkStart w:id="8" w:name="_Toc462739795"/>
      <w:bookmarkStart w:id="9" w:name="_Toc448154073"/>
      <w:bookmarkStart w:id="10" w:name="_Toc448154074"/>
      <w:r>
        <w:rPr>
          <w:color w:val="FFFFFF" w:themeColor="background1"/>
        </w:rPr>
        <w:br w:type="page"/>
      </w:r>
    </w:p>
    <w:p w14:paraId="44B3CB1B" w14:textId="35152F16" w:rsidR="00DF336B" w:rsidRPr="009E53C0" w:rsidRDefault="00DF336B" w:rsidP="00CF44F1">
      <w:pPr>
        <w:pStyle w:val="Heading1"/>
        <w:shd w:val="clear" w:color="auto" w:fill="1DA0A7"/>
        <w:spacing w:before="0"/>
        <w:rPr>
          <w:color w:val="FFFFFF" w:themeColor="background1"/>
          <w:sz w:val="28"/>
        </w:rPr>
      </w:pPr>
      <w:bookmarkStart w:id="11" w:name="_Toc500423592"/>
      <w:r w:rsidRPr="009E53C0">
        <w:rPr>
          <w:color w:val="FFFFFF" w:themeColor="background1"/>
          <w:sz w:val="28"/>
        </w:rPr>
        <w:lastRenderedPageBreak/>
        <w:t xml:space="preserve">2. </w:t>
      </w:r>
      <w:r w:rsidR="009F76A1" w:rsidRPr="009E53C0">
        <w:rPr>
          <w:color w:val="FFFFFF" w:themeColor="background1"/>
          <w:sz w:val="28"/>
        </w:rPr>
        <w:t>Pamatnostādnēs noteikto rezultatīvo rādītāju izpildes novērtējums</w:t>
      </w:r>
      <w:bookmarkEnd w:id="8"/>
      <w:bookmarkEnd w:id="11"/>
      <w:r w:rsidR="009F76A1" w:rsidRPr="009E53C0">
        <w:rPr>
          <w:color w:val="FFFFFF" w:themeColor="background1"/>
          <w:sz w:val="28"/>
        </w:rPr>
        <w:t xml:space="preserve"> </w:t>
      </w:r>
      <w:bookmarkEnd w:id="9"/>
    </w:p>
    <w:p w14:paraId="4083AF96" w14:textId="70E45869" w:rsidR="00DF336B" w:rsidRPr="00480559" w:rsidRDefault="00DF336B" w:rsidP="007111B1">
      <w:pPr>
        <w:spacing w:before="240"/>
        <w:ind w:firstLine="360"/>
        <w:jc w:val="both"/>
        <w:rPr>
          <w:sz w:val="24"/>
          <w:szCs w:val="24"/>
        </w:rPr>
      </w:pPr>
      <w:r w:rsidRPr="00480559">
        <w:rPr>
          <w:sz w:val="24"/>
          <w:szCs w:val="24"/>
        </w:rPr>
        <w:t xml:space="preserve">Saskaņā ar </w:t>
      </w:r>
      <w:r w:rsidR="00FC5BEB">
        <w:rPr>
          <w:sz w:val="24"/>
          <w:szCs w:val="24"/>
        </w:rPr>
        <w:t>M</w:t>
      </w:r>
      <w:r w:rsidR="00835279">
        <w:rPr>
          <w:sz w:val="24"/>
          <w:szCs w:val="24"/>
        </w:rPr>
        <w:t xml:space="preserve">inistru </w:t>
      </w:r>
      <w:r w:rsidR="009D649D">
        <w:rPr>
          <w:sz w:val="24"/>
          <w:szCs w:val="24"/>
        </w:rPr>
        <w:t>Kabineta</w:t>
      </w:r>
      <w:r w:rsidR="00FC5BEB" w:rsidRPr="00480559">
        <w:rPr>
          <w:sz w:val="24"/>
          <w:szCs w:val="24"/>
        </w:rPr>
        <w:t xml:space="preserve"> </w:t>
      </w:r>
      <w:r w:rsidRPr="00480559">
        <w:rPr>
          <w:sz w:val="24"/>
          <w:szCs w:val="24"/>
        </w:rPr>
        <w:t>2014.gada 2.decembra noteikumu Nr.737 “</w:t>
      </w:r>
      <w:r w:rsidRPr="00354974">
        <w:rPr>
          <w:i/>
          <w:sz w:val="24"/>
          <w:szCs w:val="24"/>
        </w:rPr>
        <w:t xml:space="preserve">Attīstības plānošanas dokumentu izstrādes un ietekmes izvērtēšanas noteikumi“ </w:t>
      </w:r>
      <w:r w:rsidRPr="00480559">
        <w:rPr>
          <w:sz w:val="24"/>
          <w:szCs w:val="24"/>
        </w:rPr>
        <w:t>41.2</w:t>
      </w:r>
      <w:r w:rsidR="00391072">
        <w:rPr>
          <w:sz w:val="24"/>
          <w:szCs w:val="24"/>
        </w:rPr>
        <w:t>.</w:t>
      </w:r>
      <w:r w:rsidRPr="00480559">
        <w:rPr>
          <w:sz w:val="24"/>
          <w:szCs w:val="24"/>
        </w:rPr>
        <w:t xml:space="preserve">apakšpunktā noteikto kārtību, Pamatnostādņu starpposma novērtējumā nepieciešams veikt Pamatnostādnēs </w:t>
      </w:r>
      <w:r w:rsidR="00433E3D">
        <w:rPr>
          <w:sz w:val="24"/>
          <w:szCs w:val="24"/>
        </w:rPr>
        <w:t>noteikto</w:t>
      </w:r>
      <w:r w:rsidRPr="00480559">
        <w:rPr>
          <w:sz w:val="24"/>
          <w:szCs w:val="24"/>
        </w:rPr>
        <w:t xml:space="preserve"> rezultatīvo rādītāju izpildes novērtējumu laikā no 201</w:t>
      </w:r>
      <w:r w:rsidR="00E878CD">
        <w:rPr>
          <w:sz w:val="24"/>
          <w:szCs w:val="24"/>
        </w:rPr>
        <w:t>4</w:t>
      </w:r>
      <w:r w:rsidR="00391072">
        <w:rPr>
          <w:sz w:val="24"/>
          <w:szCs w:val="24"/>
        </w:rPr>
        <w:t>.</w:t>
      </w:r>
      <w:r w:rsidRPr="00480559">
        <w:rPr>
          <w:sz w:val="24"/>
          <w:szCs w:val="24"/>
        </w:rPr>
        <w:t xml:space="preserve"> līdz 201</w:t>
      </w:r>
      <w:r w:rsidR="00E878CD">
        <w:rPr>
          <w:sz w:val="24"/>
          <w:szCs w:val="24"/>
        </w:rPr>
        <w:t>6</w:t>
      </w:r>
      <w:r w:rsidRPr="00480559">
        <w:rPr>
          <w:sz w:val="24"/>
          <w:szCs w:val="24"/>
        </w:rPr>
        <w:t>.gadam.</w:t>
      </w:r>
    </w:p>
    <w:p w14:paraId="16F3F319" w14:textId="30EFE29E" w:rsidR="00DF336B" w:rsidRDefault="00391072" w:rsidP="007111B1">
      <w:pPr>
        <w:spacing w:after="240"/>
        <w:ind w:firstLine="360"/>
        <w:jc w:val="both"/>
        <w:rPr>
          <w:sz w:val="24"/>
          <w:szCs w:val="24"/>
        </w:rPr>
      </w:pPr>
      <w:r>
        <w:rPr>
          <w:sz w:val="24"/>
          <w:szCs w:val="24"/>
        </w:rPr>
        <w:t>Pamatnostādnēs noteikti četri</w:t>
      </w:r>
      <w:r w:rsidR="00DF336B" w:rsidRPr="00480559">
        <w:rPr>
          <w:sz w:val="24"/>
          <w:szCs w:val="24"/>
        </w:rPr>
        <w:t xml:space="preserve"> rezultatīvie rādītāji, kas atspoguļo </w:t>
      </w:r>
      <w:r w:rsidR="00E878CD">
        <w:rPr>
          <w:sz w:val="24"/>
          <w:szCs w:val="24"/>
        </w:rPr>
        <w:t>tūrisma politikas</w:t>
      </w:r>
      <w:r w:rsidR="00DF336B" w:rsidRPr="00480559">
        <w:rPr>
          <w:sz w:val="24"/>
          <w:szCs w:val="24"/>
        </w:rPr>
        <w:t xml:space="preserve"> mērķ</w:t>
      </w:r>
      <w:r w:rsidR="00E878CD">
        <w:rPr>
          <w:sz w:val="24"/>
          <w:szCs w:val="24"/>
        </w:rPr>
        <w:t>i</w:t>
      </w:r>
      <w:r w:rsidR="00DF336B" w:rsidRPr="00480559">
        <w:rPr>
          <w:sz w:val="24"/>
          <w:szCs w:val="24"/>
        </w:rPr>
        <w:t xml:space="preserve"> –</w:t>
      </w:r>
      <w:r w:rsidR="00E878CD">
        <w:rPr>
          <w:sz w:val="24"/>
          <w:szCs w:val="24"/>
        </w:rPr>
        <w:t xml:space="preserve"> </w:t>
      </w:r>
      <w:r w:rsidR="00E878CD" w:rsidRPr="00E878CD">
        <w:rPr>
          <w:sz w:val="24"/>
          <w:szCs w:val="24"/>
        </w:rPr>
        <w:t>ilgtspējīga Latvijas tūrisma attīstība, veicinot tūrisma produktu konkurētspējas palielināšanos ārvalstu tirgos</w:t>
      </w:r>
      <w:r w:rsidR="00E878CD">
        <w:rPr>
          <w:sz w:val="24"/>
          <w:szCs w:val="24"/>
        </w:rPr>
        <w:t xml:space="preserve">. </w:t>
      </w:r>
      <w:r w:rsidR="00DF336B" w:rsidRPr="00480559">
        <w:rPr>
          <w:sz w:val="24"/>
          <w:szCs w:val="24"/>
        </w:rPr>
        <w:t>Rezultatīvie rādītāji un to sasniedzamās vērtības atspoguļotas tabulā.</w:t>
      </w:r>
    </w:p>
    <w:tbl>
      <w:tblPr>
        <w:tblStyle w:val="GridTable4-Accent11"/>
        <w:tblW w:w="5000" w:type="pct"/>
        <w:tblLayout w:type="fixed"/>
        <w:tblLook w:val="04A0" w:firstRow="1" w:lastRow="0" w:firstColumn="1" w:lastColumn="0" w:noHBand="0" w:noVBand="1"/>
      </w:tblPr>
      <w:tblGrid>
        <w:gridCol w:w="3259"/>
        <w:gridCol w:w="707"/>
        <w:gridCol w:w="850"/>
        <w:gridCol w:w="848"/>
        <w:gridCol w:w="850"/>
        <w:gridCol w:w="850"/>
        <w:gridCol w:w="1274"/>
        <w:gridCol w:w="1133"/>
      </w:tblGrid>
      <w:tr w:rsidR="00BA2E5C" w:rsidRPr="00891FFD" w14:paraId="3F544316" w14:textId="77777777" w:rsidTr="00BA2E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vAlign w:val="center"/>
            <w:hideMark/>
          </w:tcPr>
          <w:p w14:paraId="54F8A300" w14:textId="77777777" w:rsidR="0062269F" w:rsidRPr="008E34F0" w:rsidRDefault="0062269F" w:rsidP="00BA2E5C">
            <w:pPr>
              <w:jc w:val="center"/>
              <w:rPr>
                <w:rFonts w:cs="Times New Roman"/>
                <w:b w:val="0"/>
                <w:i/>
                <w:sz w:val="20"/>
                <w:szCs w:val="20"/>
              </w:rPr>
            </w:pPr>
            <w:r w:rsidRPr="008E34F0">
              <w:rPr>
                <w:rFonts w:cs="Times New Roman"/>
                <w:i/>
                <w:sz w:val="20"/>
                <w:szCs w:val="20"/>
              </w:rPr>
              <w:t>Rādītājs</w:t>
            </w:r>
          </w:p>
        </w:tc>
        <w:tc>
          <w:tcPr>
            <w:tcW w:w="362" w:type="pct"/>
            <w:vAlign w:val="center"/>
            <w:hideMark/>
          </w:tcPr>
          <w:p w14:paraId="61922332" w14:textId="77777777" w:rsidR="0062269F" w:rsidRPr="008E34F0" w:rsidRDefault="0062269F" w:rsidP="00BA2E5C">
            <w:pPr>
              <w:jc w:val="center"/>
              <w:cnfStyle w:val="100000000000" w:firstRow="1" w:lastRow="0" w:firstColumn="0" w:lastColumn="0" w:oddVBand="0" w:evenVBand="0" w:oddHBand="0" w:evenHBand="0" w:firstRowFirstColumn="0" w:firstRowLastColumn="0" w:lastRowFirstColumn="0" w:lastRowLastColumn="0"/>
              <w:rPr>
                <w:rFonts w:cs="Times New Roman"/>
                <w:b w:val="0"/>
                <w:i/>
                <w:sz w:val="20"/>
                <w:szCs w:val="20"/>
              </w:rPr>
            </w:pPr>
            <w:r w:rsidRPr="008E34F0">
              <w:rPr>
                <w:rFonts w:cs="Times New Roman"/>
                <w:i/>
                <w:sz w:val="20"/>
                <w:szCs w:val="20"/>
              </w:rPr>
              <w:t>2005</w:t>
            </w:r>
          </w:p>
        </w:tc>
        <w:tc>
          <w:tcPr>
            <w:tcW w:w="435" w:type="pct"/>
            <w:vAlign w:val="center"/>
            <w:hideMark/>
          </w:tcPr>
          <w:p w14:paraId="3E5D1A18" w14:textId="3D95FED9" w:rsidR="0062269F" w:rsidRPr="008E34F0" w:rsidRDefault="0062269F" w:rsidP="00BA2E5C">
            <w:pPr>
              <w:jc w:val="center"/>
              <w:cnfStyle w:val="100000000000" w:firstRow="1" w:lastRow="0" w:firstColumn="0" w:lastColumn="0" w:oddVBand="0" w:evenVBand="0" w:oddHBand="0" w:evenHBand="0" w:firstRowFirstColumn="0" w:firstRowLastColumn="0" w:lastRowFirstColumn="0" w:lastRowLastColumn="0"/>
              <w:rPr>
                <w:rFonts w:cs="Times New Roman"/>
                <w:b w:val="0"/>
                <w:i/>
                <w:sz w:val="20"/>
                <w:szCs w:val="20"/>
              </w:rPr>
            </w:pPr>
            <w:r w:rsidRPr="008E34F0">
              <w:rPr>
                <w:rFonts w:cs="Times New Roman"/>
                <w:i/>
                <w:sz w:val="20"/>
                <w:szCs w:val="20"/>
              </w:rPr>
              <w:t>2012</w:t>
            </w:r>
            <w:r>
              <w:rPr>
                <w:rFonts w:cs="Times New Roman"/>
                <w:i/>
                <w:sz w:val="20"/>
                <w:szCs w:val="20"/>
              </w:rPr>
              <w:t xml:space="preserve"> (bāze)</w:t>
            </w:r>
          </w:p>
        </w:tc>
        <w:tc>
          <w:tcPr>
            <w:tcW w:w="434" w:type="pct"/>
            <w:vAlign w:val="center"/>
          </w:tcPr>
          <w:p w14:paraId="14BED7E6" w14:textId="77777777" w:rsidR="0062269F" w:rsidRPr="00BA2E5C" w:rsidRDefault="0062269F" w:rsidP="00BA2E5C">
            <w:pPr>
              <w:jc w:val="center"/>
              <w:cnfStyle w:val="100000000000" w:firstRow="1" w:lastRow="0" w:firstColumn="0" w:lastColumn="0" w:oddVBand="0" w:evenVBand="0" w:oddHBand="0" w:evenHBand="0" w:firstRowFirstColumn="0" w:firstRowLastColumn="0" w:lastRowFirstColumn="0" w:lastRowLastColumn="0"/>
              <w:rPr>
                <w:rFonts w:cs="Times New Roman"/>
                <w:i/>
                <w:sz w:val="20"/>
                <w:szCs w:val="20"/>
                <w:u w:val="single"/>
              </w:rPr>
            </w:pPr>
            <w:r w:rsidRPr="00BA2E5C">
              <w:rPr>
                <w:rFonts w:cs="Times New Roman"/>
                <w:i/>
                <w:sz w:val="20"/>
                <w:szCs w:val="20"/>
                <w:u w:val="single"/>
              </w:rPr>
              <w:t>2014</w:t>
            </w:r>
          </w:p>
          <w:p w14:paraId="786D4979" w14:textId="45886954" w:rsidR="0062269F" w:rsidRPr="004B6050" w:rsidRDefault="0062269F" w:rsidP="00BA2E5C">
            <w:pPr>
              <w:jc w:val="center"/>
              <w:cnfStyle w:val="100000000000" w:firstRow="1" w:lastRow="0" w:firstColumn="0" w:lastColumn="0" w:oddVBand="0" w:evenVBand="0" w:oddHBand="0" w:evenHBand="0" w:firstRowFirstColumn="0" w:firstRowLastColumn="0" w:lastRowFirstColumn="0" w:lastRowLastColumn="0"/>
              <w:rPr>
                <w:rFonts w:cs="Times New Roman"/>
                <w:i/>
                <w:color w:val="000000" w:themeColor="text1"/>
                <w:sz w:val="20"/>
                <w:szCs w:val="20"/>
                <w:u w:val="single"/>
              </w:rPr>
            </w:pPr>
            <w:r w:rsidRPr="00BA2E5C">
              <w:rPr>
                <w:rFonts w:cs="Times New Roman"/>
                <w:i/>
                <w:sz w:val="20"/>
                <w:szCs w:val="20"/>
                <w:u w:val="single"/>
              </w:rPr>
              <w:t>Izpilde</w:t>
            </w:r>
          </w:p>
        </w:tc>
        <w:tc>
          <w:tcPr>
            <w:tcW w:w="435" w:type="pct"/>
            <w:vAlign w:val="center"/>
          </w:tcPr>
          <w:p w14:paraId="3FBBE4BB" w14:textId="59705A2D" w:rsidR="0062269F" w:rsidRPr="00E878CD" w:rsidRDefault="0062269F" w:rsidP="00BA2E5C">
            <w:pPr>
              <w:jc w:val="center"/>
              <w:cnfStyle w:val="100000000000" w:firstRow="1" w:lastRow="0" w:firstColumn="0" w:lastColumn="0" w:oddVBand="0" w:evenVBand="0" w:oddHBand="0" w:evenHBand="0" w:firstRowFirstColumn="0" w:firstRowLastColumn="0" w:lastRowFirstColumn="0" w:lastRowLastColumn="0"/>
              <w:rPr>
                <w:rFonts w:cs="Times New Roman"/>
                <w:i/>
                <w:sz w:val="20"/>
                <w:szCs w:val="20"/>
                <w:u w:val="single"/>
              </w:rPr>
            </w:pPr>
            <w:r w:rsidRPr="00E878CD">
              <w:rPr>
                <w:rFonts w:cs="Times New Roman"/>
                <w:i/>
                <w:sz w:val="20"/>
                <w:szCs w:val="20"/>
                <w:u w:val="single"/>
              </w:rPr>
              <w:t>2015</w:t>
            </w:r>
            <w:r w:rsidRPr="00E878CD">
              <w:rPr>
                <w:rFonts w:cs="Times New Roman"/>
                <w:i/>
                <w:sz w:val="20"/>
                <w:szCs w:val="20"/>
                <w:u w:val="single"/>
              </w:rPr>
              <w:br/>
              <w:t>Izpilde</w:t>
            </w:r>
          </w:p>
        </w:tc>
        <w:tc>
          <w:tcPr>
            <w:tcW w:w="435" w:type="pct"/>
            <w:vAlign w:val="center"/>
          </w:tcPr>
          <w:p w14:paraId="62352D5D" w14:textId="412D0F38" w:rsidR="0062269F" w:rsidRPr="00E878CD" w:rsidRDefault="0062269F" w:rsidP="00BA2E5C">
            <w:pPr>
              <w:jc w:val="center"/>
              <w:cnfStyle w:val="100000000000" w:firstRow="1" w:lastRow="0" w:firstColumn="0" w:lastColumn="0" w:oddVBand="0" w:evenVBand="0" w:oddHBand="0" w:evenHBand="0" w:firstRowFirstColumn="0" w:firstRowLastColumn="0" w:lastRowFirstColumn="0" w:lastRowLastColumn="0"/>
              <w:rPr>
                <w:rFonts w:cs="Times New Roman"/>
                <w:i/>
                <w:sz w:val="20"/>
                <w:szCs w:val="20"/>
                <w:u w:val="single"/>
              </w:rPr>
            </w:pPr>
            <w:r w:rsidRPr="00E878CD">
              <w:rPr>
                <w:rFonts w:cs="Times New Roman"/>
                <w:i/>
                <w:sz w:val="20"/>
                <w:szCs w:val="20"/>
                <w:u w:val="single"/>
              </w:rPr>
              <w:t>2016</w:t>
            </w:r>
            <w:r w:rsidRPr="00E878CD">
              <w:rPr>
                <w:rFonts w:cs="Times New Roman"/>
                <w:i/>
                <w:sz w:val="20"/>
                <w:szCs w:val="20"/>
                <w:u w:val="single"/>
              </w:rPr>
              <w:br/>
              <w:t>Izpilde</w:t>
            </w:r>
          </w:p>
        </w:tc>
        <w:tc>
          <w:tcPr>
            <w:tcW w:w="652" w:type="pct"/>
            <w:vAlign w:val="center"/>
            <w:hideMark/>
          </w:tcPr>
          <w:p w14:paraId="13A8ACA2" w14:textId="2F22B98D" w:rsidR="0062269F" w:rsidRPr="008E34F0" w:rsidRDefault="0062269F" w:rsidP="00BA2E5C">
            <w:pPr>
              <w:jc w:val="center"/>
              <w:cnfStyle w:val="100000000000" w:firstRow="1" w:lastRow="0" w:firstColumn="0" w:lastColumn="0" w:oddVBand="0" w:evenVBand="0" w:oddHBand="0" w:evenHBand="0" w:firstRowFirstColumn="0" w:firstRowLastColumn="0" w:lastRowFirstColumn="0" w:lastRowLastColumn="0"/>
              <w:rPr>
                <w:rFonts w:cs="Times New Roman"/>
                <w:b w:val="0"/>
                <w:i/>
                <w:sz w:val="20"/>
                <w:szCs w:val="20"/>
              </w:rPr>
            </w:pPr>
            <w:r w:rsidRPr="008E34F0">
              <w:rPr>
                <w:rFonts w:cs="Times New Roman"/>
                <w:i/>
                <w:sz w:val="20"/>
                <w:szCs w:val="20"/>
              </w:rPr>
              <w:t>2017</w:t>
            </w:r>
          </w:p>
        </w:tc>
        <w:tc>
          <w:tcPr>
            <w:tcW w:w="581" w:type="pct"/>
            <w:vAlign w:val="center"/>
            <w:hideMark/>
          </w:tcPr>
          <w:p w14:paraId="48F37820" w14:textId="77777777" w:rsidR="0062269F" w:rsidRPr="008E34F0" w:rsidRDefault="0062269F" w:rsidP="00BA2E5C">
            <w:pPr>
              <w:jc w:val="center"/>
              <w:cnfStyle w:val="100000000000" w:firstRow="1" w:lastRow="0" w:firstColumn="0" w:lastColumn="0" w:oddVBand="0" w:evenVBand="0" w:oddHBand="0" w:evenHBand="0" w:firstRowFirstColumn="0" w:firstRowLastColumn="0" w:lastRowFirstColumn="0" w:lastRowLastColumn="0"/>
              <w:rPr>
                <w:rFonts w:cs="Times New Roman"/>
                <w:b w:val="0"/>
                <w:i/>
                <w:sz w:val="20"/>
                <w:szCs w:val="20"/>
              </w:rPr>
            </w:pPr>
            <w:r w:rsidRPr="008E34F0">
              <w:rPr>
                <w:rFonts w:cs="Times New Roman"/>
                <w:i/>
                <w:sz w:val="20"/>
                <w:szCs w:val="20"/>
              </w:rPr>
              <w:t>2020</w:t>
            </w:r>
          </w:p>
        </w:tc>
      </w:tr>
      <w:tr w:rsidR="0062269F" w:rsidRPr="00891FFD" w14:paraId="7A6E581B" w14:textId="77777777" w:rsidTr="009462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8"/>
          </w:tcPr>
          <w:p w14:paraId="5E4E3C5B" w14:textId="7BA4FF06" w:rsidR="0062269F" w:rsidRPr="008E34F0" w:rsidRDefault="0062269F" w:rsidP="00E878CD">
            <w:pPr>
              <w:jc w:val="center"/>
              <w:rPr>
                <w:rFonts w:cs="Times New Roman"/>
                <w:i/>
                <w:sz w:val="20"/>
                <w:szCs w:val="20"/>
              </w:rPr>
            </w:pPr>
            <w:r w:rsidRPr="00891FFD">
              <w:rPr>
                <w:sz w:val="20"/>
                <w:szCs w:val="20"/>
              </w:rPr>
              <w:t>1. Ārvalstu vairākdienu ceļotāju skaita pieaugums.</w:t>
            </w:r>
          </w:p>
        </w:tc>
      </w:tr>
      <w:tr w:rsidR="0062269F" w:rsidRPr="00891FFD" w14:paraId="5C80E770" w14:textId="77777777" w:rsidTr="00BA2E5C">
        <w:trPr>
          <w:trHeight w:val="987"/>
        </w:trPr>
        <w:tc>
          <w:tcPr>
            <w:cnfStyle w:val="001000000000" w:firstRow="0" w:lastRow="0" w:firstColumn="1" w:lastColumn="0" w:oddVBand="0" w:evenVBand="0" w:oddHBand="0" w:evenHBand="0" w:firstRowFirstColumn="0" w:firstRowLastColumn="0" w:lastRowFirstColumn="0" w:lastRowLastColumn="0"/>
            <w:tcW w:w="1667" w:type="pct"/>
            <w:hideMark/>
          </w:tcPr>
          <w:p w14:paraId="3DC3B01C" w14:textId="77777777" w:rsidR="0062269F" w:rsidRPr="00891FFD" w:rsidRDefault="0062269F" w:rsidP="00E878CD">
            <w:pPr>
              <w:jc w:val="center"/>
              <w:rPr>
                <w:rFonts w:cs="Times New Roman"/>
                <w:sz w:val="20"/>
                <w:szCs w:val="20"/>
              </w:rPr>
            </w:pPr>
            <w:r w:rsidRPr="00891FFD">
              <w:rPr>
                <w:rFonts w:cs="Times New Roman"/>
                <w:sz w:val="20"/>
                <w:szCs w:val="20"/>
              </w:rPr>
              <w:t>Ārvalstu vairākdienu ceļotāju skaits, tūkst.</w:t>
            </w:r>
          </w:p>
        </w:tc>
        <w:tc>
          <w:tcPr>
            <w:tcW w:w="362" w:type="pct"/>
            <w:hideMark/>
          </w:tcPr>
          <w:p w14:paraId="1747E622" w14:textId="77777777" w:rsidR="0062269F" w:rsidRPr="00891FFD" w:rsidRDefault="0062269F" w:rsidP="00E878CD">
            <w:pPr>
              <w:tabs>
                <w:tab w:val="left" w:pos="1035"/>
              </w:tabs>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91FFD">
              <w:rPr>
                <w:rFonts w:cs="Times New Roman"/>
                <w:sz w:val="20"/>
                <w:szCs w:val="20"/>
              </w:rPr>
              <w:t>1089</w:t>
            </w:r>
          </w:p>
        </w:tc>
        <w:tc>
          <w:tcPr>
            <w:tcW w:w="435" w:type="pct"/>
            <w:hideMark/>
          </w:tcPr>
          <w:p w14:paraId="3C547686" w14:textId="77777777" w:rsidR="0062269F" w:rsidRPr="00891FFD" w:rsidRDefault="0062269F" w:rsidP="00E878CD">
            <w:pPr>
              <w:tabs>
                <w:tab w:val="left" w:pos="1035"/>
              </w:tabs>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91FFD">
              <w:rPr>
                <w:rFonts w:cs="Times New Roman"/>
                <w:sz w:val="20"/>
                <w:szCs w:val="20"/>
              </w:rPr>
              <w:t>1 435</w:t>
            </w:r>
          </w:p>
        </w:tc>
        <w:tc>
          <w:tcPr>
            <w:tcW w:w="434" w:type="pct"/>
          </w:tcPr>
          <w:p w14:paraId="0F53DA29" w14:textId="77777777" w:rsidR="0062269F" w:rsidRPr="00691589" w:rsidRDefault="0062269F" w:rsidP="00E878CD">
            <w:pPr>
              <w:jc w:val="center"/>
              <w:cnfStyle w:val="000000000000" w:firstRow="0" w:lastRow="0" w:firstColumn="0" w:lastColumn="0" w:oddVBand="0" w:evenVBand="0" w:oddHBand="0" w:evenHBand="0" w:firstRowFirstColumn="0" w:firstRowLastColumn="0" w:lastRowFirstColumn="0" w:lastRowLastColumn="0"/>
              <w:rPr>
                <w:rFonts w:cs="Times New Roman"/>
                <w:b/>
                <w:i/>
                <w:color w:val="FF0000"/>
                <w:sz w:val="20"/>
                <w:szCs w:val="20"/>
              </w:rPr>
            </w:pPr>
            <w:r w:rsidRPr="00691589">
              <w:rPr>
                <w:rFonts w:cs="Times New Roman"/>
                <w:b/>
                <w:i/>
                <w:color w:val="FF0000"/>
                <w:sz w:val="20"/>
                <w:szCs w:val="20"/>
              </w:rPr>
              <w:t>1 843</w:t>
            </w:r>
          </w:p>
        </w:tc>
        <w:tc>
          <w:tcPr>
            <w:tcW w:w="435" w:type="pct"/>
          </w:tcPr>
          <w:p w14:paraId="69FCED52" w14:textId="21CBC86B" w:rsidR="0062269F" w:rsidRPr="00691589" w:rsidRDefault="0062269F" w:rsidP="00E878CD">
            <w:pPr>
              <w:jc w:val="center"/>
              <w:cnfStyle w:val="000000000000" w:firstRow="0" w:lastRow="0" w:firstColumn="0" w:lastColumn="0" w:oddVBand="0" w:evenVBand="0" w:oddHBand="0" w:evenHBand="0" w:firstRowFirstColumn="0" w:firstRowLastColumn="0" w:lastRowFirstColumn="0" w:lastRowLastColumn="0"/>
              <w:rPr>
                <w:rFonts w:cs="Times New Roman"/>
                <w:b/>
                <w:color w:val="FF0000"/>
                <w:sz w:val="20"/>
                <w:szCs w:val="20"/>
              </w:rPr>
            </w:pPr>
            <w:r w:rsidRPr="00691589">
              <w:rPr>
                <w:rFonts w:cs="Times New Roman"/>
                <w:b/>
                <w:color w:val="FF0000"/>
                <w:sz w:val="20"/>
                <w:szCs w:val="20"/>
              </w:rPr>
              <w:t>2 024</w:t>
            </w:r>
          </w:p>
        </w:tc>
        <w:tc>
          <w:tcPr>
            <w:tcW w:w="435" w:type="pct"/>
          </w:tcPr>
          <w:p w14:paraId="601C355F" w14:textId="1E10A8C0" w:rsidR="0062269F" w:rsidRPr="00691589" w:rsidRDefault="0062269F" w:rsidP="00E878CD">
            <w:pPr>
              <w:jc w:val="center"/>
              <w:cnfStyle w:val="000000000000" w:firstRow="0" w:lastRow="0" w:firstColumn="0" w:lastColumn="0" w:oddVBand="0" w:evenVBand="0" w:oddHBand="0" w:evenHBand="0" w:firstRowFirstColumn="0" w:firstRowLastColumn="0" w:lastRowFirstColumn="0" w:lastRowLastColumn="0"/>
              <w:rPr>
                <w:rFonts w:cs="Times New Roman"/>
                <w:b/>
                <w:color w:val="FF0000"/>
                <w:sz w:val="20"/>
                <w:szCs w:val="20"/>
              </w:rPr>
            </w:pPr>
            <w:r w:rsidRPr="00691589">
              <w:rPr>
                <w:rFonts w:cs="Times New Roman"/>
                <w:b/>
                <w:color w:val="FF0000"/>
                <w:sz w:val="20"/>
                <w:szCs w:val="20"/>
              </w:rPr>
              <w:t>1 793</w:t>
            </w:r>
            <w:r w:rsidRPr="00691589">
              <w:rPr>
                <w:rFonts w:cs="Times New Roman"/>
                <w:b/>
                <w:color w:val="FF0000"/>
                <w:sz w:val="20"/>
                <w:szCs w:val="20"/>
              </w:rPr>
              <w:tab/>
            </w:r>
          </w:p>
        </w:tc>
        <w:tc>
          <w:tcPr>
            <w:tcW w:w="652" w:type="pct"/>
            <w:hideMark/>
          </w:tcPr>
          <w:p w14:paraId="1EE50474" w14:textId="5F4CE738" w:rsidR="0062269F" w:rsidRPr="00891FFD" w:rsidRDefault="0062269F" w:rsidP="00E878C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91FFD">
              <w:rPr>
                <w:rFonts w:cs="Times New Roman"/>
                <w:sz w:val="20"/>
                <w:szCs w:val="20"/>
              </w:rPr>
              <w:t xml:space="preserve">1 650 </w:t>
            </w:r>
            <w:r>
              <w:rPr>
                <w:rFonts w:cs="Times New Roman"/>
                <w:sz w:val="20"/>
                <w:szCs w:val="20"/>
              </w:rPr>
              <w:br/>
            </w:r>
            <w:r w:rsidRPr="00891FFD">
              <w:rPr>
                <w:rFonts w:cs="Times New Roman"/>
                <w:sz w:val="20"/>
                <w:szCs w:val="20"/>
              </w:rPr>
              <w:t>(+15%  pret 2012.gadu)</w:t>
            </w:r>
          </w:p>
        </w:tc>
        <w:tc>
          <w:tcPr>
            <w:tcW w:w="581" w:type="pct"/>
            <w:hideMark/>
          </w:tcPr>
          <w:p w14:paraId="52E89A66" w14:textId="77777777" w:rsidR="0062269F" w:rsidRPr="00891FFD" w:rsidRDefault="0062269F" w:rsidP="00E878C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91FFD">
              <w:rPr>
                <w:rFonts w:cs="Times New Roman"/>
                <w:sz w:val="20"/>
                <w:szCs w:val="20"/>
              </w:rPr>
              <w:t>1 722</w:t>
            </w:r>
          </w:p>
          <w:p w14:paraId="4078271A" w14:textId="77777777" w:rsidR="0062269F" w:rsidRPr="00891FFD" w:rsidRDefault="0062269F" w:rsidP="00E878C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91FFD">
              <w:rPr>
                <w:rFonts w:cs="Times New Roman"/>
                <w:sz w:val="20"/>
                <w:szCs w:val="20"/>
              </w:rPr>
              <w:t>(+20% pret 2012.gadu)</w:t>
            </w:r>
          </w:p>
        </w:tc>
      </w:tr>
      <w:tr w:rsidR="0062269F" w:rsidRPr="00891FFD" w14:paraId="4F46FE6F" w14:textId="77777777" w:rsidTr="00BA2E5C">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5000" w:type="pct"/>
            <w:gridSpan w:val="8"/>
          </w:tcPr>
          <w:p w14:paraId="6ADA2EEC" w14:textId="791491A3" w:rsidR="0062269F" w:rsidRPr="00891FFD" w:rsidRDefault="0062269F" w:rsidP="00E878CD">
            <w:pPr>
              <w:jc w:val="center"/>
              <w:rPr>
                <w:rFonts w:cs="Times New Roman"/>
                <w:sz w:val="20"/>
                <w:szCs w:val="20"/>
              </w:rPr>
            </w:pPr>
            <w:r w:rsidRPr="00891FFD">
              <w:rPr>
                <w:sz w:val="20"/>
                <w:szCs w:val="20"/>
              </w:rPr>
              <w:t>2. Vidējās noslodzes (gultas vietu noslogojums) palielināšanās izmitināšanas mītnēs ārpus noslogotākās vasaras sezonas (izņemot jūn.-aug.).</w:t>
            </w:r>
          </w:p>
        </w:tc>
      </w:tr>
      <w:tr w:rsidR="00BA2E5C" w:rsidRPr="00891FFD" w14:paraId="1AA446C2" w14:textId="77777777" w:rsidTr="00BA2E5C">
        <w:tc>
          <w:tcPr>
            <w:cnfStyle w:val="001000000000" w:firstRow="0" w:lastRow="0" w:firstColumn="1" w:lastColumn="0" w:oddVBand="0" w:evenVBand="0" w:oddHBand="0" w:evenHBand="0" w:firstRowFirstColumn="0" w:firstRowLastColumn="0" w:lastRowFirstColumn="0" w:lastRowLastColumn="0"/>
            <w:tcW w:w="1667" w:type="pct"/>
            <w:hideMark/>
          </w:tcPr>
          <w:p w14:paraId="7F07AD57" w14:textId="77777777" w:rsidR="0062269F" w:rsidRPr="00891FFD" w:rsidRDefault="0062269F" w:rsidP="00E878CD">
            <w:pPr>
              <w:jc w:val="center"/>
              <w:rPr>
                <w:rFonts w:cs="Times New Roman"/>
                <w:sz w:val="20"/>
                <w:szCs w:val="20"/>
              </w:rPr>
            </w:pPr>
            <w:r w:rsidRPr="00891FFD">
              <w:rPr>
                <w:rFonts w:cs="Times New Roman"/>
                <w:sz w:val="20"/>
                <w:szCs w:val="20"/>
              </w:rPr>
              <w:t>Vidējā izmitināšanas mītņu noslodze (gultas vietu noslogojums) ārpus noslogotākās vasaras sezonas (izņemot jūn.-aug.), %</w:t>
            </w:r>
          </w:p>
        </w:tc>
        <w:tc>
          <w:tcPr>
            <w:tcW w:w="362" w:type="pct"/>
            <w:hideMark/>
          </w:tcPr>
          <w:p w14:paraId="6491EF52" w14:textId="77777777" w:rsidR="0062269F" w:rsidRPr="00891FFD" w:rsidRDefault="0062269F" w:rsidP="00E878C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91FFD">
              <w:rPr>
                <w:rFonts w:cs="Times New Roman"/>
                <w:sz w:val="20"/>
                <w:szCs w:val="20"/>
              </w:rPr>
              <w:t>35</w:t>
            </w:r>
          </w:p>
        </w:tc>
        <w:tc>
          <w:tcPr>
            <w:tcW w:w="435" w:type="pct"/>
            <w:hideMark/>
          </w:tcPr>
          <w:p w14:paraId="4D96FB6C" w14:textId="77777777" w:rsidR="0062269F" w:rsidRPr="00891FFD" w:rsidRDefault="0062269F" w:rsidP="00E878C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91FFD">
              <w:rPr>
                <w:rFonts w:cs="Times New Roman"/>
                <w:sz w:val="20"/>
                <w:szCs w:val="20"/>
              </w:rPr>
              <w:t>30</w:t>
            </w:r>
          </w:p>
        </w:tc>
        <w:tc>
          <w:tcPr>
            <w:tcW w:w="434" w:type="pct"/>
          </w:tcPr>
          <w:p w14:paraId="343847E2" w14:textId="77777777" w:rsidR="0062269F" w:rsidRPr="0015554D" w:rsidRDefault="0062269F" w:rsidP="00E878CD">
            <w:pPr>
              <w:jc w:val="center"/>
              <w:cnfStyle w:val="000000000000" w:firstRow="0" w:lastRow="0" w:firstColumn="0" w:lastColumn="0" w:oddVBand="0" w:evenVBand="0" w:oddHBand="0" w:evenHBand="0" w:firstRowFirstColumn="0" w:firstRowLastColumn="0" w:lastRowFirstColumn="0" w:lastRowLastColumn="0"/>
              <w:rPr>
                <w:rFonts w:cs="Times New Roman"/>
                <w:b/>
                <w:i/>
                <w:color w:val="4472C4" w:themeColor="accent5"/>
                <w:sz w:val="20"/>
                <w:szCs w:val="20"/>
              </w:rPr>
            </w:pPr>
            <w:r w:rsidRPr="0015554D">
              <w:rPr>
                <w:rFonts w:cs="Times New Roman"/>
                <w:b/>
                <w:i/>
                <w:color w:val="4472C4" w:themeColor="accent5"/>
                <w:sz w:val="20"/>
                <w:szCs w:val="20"/>
              </w:rPr>
              <w:t>35</w:t>
            </w:r>
          </w:p>
        </w:tc>
        <w:tc>
          <w:tcPr>
            <w:tcW w:w="435" w:type="pct"/>
          </w:tcPr>
          <w:p w14:paraId="77C7D2F6" w14:textId="0524CBC8" w:rsidR="0062269F" w:rsidRPr="0015554D" w:rsidRDefault="0062269F" w:rsidP="00E878CD">
            <w:pPr>
              <w:jc w:val="center"/>
              <w:cnfStyle w:val="000000000000" w:firstRow="0" w:lastRow="0" w:firstColumn="0" w:lastColumn="0" w:oddVBand="0" w:evenVBand="0" w:oddHBand="0" w:evenHBand="0" w:firstRowFirstColumn="0" w:firstRowLastColumn="0" w:lastRowFirstColumn="0" w:lastRowLastColumn="0"/>
              <w:rPr>
                <w:rFonts w:cs="Times New Roman"/>
                <w:b/>
                <w:i/>
                <w:color w:val="4472C4" w:themeColor="accent5"/>
                <w:sz w:val="20"/>
                <w:szCs w:val="20"/>
              </w:rPr>
            </w:pPr>
            <w:r w:rsidRPr="0015554D">
              <w:rPr>
                <w:rFonts w:cs="Times New Roman"/>
                <w:b/>
                <w:i/>
                <w:color w:val="4472C4" w:themeColor="accent5"/>
                <w:sz w:val="20"/>
                <w:szCs w:val="20"/>
              </w:rPr>
              <w:t>33</w:t>
            </w:r>
          </w:p>
        </w:tc>
        <w:tc>
          <w:tcPr>
            <w:tcW w:w="435" w:type="pct"/>
          </w:tcPr>
          <w:p w14:paraId="4F78B27A" w14:textId="43CE1928" w:rsidR="0062269F" w:rsidRPr="0015554D" w:rsidRDefault="0062269F" w:rsidP="00E878CD">
            <w:pPr>
              <w:jc w:val="center"/>
              <w:cnfStyle w:val="000000000000" w:firstRow="0" w:lastRow="0" w:firstColumn="0" w:lastColumn="0" w:oddVBand="0" w:evenVBand="0" w:oddHBand="0" w:evenHBand="0" w:firstRowFirstColumn="0" w:firstRowLastColumn="0" w:lastRowFirstColumn="0" w:lastRowLastColumn="0"/>
              <w:rPr>
                <w:rFonts w:cs="Times New Roman"/>
                <w:b/>
                <w:i/>
                <w:color w:val="4472C4" w:themeColor="accent5"/>
                <w:sz w:val="20"/>
                <w:szCs w:val="20"/>
              </w:rPr>
            </w:pPr>
            <w:r w:rsidRPr="0015554D">
              <w:rPr>
                <w:rFonts w:cs="Times New Roman"/>
                <w:b/>
                <w:i/>
                <w:color w:val="4472C4" w:themeColor="accent5"/>
                <w:sz w:val="20"/>
                <w:szCs w:val="20"/>
              </w:rPr>
              <w:t>33</w:t>
            </w:r>
          </w:p>
        </w:tc>
        <w:tc>
          <w:tcPr>
            <w:tcW w:w="652" w:type="pct"/>
            <w:hideMark/>
          </w:tcPr>
          <w:p w14:paraId="6E2A8749" w14:textId="3538649D" w:rsidR="0062269F" w:rsidRPr="00891FFD" w:rsidRDefault="0062269F" w:rsidP="00E878C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91FFD">
              <w:rPr>
                <w:rFonts w:cs="Times New Roman"/>
                <w:sz w:val="20"/>
                <w:szCs w:val="20"/>
              </w:rPr>
              <w:t>34</w:t>
            </w:r>
          </w:p>
        </w:tc>
        <w:tc>
          <w:tcPr>
            <w:tcW w:w="581" w:type="pct"/>
            <w:hideMark/>
          </w:tcPr>
          <w:p w14:paraId="7094E1B8" w14:textId="77777777" w:rsidR="0062269F" w:rsidRPr="00891FFD" w:rsidRDefault="0062269F" w:rsidP="00E878C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91FFD">
              <w:rPr>
                <w:rFonts w:cs="Times New Roman"/>
                <w:sz w:val="20"/>
                <w:szCs w:val="20"/>
              </w:rPr>
              <w:t>37</w:t>
            </w:r>
          </w:p>
        </w:tc>
      </w:tr>
      <w:tr w:rsidR="0062269F" w:rsidRPr="00891FFD" w14:paraId="78A41B1A" w14:textId="77777777" w:rsidTr="009462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8"/>
          </w:tcPr>
          <w:p w14:paraId="73615919" w14:textId="603AB8C5" w:rsidR="0062269F" w:rsidRPr="00891FFD" w:rsidRDefault="0062269F" w:rsidP="00E878CD">
            <w:pPr>
              <w:jc w:val="center"/>
              <w:rPr>
                <w:rFonts w:cs="Times New Roman"/>
                <w:sz w:val="20"/>
                <w:szCs w:val="20"/>
              </w:rPr>
            </w:pPr>
            <w:r w:rsidRPr="00891FFD">
              <w:rPr>
                <w:sz w:val="20"/>
                <w:szCs w:val="20"/>
              </w:rPr>
              <w:t>3. Viena ārvalstu vairākdienu ceļotāja vidējo izdevumu diennaktī pieaugums.</w:t>
            </w:r>
          </w:p>
        </w:tc>
      </w:tr>
      <w:tr w:rsidR="00BA2E5C" w:rsidRPr="00891FFD" w14:paraId="2296B596" w14:textId="77777777" w:rsidTr="00BA2E5C">
        <w:tc>
          <w:tcPr>
            <w:cnfStyle w:val="001000000000" w:firstRow="0" w:lastRow="0" w:firstColumn="1" w:lastColumn="0" w:oddVBand="0" w:evenVBand="0" w:oddHBand="0" w:evenHBand="0" w:firstRowFirstColumn="0" w:firstRowLastColumn="0" w:lastRowFirstColumn="0" w:lastRowLastColumn="0"/>
            <w:tcW w:w="1667" w:type="pct"/>
            <w:hideMark/>
          </w:tcPr>
          <w:p w14:paraId="642DA254" w14:textId="77777777" w:rsidR="0062269F" w:rsidRDefault="0062269F" w:rsidP="00E878CD">
            <w:pPr>
              <w:jc w:val="center"/>
              <w:rPr>
                <w:rFonts w:cs="Times New Roman"/>
                <w:sz w:val="20"/>
                <w:szCs w:val="20"/>
              </w:rPr>
            </w:pPr>
            <w:r w:rsidRPr="00891FFD">
              <w:rPr>
                <w:rFonts w:cs="Times New Roman"/>
                <w:sz w:val="20"/>
                <w:szCs w:val="20"/>
              </w:rPr>
              <w:t>Viena ārvalstu vairākdienu ceļotāja vidējie izdevumi diennaktī, EUR</w:t>
            </w:r>
          </w:p>
          <w:p w14:paraId="1ACBD7BA" w14:textId="3ACD674A" w:rsidR="0062269F" w:rsidRPr="00891FFD" w:rsidRDefault="0062269F" w:rsidP="00E878CD">
            <w:pPr>
              <w:jc w:val="center"/>
              <w:rPr>
                <w:rFonts w:cs="Times New Roman"/>
                <w:sz w:val="20"/>
                <w:szCs w:val="20"/>
              </w:rPr>
            </w:pPr>
            <w:r w:rsidRPr="00891FFD">
              <w:rPr>
                <w:rFonts w:cs="Times New Roman"/>
                <w:sz w:val="20"/>
                <w:szCs w:val="20"/>
              </w:rPr>
              <w:t>(</w:t>
            </w:r>
            <w:r w:rsidRPr="0062269F">
              <w:rPr>
                <w:rFonts w:cs="Times New Roman"/>
                <w:b w:val="0"/>
                <w:sz w:val="20"/>
                <w:szCs w:val="20"/>
              </w:rPr>
              <w:t>ikgadējais pieaugums 3%)</w:t>
            </w:r>
          </w:p>
        </w:tc>
        <w:tc>
          <w:tcPr>
            <w:tcW w:w="362" w:type="pct"/>
            <w:hideMark/>
          </w:tcPr>
          <w:p w14:paraId="191FBC96" w14:textId="77777777" w:rsidR="0062269F" w:rsidRPr="00891FFD" w:rsidRDefault="0062269F" w:rsidP="00E878C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91FFD">
              <w:rPr>
                <w:rFonts w:cs="Times New Roman"/>
                <w:sz w:val="20"/>
                <w:szCs w:val="20"/>
              </w:rPr>
              <w:t>41,3</w:t>
            </w:r>
          </w:p>
        </w:tc>
        <w:tc>
          <w:tcPr>
            <w:tcW w:w="435" w:type="pct"/>
            <w:hideMark/>
          </w:tcPr>
          <w:p w14:paraId="71927AF0" w14:textId="77777777" w:rsidR="0062269F" w:rsidRPr="00891FFD" w:rsidRDefault="0062269F" w:rsidP="00E878C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91FFD">
              <w:rPr>
                <w:rFonts w:cs="Times New Roman"/>
                <w:sz w:val="20"/>
                <w:szCs w:val="20"/>
              </w:rPr>
              <w:t>75,4</w:t>
            </w:r>
          </w:p>
        </w:tc>
        <w:tc>
          <w:tcPr>
            <w:tcW w:w="434" w:type="pct"/>
          </w:tcPr>
          <w:p w14:paraId="1B834F16" w14:textId="77777777" w:rsidR="0062269F" w:rsidRPr="00435DD6" w:rsidRDefault="0062269F" w:rsidP="00E878CD">
            <w:pPr>
              <w:jc w:val="center"/>
              <w:cnfStyle w:val="000000000000" w:firstRow="0" w:lastRow="0" w:firstColumn="0" w:lastColumn="0" w:oddVBand="0" w:evenVBand="0" w:oddHBand="0" w:evenHBand="0" w:firstRowFirstColumn="0" w:firstRowLastColumn="0" w:lastRowFirstColumn="0" w:lastRowLastColumn="0"/>
              <w:rPr>
                <w:rFonts w:cs="Times New Roman"/>
                <w:b/>
                <w:i/>
                <w:color w:val="4472C4" w:themeColor="accent5"/>
                <w:sz w:val="20"/>
                <w:szCs w:val="20"/>
              </w:rPr>
            </w:pPr>
            <w:r w:rsidRPr="00435DD6">
              <w:rPr>
                <w:rFonts w:cs="Times New Roman"/>
                <w:b/>
                <w:i/>
                <w:color w:val="4472C4" w:themeColor="accent5"/>
                <w:sz w:val="20"/>
                <w:szCs w:val="20"/>
              </w:rPr>
              <w:t>66</w:t>
            </w:r>
          </w:p>
        </w:tc>
        <w:tc>
          <w:tcPr>
            <w:tcW w:w="435" w:type="pct"/>
          </w:tcPr>
          <w:p w14:paraId="239CD68C" w14:textId="78CF636D" w:rsidR="0062269F" w:rsidRPr="00435DD6" w:rsidRDefault="0062269F" w:rsidP="00E878CD">
            <w:pPr>
              <w:jc w:val="center"/>
              <w:cnfStyle w:val="000000000000" w:firstRow="0" w:lastRow="0" w:firstColumn="0" w:lastColumn="0" w:oddVBand="0" w:evenVBand="0" w:oddHBand="0" w:evenHBand="0" w:firstRowFirstColumn="0" w:firstRowLastColumn="0" w:lastRowFirstColumn="0" w:lastRowLastColumn="0"/>
              <w:rPr>
                <w:rFonts w:cs="Times New Roman"/>
                <w:b/>
                <w:i/>
                <w:color w:val="4472C4" w:themeColor="accent5"/>
                <w:sz w:val="20"/>
                <w:szCs w:val="20"/>
              </w:rPr>
            </w:pPr>
            <w:r w:rsidRPr="00435DD6">
              <w:rPr>
                <w:rFonts w:cs="Times New Roman"/>
                <w:b/>
                <w:i/>
                <w:color w:val="4472C4" w:themeColor="accent5"/>
                <w:sz w:val="20"/>
                <w:szCs w:val="20"/>
              </w:rPr>
              <w:t>66</w:t>
            </w:r>
          </w:p>
        </w:tc>
        <w:tc>
          <w:tcPr>
            <w:tcW w:w="435" w:type="pct"/>
          </w:tcPr>
          <w:p w14:paraId="6376B43F" w14:textId="6E7AA870" w:rsidR="0062269F" w:rsidRPr="00435DD6" w:rsidRDefault="0065780C" w:rsidP="00E878CD">
            <w:pPr>
              <w:jc w:val="center"/>
              <w:cnfStyle w:val="000000000000" w:firstRow="0" w:lastRow="0" w:firstColumn="0" w:lastColumn="0" w:oddVBand="0" w:evenVBand="0" w:oddHBand="0" w:evenHBand="0" w:firstRowFirstColumn="0" w:firstRowLastColumn="0" w:lastRowFirstColumn="0" w:lastRowLastColumn="0"/>
              <w:rPr>
                <w:rFonts w:cs="Times New Roman"/>
                <w:b/>
                <w:i/>
                <w:color w:val="4472C4" w:themeColor="accent5"/>
                <w:sz w:val="20"/>
                <w:szCs w:val="20"/>
              </w:rPr>
            </w:pPr>
            <w:r>
              <w:rPr>
                <w:rFonts w:cs="Times New Roman"/>
                <w:b/>
                <w:i/>
                <w:color w:val="4472C4" w:themeColor="accent5"/>
                <w:sz w:val="20"/>
                <w:szCs w:val="20"/>
              </w:rPr>
              <w:t>68</w:t>
            </w:r>
          </w:p>
        </w:tc>
        <w:tc>
          <w:tcPr>
            <w:tcW w:w="652" w:type="pct"/>
            <w:hideMark/>
          </w:tcPr>
          <w:p w14:paraId="177DC940" w14:textId="6463CB2F" w:rsidR="0062269F" w:rsidRPr="00891FFD" w:rsidRDefault="0062269F" w:rsidP="00E878C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91FFD">
              <w:rPr>
                <w:rFonts w:cs="Times New Roman"/>
                <w:sz w:val="20"/>
                <w:szCs w:val="20"/>
              </w:rPr>
              <w:t>87,5</w:t>
            </w:r>
          </w:p>
        </w:tc>
        <w:tc>
          <w:tcPr>
            <w:tcW w:w="581" w:type="pct"/>
            <w:hideMark/>
          </w:tcPr>
          <w:p w14:paraId="4F9E4FF3" w14:textId="77777777" w:rsidR="0062269F" w:rsidRPr="00891FFD" w:rsidRDefault="0062269F" w:rsidP="00E878C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91FFD">
              <w:rPr>
                <w:rFonts w:cs="Times New Roman"/>
                <w:sz w:val="20"/>
                <w:szCs w:val="20"/>
              </w:rPr>
              <w:t>95,5</w:t>
            </w:r>
          </w:p>
          <w:p w14:paraId="076E03DC" w14:textId="7AF5083C" w:rsidR="0062269F" w:rsidRPr="00891FFD" w:rsidRDefault="0062269F" w:rsidP="00E878C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62269F" w:rsidRPr="00891FFD" w14:paraId="4509B1B6" w14:textId="77777777" w:rsidTr="009462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8"/>
          </w:tcPr>
          <w:p w14:paraId="668CDD11" w14:textId="3D0B7AEB" w:rsidR="0062269F" w:rsidRPr="00891FFD" w:rsidRDefault="0062269F" w:rsidP="00E878CD">
            <w:pPr>
              <w:jc w:val="center"/>
              <w:rPr>
                <w:rFonts w:cs="Times New Roman"/>
                <w:sz w:val="20"/>
                <w:szCs w:val="20"/>
              </w:rPr>
            </w:pPr>
            <w:r w:rsidRPr="00891FFD">
              <w:rPr>
                <w:sz w:val="20"/>
                <w:szCs w:val="20"/>
              </w:rPr>
              <w:t>4. Ārvalstu vairākdienu ceļotāju kopējo izdevumu gadā pieaugums.</w:t>
            </w:r>
          </w:p>
        </w:tc>
      </w:tr>
      <w:tr w:rsidR="00BA2E5C" w:rsidRPr="00891FFD" w14:paraId="4E43649F" w14:textId="77777777" w:rsidTr="00BA2E5C">
        <w:trPr>
          <w:trHeight w:val="1043"/>
        </w:trPr>
        <w:tc>
          <w:tcPr>
            <w:cnfStyle w:val="001000000000" w:firstRow="0" w:lastRow="0" w:firstColumn="1" w:lastColumn="0" w:oddVBand="0" w:evenVBand="0" w:oddHBand="0" w:evenHBand="0" w:firstRowFirstColumn="0" w:firstRowLastColumn="0" w:lastRowFirstColumn="0" w:lastRowLastColumn="0"/>
            <w:tcW w:w="1667" w:type="pct"/>
            <w:hideMark/>
          </w:tcPr>
          <w:p w14:paraId="555D86D5" w14:textId="77777777" w:rsidR="0062269F" w:rsidRDefault="0062269F" w:rsidP="00E878CD">
            <w:pPr>
              <w:jc w:val="center"/>
              <w:rPr>
                <w:rFonts w:cs="Times New Roman"/>
                <w:sz w:val="20"/>
                <w:szCs w:val="20"/>
              </w:rPr>
            </w:pPr>
            <w:r w:rsidRPr="00891FFD">
              <w:rPr>
                <w:rFonts w:cs="Times New Roman"/>
                <w:sz w:val="20"/>
                <w:szCs w:val="20"/>
              </w:rPr>
              <w:t>Ārvalstu vairākdienu ceļotāju kopējie izdevumi gadā, milj. EUR</w:t>
            </w:r>
          </w:p>
          <w:p w14:paraId="2AC9C1A8" w14:textId="3C5D78B7" w:rsidR="0062269F" w:rsidRPr="0062269F" w:rsidRDefault="0062269F" w:rsidP="00E878CD">
            <w:pPr>
              <w:jc w:val="center"/>
              <w:rPr>
                <w:rFonts w:cs="Times New Roman"/>
                <w:b w:val="0"/>
                <w:sz w:val="20"/>
                <w:szCs w:val="20"/>
              </w:rPr>
            </w:pPr>
            <w:r w:rsidRPr="0062269F">
              <w:rPr>
                <w:rFonts w:cs="Times New Roman"/>
                <w:b w:val="0"/>
                <w:sz w:val="20"/>
                <w:szCs w:val="20"/>
              </w:rPr>
              <w:t>(vidējais ceļojumu ilgums - 4 diennaktis)</w:t>
            </w:r>
          </w:p>
        </w:tc>
        <w:tc>
          <w:tcPr>
            <w:tcW w:w="362" w:type="pct"/>
            <w:hideMark/>
          </w:tcPr>
          <w:p w14:paraId="191724EC" w14:textId="77777777" w:rsidR="0062269F" w:rsidRPr="00891FFD" w:rsidRDefault="0062269F" w:rsidP="00E878C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91FFD">
              <w:rPr>
                <w:rFonts w:cs="Times New Roman"/>
                <w:sz w:val="20"/>
                <w:szCs w:val="20"/>
              </w:rPr>
              <w:t>356</w:t>
            </w:r>
          </w:p>
        </w:tc>
        <w:tc>
          <w:tcPr>
            <w:tcW w:w="435" w:type="pct"/>
            <w:hideMark/>
          </w:tcPr>
          <w:p w14:paraId="27F031E0" w14:textId="77777777" w:rsidR="0062269F" w:rsidRPr="00891FFD" w:rsidRDefault="0062269F" w:rsidP="00E878C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91FFD">
              <w:rPr>
                <w:rFonts w:cs="Times New Roman"/>
                <w:sz w:val="20"/>
                <w:szCs w:val="20"/>
              </w:rPr>
              <w:t>438</w:t>
            </w:r>
          </w:p>
          <w:p w14:paraId="44B6246F" w14:textId="5BD1CEE1" w:rsidR="0062269F" w:rsidRPr="00891FFD" w:rsidRDefault="0062269F" w:rsidP="00E878C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434" w:type="pct"/>
          </w:tcPr>
          <w:p w14:paraId="1AA089CC" w14:textId="77777777" w:rsidR="0062269F" w:rsidRPr="00B9090B" w:rsidRDefault="0062269F" w:rsidP="00E878CD">
            <w:pPr>
              <w:jc w:val="center"/>
              <w:cnfStyle w:val="000000000000" w:firstRow="0" w:lastRow="0" w:firstColumn="0" w:lastColumn="0" w:oddVBand="0" w:evenVBand="0" w:oddHBand="0" w:evenHBand="0" w:firstRowFirstColumn="0" w:firstRowLastColumn="0" w:lastRowFirstColumn="0" w:lastRowLastColumn="0"/>
              <w:rPr>
                <w:rFonts w:cs="Times New Roman"/>
                <w:b/>
                <w:i/>
                <w:color w:val="4472C4" w:themeColor="accent5"/>
                <w:sz w:val="20"/>
                <w:szCs w:val="20"/>
              </w:rPr>
            </w:pPr>
            <w:r w:rsidRPr="00B9090B">
              <w:rPr>
                <w:rFonts w:cs="Times New Roman"/>
                <w:b/>
                <w:i/>
                <w:color w:val="4472C4" w:themeColor="accent5"/>
                <w:sz w:val="20"/>
                <w:szCs w:val="20"/>
              </w:rPr>
              <w:t>517</w:t>
            </w:r>
          </w:p>
        </w:tc>
        <w:tc>
          <w:tcPr>
            <w:tcW w:w="435" w:type="pct"/>
          </w:tcPr>
          <w:p w14:paraId="612F06B2" w14:textId="26C36ABA" w:rsidR="0062269F" w:rsidRPr="00B9090B" w:rsidRDefault="0062269F" w:rsidP="00E878CD">
            <w:pPr>
              <w:jc w:val="center"/>
              <w:cnfStyle w:val="000000000000" w:firstRow="0" w:lastRow="0" w:firstColumn="0" w:lastColumn="0" w:oddVBand="0" w:evenVBand="0" w:oddHBand="0" w:evenHBand="0" w:firstRowFirstColumn="0" w:firstRowLastColumn="0" w:lastRowFirstColumn="0" w:lastRowLastColumn="0"/>
              <w:rPr>
                <w:rFonts w:cs="Times New Roman"/>
                <w:b/>
                <w:i/>
                <w:color w:val="4472C4" w:themeColor="accent5"/>
                <w:sz w:val="20"/>
                <w:szCs w:val="20"/>
              </w:rPr>
            </w:pPr>
            <w:r w:rsidRPr="00B9090B">
              <w:rPr>
                <w:rFonts w:cs="Times New Roman"/>
                <w:b/>
                <w:i/>
                <w:color w:val="4472C4" w:themeColor="accent5"/>
                <w:sz w:val="20"/>
                <w:szCs w:val="20"/>
              </w:rPr>
              <w:t>541</w:t>
            </w:r>
          </w:p>
        </w:tc>
        <w:tc>
          <w:tcPr>
            <w:tcW w:w="435" w:type="pct"/>
          </w:tcPr>
          <w:p w14:paraId="4A8B2DC4" w14:textId="6438ED03" w:rsidR="0062269F" w:rsidRPr="00B9090B" w:rsidRDefault="0062269F" w:rsidP="00E878CD">
            <w:pPr>
              <w:jc w:val="center"/>
              <w:cnfStyle w:val="000000000000" w:firstRow="0" w:lastRow="0" w:firstColumn="0" w:lastColumn="0" w:oddVBand="0" w:evenVBand="0" w:oddHBand="0" w:evenHBand="0" w:firstRowFirstColumn="0" w:firstRowLastColumn="0" w:lastRowFirstColumn="0" w:lastRowLastColumn="0"/>
              <w:rPr>
                <w:rFonts w:cs="Times New Roman"/>
                <w:b/>
                <w:i/>
                <w:color w:val="4472C4" w:themeColor="accent5"/>
                <w:sz w:val="20"/>
                <w:szCs w:val="20"/>
              </w:rPr>
            </w:pPr>
            <w:r w:rsidRPr="00B9090B">
              <w:rPr>
                <w:rFonts w:cs="Times New Roman"/>
                <w:b/>
                <w:i/>
                <w:color w:val="4472C4" w:themeColor="accent5"/>
                <w:sz w:val="20"/>
                <w:szCs w:val="20"/>
              </w:rPr>
              <w:t>474</w:t>
            </w:r>
          </w:p>
        </w:tc>
        <w:tc>
          <w:tcPr>
            <w:tcW w:w="652" w:type="pct"/>
            <w:hideMark/>
          </w:tcPr>
          <w:p w14:paraId="1BD317ED" w14:textId="5BEDBD7C" w:rsidR="0062269F" w:rsidRPr="00891FFD" w:rsidRDefault="0062269F" w:rsidP="00E878C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91FFD">
              <w:rPr>
                <w:rFonts w:cs="Times New Roman"/>
                <w:sz w:val="20"/>
                <w:szCs w:val="20"/>
              </w:rPr>
              <w:t>577,5</w:t>
            </w:r>
          </w:p>
        </w:tc>
        <w:tc>
          <w:tcPr>
            <w:tcW w:w="581" w:type="pct"/>
            <w:hideMark/>
          </w:tcPr>
          <w:p w14:paraId="0C499726" w14:textId="77777777" w:rsidR="0062269F" w:rsidRPr="00891FFD" w:rsidRDefault="0062269F" w:rsidP="00E878C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91FFD">
              <w:rPr>
                <w:rFonts w:cs="Times New Roman"/>
                <w:sz w:val="20"/>
                <w:szCs w:val="20"/>
              </w:rPr>
              <w:t>657,8</w:t>
            </w:r>
          </w:p>
          <w:p w14:paraId="7E383B2F" w14:textId="67494676" w:rsidR="0062269F" w:rsidRPr="00891FFD" w:rsidRDefault="0062269F" w:rsidP="00E878C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bl>
    <w:p w14:paraId="22AAEFCB" w14:textId="5BA5166C" w:rsidR="00CB7A6E" w:rsidRDefault="009D649D" w:rsidP="00CB7A6E">
      <w:pPr>
        <w:spacing w:before="240"/>
        <w:ind w:firstLine="360"/>
        <w:jc w:val="both"/>
        <w:rPr>
          <w:sz w:val="24"/>
          <w:szCs w:val="24"/>
        </w:rPr>
      </w:pPr>
      <w:r>
        <w:rPr>
          <w:sz w:val="24"/>
          <w:szCs w:val="24"/>
        </w:rPr>
        <w:t xml:space="preserve">Pamatnostādnēs izvirzītie sasniedzamie rādītāji ir plānoti </w:t>
      </w:r>
      <w:r w:rsidR="00CB7A6E">
        <w:rPr>
          <w:sz w:val="24"/>
          <w:szCs w:val="24"/>
        </w:rPr>
        <w:t xml:space="preserve">attiecībā </w:t>
      </w:r>
      <w:r>
        <w:rPr>
          <w:sz w:val="24"/>
          <w:szCs w:val="24"/>
        </w:rPr>
        <w:t>pret 2017.</w:t>
      </w:r>
      <w:r w:rsidR="00391072">
        <w:rPr>
          <w:sz w:val="24"/>
          <w:szCs w:val="24"/>
        </w:rPr>
        <w:t xml:space="preserve"> </w:t>
      </w:r>
      <w:r w:rsidR="00CB7A6E">
        <w:rPr>
          <w:sz w:val="24"/>
          <w:szCs w:val="24"/>
        </w:rPr>
        <w:t>un 2020.</w:t>
      </w:r>
      <w:r>
        <w:rPr>
          <w:sz w:val="24"/>
          <w:szCs w:val="24"/>
        </w:rPr>
        <w:t xml:space="preserve">gada prognozēm. Izvērtējot rezultatīvos rādītājus par 2014., 2015.un 2016.gadu, jāsecina, ka līdz 2017.gadam </w:t>
      </w:r>
      <w:r w:rsidR="00CB7A6E">
        <w:rPr>
          <w:sz w:val="24"/>
          <w:szCs w:val="24"/>
        </w:rPr>
        <w:t>nospraustie mērķi tiks īstenoti tikai daļēji</w:t>
      </w:r>
      <w:r>
        <w:rPr>
          <w:sz w:val="24"/>
          <w:szCs w:val="24"/>
        </w:rPr>
        <w:t xml:space="preserve">. </w:t>
      </w:r>
      <w:r w:rsidR="00A82A0F">
        <w:rPr>
          <w:sz w:val="24"/>
          <w:szCs w:val="24"/>
        </w:rPr>
        <w:t>Paredzams, ka 2017.gadā tiks ievērojami pārsniegts rādītājs “</w:t>
      </w:r>
      <w:r w:rsidR="00A82A0F" w:rsidRPr="00A82A0F">
        <w:rPr>
          <w:sz w:val="24"/>
          <w:szCs w:val="24"/>
        </w:rPr>
        <w:t>Ārvalstu vairākdienu ceļotāju skaits</w:t>
      </w:r>
      <w:r w:rsidR="00A82A0F">
        <w:rPr>
          <w:sz w:val="24"/>
          <w:szCs w:val="24"/>
        </w:rPr>
        <w:t xml:space="preserve">”, iespējams tiks sasniegts rādītājs </w:t>
      </w:r>
      <w:r w:rsidR="00CB7A6E">
        <w:rPr>
          <w:sz w:val="24"/>
          <w:szCs w:val="24"/>
        </w:rPr>
        <w:t>“</w:t>
      </w:r>
      <w:r w:rsidR="00A82A0F" w:rsidRPr="00A82A0F">
        <w:rPr>
          <w:sz w:val="24"/>
          <w:szCs w:val="24"/>
        </w:rPr>
        <w:t>Vidējā izmitināšanas mītņu noslodze (gultas vietu noslogojums) ārpus noslogotākās vasaras sezonas (izņemot jūn.-aug.)</w:t>
      </w:r>
      <w:r w:rsidR="00CB7A6E">
        <w:rPr>
          <w:sz w:val="24"/>
          <w:szCs w:val="24"/>
        </w:rPr>
        <w:t>”, taču rādītāji “</w:t>
      </w:r>
      <w:r w:rsidR="00CB7A6E" w:rsidRPr="00CB7A6E">
        <w:rPr>
          <w:sz w:val="24"/>
          <w:szCs w:val="24"/>
        </w:rPr>
        <w:t>Viena ārvalstu vairākdienu ceļotāja vidējie izdevumi diennaktī</w:t>
      </w:r>
      <w:r w:rsidR="00CB7A6E">
        <w:rPr>
          <w:sz w:val="24"/>
          <w:szCs w:val="24"/>
        </w:rPr>
        <w:t>” un “</w:t>
      </w:r>
      <w:r w:rsidR="00CB7A6E" w:rsidRPr="00CB7A6E">
        <w:rPr>
          <w:sz w:val="24"/>
          <w:szCs w:val="24"/>
        </w:rPr>
        <w:t>Ārvalstu vairākdienu ceļotāju kopējie izdevumi gadā</w:t>
      </w:r>
      <w:r w:rsidR="00CB7A6E">
        <w:rPr>
          <w:sz w:val="24"/>
          <w:szCs w:val="24"/>
        </w:rPr>
        <w:t>” nesasniegs 2017.</w:t>
      </w:r>
      <w:r w:rsidR="00391072">
        <w:rPr>
          <w:sz w:val="24"/>
          <w:szCs w:val="24"/>
        </w:rPr>
        <w:t xml:space="preserve"> </w:t>
      </w:r>
      <w:r w:rsidR="00CB7A6E">
        <w:rPr>
          <w:sz w:val="24"/>
          <w:szCs w:val="24"/>
        </w:rPr>
        <w:t>vai 2020.gada prognozes.</w:t>
      </w:r>
    </w:p>
    <w:p w14:paraId="175BD4AB" w14:textId="3282F468" w:rsidR="00DF336B" w:rsidRDefault="00DF336B" w:rsidP="00CB7A6E">
      <w:pPr>
        <w:ind w:firstLine="360"/>
        <w:jc w:val="both"/>
        <w:rPr>
          <w:sz w:val="24"/>
          <w:szCs w:val="24"/>
        </w:rPr>
      </w:pPr>
      <w:r w:rsidRPr="004B7E4F">
        <w:rPr>
          <w:sz w:val="24"/>
          <w:szCs w:val="24"/>
        </w:rPr>
        <w:t>Faktisko rezultātu atpalicību no mērķ</w:t>
      </w:r>
      <w:r>
        <w:rPr>
          <w:sz w:val="24"/>
          <w:szCs w:val="24"/>
        </w:rPr>
        <w:t>a rādītājiem</w:t>
      </w:r>
      <w:r w:rsidRPr="004B7E4F">
        <w:rPr>
          <w:sz w:val="24"/>
          <w:szCs w:val="24"/>
        </w:rPr>
        <w:t xml:space="preserve"> galvenokārt </w:t>
      </w:r>
      <w:r w:rsidR="00CB7A6E">
        <w:rPr>
          <w:sz w:val="24"/>
          <w:szCs w:val="24"/>
        </w:rPr>
        <w:t xml:space="preserve">ir </w:t>
      </w:r>
      <w:r>
        <w:rPr>
          <w:sz w:val="24"/>
          <w:szCs w:val="24"/>
        </w:rPr>
        <w:t>ietekmēj</w:t>
      </w:r>
      <w:r w:rsidR="00CB7A6E">
        <w:rPr>
          <w:sz w:val="24"/>
          <w:szCs w:val="24"/>
        </w:rPr>
        <w:t>uši</w:t>
      </w:r>
      <w:r w:rsidRPr="004B7E4F">
        <w:rPr>
          <w:sz w:val="24"/>
          <w:szCs w:val="24"/>
        </w:rPr>
        <w:t xml:space="preserve"> ārējie faktori un ar tiem saistīt</w:t>
      </w:r>
      <w:r>
        <w:rPr>
          <w:sz w:val="24"/>
          <w:szCs w:val="24"/>
        </w:rPr>
        <w:t>u</w:t>
      </w:r>
      <w:r w:rsidRPr="004B7E4F">
        <w:rPr>
          <w:sz w:val="24"/>
          <w:szCs w:val="24"/>
        </w:rPr>
        <w:t xml:space="preserve"> negatīvo risku īstenošanās nepietiekama novērtēšana makroekonomiskās attīstības prognozēs</w:t>
      </w:r>
      <w:r w:rsidR="009E5155">
        <w:rPr>
          <w:sz w:val="24"/>
          <w:szCs w:val="24"/>
        </w:rPr>
        <w:t>,</w:t>
      </w:r>
      <w:r w:rsidRPr="004B7E4F">
        <w:rPr>
          <w:sz w:val="24"/>
          <w:szCs w:val="24"/>
        </w:rPr>
        <w:t xml:space="preserve"> uz kā pamata tika balstīta mērķa rādītāju noteikšana. </w:t>
      </w:r>
    </w:p>
    <w:p w14:paraId="64E6F99E" w14:textId="77777777" w:rsidR="00CB7A6E" w:rsidRPr="004B7E4F" w:rsidRDefault="00CB7A6E" w:rsidP="00CB7A6E">
      <w:pPr>
        <w:ind w:firstLine="360"/>
        <w:jc w:val="both"/>
        <w:rPr>
          <w:sz w:val="24"/>
          <w:szCs w:val="24"/>
        </w:rPr>
      </w:pPr>
    </w:p>
    <w:p w14:paraId="38FA6D7A" w14:textId="2E76FB92" w:rsidR="00DF336B" w:rsidRPr="00F518F8" w:rsidRDefault="009E53C0" w:rsidP="009E53C0">
      <w:pPr>
        <w:pStyle w:val="Heading2"/>
        <w:shd w:val="clear" w:color="auto" w:fill="1DA0A7"/>
        <w:rPr>
          <w:rFonts w:eastAsia="Times New Roman" w:cs="Times New Roman"/>
          <w:b/>
          <w:bCs/>
          <w:color w:val="FFFFFF" w:themeColor="background1"/>
          <w:szCs w:val="28"/>
          <w:lang w:val="x-none" w:eastAsia="x-none"/>
        </w:rPr>
      </w:pPr>
      <w:bookmarkStart w:id="12" w:name="_Toc500423593"/>
      <w:r w:rsidRPr="00F518F8">
        <w:rPr>
          <w:rFonts w:eastAsia="Times New Roman" w:cs="Times New Roman"/>
          <w:b/>
          <w:bCs/>
          <w:color w:val="FFFFFF" w:themeColor="background1"/>
          <w:szCs w:val="28"/>
          <w:lang w:val="x-none" w:eastAsia="x-none"/>
        </w:rPr>
        <w:t xml:space="preserve">2.1. </w:t>
      </w:r>
      <w:r w:rsidR="00691589" w:rsidRPr="00F518F8">
        <w:rPr>
          <w:rFonts w:eastAsia="Times New Roman" w:cs="Times New Roman"/>
          <w:b/>
          <w:bCs/>
          <w:color w:val="FFFFFF" w:themeColor="background1"/>
          <w:szCs w:val="28"/>
          <w:lang w:val="x-none" w:eastAsia="x-none"/>
        </w:rPr>
        <w:t>Ārvalstu vairāk</w:t>
      </w:r>
      <w:r w:rsidR="006F2F38" w:rsidRPr="00F518F8">
        <w:rPr>
          <w:rFonts w:eastAsia="Times New Roman" w:cs="Times New Roman"/>
          <w:b/>
          <w:bCs/>
          <w:color w:val="FFFFFF" w:themeColor="background1"/>
          <w:szCs w:val="28"/>
          <w:lang w:val="x-none" w:eastAsia="x-none"/>
        </w:rPr>
        <w:t>dienu ceļotāju skaita pieaugums</w:t>
      </w:r>
      <w:bookmarkEnd w:id="12"/>
    </w:p>
    <w:p w14:paraId="08E2F620" w14:textId="12AFD364" w:rsidR="00AD2F50" w:rsidRDefault="00AD2F50" w:rsidP="00DF336B">
      <w:pPr>
        <w:ind w:firstLine="360"/>
        <w:jc w:val="both"/>
        <w:rPr>
          <w:sz w:val="24"/>
          <w:szCs w:val="24"/>
        </w:rPr>
      </w:pPr>
    </w:p>
    <w:p w14:paraId="03586951" w14:textId="6F086687" w:rsidR="000D446E" w:rsidRDefault="00AD2F50" w:rsidP="000D446E">
      <w:pPr>
        <w:ind w:firstLine="360"/>
        <w:jc w:val="both"/>
        <w:rPr>
          <w:sz w:val="24"/>
          <w:szCs w:val="24"/>
        </w:rPr>
      </w:pPr>
      <w:r>
        <w:rPr>
          <w:sz w:val="24"/>
          <w:szCs w:val="24"/>
        </w:rPr>
        <w:t>Laika posmā no 2014.</w:t>
      </w:r>
      <w:r w:rsidR="00391072">
        <w:rPr>
          <w:sz w:val="24"/>
          <w:szCs w:val="24"/>
        </w:rPr>
        <w:t xml:space="preserve"> </w:t>
      </w:r>
      <w:r>
        <w:rPr>
          <w:sz w:val="24"/>
          <w:szCs w:val="24"/>
        </w:rPr>
        <w:t xml:space="preserve">līdz 2016.gadam ārvalstu vairākdienu ceļotāju skaits ir ievērojami palielinājies </w:t>
      </w:r>
      <w:r w:rsidRPr="004D6D7A">
        <w:rPr>
          <w:b/>
          <w:sz w:val="24"/>
          <w:szCs w:val="24"/>
        </w:rPr>
        <w:t xml:space="preserve">un </w:t>
      </w:r>
      <w:r w:rsidR="00D06224">
        <w:rPr>
          <w:b/>
          <w:sz w:val="24"/>
          <w:szCs w:val="24"/>
        </w:rPr>
        <w:t xml:space="preserve">kopsummā jau 2016.gadā ir </w:t>
      </w:r>
      <w:r w:rsidRPr="004D6D7A">
        <w:rPr>
          <w:b/>
          <w:sz w:val="24"/>
          <w:szCs w:val="24"/>
        </w:rPr>
        <w:t xml:space="preserve">par </w:t>
      </w:r>
      <w:r w:rsidR="000D446E" w:rsidRPr="004D6D7A">
        <w:rPr>
          <w:b/>
          <w:sz w:val="24"/>
          <w:szCs w:val="24"/>
        </w:rPr>
        <w:t>8</w:t>
      </w:r>
      <w:r w:rsidRPr="004D6D7A">
        <w:rPr>
          <w:b/>
          <w:sz w:val="24"/>
          <w:szCs w:val="24"/>
        </w:rPr>
        <w:t>% pārsniedzis 2017.gadā plānoto</w:t>
      </w:r>
      <w:r w:rsidR="000D446E">
        <w:rPr>
          <w:sz w:val="24"/>
          <w:szCs w:val="24"/>
        </w:rPr>
        <w:t xml:space="preserve"> un </w:t>
      </w:r>
      <w:r w:rsidR="00D06224">
        <w:rPr>
          <w:sz w:val="24"/>
          <w:szCs w:val="24"/>
        </w:rPr>
        <w:t>pārsniedzis</w:t>
      </w:r>
      <w:r w:rsidR="000D446E">
        <w:rPr>
          <w:sz w:val="24"/>
          <w:szCs w:val="24"/>
        </w:rPr>
        <w:t xml:space="preserve"> 2020.gadā noteikto rezultatīvo rādītāju. </w:t>
      </w:r>
    </w:p>
    <w:p w14:paraId="748A5965" w14:textId="77777777" w:rsidR="00D06224" w:rsidRDefault="00D06224" w:rsidP="000D446E">
      <w:pPr>
        <w:ind w:firstLine="360"/>
        <w:jc w:val="both"/>
        <w:rPr>
          <w:sz w:val="24"/>
          <w:szCs w:val="24"/>
        </w:rPr>
      </w:pPr>
    </w:p>
    <w:p w14:paraId="3112B173" w14:textId="56DF1C87" w:rsidR="00823BDF" w:rsidRDefault="00823BDF" w:rsidP="00823BDF">
      <w:pPr>
        <w:jc w:val="center"/>
        <w:rPr>
          <w:sz w:val="24"/>
          <w:szCs w:val="24"/>
        </w:rPr>
      </w:pPr>
      <w:r>
        <w:rPr>
          <w:noProof/>
          <w:lang w:eastAsia="lv-LV"/>
        </w:rPr>
        <w:lastRenderedPageBreak/>
        <w:drawing>
          <wp:inline distT="0" distB="0" distL="0" distR="0" wp14:anchorId="32181811" wp14:editId="1AA22542">
            <wp:extent cx="5075390" cy="2623930"/>
            <wp:effectExtent l="0" t="0" r="11430" b="5080"/>
            <wp:docPr id="2" name="Chart 2">
              <a:extLst xmlns:a="http://schemas.openxmlformats.org/drawingml/2006/main">
                <a:ext uri="{FF2B5EF4-FFF2-40B4-BE49-F238E27FC236}">
                  <a16:creationId xmlns:a16="http://schemas.microsoft.com/office/drawing/2014/main" id="{486AA6D0-1FDB-4293-A884-8CC305CB0BD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8565C3B" w14:textId="77777777" w:rsidR="00D06224" w:rsidRDefault="00D06224" w:rsidP="00823BDF">
      <w:pPr>
        <w:jc w:val="center"/>
        <w:rPr>
          <w:sz w:val="24"/>
          <w:szCs w:val="24"/>
        </w:rPr>
      </w:pPr>
    </w:p>
    <w:p w14:paraId="77616CA2" w14:textId="29845DCA" w:rsidR="007B487D" w:rsidRPr="009D7B0F" w:rsidRDefault="007B487D" w:rsidP="000D446E">
      <w:pPr>
        <w:ind w:firstLine="360"/>
        <w:jc w:val="both"/>
        <w:rPr>
          <w:sz w:val="24"/>
          <w:szCs w:val="24"/>
        </w:rPr>
      </w:pPr>
      <w:r w:rsidRPr="007B487D">
        <w:rPr>
          <w:sz w:val="24"/>
          <w:szCs w:val="24"/>
        </w:rPr>
        <w:t>Ņemot vērā minēto,</w:t>
      </w:r>
      <w:r w:rsidRPr="007B487D">
        <w:rPr>
          <w:b/>
          <w:sz w:val="24"/>
          <w:szCs w:val="24"/>
        </w:rPr>
        <w:t xml:space="preserve"> nepieciešams pārrēķināt sasniedzamo rādītāju “Ārvalstu vairākdienu ceļotāju skaits” 2017.</w:t>
      </w:r>
      <w:r w:rsidR="00391072">
        <w:rPr>
          <w:b/>
          <w:sz w:val="24"/>
          <w:szCs w:val="24"/>
        </w:rPr>
        <w:t xml:space="preserve"> </w:t>
      </w:r>
      <w:r w:rsidRPr="007B487D">
        <w:rPr>
          <w:b/>
          <w:sz w:val="24"/>
          <w:szCs w:val="24"/>
        </w:rPr>
        <w:t>un 2020.gadam</w:t>
      </w:r>
      <w:r>
        <w:rPr>
          <w:b/>
          <w:sz w:val="24"/>
          <w:szCs w:val="24"/>
        </w:rPr>
        <w:t>.</w:t>
      </w:r>
      <w:r w:rsidR="009D7B0F">
        <w:rPr>
          <w:b/>
          <w:sz w:val="24"/>
          <w:szCs w:val="24"/>
        </w:rPr>
        <w:t xml:space="preserve"> </w:t>
      </w:r>
      <w:r w:rsidR="009D7B0F" w:rsidRPr="009D7B0F">
        <w:rPr>
          <w:sz w:val="24"/>
          <w:szCs w:val="24"/>
        </w:rPr>
        <w:t>Jaunos prognozētos rādītājus jāņem vērā veicot Pamatnostādņu gala novērtējumu un sastādot nākošā perioda pamatnostādnes (2021.-2027.gadam)</w:t>
      </w:r>
      <w:r w:rsidR="009D7B0F">
        <w:rPr>
          <w:sz w:val="24"/>
          <w:szCs w:val="24"/>
        </w:rPr>
        <w:t>.</w:t>
      </w:r>
    </w:p>
    <w:p w14:paraId="4C2BC2D0" w14:textId="1A0CC800" w:rsidR="00B81885" w:rsidRDefault="000D446E" w:rsidP="000D446E">
      <w:pPr>
        <w:ind w:firstLine="360"/>
        <w:jc w:val="both"/>
        <w:rPr>
          <w:sz w:val="24"/>
          <w:szCs w:val="24"/>
        </w:rPr>
      </w:pPr>
      <w:r>
        <w:rPr>
          <w:sz w:val="24"/>
          <w:szCs w:val="24"/>
        </w:rPr>
        <w:t>Atbilstoši CSP metodoloģijai, v</w:t>
      </w:r>
      <w:r w:rsidRPr="000D446E">
        <w:rPr>
          <w:sz w:val="24"/>
          <w:szCs w:val="24"/>
        </w:rPr>
        <w:t xml:space="preserve">airākdienu ceļotājs </w:t>
      </w:r>
      <w:r>
        <w:rPr>
          <w:sz w:val="24"/>
          <w:szCs w:val="24"/>
        </w:rPr>
        <w:t xml:space="preserve">tiek definēts kā </w:t>
      </w:r>
      <w:r w:rsidRPr="000D446E">
        <w:rPr>
          <w:sz w:val="24"/>
          <w:szCs w:val="24"/>
        </w:rPr>
        <w:t>fiziska persona, kura ceļo ārpus ierastās vides ne ilgāk kā vienu gadu,</w:t>
      </w:r>
      <w:r>
        <w:rPr>
          <w:sz w:val="24"/>
          <w:szCs w:val="24"/>
        </w:rPr>
        <w:t xml:space="preserve"> </w:t>
      </w:r>
      <w:r w:rsidRPr="000D446E">
        <w:rPr>
          <w:sz w:val="24"/>
          <w:szCs w:val="24"/>
        </w:rPr>
        <w:t xml:space="preserve">uzturas sabiedriskā </w:t>
      </w:r>
      <w:r w:rsidRPr="000D446E">
        <w:rPr>
          <w:sz w:val="24"/>
          <w:szCs w:val="24"/>
          <w:u w:val="single"/>
        </w:rPr>
        <w:t>vai privātā mājvietā</w:t>
      </w:r>
      <w:r w:rsidRPr="000D446E">
        <w:rPr>
          <w:sz w:val="24"/>
          <w:szCs w:val="24"/>
        </w:rPr>
        <w:t xml:space="preserve"> ne mazāk kā vienu nakti un </w:t>
      </w:r>
      <w:r>
        <w:rPr>
          <w:sz w:val="24"/>
          <w:szCs w:val="24"/>
        </w:rPr>
        <w:t xml:space="preserve">apmeklētajā vietā neveic algotu </w:t>
      </w:r>
      <w:r w:rsidRPr="000D446E">
        <w:rPr>
          <w:sz w:val="24"/>
          <w:szCs w:val="24"/>
        </w:rPr>
        <w:t xml:space="preserve">darbu. </w:t>
      </w:r>
    </w:p>
    <w:p w14:paraId="069B5497" w14:textId="4FD31DFC" w:rsidR="004D6D7A" w:rsidRPr="004D6D7A" w:rsidRDefault="004D6D7A" w:rsidP="004D6D7A">
      <w:pPr>
        <w:ind w:firstLine="360"/>
        <w:jc w:val="both"/>
        <w:rPr>
          <w:sz w:val="24"/>
          <w:szCs w:val="24"/>
        </w:rPr>
      </w:pPr>
      <w:r w:rsidRPr="004D6D7A">
        <w:rPr>
          <w:sz w:val="24"/>
          <w:szCs w:val="24"/>
        </w:rPr>
        <w:t>Ceļotāju skaits tiek aprēķināts ņemot vērā pasažieru plūsmas rādīt</w:t>
      </w:r>
      <w:r>
        <w:rPr>
          <w:sz w:val="24"/>
          <w:szCs w:val="24"/>
        </w:rPr>
        <w:t>ājus lidostā “Rīga”</w:t>
      </w:r>
      <w:r w:rsidRPr="004D6D7A">
        <w:rPr>
          <w:sz w:val="24"/>
          <w:szCs w:val="24"/>
        </w:rPr>
        <w:t xml:space="preserve">, jūras ostās, Valsts Robežsardzes datus, dzelzceļa pasažieru plūsmas datus, kā arī pielietojot matemātisku modeli pasažieru plūsmas noteikšanai uz valsts autoceļiem Lietuvas un Igaunijas robežšķērsošanas punktos. </w:t>
      </w:r>
    </w:p>
    <w:p w14:paraId="0FC2E103" w14:textId="45327D95" w:rsidR="004D6D7A" w:rsidRDefault="004D6D7A" w:rsidP="004D6D7A">
      <w:pPr>
        <w:ind w:firstLine="360"/>
        <w:jc w:val="both"/>
        <w:rPr>
          <w:sz w:val="24"/>
          <w:szCs w:val="24"/>
        </w:rPr>
      </w:pPr>
      <w:r w:rsidRPr="00B81885">
        <w:rPr>
          <w:iCs/>
          <w:sz w:val="24"/>
          <w:szCs w:val="24"/>
        </w:rPr>
        <w:t xml:space="preserve">Informācija par ārvalstu ceļotājiem, kuri apmeklējuši Latviju, tiek iegūta, apsekojot personas, kuras šķērso valsts robežu. </w:t>
      </w:r>
      <w:r w:rsidRPr="004D6D7A">
        <w:rPr>
          <w:iCs/>
          <w:sz w:val="24"/>
          <w:szCs w:val="24"/>
        </w:rPr>
        <w:t xml:space="preserve">Izlases rezultātā apseko noteiktu daļu respondentu un tad ar koeficientu palīdzību tos vispārina uz kopējo skaitu. </w:t>
      </w:r>
      <w:r>
        <w:rPr>
          <w:iCs/>
          <w:sz w:val="24"/>
          <w:szCs w:val="24"/>
        </w:rPr>
        <w:t>Apsekojums tiek veikts</w:t>
      </w:r>
      <w:r w:rsidRPr="000D446E">
        <w:rPr>
          <w:sz w:val="24"/>
          <w:szCs w:val="24"/>
        </w:rPr>
        <w:t xml:space="preserve"> pēc veidlapas Nr. B-1 (vairākdienu ceļotāji), kad viņi dodas prom no Latvijas. Respondentam tiek jautāta viņa pastāvīgā dzīvesvieta (valsts, no kuras viņš ir ieradies), dzimums, vecums, ceļojuma mērķis un izdevumi visa ceļojuma laikā, izņemot transporta izdevumus turp/atpakaļ.</w:t>
      </w:r>
      <w:r>
        <w:rPr>
          <w:sz w:val="24"/>
          <w:szCs w:val="24"/>
        </w:rPr>
        <w:t xml:space="preserve"> </w:t>
      </w:r>
    </w:p>
    <w:p w14:paraId="0C3567C6" w14:textId="191D6528" w:rsidR="000D446E" w:rsidRDefault="004D6D7A" w:rsidP="004D6D7A">
      <w:pPr>
        <w:ind w:firstLine="360"/>
        <w:jc w:val="both"/>
        <w:rPr>
          <w:sz w:val="24"/>
          <w:szCs w:val="24"/>
        </w:rPr>
      </w:pPr>
      <w:r w:rsidRPr="004D6D7A">
        <w:rPr>
          <w:sz w:val="24"/>
          <w:szCs w:val="24"/>
        </w:rPr>
        <w:t>Sadalījums pēc izmantotās naktsmītnes veida tiek iegūts balstoties no katras apsekotās personas atbildes par viņa braucienā izmantoto naktsmītnes veidu un pavad</w:t>
      </w:r>
      <w:r>
        <w:rPr>
          <w:sz w:val="24"/>
          <w:szCs w:val="24"/>
        </w:rPr>
        <w:t xml:space="preserve">īto nakšu skaitu katrā no tām. </w:t>
      </w:r>
      <w:r w:rsidRPr="004D6D7A">
        <w:rPr>
          <w:sz w:val="24"/>
          <w:szCs w:val="24"/>
        </w:rPr>
        <w:t>Veidlapā i</w:t>
      </w:r>
      <w:r>
        <w:rPr>
          <w:sz w:val="24"/>
          <w:szCs w:val="24"/>
        </w:rPr>
        <w:t>zdalīti šādi naktsmītņu veidi: (1) Viesnīca/ motelis/ viesu māja; (2)</w:t>
      </w:r>
      <w:r w:rsidRPr="004D6D7A">
        <w:rPr>
          <w:sz w:val="24"/>
          <w:szCs w:val="24"/>
        </w:rPr>
        <w:t xml:space="preserve"> Pansio</w:t>
      </w:r>
      <w:r>
        <w:rPr>
          <w:sz w:val="24"/>
          <w:szCs w:val="24"/>
        </w:rPr>
        <w:t>nāts/ sanatorija; (3)</w:t>
      </w:r>
      <w:r w:rsidRPr="004D6D7A">
        <w:rPr>
          <w:sz w:val="24"/>
          <w:szCs w:val="24"/>
        </w:rPr>
        <w:t xml:space="preserve"> Kemping</w:t>
      </w:r>
      <w:r>
        <w:rPr>
          <w:sz w:val="24"/>
          <w:szCs w:val="24"/>
        </w:rPr>
        <w:t>s/ atpūtas komplekss/ hostelis; (4) Specializēta naktsmītne; (5) Privāta naktsmītne; (6)</w:t>
      </w:r>
      <w:r w:rsidRPr="004D6D7A">
        <w:rPr>
          <w:sz w:val="24"/>
          <w:szCs w:val="24"/>
        </w:rPr>
        <w:t xml:space="preserve"> Citas naktsmītnes</w:t>
      </w:r>
      <w:r>
        <w:rPr>
          <w:sz w:val="24"/>
          <w:szCs w:val="24"/>
        </w:rPr>
        <w:t>.</w:t>
      </w:r>
    </w:p>
    <w:p w14:paraId="6358EBC1" w14:textId="1558F381" w:rsidR="004D6D7A" w:rsidRDefault="004D6D7A" w:rsidP="004D6D7A">
      <w:pPr>
        <w:ind w:firstLine="360"/>
        <w:jc w:val="both"/>
        <w:rPr>
          <w:sz w:val="24"/>
          <w:szCs w:val="24"/>
        </w:rPr>
      </w:pPr>
      <w:r>
        <w:rPr>
          <w:sz w:val="24"/>
          <w:szCs w:val="24"/>
        </w:rPr>
        <w:t>Līdz ar to rādītājs “Ārvalstu vairākdienu ceļotāju skaits” ietver gan tos ceļotājus, kas nakšņo naktsmītnēs, gan arī tos ceļotājus, kas nakšņo pie radie</w:t>
      </w:r>
      <w:r w:rsidR="00FD2AA0">
        <w:rPr>
          <w:sz w:val="24"/>
          <w:szCs w:val="24"/>
        </w:rPr>
        <w:t>m un draugiem vai apartamentos.</w:t>
      </w:r>
      <w:r>
        <w:rPr>
          <w:sz w:val="24"/>
          <w:szCs w:val="24"/>
        </w:rPr>
        <w:t xml:space="preserve"> </w:t>
      </w:r>
      <w:r w:rsidR="00FD2AA0">
        <w:rPr>
          <w:sz w:val="24"/>
          <w:szCs w:val="24"/>
        </w:rPr>
        <w:t>Papildus</w:t>
      </w:r>
      <w:r>
        <w:rPr>
          <w:sz w:val="24"/>
          <w:szCs w:val="24"/>
        </w:rPr>
        <w:t xml:space="preserve"> jānorāda, ka </w:t>
      </w:r>
      <w:r w:rsidR="00C53876">
        <w:rPr>
          <w:sz w:val="24"/>
          <w:szCs w:val="24"/>
        </w:rPr>
        <w:t>t</w:t>
      </w:r>
      <w:r>
        <w:rPr>
          <w:sz w:val="24"/>
          <w:szCs w:val="24"/>
        </w:rPr>
        <w:t xml:space="preserve">ūrisma politikas veidošanā un īstenošanā </w:t>
      </w:r>
      <w:r w:rsidR="00FD2AA0">
        <w:rPr>
          <w:sz w:val="24"/>
          <w:szCs w:val="24"/>
        </w:rPr>
        <w:t xml:space="preserve">bieži </w:t>
      </w:r>
      <w:r>
        <w:rPr>
          <w:sz w:val="24"/>
          <w:szCs w:val="24"/>
        </w:rPr>
        <w:t>tiek izmantots</w:t>
      </w:r>
      <w:r w:rsidR="00FD2AA0">
        <w:rPr>
          <w:sz w:val="24"/>
          <w:szCs w:val="24"/>
        </w:rPr>
        <w:t xml:space="preserve"> arī</w:t>
      </w:r>
      <w:r>
        <w:rPr>
          <w:sz w:val="24"/>
          <w:szCs w:val="24"/>
        </w:rPr>
        <w:t xml:space="preserve"> rādītājs “</w:t>
      </w:r>
      <w:r w:rsidR="00C53876">
        <w:rPr>
          <w:sz w:val="24"/>
          <w:szCs w:val="24"/>
        </w:rPr>
        <w:t>Viesnīcās un citās tūristu mītnēs apkalpoto ārvalstu</w:t>
      </w:r>
      <w:r>
        <w:rPr>
          <w:sz w:val="24"/>
          <w:szCs w:val="24"/>
        </w:rPr>
        <w:t xml:space="preserve"> vairākdienu ceļotāju skaits”, jo šo statistiku iesniedz naktsmītnes un tā uzrāda ļoti precīzu tūristu skaitu, t</w:t>
      </w:r>
      <w:r w:rsidR="00C53876">
        <w:rPr>
          <w:sz w:val="24"/>
          <w:szCs w:val="24"/>
        </w:rPr>
        <w:t>o</w:t>
      </w:r>
      <w:r>
        <w:rPr>
          <w:sz w:val="24"/>
          <w:szCs w:val="24"/>
        </w:rPr>
        <w:t xml:space="preserve"> uzturēšanās ilgumu un nacionalitāti</w:t>
      </w:r>
      <w:r w:rsidR="00FD2AA0">
        <w:rPr>
          <w:sz w:val="24"/>
          <w:szCs w:val="24"/>
        </w:rPr>
        <w:t>, tādejādi uzrādot nakšņošanas sektora uzņēmējdarbības attīstību.</w:t>
      </w:r>
      <w:r w:rsidR="00C53876">
        <w:rPr>
          <w:sz w:val="24"/>
          <w:szCs w:val="24"/>
        </w:rPr>
        <w:t xml:space="preserve"> </w:t>
      </w:r>
      <w:r w:rsidR="00A34A8C">
        <w:rPr>
          <w:sz w:val="24"/>
          <w:szCs w:val="24"/>
        </w:rPr>
        <w:t>Savukārt, ņ</w:t>
      </w:r>
      <w:r w:rsidR="00A34A8C" w:rsidRPr="00A34A8C">
        <w:rPr>
          <w:sz w:val="24"/>
          <w:szCs w:val="24"/>
        </w:rPr>
        <w:t xml:space="preserve">emot vērā esošās tendences, nākotnē iespējams ļoti straujš pieaugums </w:t>
      </w:r>
      <w:r w:rsidR="00A34A8C">
        <w:rPr>
          <w:sz w:val="24"/>
          <w:szCs w:val="24"/>
        </w:rPr>
        <w:t xml:space="preserve">tieši </w:t>
      </w:r>
      <w:r w:rsidR="00A34A8C" w:rsidRPr="00A34A8C">
        <w:rPr>
          <w:sz w:val="24"/>
          <w:szCs w:val="24"/>
        </w:rPr>
        <w:t>privāto naktsmītņu, dzīvokļu un apartamentu sektorā, kas var atstāt būtisku ietekmi uz rezultatīvajiem rādītājiem</w:t>
      </w:r>
      <w:r w:rsidR="00A34A8C">
        <w:rPr>
          <w:sz w:val="24"/>
          <w:szCs w:val="24"/>
        </w:rPr>
        <w:t xml:space="preserve">. </w:t>
      </w:r>
    </w:p>
    <w:p w14:paraId="5F582A91" w14:textId="2DC8A48A" w:rsidR="000D446E" w:rsidRPr="00C53876" w:rsidRDefault="00C53876" w:rsidP="00DF336B">
      <w:pPr>
        <w:ind w:firstLine="360"/>
        <w:jc w:val="both"/>
        <w:rPr>
          <w:b/>
          <w:sz w:val="24"/>
          <w:szCs w:val="24"/>
        </w:rPr>
      </w:pPr>
      <w:r w:rsidRPr="008121E4">
        <w:rPr>
          <w:sz w:val="24"/>
          <w:szCs w:val="24"/>
        </w:rPr>
        <w:t>Ņemot vērā minēto,</w:t>
      </w:r>
      <w:r w:rsidRPr="00C53876">
        <w:rPr>
          <w:b/>
          <w:sz w:val="24"/>
          <w:szCs w:val="24"/>
        </w:rPr>
        <w:t xml:space="preserve"> </w:t>
      </w:r>
      <w:r w:rsidR="007B487D">
        <w:rPr>
          <w:b/>
          <w:sz w:val="24"/>
          <w:szCs w:val="24"/>
        </w:rPr>
        <w:t xml:space="preserve">nepieciešams </w:t>
      </w:r>
      <w:r w:rsidRPr="00C53876">
        <w:rPr>
          <w:b/>
          <w:sz w:val="24"/>
          <w:szCs w:val="24"/>
        </w:rPr>
        <w:t xml:space="preserve">izvērtēt </w:t>
      </w:r>
      <w:r w:rsidR="007B487D">
        <w:rPr>
          <w:b/>
          <w:sz w:val="24"/>
          <w:szCs w:val="24"/>
        </w:rPr>
        <w:t xml:space="preserve">vajadzību </w:t>
      </w:r>
      <w:r w:rsidRPr="00C53876">
        <w:rPr>
          <w:b/>
          <w:sz w:val="24"/>
          <w:szCs w:val="24"/>
        </w:rPr>
        <w:t>nākošā perioda pamatnostādnēs (202</w:t>
      </w:r>
      <w:r w:rsidR="009D7B0F">
        <w:rPr>
          <w:b/>
          <w:sz w:val="24"/>
          <w:szCs w:val="24"/>
        </w:rPr>
        <w:t>1</w:t>
      </w:r>
      <w:r w:rsidRPr="00C53876">
        <w:rPr>
          <w:b/>
          <w:sz w:val="24"/>
          <w:szCs w:val="24"/>
        </w:rPr>
        <w:t>.-20</w:t>
      </w:r>
      <w:r w:rsidR="009D7B0F">
        <w:rPr>
          <w:b/>
          <w:sz w:val="24"/>
          <w:szCs w:val="24"/>
        </w:rPr>
        <w:t>27</w:t>
      </w:r>
      <w:r w:rsidRPr="00C53876">
        <w:rPr>
          <w:b/>
          <w:sz w:val="24"/>
          <w:szCs w:val="24"/>
        </w:rPr>
        <w:t xml:space="preserve">.gadam) </w:t>
      </w:r>
      <w:r w:rsidR="00FD2AA0">
        <w:rPr>
          <w:b/>
          <w:sz w:val="24"/>
          <w:szCs w:val="24"/>
        </w:rPr>
        <w:t xml:space="preserve">papildus esošajam rādītājam </w:t>
      </w:r>
      <w:r w:rsidR="00FD2AA0" w:rsidRPr="00FD2AA0">
        <w:rPr>
          <w:b/>
          <w:sz w:val="24"/>
          <w:szCs w:val="24"/>
        </w:rPr>
        <w:t>“Ārvalstu vairākdienu ceļotāju skaits”</w:t>
      </w:r>
      <w:r w:rsidR="00FD2AA0">
        <w:rPr>
          <w:b/>
          <w:sz w:val="24"/>
          <w:szCs w:val="24"/>
        </w:rPr>
        <w:t xml:space="preserve"> </w:t>
      </w:r>
      <w:r w:rsidRPr="00C53876">
        <w:rPr>
          <w:b/>
          <w:sz w:val="24"/>
          <w:szCs w:val="24"/>
        </w:rPr>
        <w:t>iekļaut rezultatīvo rādītāju “Viesnīcās un citās tūristu mītnēs apkalpoto ārvalstu vairākdienu ceļotāju skaits”</w:t>
      </w:r>
      <w:r w:rsidRPr="00F518F8">
        <w:rPr>
          <w:sz w:val="24"/>
          <w:szCs w:val="24"/>
        </w:rPr>
        <w:t>,</w:t>
      </w:r>
      <w:r w:rsidRPr="00C53876">
        <w:rPr>
          <w:b/>
          <w:sz w:val="24"/>
          <w:szCs w:val="24"/>
        </w:rPr>
        <w:t xml:space="preserve"> </w:t>
      </w:r>
      <w:r w:rsidR="00FD2AA0">
        <w:rPr>
          <w:sz w:val="24"/>
          <w:szCs w:val="24"/>
        </w:rPr>
        <w:t xml:space="preserve">tādējādi palīdzot analizēt gan viesnīcu rādītājus, gan sadarbības ekonomikas un radu/draugu apmeklējumu proporcionalitāti kopējā tūristu skaitā. </w:t>
      </w:r>
    </w:p>
    <w:p w14:paraId="27DF471E" w14:textId="4C7BFD60" w:rsidR="00AD2F50" w:rsidRDefault="00AD2F50" w:rsidP="00FD2AA0">
      <w:pPr>
        <w:tabs>
          <w:tab w:val="left" w:pos="7755"/>
        </w:tabs>
        <w:jc w:val="both"/>
        <w:rPr>
          <w:sz w:val="24"/>
          <w:szCs w:val="24"/>
        </w:rPr>
      </w:pPr>
    </w:p>
    <w:p w14:paraId="4BB4268A" w14:textId="77777777" w:rsidR="009D7B0F" w:rsidRDefault="009D7B0F" w:rsidP="00FD2AA0">
      <w:pPr>
        <w:tabs>
          <w:tab w:val="left" w:pos="7755"/>
        </w:tabs>
        <w:jc w:val="both"/>
        <w:rPr>
          <w:sz w:val="24"/>
          <w:szCs w:val="24"/>
        </w:rPr>
      </w:pPr>
    </w:p>
    <w:p w14:paraId="4D347158" w14:textId="3BB25596" w:rsidR="00DE0F41" w:rsidRPr="00F518F8" w:rsidRDefault="009E53C0" w:rsidP="00F518F8">
      <w:pPr>
        <w:pStyle w:val="Heading2"/>
        <w:shd w:val="clear" w:color="auto" w:fill="1DA0A7"/>
        <w:rPr>
          <w:rFonts w:eastAsia="Times New Roman" w:cs="Times New Roman"/>
          <w:b/>
          <w:bCs/>
          <w:color w:val="FFFFFF" w:themeColor="background1"/>
          <w:szCs w:val="28"/>
          <w:lang w:val="x-none" w:eastAsia="x-none"/>
        </w:rPr>
      </w:pPr>
      <w:bookmarkStart w:id="13" w:name="_Toc500423594"/>
      <w:r w:rsidRPr="00F518F8">
        <w:rPr>
          <w:rFonts w:eastAsia="Times New Roman" w:cs="Times New Roman"/>
          <w:b/>
          <w:bCs/>
          <w:color w:val="FFFFFF" w:themeColor="background1"/>
          <w:szCs w:val="28"/>
          <w:lang w:val="x-none" w:eastAsia="x-none"/>
        </w:rPr>
        <w:lastRenderedPageBreak/>
        <w:t xml:space="preserve">2.2. </w:t>
      </w:r>
      <w:r w:rsidR="006F2F38" w:rsidRPr="00F518F8">
        <w:rPr>
          <w:rFonts w:eastAsia="Times New Roman" w:cs="Times New Roman"/>
          <w:b/>
          <w:bCs/>
          <w:color w:val="FFFFFF" w:themeColor="background1"/>
          <w:szCs w:val="28"/>
          <w:lang w:val="x-none" w:eastAsia="x-none"/>
        </w:rPr>
        <w:t>Vidējās noslodzes (gultas vietu noslogojums) palielināšanās izmitināšanas mītnēs ārpus noslogotākās vasaras sezonas (izņemot jūn.-aug.)</w:t>
      </w:r>
      <w:bookmarkEnd w:id="13"/>
    </w:p>
    <w:p w14:paraId="5C84CA99" w14:textId="134C971F" w:rsidR="00F518F8" w:rsidRPr="00F518F8" w:rsidRDefault="00F518F8" w:rsidP="007111B1">
      <w:pPr>
        <w:ind w:firstLine="426"/>
        <w:jc w:val="both"/>
        <w:rPr>
          <w:sz w:val="10"/>
          <w:szCs w:val="24"/>
        </w:rPr>
      </w:pPr>
    </w:p>
    <w:p w14:paraId="7C4E402C" w14:textId="38E25788" w:rsidR="00F518F8" w:rsidRPr="000C0F1E" w:rsidRDefault="00F518F8" w:rsidP="007111B1">
      <w:pPr>
        <w:ind w:firstLine="426"/>
        <w:jc w:val="both"/>
        <w:rPr>
          <w:sz w:val="10"/>
          <w:szCs w:val="24"/>
        </w:rPr>
      </w:pPr>
    </w:p>
    <w:p w14:paraId="5E44CC21" w14:textId="473F8CCD" w:rsidR="000C0F1E" w:rsidRPr="00F518F8" w:rsidRDefault="000C0F1E" w:rsidP="007111B1">
      <w:pPr>
        <w:ind w:firstLine="426"/>
        <w:jc w:val="both"/>
        <w:rPr>
          <w:sz w:val="24"/>
          <w:szCs w:val="24"/>
        </w:rPr>
      </w:pPr>
      <w:r>
        <w:rPr>
          <w:sz w:val="24"/>
          <w:szCs w:val="24"/>
        </w:rPr>
        <w:t>Laika posmā no 2014.-2016.gadam vidējā izmitināšanas mītņu noslodze ir kritusies par 2%, bet kopsummā līdz 2016.gadam ir sasniegti, 2014.gadā pat pārsniegti uzstādītie rādītāji.</w:t>
      </w:r>
    </w:p>
    <w:p w14:paraId="6D39830C" w14:textId="77777777" w:rsidR="006F2F38" w:rsidRDefault="006F2F38" w:rsidP="007111B1">
      <w:pPr>
        <w:ind w:firstLine="720"/>
        <w:jc w:val="both"/>
        <w:rPr>
          <w:sz w:val="24"/>
          <w:szCs w:val="24"/>
        </w:rPr>
      </w:pPr>
    </w:p>
    <w:p w14:paraId="0F51E493" w14:textId="024C6123" w:rsidR="006F2F38" w:rsidRDefault="00AD0660" w:rsidP="00AD0660">
      <w:pPr>
        <w:jc w:val="center"/>
        <w:rPr>
          <w:sz w:val="24"/>
          <w:szCs w:val="24"/>
        </w:rPr>
      </w:pPr>
      <w:r>
        <w:rPr>
          <w:noProof/>
          <w:lang w:eastAsia="lv-LV"/>
        </w:rPr>
        <w:drawing>
          <wp:inline distT="0" distB="0" distL="0" distR="0" wp14:anchorId="47372C1E" wp14:editId="634070E1">
            <wp:extent cx="5085756" cy="2238375"/>
            <wp:effectExtent l="0" t="0" r="635" b="9525"/>
            <wp:docPr id="3" name="Chart 3">
              <a:extLst xmlns:a="http://schemas.openxmlformats.org/drawingml/2006/main">
                <a:ext uri="{FF2B5EF4-FFF2-40B4-BE49-F238E27FC236}">
                  <a16:creationId xmlns:a16="http://schemas.microsoft.com/office/drawing/2014/main" id="{9290EE0A-9FBC-4EB5-8340-42A000A3E12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6190E55" w14:textId="77777777" w:rsidR="006F2F38" w:rsidRDefault="006F2F38" w:rsidP="007111B1">
      <w:pPr>
        <w:ind w:firstLine="720"/>
        <w:jc w:val="both"/>
        <w:rPr>
          <w:sz w:val="24"/>
          <w:szCs w:val="24"/>
        </w:rPr>
      </w:pPr>
    </w:p>
    <w:p w14:paraId="50A7ADD2" w14:textId="786A63E6" w:rsidR="000C0F1E" w:rsidRDefault="000246B6" w:rsidP="00E131F0">
      <w:pPr>
        <w:ind w:firstLine="426"/>
        <w:jc w:val="both"/>
        <w:rPr>
          <w:sz w:val="24"/>
          <w:szCs w:val="24"/>
        </w:rPr>
      </w:pPr>
      <w:r w:rsidRPr="000246B6">
        <w:rPr>
          <w:sz w:val="24"/>
          <w:szCs w:val="24"/>
        </w:rPr>
        <w:t>Gultasvietu noslogojums par vienu mēnesi tiek iegūts, kopējo nakšu skaitu (izdotās gultasvietas), kas pavadītas viena veida tūristu mītnēs, dalot ar reizinājumu, ko iegūst, gultasvietu summu reizinot ar dienu skaitu attiecīgajā mēnesī, un dalījumu reizinot ar 100, lai iznākumu izteiktu procentos.</w:t>
      </w:r>
      <w:r w:rsidR="00E131F0">
        <w:rPr>
          <w:sz w:val="24"/>
          <w:szCs w:val="24"/>
        </w:rPr>
        <w:t xml:space="preserve"> </w:t>
      </w:r>
      <w:r w:rsidR="00E131F0" w:rsidRPr="00E131F0">
        <w:rPr>
          <w:sz w:val="24"/>
          <w:szCs w:val="24"/>
        </w:rPr>
        <w:t xml:space="preserve">Dati tiek iegūti, veicot pilnu apsekojumu, un dati tiek apkopoti no CSP izstrādātās statistikas pārskata </w:t>
      </w:r>
      <w:r w:rsidR="00E131F0">
        <w:rPr>
          <w:sz w:val="24"/>
          <w:szCs w:val="24"/>
        </w:rPr>
        <w:t>veidlapas Nr. 1-tūristu mītnes “</w:t>
      </w:r>
      <w:r w:rsidR="00E131F0" w:rsidRPr="00E131F0">
        <w:rPr>
          <w:sz w:val="24"/>
          <w:szCs w:val="24"/>
        </w:rPr>
        <w:t>Pārskats par viesnīc</w:t>
      </w:r>
      <w:r w:rsidR="00E131F0">
        <w:rPr>
          <w:sz w:val="24"/>
          <w:szCs w:val="24"/>
        </w:rPr>
        <w:t>u un citu tūristu mītņu darbību”</w:t>
      </w:r>
      <w:r w:rsidR="00E131F0" w:rsidRPr="00E131F0">
        <w:rPr>
          <w:sz w:val="24"/>
          <w:szCs w:val="24"/>
        </w:rPr>
        <w:t>.</w:t>
      </w:r>
      <w:r w:rsidR="00E131F0">
        <w:rPr>
          <w:sz w:val="24"/>
          <w:szCs w:val="24"/>
        </w:rPr>
        <w:t xml:space="preserve"> </w:t>
      </w:r>
      <w:r w:rsidR="00E131F0" w:rsidRPr="00E131F0">
        <w:rPr>
          <w:sz w:val="24"/>
          <w:szCs w:val="24"/>
        </w:rPr>
        <w:t xml:space="preserve">Tiek apsekoti ekonomiski aktīvie individuālie komersanti un komercsabiedrības, kuru pamatdarbības nozare </w:t>
      </w:r>
      <w:r w:rsidR="00E131F0">
        <w:rPr>
          <w:sz w:val="24"/>
          <w:szCs w:val="24"/>
        </w:rPr>
        <w:t>atbilst NACE 2.red.</w:t>
      </w:r>
      <w:r w:rsidR="00E131F0" w:rsidRPr="00E131F0">
        <w:rPr>
          <w:sz w:val="24"/>
          <w:szCs w:val="24"/>
        </w:rPr>
        <w:t>5510, 5520, 5530, un pārējie komersanti un privātpersonas, kas sniedz izmitināšanas pakalpojumus. Līdz 2017.gadam dati tika apkopoti par naktsmītnēm, kurās ir ne mazāk kā 10 gultasvietas. No 2017.gada dati t</w:t>
      </w:r>
      <w:r w:rsidR="00E131F0">
        <w:rPr>
          <w:sz w:val="24"/>
          <w:szCs w:val="24"/>
        </w:rPr>
        <w:t>iks</w:t>
      </w:r>
      <w:r w:rsidR="00E131F0" w:rsidRPr="00E131F0">
        <w:rPr>
          <w:sz w:val="24"/>
          <w:szCs w:val="24"/>
        </w:rPr>
        <w:t xml:space="preserve"> apkopoti par visām tūristu mītnēm, nenosakot slieksni mītnē pieejamo gultasvietu skaitam.</w:t>
      </w:r>
    </w:p>
    <w:p w14:paraId="212403C8" w14:textId="77777777" w:rsidR="00E131F0" w:rsidRPr="00E131F0" w:rsidRDefault="00E131F0" w:rsidP="00E131F0">
      <w:pPr>
        <w:ind w:firstLine="426"/>
        <w:jc w:val="both"/>
        <w:rPr>
          <w:rFonts w:cs="Times New Roman"/>
          <w:sz w:val="24"/>
          <w:szCs w:val="24"/>
        </w:rPr>
      </w:pPr>
      <w:r w:rsidRPr="00E131F0">
        <w:rPr>
          <w:rFonts w:cs="Times New Roman"/>
          <w:sz w:val="24"/>
          <w:szCs w:val="24"/>
        </w:rPr>
        <w:t xml:space="preserve">Izmitināšanas mītņu noslodzi ietekmē vairāki faktori: </w:t>
      </w:r>
    </w:p>
    <w:p w14:paraId="1ADEFB4B" w14:textId="47192829" w:rsidR="00E131F0" w:rsidRPr="00E131F0" w:rsidRDefault="00E131F0" w:rsidP="00E131F0">
      <w:pPr>
        <w:pStyle w:val="ListParagraph"/>
        <w:numPr>
          <w:ilvl w:val="0"/>
          <w:numId w:val="12"/>
        </w:numPr>
        <w:jc w:val="both"/>
        <w:rPr>
          <w:rFonts w:ascii="Times New Roman" w:hAnsi="Times New Roman"/>
          <w:sz w:val="24"/>
          <w:szCs w:val="24"/>
        </w:rPr>
      </w:pPr>
      <w:r w:rsidRPr="00E131F0">
        <w:rPr>
          <w:rFonts w:ascii="Times New Roman" w:hAnsi="Times New Roman"/>
          <w:sz w:val="24"/>
          <w:szCs w:val="24"/>
        </w:rPr>
        <w:t>nakšņojošo tūristu skaita izmaiņas</w:t>
      </w:r>
      <w:r>
        <w:rPr>
          <w:rFonts w:ascii="Times New Roman" w:hAnsi="Times New Roman"/>
          <w:sz w:val="24"/>
          <w:szCs w:val="24"/>
        </w:rPr>
        <w:t>,</w:t>
      </w:r>
    </w:p>
    <w:p w14:paraId="28F2B5CA" w14:textId="09C4B517" w:rsidR="00E131F0" w:rsidRDefault="00E131F0" w:rsidP="00E131F0">
      <w:pPr>
        <w:pStyle w:val="ListParagraph"/>
        <w:numPr>
          <w:ilvl w:val="0"/>
          <w:numId w:val="12"/>
        </w:numPr>
        <w:jc w:val="both"/>
        <w:rPr>
          <w:rFonts w:ascii="Times New Roman" w:hAnsi="Times New Roman"/>
          <w:sz w:val="24"/>
          <w:szCs w:val="24"/>
        </w:rPr>
      </w:pPr>
      <w:r w:rsidRPr="00E131F0">
        <w:rPr>
          <w:rFonts w:ascii="Times New Roman" w:hAnsi="Times New Roman"/>
          <w:sz w:val="24"/>
          <w:szCs w:val="24"/>
        </w:rPr>
        <w:t>nakšņojošo tūristu uzturēšanās ilgums</w:t>
      </w:r>
      <w:r w:rsidR="00CF1DFC">
        <w:rPr>
          <w:rFonts w:ascii="Times New Roman" w:hAnsi="Times New Roman"/>
          <w:sz w:val="24"/>
          <w:szCs w:val="24"/>
        </w:rPr>
        <w:t xml:space="preserve"> (nakšu skaits)</w:t>
      </w:r>
      <w:r>
        <w:rPr>
          <w:rFonts w:ascii="Times New Roman" w:hAnsi="Times New Roman"/>
          <w:sz w:val="24"/>
          <w:szCs w:val="24"/>
        </w:rPr>
        <w:t>,</w:t>
      </w:r>
      <w:r w:rsidRPr="00E131F0">
        <w:rPr>
          <w:rFonts w:ascii="Times New Roman" w:hAnsi="Times New Roman"/>
          <w:sz w:val="24"/>
          <w:szCs w:val="24"/>
        </w:rPr>
        <w:t xml:space="preserve"> </w:t>
      </w:r>
    </w:p>
    <w:p w14:paraId="24876DA3" w14:textId="7F041670" w:rsidR="00E131F0" w:rsidRDefault="00E131F0" w:rsidP="00E131F0">
      <w:pPr>
        <w:pStyle w:val="ListParagraph"/>
        <w:numPr>
          <w:ilvl w:val="0"/>
          <w:numId w:val="12"/>
        </w:numPr>
        <w:jc w:val="both"/>
        <w:rPr>
          <w:rFonts w:ascii="Times New Roman" w:hAnsi="Times New Roman"/>
          <w:sz w:val="24"/>
          <w:szCs w:val="24"/>
        </w:rPr>
      </w:pPr>
      <w:r w:rsidRPr="00E131F0">
        <w:rPr>
          <w:rFonts w:ascii="Times New Roman" w:hAnsi="Times New Roman"/>
          <w:sz w:val="24"/>
          <w:szCs w:val="24"/>
        </w:rPr>
        <w:t>Latvijā esošo naktsmītņu skaita (un gultasvietu skaita) izmaiņas</w:t>
      </w:r>
      <w:r>
        <w:rPr>
          <w:rFonts w:ascii="Times New Roman" w:hAnsi="Times New Roman"/>
          <w:sz w:val="24"/>
          <w:szCs w:val="24"/>
        </w:rPr>
        <w:t>,</w:t>
      </w:r>
    </w:p>
    <w:p w14:paraId="5ADDB3DB" w14:textId="72E94F6C" w:rsidR="00E131F0" w:rsidRPr="00E131F0" w:rsidRDefault="00391072" w:rsidP="00E131F0">
      <w:pPr>
        <w:pStyle w:val="ListParagraph"/>
        <w:numPr>
          <w:ilvl w:val="0"/>
          <w:numId w:val="12"/>
        </w:numPr>
        <w:jc w:val="both"/>
        <w:rPr>
          <w:rFonts w:ascii="Times New Roman" w:hAnsi="Times New Roman"/>
          <w:sz w:val="24"/>
          <w:szCs w:val="24"/>
        </w:rPr>
      </w:pPr>
      <w:r>
        <w:rPr>
          <w:rFonts w:ascii="Times New Roman" w:hAnsi="Times New Roman"/>
          <w:sz w:val="24"/>
          <w:szCs w:val="24"/>
        </w:rPr>
        <w:t>a</w:t>
      </w:r>
      <w:r w:rsidR="00E131F0">
        <w:rPr>
          <w:rFonts w:ascii="Times New Roman" w:hAnsi="Times New Roman"/>
          <w:sz w:val="24"/>
          <w:szCs w:val="24"/>
        </w:rPr>
        <w:t>lternatīvu izmitināšanas iespēju izmantošana.</w:t>
      </w:r>
    </w:p>
    <w:p w14:paraId="426239B1" w14:textId="3B37F61C" w:rsidR="00CF1DFC" w:rsidRDefault="00E131F0" w:rsidP="00D51B9F">
      <w:pPr>
        <w:ind w:firstLine="426"/>
        <w:jc w:val="both"/>
        <w:rPr>
          <w:sz w:val="24"/>
          <w:szCs w:val="24"/>
        </w:rPr>
      </w:pPr>
      <w:r w:rsidRPr="00CF1DFC">
        <w:rPr>
          <w:rFonts w:cs="Times New Roman"/>
          <w:sz w:val="24"/>
          <w:szCs w:val="24"/>
        </w:rPr>
        <w:t>Ievērojot minēto, būtiski ir saprast katra faktora ietekmi uz Latvijas naktsmīt</w:t>
      </w:r>
      <w:r w:rsidR="00D51B9F">
        <w:rPr>
          <w:rFonts w:cs="Times New Roman"/>
          <w:sz w:val="24"/>
          <w:szCs w:val="24"/>
        </w:rPr>
        <w:t xml:space="preserve">ņu noslodzi. </w:t>
      </w:r>
      <w:r w:rsidR="00CF1DFC" w:rsidRPr="00D51B9F">
        <w:rPr>
          <w:rFonts w:cs="Times New Roman"/>
          <w:sz w:val="24"/>
          <w:szCs w:val="24"/>
        </w:rPr>
        <w:t xml:space="preserve">Izvērtējot </w:t>
      </w:r>
      <w:r w:rsidR="00CF1DFC" w:rsidRPr="00D51B9F">
        <w:rPr>
          <w:sz w:val="24"/>
          <w:szCs w:val="24"/>
        </w:rPr>
        <w:t>nakšņojošo tūristu skaita izmaiņas 2014.-2016.gadā, jāsecina, ka kopsummā šādu tūristu skaits Latvijā ir palielinājies par 9% kopš 2014.gada. Savukārt nakšu skaits tūr</w:t>
      </w:r>
      <w:r w:rsidR="00D51B9F">
        <w:rPr>
          <w:sz w:val="24"/>
          <w:szCs w:val="24"/>
        </w:rPr>
        <w:t>isma mītnēs ir palielinājies par 5%. Vienlaikus jāpiezīmē, ka ir ievērojami palielinājies naktsmītņu skaits (+</w:t>
      </w:r>
      <w:r w:rsidR="00817220">
        <w:rPr>
          <w:sz w:val="24"/>
          <w:szCs w:val="24"/>
        </w:rPr>
        <w:t xml:space="preserve"> </w:t>
      </w:r>
      <w:r w:rsidR="00D51B9F">
        <w:rPr>
          <w:sz w:val="24"/>
          <w:szCs w:val="24"/>
        </w:rPr>
        <w:t>63) un gultasvietu skaits (+</w:t>
      </w:r>
      <w:r w:rsidR="00817220">
        <w:rPr>
          <w:sz w:val="24"/>
          <w:szCs w:val="24"/>
        </w:rPr>
        <w:t xml:space="preserve"> </w:t>
      </w:r>
      <w:r w:rsidR="00D51B9F">
        <w:rPr>
          <w:sz w:val="24"/>
          <w:szCs w:val="24"/>
        </w:rPr>
        <w:t>3</w:t>
      </w:r>
      <w:r w:rsidR="00817220">
        <w:rPr>
          <w:sz w:val="24"/>
          <w:szCs w:val="24"/>
        </w:rPr>
        <w:t xml:space="preserve"> </w:t>
      </w:r>
      <w:r w:rsidR="00D51B9F">
        <w:rPr>
          <w:sz w:val="24"/>
          <w:szCs w:val="24"/>
        </w:rPr>
        <w:t xml:space="preserve">994 jeb </w:t>
      </w:r>
      <w:r w:rsidR="00817220">
        <w:rPr>
          <w:sz w:val="24"/>
          <w:szCs w:val="24"/>
        </w:rPr>
        <w:t xml:space="preserve">11% pieaugums). </w:t>
      </w:r>
      <w:r w:rsidR="00817220" w:rsidRPr="00DB452D">
        <w:rPr>
          <w:sz w:val="24"/>
          <w:szCs w:val="24"/>
        </w:rPr>
        <w:t xml:space="preserve">Līdz ar to var secināt, ka ir vērojama gan </w:t>
      </w:r>
      <w:r w:rsidR="00DB452D" w:rsidRPr="00DB452D">
        <w:rPr>
          <w:sz w:val="24"/>
          <w:szCs w:val="24"/>
        </w:rPr>
        <w:t>veicinoša</w:t>
      </w:r>
      <w:r w:rsidR="00817220" w:rsidRPr="00DB452D">
        <w:rPr>
          <w:sz w:val="24"/>
          <w:szCs w:val="24"/>
        </w:rPr>
        <w:t xml:space="preserve"> ietekme uz rezultatīvo rādītāju (tūristu skaits un nakšņojumi veicina rādītāja sasniegšanu), gan arī </w:t>
      </w:r>
      <w:r w:rsidR="00DB452D" w:rsidRPr="00DB452D">
        <w:rPr>
          <w:sz w:val="24"/>
          <w:szCs w:val="24"/>
        </w:rPr>
        <w:t>kavējoša</w:t>
      </w:r>
      <w:r w:rsidR="00817220" w:rsidRPr="00DB452D">
        <w:rPr>
          <w:sz w:val="24"/>
          <w:szCs w:val="24"/>
        </w:rPr>
        <w:t xml:space="preserve"> ietekme (gultasvietu skaita pieaugums samazina iespēju sasniegt rezultatīvo rādītāju).</w:t>
      </w:r>
    </w:p>
    <w:p w14:paraId="6CE95FE5" w14:textId="035768CE" w:rsidR="00070870" w:rsidRDefault="00070870" w:rsidP="00D51B9F">
      <w:pPr>
        <w:ind w:firstLine="426"/>
        <w:jc w:val="both"/>
        <w:rPr>
          <w:sz w:val="24"/>
          <w:szCs w:val="24"/>
        </w:rPr>
      </w:pPr>
      <w:r>
        <w:rPr>
          <w:sz w:val="24"/>
          <w:szCs w:val="24"/>
        </w:rPr>
        <w:t xml:space="preserve">Vērtējot naktsmītņu veidus, kurus izvēlās vairākdienu ceļotāji, var secināt, ka pamatā izvēlās apmesties viesnīcās un tām pielīdzinātās naktsmītnēs. </w:t>
      </w:r>
      <w:r w:rsidR="00E923AD">
        <w:rPr>
          <w:sz w:val="24"/>
          <w:szCs w:val="24"/>
        </w:rPr>
        <w:t xml:space="preserve">Starpnovērtējuma laika posmā novērojama </w:t>
      </w:r>
      <w:r w:rsidR="00E923AD" w:rsidRPr="00016CA5">
        <w:rPr>
          <w:sz w:val="24"/>
          <w:szCs w:val="24"/>
          <w:u w:val="single"/>
        </w:rPr>
        <w:t>privāto naktsmītņu popularitātes pieaugums</w:t>
      </w:r>
      <w:r w:rsidR="00E923AD">
        <w:rPr>
          <w:sz w:val="24"/>
          <w:szCs w:val="24"/>
        </w:rPr>
        <w:t>, taču joprojām klasiskās naktsmītnes (viesnīcas un viesu mājas) ieņem līdera pozīciju naktsmītņu izvēlē.</w:t>
      </w:r>
    </w:p>
    <w:p w14:paraId="7E4AE0B6" w14:textId="1091B905" w:rsidR="00070870" w:rsidRDefault="00070870" w:rsidP="00D51B9F">
      <w:pPr>
        <w:ind w:firstLine="426"/>
        <w:jc w:val="both"/>
        <w:rPr>
          <w:sz w:val="24"/>
          <w:szCs w:val="24"/>
        </w:rPr>
      </w:pPr>
    </w:p>
    <w:p w14:paraId="4173BBC6" w14:textId="6F143BFB" w:rsidR="00070870" w:rsidRDefault="00E923AD" w:rsidP="00E923AD">
      <w:pPr>
        <w:jc w:val="center"/>
        <w:rPr>
          <w:sz w:val="24"/>
          <w:szCs w:val="24"/>
        </w:rPr>
      </w:pPr>
      <w:r>
        <w:rPr>
          <w:noProof/>
          <w:lang w:eastAsia="lv-LV"/>
        </w:rPr>
        <w:lastRenderedPageBreak/>
        <w:drawing>
          <wp:inline distT="0" distB="0" distL="0" distR="0" wp14:anchorId="764E0EEE" wp14:editId="4686CB27">
            <wp:extent cx="4750889" cy="1852551"/>
            <wp:effectExtent l="0" t="0" r="12065" b="14605"/>
            <wp:docPr id="6" name="Chart 6">
              <a:extLst xmlns:a="http://schemas.openxmlformats.org/drawingml/2006/main">
                <a:ext uri="{FF2B5EF4-FFF2-40B4-BE49-F238E27FC236}">
                  <a16:creationId xmlns:a16="http://schemas.microsoft.com/office/drawing/2014/main" id="{8485C185-1EB2-49B8-AF45-DDD70CB4030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4CE17A6" w14:textId="77777777" w:rsidR="00D7769D" w:rsidRPr="00267BCC" w:rsidRDefault="00D7769D" w:rsidP="00D7769D">
      <w:pPr>
        <w:jc w:val="center"/>
        <w:rPr>
          <w:sz w:val="20"/>
          <w:szCs w:val="20"/>
        </w:rPr>
      </w:pPr>
      <w:r w:rsidRPr="00267BCC">
        <w:rPr>
          <w:sz w:val="20"/>
          <w:szCs w:val="20"/>
        </w:rPr>
        <w:t>Datu avots: CSP</w:t>
      </w:r>
    </w:p>
    <w:p w14:paraId="5C265B09" w14:textId="77777777" w:rsidR="00070870" w:rsidRPr="00D51B9F" w:rsidRDefault="00070870" w:rsidP="00D51B9F">
      <w:pPr>
        <w:ind w:firstLine="426"/>
        <w:jc w:val="both"/>
        <w:rPr>
          <w:rFonts w:cs="Times New Roman"/>
          <w:sz w:val="24"/>
          <w:szCs w:val="24"/>
        </w:rPr>
      </w:pPr>
    </w:p>
    <w:p w14:paraId="43DDE241" w14:textId="4A7E269E" w:rsidR="00016CA5" w:rsidRDefault="00016CA5" w:rsidP="00416F5E">
      <w:pPr>
        <w:ind w:firstLine="426"/>
        <w:jc w:val="both"/>
        <w:rPr>
          <w:rFonts w:cs="Times New Roman"/>
          <w:sz w:val="24"/>
          <w:szCs w:val="24"/>
        </w:rPr>
      </w:pPr>
      <w:r>
        <w:rPr>
          <w:rFonts w:cs="Times New Roman"/>
          <w:sz w:val="24"/>
          <w:szCs w:val="24"/>
        </w:rPr>
        <w:t>Savukārt pavadīto nakšu skaita ziņā privātās naktsmītnes stabili ieņem pirmo vietu un apsteidz viesnīcās pavadīto nakšu skaitu. Šis rādītājs sevī ietver arī izglītības tūristus, kas pamatā izvēlās privāto naktsmītni, kurā uzturas pat vairākus mēnešus, tādēļ arī rezultāti uzrāda šādu tendenci.</w:t>
      </w:r>
    </w:p>
    <w:p w14:paraId="649C47D3" w14:textId="77777777" w:rsidR="003E7833" w:rsidRPr="003E7833" w:rsidRDefault="003E7833" w:rsidP="00416F5E">
      <w:pPr>
        <w:ind w:firstLine="426"/>
        <w:jc w:val="both"/>
        <w:rPr>
          <w:rFonts w:cs="Times New Roman"/>
          <w:sz w:val="8"/>
          <w:szCs w:val="24"/>
        </w:rPr>
      </w:pPr>
    </w:p>
    <w:p w14:paraId="299D3A44" w14:textId="728014F6" w:rsidR="00016CA5" w:rsidRDefault="00016CA5" w:rsidP="001D54A6">
      <w:pPr>
        <w:jc w:val="center"/>
        <w:rPr>
          <w:rFonts w:cs="Times New Roman"/>
          <w:sz w:val="24"/>
          <w:szCs w:val="24"/>
        </w:rPr>
      </w:pPr>
      <w:r>
        <w:rPr>
          <w:noProof/>
          <w:lang w:eastAsia="lv-LV"/>
        </w:rPr>
        <w:drawing>
          <wp:inline distT="0" distB="0" distL="0" distR="0" wp14:anchorId="36B108C5" wp14:editId="2DA01609">
            <wp:extent cx="4779101" cy="1810987"/>
            <wp:effectExtent l="0" t="0" r="2540" b="18415"/>
            <wp:docPr id="7" name="Chart 7">
              <a:extLst xmlns:a="http://schemas.openxmlformats.org/drawingml/2006/main">
                <a:ext uri="{FF2B5EF4-FFF2-40B4-BE49-F238E27FC236}">
                  <a16:creationId xmlns:a16="http://schemas.microsoft.com/office/drawing/2014/main" id="{0CFEFCD9-A276-49D4-B8F7-44BF478365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2AAAB94" w14:textId="77777777" w:rsidR="00D7769D" w:rsidRPr="00267BCC" w:rsidRDefault="00D7769D" w:rsidP="00D7769D">
      <w:pPr>
        <w:jc w:val="center"/>
        <w:rPr>
          <w:sz w:val="20"/>
          <w:szCs w:val="20"/>
        </w:rPr>
      </w:pPr>
      <w:r w:rsidRPr="00267BCC">
        <w:rPr>
          <w:sz w:val="20"/>
          <w:szCs w:val="20"/>
        </w:rPr>
        <w:t>Datu avots: CSP</w:t>
      </w:r>
    </w:p>
    <w:p w14:paraId="5002BFBE" w14:textId="4893C517" w:rsidR="00016CA5" w:rsidRDefault="00016CA5" w:rsidP="00416F5E">
      <w:pPr>
        <w:ind w:firstLine="426"/>
        <w:jc w:val="both"/>
        <w:rPr>
          <w:rFonts w:cs="Times New Roman"/>
          <w:sz w:val="24"/>
          <w:szCs w:val="24"/>
        </w:rPr>
      </w:pPr>
    </w:p>
    <w:p w14:paraId="67FCDE64" w14:textId="12F177DD" w:rsidR="00016CA5" w:rsidRDefault="001D54A6" w:rsidP="00416F5E">
      <w:pPr>
        <w:ind w:firstLine="426"/>
        <w:jc w:val="both"/>
        <w:rPr>
          <w:rFonts w:cs="Times New Roman"/>
          <w:sz w:val="24"/>
          <w:szCs w:val="24"/>
        </w:rPr>
      </w:pPr>
      <w:r>
        <w:rPr>
          <w:rFonts w:cs="Times New Roman"/>
          <w:sz w:val="24"/>
          <w:szCs w:val="24"/>
        </w:rPr>
        <w:t>Visbeidzot, vērtējot pēc kopējo izdevumu sadalījuma struktūras, jāsecina, ka neskatoties uz to, ka vairākdienu ceļotāji privātajās naktsmītnēs uzturas ilgāk, vislielākie izdevumi veidojas par viesnīcu sektora pakalpojumiem.</w:t>
      </w:r>
    </w:p>
    <w:p w14:paraId="1C2D76C5" w14:textId="16A51A4A" w:rsidR="001D54A6" w:rsidRPr="003E7833" w:rsidRDefault="001D54A6" w:rsidP="00416F5E">
      <w:pPr>
        <w:ind w:firstLine="426"/>
        <w:jc w:val="both"/>
        <w:rPr>
          <w:rFonts w:cs="Times New Roman"/>
          <w:sz w:val="10"/>
          <w:szCs w:val="24"/>
        </w:rPr>
      </w:pPr>
    </w:p>
    <w:p w14:paraId="56EE4C64" w14:textId="6E03EDAC" w:rsidR="001D54A6" w:rsidRDefault="001D54A6" w:rsidP="001D54A6">
      <w:pPr>
        <w:jc w:val="center"/>
        <w:rPr>
          <w:rFonts w:cs="Times New Roman"/>
          <w:sz w:val="24"/>
          <w:szCs w:val="24"/>
        </w:rPr>
      </w:pPr>
      <w:r>
        <w:rPr>
          <w:noProof/>
          <w:lang w:eastAsia="lv-LV"/>
        </w:rPr>
        <w:drawing>
          <wp:inline distT="0" distB="0" distL="0" distR="0" wp14:anchorId="27C1C949" wp14:editId="087B215E">
            <wp:extent cx="4928516" cy="1894114"/>
            <wp:effectExtent l="0" t="0" r="5715" b="11430"/>
            <wp:docPr id="8" name="Chart 8">
              <a:extLst xmlns:a="http://schemas.openxmlformats.org/drawingml/2006/main">
                <a:ext uri="{FF2B5EF4-FFF2-40B4-BE49-F238E27FC236}">
                  <a16:creationId xmlns:a16="http://schemas.microsoft.com/office/drawing/2014/main" id="{1CC5AFE3-67CE-4E88-935B-9653AE87B26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240D0C8" w14:textId="020A70D5" w:rsidR="00114E69" w:rsidRPr="003E7833" w:rsidRDefault="00D7769D" w:rsidP="003E7833">
      <w:pPr>
        <w:jc w:val="center"/>
        <w:rPr>
          <w:sz w:val="20"/>
          <w:szCs w:val="20"/>
        </w:rPr>
      </w:pPr>
      <w:r w:rsidRPr="00267BCC">
        <w:rPr>
          <w:sz w:val="20"/>
          <w:szCs w:val="20"/>
        </w:rPr>
        <w:t>Datu avots: CSP</w:t>
      </w:r>
    </w:p>
    <w:p w14:paraId="528046C8" w14:textId="77777777" w:rsidR="007B0B94" w:rsidRDefault="007B0B94" w:rsidP="00416F5E">
      <w:pPr>
        <w:ind w:firstLine="426"/>
        <w:jc w:val="both"/>
        <w:rPr>
          <w:rFonts w:cs="Times New Roman"/>
          <w:sz w:val="24"/>
          <w:szCs w:val="24"/>
        </w:rPr>
      </w:pPr>
    </w:p>
    <w:p w14:paraId="3519C297" w14:textId="12474073" w:rsidR="00416F5E" w:rsidRPr="008624C8" w:rsidRDefault="00416F5E" w:rsidP="00416F5E">
      <w:pPr>
        <w:ind w:firstLine="426"/>
        <w:jc w:val="both"/>
        <w:rPr>
          <w:rFonts w:cs="Times New Roman"/>
          <w:sz w:val="24"/>
          <w:szCs w:val="24"/>
        </w:rPr>
      </w:pPr>
      <w:r w:rsidRPr="008624C8">
        <w:rPr>
          <w:rFonts w:cs="Times New Roman"/>
          <w:sz w:val="24"/>
          <w:szCs w:val="24"/>
        </w:rPr>
        <w:t xml:space="preserve">Naktsmītņu noslogojumu ietekmē arī alternatīvo naktsmītņu jeb apartamentu izvēle. </w:t>
      </w:r>
      <w:r w:rsidR="008624C8">
        <w:rPr>
          <w:rFonts w:cs="Times New Roman"/>
          <w:sz w:val="24"/>
          <w:szCs w:val="24"/>
        </w:rPr>
        <w:t>Pamatojoties uz CSP veikto analīzi, d</w:t>
      </w:r>
      <w:r w:rsidRPr="008624C8">
        <w:rPr>
          <w:rFonts w:cs="Times New Roman"/>
          <w:sz w:val="24"/>
          <w:szCs w:val="24"/>
        </w:rPr>
        <w:t>ati no Ceļotāju apsekojuma 2015.gadā liecina, ka ceļotāju izvēle apmesties dzīvoklī kopumā Latvijā, salīdzinot ar ierastajām kolektīvajām naktsmītnēm, turpina pieaugt. Par 36% pieauga ceļotāju izdevumi, kas tika veltīti dzīvokļa naktsmītņu apmaksai, kā arī līdzīgi pieauga pavadītās naktis</w:t>
      </w:r>
      <w:r w:rsidR="008624C8">
        <w:rPr>
          <w:rFonts w:cs="Times New Roman"/>
          <w:sz w:val="24"/>
          <w:szCs w:val="24"/>
        </w:rPr>
        <w:t xml:space="preserve"> šajā naktsmītnes grupā (+39%).</w:t>
      </w:r>
      <w:r w:rsidRPr="008624C8">
        <w:rPr>
          <w:rFonts w:cs="Times New Roman"/>
          <w:sz w:val="24"/>
          <w:szCs w:val="24"/>
        </w:rPr>
        <w:t xml:space="preserve"> Pieauga arī kopējo izdevumu īpatsvarā izdevumi par naktsmītni - dzīvoklis, sasniedzot 6% no kopējiem izdevumiem (+1 procenta punkts). Naktis pieauga par 3 procenta punktiem un sasniedza 10% no visām pavadītajām naktīm naktsmītnēs. Kopš 2013.gada pieaug dzīvokļu īpatsvars naktsmītņu sadalījumā, kā arī izdevumi un naktis.</w:t>
      </w:r>
    </w:p>
    <w:p w14:paraId="384AF24C" w14:textId="0FD6B174" w:rsidR="00416F5E" w:rsidRPr="008624C8" w:rsidRDefault="00416F5E" w:rsidP="00416F5E">
      <w:pPr>
        <w:ind w:firstLine="426"/>
        <w:jc w:val="both"/>
        <w:rPr>
          <w:rFonts w:cs="Times New Roman"/>
          <w:sz w:val="24"/>
          <w:szCs w:val="24"/>
        </w:rPr>
      </w:pPr>
      <w:r w:rsidRPr="008624C8">
        <w:rPr>
          <w:rFonts w:cs="Times New Roman"/>
          <w:sz w:val="24"/>
          <w:szCs w:val="24"/>
        </w:rPr>
        <w:lastRenderedPageBreak/>
        <w:t xml:space="preserve">Ja salīdzina dzīvokļa izplatību pēc brauciena nolūka un pavadīto nakšu skaitu, tad turpina pieaugt īpatsvars visās brauciena mērķa grupās (atpūta, darījumi, veselības uzlabošana, sporta aktivitātes, mācības). Mācību nolūkā apmesties dzīvokļos ir vislielākais īpatsvars -  63%, pārējos mērķos dzīvokļu izvēles īpatsvars svārstās no 14 (sporta aktivitātes) līdz 17% (atpūta) 2015.gadā. Vidējā cena par dzīvokli pēc brauciena mērķa – atpūtai ir 7.5 </w:t>
      </w:r>
      <w:r w:rsidR="007B0B94">
        <w:rPr>
          <w:rFonts w:cs="Times New Roman"/>
          <w:sz w:val="24"/>
          <w:szCs w:val="24"/>
        </w:rPr>
        <w:t>EUR</w:t>
      </w:r>
      <w:r w:rsidRPr="008624C8">
        <w:rPr>
          <w:rFonts w:cs="Times New Roman"/>
          <w:sz w:val="24"/>
          <w:szCs w:val="24"/>
        </w:rPr>
        <w:t xml:space="preserve">, bet darījumu braucienos tā sasniedz 19 </w:t>
      </w:r>
      <w:r w:rsidR="007B0B94">
        <w:rPr>
          <w:rFonts w:cs="Times New Roman"/>
          <w:sz w:val="24"/>
          <w:szCs w:val="24"/>
        </w:rPr>
        <w:t>EUR</w:t>
      </w:r>
      <w:r w:rsidRPr="008624C8">
        <w:rPr>
          <w:rFonts w:cs="Times New Roman"/>
          <w:sz w:val="24"/>
          <w:szCs w:val="24"/>
        </w:rPr>
        <w:t xml:space="preserve">. Vidējā cena visos naktsmītņu veidos ir 17.2 </w:t>
      </w:r>
      <w:r w:rsidR="007B0B94">
        <w:rPr>
          <w:rFonts w:cs="Times New Roman"/>
          <w:sz w:val="24"/>
          <w:szCs w:val="24"/>
        </w:rPr>
        <w:t>EUR</w:t>
      </w:r>
      <w:r w:rsidRPr="008624C8">
        <w:rPr>
          <w:rFonts w:cs="Times New Roman"/>
          <w:sz w:val="24"/>
          <w:szCs w:val="24"/>
        </w:rPr>
        <w:t>.</w:t>
      </w:r>
    </w:p>
    <w:p w14:paraId="2156DA22" w14:textId="0101EBF6" w:rsidR="00416F5E" w:rsidRPr="00416F5E" w:rsidRDefault="00416F5E" w:rsidP="008624C8">
      <w:pPr>
        <w:ind w:firstLine="426"/>
        <w:jc w:val="both"/>
        <w:rPr>
          <w:rFonts w:cs="Times New Roman"/>
          <w:sz w:val="24"/>
          <w:szCs w:val="24"/>
        </w:rPr>
      </w:pPr>
      <w:r w:rsidRPr="008624C8">
        <w:rPr>
          <w:rFonts w:cs="Times New Roman"/>
          <w:sz w:val="24"/>
          <w:szCs w:val="24"/>
        </w:rPr>
        <w:t xml:space="preserve">Kopumā 2015.gadā par naktsmītnes veidu – dzīvoklis nerezidenti tērēja 8.2 milj. </w:t>
      </w:r>
      <w:r w:rsidR="007B0B94">
        <w:rPr>
          <w:rFonts w:cs="Times New Roman"/>
          <w:sz w:val="24"/>
          <w:szCs w:val="24"/>
        </w:rPr>
        <w:t>EUR</w:t>
      </w:r>
      <w:r w:rsidRPr="008624C8">
        <w:rPr>
          <w:rFonts w:cs="Times New Roman"/>
          <w:sz w:val="24"/>
          <w:szCs w:val="24"/>
        </w:rPr>
        <w:t xml:space="preserve"> un pavadīja Latvijā 810.4 tūkst. naktis. Dzīvokļos pavadītās naktis ir 10% no kopējo pavadīto </w:t>
      </w:r>
      <w:r w:rsidR="008624C8">
        <w:rPr>
          <w:rFonts w:cs="Times New Roman"/>
          <w:sz w:val="24"/>
          <w:szCs w:val="24"/>
        </w:rPr>
        <w:t xml:space="preserve">nakšu skaita visās naktsmītnēs. </w:t>
      </w:r>
      <w:r w:rsidRPr="008624C8">
        <w:rPr>
          <w:rFonts w:cs="Times New Roman"/>
          <w:sz w:val="24"/>
          <w:szCs w:val="24"/>
        </w:rPr>
        <w:t xml:space="preserve">Vidējais uzturēšanās ilgums dzīvokļu tipa naktsmītnēs (6.2 naktis) ievērojami pārsniedz vidējo uzturēšanās ilgumu visās naktsmītnēs (3.9 naktis). </w:t>
      </w:r>
    </w:p>
    <w:p w14:paraId="5ACE9B95" w14:textId="44816D90" w:rsidR="00E131F0" w:rsidRDefault="008624C8" w:rsidP="00E131F0">
      <w:pPr>
        <w:ind w:firstLine="426"/>
        <w:jc w:val="both"/>
        <w:rPr>
          <w:rFonts w:cs="Times New Roman"/>
          <w:sz w:val="24"/>
          <w:szCs w:val="24"/>
        </w:rPr>
      </w:pPr>
      <w:r>
        <w:rPr>
          <w:rFonts w:cs="Times New Roman"/>
          <w:sz w:val="24"/>
          <w:szCs w:val="24"/>
        </w:rPr>
        <w:t xml:space="preserve">Ievērojot minēto, ir jāpievērš pastiprināta uzmanība dzīvokļu jeb apartamentu attīstībai un to ietekmei uz tradicionālajām naktsmītnēm. Sadarbības ekonomikas rezultātā šim sektoram ir tendence augt un izkonkurēt tradicionālo naktsmītņu pakalpojumus. Kaut arī Latvijā šī tendence ir samērā jauna, ir nepieciešams sākt pastiprināti monitorēt apartamentu sektoru, tādēļ </w:t>
      </w:r>
      <w:r w:rsidRPr="008624C8">
        <w:rPr>
          <w:rFonts w:cs="Times New Roman"/>
          <w:b/>
          <w:sz w:val="24"/>
          <w:szCs w:val="24"/>
        </w:rPr>
        <w:t xml:space="preserve">nākošā perioda pamatnostādnēs ir jāveic detalizēta sadarbības ekonomikas ietekmes uz tūrisma industriju analīze, kā arī jāizvērtē nepieciešamība iekļaut jaunus rezultatīvos rādītājus attiecībā uz </w:t>
      </w:r>
      <w:r w:rsidR="00ED1DCC">
        <w:rPr>
          <w:rFonts w:cs="Times New Roman"/>
          <w:b/>
          <w:sz w:val="24"/>
          <w:szCs w:val="24"/>
        </w:rPr>
        <w:t>apartamentu pozīciju</w:t>
      </w:r>
      <w:r w:rsidRPr="008624C8">
        <w:rPr>
          <w:rFonts w:cs="Times New Roman"/>
          <w:b/>
          <w:sz w:val="24"/>
          <w:szCs w:val="24"/>
        </w:rPr>
        <w:t xml:space="preserve"> naktsmītņu sektorā.</w:t>
      </w:r>
      <w:r w:rsidR="00990464">
        <w:rPr>
          <w:rFonts w:cs="Times New Roman"/>
          <w:b/>
          <w:sz w:val="24"/>
          <w:szCs w:val="24"/>
        </w:rPr>
        <w:t xml:space="preserve"> </w:t>
      </w:r>
      <w:r w:rsidR="00EB38E4">
        <w:rPr>
          <w:rFonts w:cs="Times New Roman"/>
          <w:sz w:val="24"/>
          <w:szCs w:val="24"/>
        </w:rPr>
        <w:t>A</w:t>
      </w:r>
      <w:r w:rsidR="00EB38E4" w:rsidRPr="00EB38E4">
        <w:rPr>
          <w:rFonts w:cs="Times New Roman"/>
          <w:sz w:val="24"/>
          <w:szCs w:val="24"/>
        </w:rPr>
        <w:t>nalizējot sadarbības ekonomikas ietekmi, būtiski ir ņemt vērā aspektu par izmantoto datu ticamību, ņemot vērā strauji pieaugošo dažādu interneta platformu piedāvātās iespējas un potenciālās problēmas, kas saistītas ar šo datu apkopošanu un analizēšanu.</w:t>
      </w:r>
    </w:p>
    <w:p w14:paraId="223FBB07" w14:textId="45B75D57" w:rsidR="00990464" w:rsidRPr="00990464" w:rsidRDefault="00990464" w:rsidP="00E131F0">
      <w:pPr>
        <w:ind w:firstLine="426"/>
        <w:jc w:val="both"/>
        <w:rPr>
          <w:rFonts w:cs="Times New Roman"/>
          <w:sz w:val="24"/>
          <w:szCs w:val="24"/>
        </w:rPr>
      </w:pPr>
      <w:r>
        <w:rPr>
          <w:rFonts w:cs="Times New Roman"/>
          <w:sz w:val="24"/>
          <w:szCs w:val="24"/>
        </w:rPr>
        <w:t>Savukārt vērtējot esošo rezultatīvo rādīt</w:t>
      </w:r>
      <w:r w:rsidR="00C9565D">
        <w:rPr>
          <w:rFonts w:cs="Times New Roman"/>
          <w:sz w:val="24"/>
          <w:szCs w:val="24"/>
        </w:rPr>
        <w:t xml:space="preserve">āju izpildi, </w:t>
      </w:r>
      <w:r w:rsidR="00C9565D" w:rsidRPr="00C9565D">
        <w:rPr>
          <w:rFonts w:cs="Times New Roman"/>
          <w:b/>
          <w:sz w:val="24"/>
          <w:szCs w:val="24"/>
        </w:rPr>
        <w:t xml:space="preserve">rezultatīvā rādītāja “Vidējā izmitināšanas mītņu noslodze (gultas vietu noslogojums) ārpus noslogotākās vasaras sezonas (izņemot jūn.-aug.)” </w:t>
      </w:r>
      <w:r w:rsidR="00D16AFA">
        <w:rPr>
          <w:rFonts w:cs="Times New Roman"/>
          <w:b/>
          <w:sz w:val="24"/>
          <w:szCs w:val="24"/>
        </w:rPr>
        <w:t xml:space="preserve">šobrīd rādītāja </w:t>
      </w:r>
      <w:r w:rsidR="00C9565D" w:rsidRPr="00C9565D">
        <w:rPr>
          <w:rFonts w:cs="Times New Roman"/>
          <w:b/>
          <w:sz w:val="24"/>
          <w:szCs w:val="24"/>
        </w:rPr>
        <w:t>pārvērtēšana turpmākajam Pamatnostādņu periodam (2017.-20</w:t>
      </w:r>
      <w:r w:rsidR="00C9565D">
        <w:rPr>
          <w:rFonts w:cs="Times New Roman"/>
          <w:b/>
          <w:sz w:val="24"/>
          <w:szCs w:val="24"/>
        </w:rPr>
        <w:t>18</w:t>
      </w:r>
      <w:r w:rsidR="00C9565D" w:rsidRPr="00C9565D">
        <w:rPr>
          <w:rFonts w:cs="Times New Roman"/>
          <w:b/>
          <w:sz w:val="24"/>
          <w:szCs w:val="24"/>
        </w:rPr>
        <w:t>.) nav nepieciešama</w:t>
      </w:r>
      <w:r w:rsidR="00C9565D">
        <w:rPr>
          <w:rFonts w:cs="Times New Roman"/>
          <w:sz w:val="24"/>
          <w:szCs w:val="24"/>
        </w:rPr>
        <w:t>. Vienlaikus jānorāda, ka minētais rezultatīvais rādītājs ir ļoti jūtīgs un svārstīgs; to ļoti būtiski ietekmē gan naktsmītņu, gan tūristu skaits, kā arī sadarbības ekonomikas popularitāt</w:t>
      </w:r>
      <w:r w:rsidR="00D16AFA">
        <w:rPr>
          <w:rFonts w:cs="Times New Roman"/>
          <w:sz w:val="24"/>
          <w:szCs w:val="24"/>
        </w:rPr>
        <w:t>e</w:t>
      </w:r>
      <w:r w:rsidR="00C9565D">
        <w:rPr>
          <w:rFonts w:cs="Times New Roman"/>
          <w:sz w:val="24"/>
          <w:szCs w:val="24"/>
        </w:rPr>
        <w:t xml:space="preserve">s pieaugums, tādēļ noteikti nepieciešams šo rādītāju </w:t>
      </w:r>
      <w:r w:rsidR="009519D9">
        <w:rPr>
          <w:rFonts w:cs="Times New Roman"/>
          <w:sz w:val="24"/>
          <w:szCs w:val="24"/>
        </w:rPr>
        <w:t xml:space="preserve">atkārtoti </w:t>
      </w:r>
      <w:r w:rsidR="00172631">
        <w:rPr>
          <w:rFonts w:cs="Times New Roman"/>
          <w:sz w:val="24"/>
          <w:szCs w:val="24"/>
        </w:rPr>
        <w:t>vērtēt Pamatnostādņu gala novērtējumā.</w:t>
      </w:r>
    </w:p>
    <w:p w14:paraId="0766CED0" w14:textId="5543CA82" w:rsidR="006F2F38" w:rsidRDefault="006F2F38" w:rsidP="00ED1DCC">
      <w:pPr>
        <w:jc w:val="both"/>
        <w:rPr>
          <w:sz w:val="24"/>
          <w:szCs w:val="24"/>
        </w:rPr>
      </w:pPr>
    </w:p>
    <w:p w14:paraId="6C98E3EB" w14:textId="2090A461" w:rsidR="006F2F38" w:rsidRDefault="006F2F38" w:rsidP="006F2F38">
      <w:pPr>
        <w:pStyle w:val="Heading2"/>
        <w:shd w:val="clear" w:color="auto" w:fill="1DA0A7"/>
        <w:rPr>
          <w:szCs w:val="24"/>
        </w:rPr>
      </w:pPr>
      <w:bookmarkStart w:id="14" w:name="_Toc500423595"/>
      <w:r w:rsidRPr="009E53C0">
        <w:rPr>
          <w:b/>
          <w:color w:val="FFFFFF" w:themeColor="background1"/>
        </w:rPr>
        <w:t xml:space="preserve">2.3. </w:t>
      </w:r>
      <w:r w:rsidRPr="006F2F38">
        <w:rPr>
          <w:b/>
          <w:color w:val="FFFFFF" w:themeColor="background1"/>
        </w:rPr>
        <w:t>Viena ārvalstu vairākdienu ceļotāja vidējo izdevumu diennaktī pieaugums.</w:t>
      </w:r>
      <w:bookmarkEnd w:id="14"/>
    </w:p>
    <w:p w14:paraId="5C07A354" w14:textId="77777777" w:rsidR="006F2F38" w:rsidRPr="002D4C5F" w:rsidRDefault="006F2F38" w:rsidP="007111B1">
      <w:pPr>
        <w:ind w:firstLine="720"/>
        <w:jc w:val="both"/>
        <w:rPr>
          <w:sz w:val="10"/>
          <w:szCs w:val="24"/>
        </w:rPr>
      </w:pPr>
    </w:p>
    <w:p w14:paraId="1A5BD46A" w14:textId="6AB48B82" w:rsidR="006F2F38" w:rsidRDefault="002D4C5F" w:rsidP="007111B1">
      <w:pPr>
        <w:ind w:firstLine="720"/>
        <w:jc w:val="both"/>
        <w:rPr>
          <w:sz w:val="24"/>
          <w:szCs w:val="24"/>
        </w:rPr>
      </w:pPr>
      <w:r>
        <w:rPr>
          <w:sz w:val="24"/>
          <w:szCs w:val="24"/>
        </w:rPr>
        <w:t>Vērtējot rezultatīvā rādītāja “</w:t>
      </w:r>
      <w:r w:rsidRPr="002D4C5F">
        <w:rPr>
          <w:sz w:val="24"/>
          <w:szCs w:val="24"/>
        </w:rPr>
        <w:t>Viena ārvalstu vairākdienu ceļotāja vidējie izdevumi diennaktī, EUR</w:t>
      </w:r>
      <w:r>
        <w:rPr>
          <w:sz w:val="24"/>
          <w:szCs w:val="24"/>
        </w:rPr>
        <w:t xml:space="preserve">” izpildi, jāsecina, ka reālā situācija atrodas tālu no plānotās. Ir vērojama lejupejoša tendence rādītāja izpildē un 2016.gadā ir izpildīts tikai </w:t>
      </w:r>
      <w:r w:rsidR="005A3CAF">
        <w:rPr>
          <w:sz w:val="24"/>
          <w:szCs w:val="24"/>
        </w:rPr>
        <w:t>64</w:t>
      </w:r>
      <w:r>
        <w:rPr>
          <w:sz w:val="24"/>
          <w:szCs w:val="24"/>
        </w:rPr>
        <w:t>% no plānotā.</w:t>
      </w:r>
    </w:p>
    <w:p w14:paraId="735CD634" w14:textId="77777777" w:rsidR="002D4C5F" w:rsidRPr="003E7833" w:rsidRDefault="002D4C5F" w:rsidP="007111B1">
      <w:pPr>
        <w:ind w:firstLine="720"/>
        <w:jc w:val="both"/>
        <w:rPr>
          <w:sz w:val="16"/>
          <w:szCs w:val="24"/>
        </w:rPr>
      </w:pPr>
    </w:p>
    <w:p w14:paraId="17EAC07B" w14:textId="2ACC6597" w:rsidR="00D84A26" w:rsidRDefault="00D84A26" w:rsidP="00D84A26">
      <w:pPr>
        <w:jc w:val="center"/>
        <w:rPr>
          <w:sz w:val="24"/>
          <w:szCs w:val="24"/>
        </w:rPr>
      </w:pPr>
      <w:r>
        <w:rPr>
          <w:noProof/>
          <w:lang w:eastAsia="lv-LV"/>
        </w:rPr>
        <w:drawing>
          <wp:inline distT="0" distB="0" distL="0" distR="0" wp14:anchorId="7E6220E7" wp14:editId="22D28A37">
            <wp:extent cx="5432425" cy="2606634"/>
            <wp:effectExtent l="0" t="0" r="15875" b="3810"/>
            <wp:docPr id="4" name="Chart 4">
              <a:extLst xmlns:a="http://schemas.openxmlformats.org/drawingml/2006/main">
                <a:ext uri="{FF2B5EF4-FFF2-40B4-BE49-F238E27FC236}">
                  <a16:creationId xmlns:a16="http://schemas.microsoft.com/office/drawing/2014/main" id="{0A14381D-F252-46D3-9455-6BAC2182025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FDB8EF1" w14:textId="77777777" w:rsidR="001C466B" w:rsidRDefault="001C466B" w:rsidP="001C466B">
      <w:pPr>
        <w:ind w:firstLine="720"/>
        <w:jc w:val="both"/>
        <w:rPr>
          <w:sz w:val="24"/>
          <w:szCs w:val="24"/>
        </w:rPr>
      </w:pPr>
    </w:p>
    <w:p w14:paraId="437D295D" w14:textId="489A803C" w:rsidR="001C466B" w:rsidRPr="001C466B" w:rsidRDefault="001C466B" w:rsidP="002D4C5F">
      <w:pPr>
        <w:ind w:firstLine="720"/>
        <w:jc w:val="both"/>
        <w:rPr>
          <w:sz w:val="24"/>
          <w:szCs w:val="24"/>
        </w:rPr>
      </w:pPr>
      <w:r w:rsidRPr="001C466B">
        <w:rPr>
          <w:sz w:val="24"/>
          <w:szCs w:val="24"/>
        </w:rPr>
        <w:t>Ceļotāju izdevumi sastāv no preču un pakalpojumu vērtības, ko ceļotāji izmanto brauciena sagatavošanā (avansa maksājumi) un ceļojuma laikā.</w:t>
      </w:r>
      <w:r w:rsidR="00F16E9C">
        <w:rPr>
          <w:sz w:val="24"/>
          <w:szCs w:val="24"/>
        </w:rPr>
        <w:t xml:space="preserve"> </w:t>
      </w:r>
      <w:r w:rsidRPr="001C466B">
        <w:rPr>
          <w:sz w:val="24"/>
          <w:szCs w:val="24"/>
        </w:rPr>
        <w:t>Ceļotāju izdevumos neiekļauj: kapitālieguldījumus vai darījumus, kas attiecas uz zemi, ēkām, nekustamo īpašumu, mākslas darbiem. Ārvalstu ceļotāju izdevumos neiekļauj arī izdevumus turpceļam un atpakaļceļam.</w:t>
      </w:r>
      <w:r w:rsidR="002D4C5F">
        <w:rPr>
          <w:sz w:val="24"/>
          <w:szCs w:val="24"/>
        </w:rPr>
        <w:t xml:space="preserve"> </w:t>
      </w:r>
      <w:r w:rsidRPr="001C466B">
        <w:rPr>
          <w:sz w:val="24"/>
          <w:szCs w:val="24"/>
        </w:rPr>
        <w:t xml:space="preserve">Ja ceļojums veikts </w:t>
      </w:r>
      <w:r w:rsidRPr="001C466B">
        <w:rPr>
          <w:sz w:val="24"/>
          <w:szCs w:val="24"/>
        </w:rPr>
        <w:lastRenderedPageBreak/>
        <w:t>mācību nolūkos, tad nav jāiekļauj izdevumi, kurus sedz ar studiju zemē nopelnīto naudu vai arī no saņemtās stipendijas, vai citiem maksājumiem, kuri ir saņemti uzturēšanās vietā.</w:t>
      </w:r>
    </w:p>
    <w:p w14:paraId="612EF941" w14:textId="3415FA5B" w:rsidR="00ED5874" w:rsidRDefault="00ED5874" w:rsidP="00ED5874">
      <w:pPr>
        <w:ind w:firstLine="720"/>
        <w:jc w:val="both"/>
        <w:rPr>
          <w:sz w:val="24"/>
          <w:szCs w:val="24"/>
        </w:rPr>
      </w:pPr>
      <w:r>
        <w:rPr>
          <w:sz w:val="24"/>
          <w:szCs w:val="24"/>
        </w:rPr>
        <w:t xml:space="preserve">Vērtējot pēc viena tūrista vidējiem izdevumiem diennaktī, visvairāk tērē Skandināvu tūristi, mazāk tērē kaimiņvalstu tūristi. Vidējais viena tūrista vidējie izdevumi ir 54 EUR dienā. </w:t>
      </w:r>
    </w:p>
    <w:p w14:paraId="4A323AAB" w14:textId="77777777" w:rsidR="00172631" w:rsidRDefault="00172631" w:rsidP="00ED5874">
      <w:pPr>
        <w:ind w:firstLine="720"/>
        <w:jc w:val="both"/>
        <w:rPr>
          <w:sz w:val="24"/>
          <w:szCs w:val="24"/>
        </w:rPr>
      </w:pPr>
    </w:p>
    <w:p w14:paraId="621D1FDB" w14:textId="77777777" w:rsidR="00ED5874" w:rsidRDefault="00ED5874" w:rsidP="00ED5874">
      <w:pPr>
        <w:ind w:firstLine="720"/>
        <w:jc w:val="both"/>
        <w:rPr>
          <w:sz w:val="24"/>
          <w:szCs w:val="24"/>
        </w:rPr>
      </w:pPr>
      <w:r>
        <w:rPr>
          <w:noProof/>
          <w:lang w:eastAsia="lv-LV"/>
        </w:rPr>
        <w:drawing>
          <wp:inline distT="0" distB="0" distL="0" distR="0" wp14:anchorId="125C0E52" wp14:editId="2F9F5A6C">
            <wp:extent cx="4674413" cy="1806854"/>
            <wp:effectExtent l="0" t="0" r="12065" b="3175"/>
            <wp:docPr id="16" name="Chart 16">
              <a:extLst xmlns:a="http://schemas.openxmlformats.org/drawingml/2006/main">
                <a:ext uri="{FF2B5EF4-FFF2-40B4-BE49-F238E27FC236}">
                  <a16:creationId xmlns:a16="http://schemas.microsoft.com/office/drawing/2014/main" id="{1C1F757B-BB8F-4E39-98FB-F6D0A6A30C2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D8CA3FA" w14:textId="77777777" w:rsidR="00ED5874" w:rsidRDefault="00ED5874" w:rsidP="009519D9">
      <w:pPr>
        <w:ind w:firstLine="720"/>
        <w:jc w:val="both"/>
        <w:rPr>
          <w:sz w:val="24"/>
          <w:szCs w:val="24"/>
        </w:rPr>
      </w:pPr>
    </w:p>
    <w:p w14:paraId="3A4BDE00" w14:textId="0CAB3DC4" w:rsidR="00634501" w:rsidRDefault="002D4C5F" w:rsidP="009519D9">
      <w:pPr>
        <w:ind w:firstLine="720"/>
        <w:jc w:val="both"/>
        <w:rPr>
          <w:sz w:val="24"/>
          <w:szCs w:val="24"/>
        </w:rPr>
      </w:pPr>
      <w:r>
        <w:rPr>
          <w:sz w:val="24"/>
          <w:szCs w:val="24"/>
        </w:rPr>
        <w:t xml:space="preserve">Ņemot vērā minēto, ir jāsecina, ka </w:t>
      </w:r>
      <w:r w:rsidR="005A3FB4">
        <w:rPr>
          <w:sz w:val="24"/>
          <w:szCs w:val="24"/>
        </w:rPr>
        <w:t xml:space="preserve">vidējo </w:t>
      </w:r>
      <w:r>
        <w:rPr>
          <w:sz w:val="24"/>
          <w:szCs w:val="24"/>
        </w:rPr>
        <w:t xml:space="preserve">ceļotāju tēriņu apjomu </w:t>
      </w:r>
      <w:r w:rsidR="005A3FB4">
        <w:rPr>
          <w:sz w:val="24"/>
          <w:szCs w:val="24"/>
        </w:rPr>
        <w:t xml:space="preserve">diennaktī </w:t>
      </w:r>
      <w:r>
        <w:rPr>
          <w:sz w:val="24"/>
          <w:szCs w:val="24"/>
        </w:rPr>
        <w:t>Latvijā ietekmē vair</w:t>
      </w:r>
      <w:r w:rsidR="005A3FB4">
        <w:rPr>
          <w:sz w:val="24"/>
          <w:szCs w:val="24"/>
        </w:rPr>
        <w:t xml:space="preserve">āki faktori. </w:t>
      </w:r>
      <w:r w:rsidR="00634501">
        <w:rPr>
          <w:sz w:val="24"/>
          <w:szCs w:val="24"/>
        </w:rPr>
        <w:t xml:space="preserve">Pirmkārt ir </w:t>
      </w:r>
      <w:r w:rsidR="00634501" w:rsidRPr="00634501">
        <w:rPr>
          <w:b/>
          <w:sz w:val="24"/>
          <w:szCs w:val="24"/>
        </w:rPr>
        <w:t>ievērojami pieaudzis vairākdienu ceļotāju vidējās uzturēšanās ilgums Latvijā</w:t>
      </w:r>
      <w:r w:rsidR="00634501">
        <w:rPr>
          <w:sz w:val="24"/>
          <w:szCs w:val="24"/>
        </w:rPr>
        <w:t>, kas ir viens no tūrisma politikas mērķiem – paildzināt tūristu uzturēšanos Latvijā. Vienlaikus nav pieaudzis kopējais budžets, ko tūrists ir atvēlējis tērēt Latvijā. L</w:t>
      </w:r>
      <w:r w:rsidR="009519D9">
        <w:rPr>
          <w:sz w:val="24"/>
          <w:szCs w:val="24"/>
        </w:rPr>
        <w:t>īdz ar to, statistiski rēķinot rādītāju, tūrista izdevumi dalās ar lielāku dienu skaitu un attiecīgi tiek tērēts mazāk vienas dienas ietvaros.</w:t>
      </w:r>
    </w:p>
    <w:p w14:paraId="206D445F" w14:textId="77777777" w:rsidR="00ED5874" w:rsidRDefault="00ED5874" w:rsidP="009519D9">
      <w:pPr>
        <w:ind w:firstLine="720"/>
        <w:jc w:val="both"/>
        <w:rPr>
          <w:sz w:val="24"/>
          <w:szCs w:val="24"/>
        </w:rPr>
      </w:pPr>
    </w:p>
    <w:p w14:paraId="5524CBD2" w14:textId="6E9ABCE3" w:rsidR="00634501" w:rsidRDefault="00C31BCE" w:rsidP="00634501">
      <w:pPr>
        <w:jc w:val="center"/>
        <w:rPr>
          <w:sz w:val="24"/>
          <w:szCs w:val="24"/>
        </w:rPr>
      </w:pPr>
      <w:r w:rsidRPr="00C31BCE">
        <w:rPr>
          <w:noProof/>
          <w:color w:val="FF0000"/>
          <w:lang w:eastAsia="lv-LV"/>
        </w:rPr>
        <w:drawing>
          <wp:inline distT="0" distB="0" distL="0" distR="0" wp14:anchorId="414D44C1" wp14:editId="57971569">
            <wp:extent cx="5339715" cy="1784908"/>
            <wp:effectExtent l="0" t="0" r="13335" b="6350"/>
            <wp:docPr id="17" name="Chart 17">
              <a:extLst xmlns:a="http://schemas.openxmlformats.org/drawingml/2006/main">
                <a:ext uri="{FF2B5EF4-FFF2-40B4-BE49-F238E27FC236}">
                  <a16:creationId xmlns:a16="http://schemas.microsoft.com/office/drawing/2014/main" id="{949F3576-0E41-4296-A40A-8AD36B264D5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E229B96" w14:textId="77777777" w:rsidR="00634501" w:rsidRDefault="00634501" w:rsidP="005A3FB4">
      <w:pPr>
        <w:ind w:firstLine="720"/>
        <w:jc w:val="both"/>
        <w:rPr>
          <w:sz w:val="24"/>
          <w:szCs w:val="24"/>
        </w:rPr>
      </w:pPr>
    </w:p>
    <w:p w14:paraId="1548D3EB" w14:textId="1C6B3DCA" w:rsidR="005A3FB4" w:rsidRDefault="00634501" w:rsidP="005A3FB4">
      <w:pPr>
        <w:ind w:firstLine="720"/>
        <w:jc w:val="both"/>
        <w:rPr>
          <w:rFonts w:ascii="12" w:hAnsi="12"/>
          <w:sz w:val="24"/>
          <w:szCs w:val="24"/>
        </w:rPr>
      </w:pPr>
      <w:r>
        <w:rPr>
          <w:sz w:val="24"/>
          <w:szCs w:val="24"/>
        </w:rPr>
        <w:t>Otrkārt</w:t>
      </w:r>
      <w:r w:rsidR="005A3FB4">
        <w:rPr>
          <w:sz w:val="24"/>
          <w:szCs w:val="24"/>
        </w:rPr>
        <w:t xml:space="preserve">, </w:t>
      </w:r>
      <w:r w:rsidR="002D4C5F" w:rsidRPr="009519D9">
        <w:rPr>
          <w:rFonts w:ascii="12" w:hAnsi="12"/>
          <w:b/>
          <w:sz w:val="24"/>
          <w:szCs w:val="24"/>
        </w:rPr>
        <w:t>Krievijas rubļa svārstības nestabilās ģeopolitiskās situācijas</w:t>
      </w:r>
      <w:r w:rsidR="002D4C5F" w:rsidRPr="005A3FB4">
        <w:rPr>
          <w:rFonts w:ascii="12" w:hAnsi="12"/>
          <w:sz w:val="24"/>
          <w:szCs w:val="24"/>
        </w:rPr>
        <w:t xml:space="preserve"> rezultātā ir padarījušas Latvijas tūrisma piedāvāju</w:t>
      </w:r>
      <w:r w:rsidR="0095408B" w:rsidRPr="005A3FB4">
        <w:rPr>
          <w:rFonts w:ascii="12" w:hAnsi="12"/>
          <w:sz w:val="24"/>
          <w:szCs w:val="24"/>
        </w:rPr>
        <w:t>mu</w:t>
      </w:r>
      <w:r w:rsidR="002D4C5F" w:rsidRPr="005A3FB4">
        <w:rPr>
          <w:rFonts w:ascii="12" w:hAnsi="12"/>
          <w:sz w:val="24"/>
          <w:szCs w:val="24"/>
        </w:rPr>
        <w:t xml:space="preserve"> dārgu un nepieejamu vidējam Krievijas tūristam. Līdz ar to, ne tikai ir ievērojami samazinājies Krievijas tūristu skaits Latvijā, bet ir samazinājušies arī šo tūristu iz</w:t>
      </w:r>
      <w:r>
        <w:rPr>
          <w:rFonts w:ascii="12" w:hAnsi="12"/>
          <w:sz w:val="24"/>
          <w:szCs w:val="24"/>
        </w:rPr>
        <w:t xml:space="preserve">devumi, tiem atrodoties Latvijā. </w:t>
      </w:r>
    </w:p>
    <w:p w14:paraId="592E3C62" w14:textId="77777777" w:rsidR="00ED5874" w:rsidRDefault="00ED5874" w:rsidP="005A3FB4">
      <w:pPr>
        <w:ind w:firstLine="720"/>
        <w:jc w:val="both"/>
        <w:rPr>
          <w:rFonts w:ascii="12" w:hAnsi="12"/>
          <w:sz w:val="24"/>
          <w:szCs w:val="24"/>
        </w:rPr>
      </w:pPr>
    </w:p>
    <w:p w14:paraId="3A0BD247" w14:textId="1EFDAB8D" w:rsidR="009F69B7" w:rsidRDefault="009F69B7" w:rsidP="009F69B7">
      <w:pPr>
        <w:jc w:val="center"/>
        <w:rPr>
          <w:sz w:val="24"/>
          <w:szCs w:val="24"/>
        </w:rPr>
      </w:pPr>
      <w:r>
        <w:rPr>
          <w:noProof/>
          <w:lang w:eastAsia="lv-LV"/>
        </w:rPr>
        <w:drawing>
          <wp:inline distT="0" distB="0" distL="0" distR="0" wp14:anchorId="04AAFDD1" wp14:editId="453D1D69">
            <wp:extent cx="4388840" cy="1975104"/>
            <wp:effectExtent l="0" t="0" r="12065" b="6350"/>
            <wp:docPr id="13" name="Chart 13">
              <a:extLst xmlns:a="http://schemas.openxmlformats.org/drawingml/2006/main">
                <a:ext uri="{FF2B5EF4-FFF2-40B4-BE49-F238E27FC236}">
                  <a16:creationId xmlns:a16="http://schemas.microsoft.com/office/drawing/2014/main" id="{A3767C14-B700-4565-8373-53B0EE53125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6788F31" w14:textId="77777777" w:rsidR="009F69B7" w:rsidRDefault="009F69B7" w:rsidP="00654D88">
      <w:pPr>
        <w:ind w:firstLine="720"/>
        <w:jc w:val="both"/>
        <w:rPr>
          <w:sz w:val="24"/>
          <w:szCs w:val="24"/>
        </w:rPr>
      </w:pPr>
    </w:p>
    <w:p w14:paraId="7186F3A5" w14:textId="19DC4355" w:rsidR="005A3FB4" w:rsidRDefault="00634501" w:rsidP="00654D88">
      <w:pPr>
        <w:ind w:firstLine="720"/>
        <w:jc w:val="both"/>
        <w:rPr>
          <w:rFonts w:ascii="12" w:hAnsi="12"/>
          <w:sz w:val="24"/>
          <w:szCs w:val="24"/>
        </w:rPr>
      </w:pPr>
      <w:r>
        <w:rPr>
          <w:sz w:val="24"/>
          <w:szCs w:val="24"/>
        </w:rPr>
        <w:t>Un treškārt</w:t>
      </w:r>
      <w:r w:rsidR="005A3FB4">
        <w:rPr>
          <w:sz w:val="24"/>
          <w:szCs w:val="24"/>
        </w:rPr>
        <w:t xml:space="preserve">, </w:t>
      </w:r>
      <w:r w:rsidR="005A3FB4" w:rsidRPr="005A3FB4">
        <w:rPr>
          <w:rFonts w:ascii="12" w:hAnsi="12"/>
          <w:sz w:val="24"/>
          <w:szCs w:val="24"/>
        </w:rPr>
        <w:t xml:space="preserve">ir vērojama tendence, ka </w:t>
      </w:r>
      <w:r w:rsidR="005A3FB4" w:rsidRPr="009519D9">
        <w:rPr>
          <w:rFonts w:ascii="12" w:hAnsi="12"/>
          <w:b/>
          <w:sz w:val="24"/>
          <w:szCs w:val="24"/>
        </w:rPr>
        <w:t>samazinās ārvalstu tūristu tēriņi par naktsmītnēm</w:t>
      </w:r>
      <w:r w:rsidR="005A3FB4" w:rsidRPr="005A3FB4">
        <w:rPr>
          <w:rFonts w:ascii="12" w:hAnsi="12"/>
          <w:sz w:val="24"/>
          <w:szCs w:val="24"/>
        </w:rPr>
        <w:t xml:space="preserve"> (gan viesnīcām, gan apartamentiem), kas nozīmē, ka lielās konkurences dēļ, naktsm</w:t>
      </w:r>
      <w:r w:rsidR="000C00B2">
        <w:rPr>
          <w:rFonts w:ascii="12" w:hAnsi="12"/>
          <w:sz w:val="24"/>
          <w:szCs w:val="24"/>
        </w:rPr>
        <w:t xml:space="preserve">ītnes ir spiestas </w:t>
      </w:r>
      <w:r w:rsidR="00E876F5">
        <w:rPr>
          <w:rFonts w:ascii="12" w:hAnsi="12"/>
          <w:sz w:val="24"/>
          <w:szCs w:val="24"/>
        </w:rPr>
        <w:lastRenderedPageBreak/>
        <w:t>samazināt viesnīcu cenas</w:t>
      </w:r>
      <w:r w:rsidR="009519D9">
        <w:rPr>
          <w:rFonts w:ascii="12" w:hAnsi="12"/>
          <w:sz w:val="24"/>
          <w:szCs w:val="24"/>
        </w:rPr>
        <w:t xml:space="preserve"> (par 20% 2016.gadā)</w:t>
      </w:r>
      <w:r w:rsidR="005A3FB4" w:rsidRPr="005A3FB4">
        <w:rPr>
          <w:rFonts w:ascii="12" w:hAnsi="12"/>
          <w:sz w:val="24"/>
          <w:szCs w:val="24"/>
        </w:rPr>
        <w:t xml:space="preserve">, lai noturētu klientus. </w:t>
      </w:r>
      <w:r w:rsidR="00654D88">
        <w:rPr>
          <w:rFonts w:ascii="12" w:hAnsi="12"/>
          <w:sz w:val="24"/>
          <w:szCs w:val="24"/>
        </w:rPr>
        <w:t xml:space="preserve">Vidējais viesnīcu cenu kritums ir </w:t>
      </w:r>
      <w:r w:rsidR="005A3FB4">
        <w:rPr>
          <w:rFonts w:ascii="12" w:hAnsi="12"/>
          <w:sz w:val="24"/>
          <w:szCs w:val="24"/>
        </w:rPr>
        <w:t xml:space="preserve">vērojams arī </w:t>
      </w:r>
      <w:r w:rsidR="00E876F5">
        <w:rPr>
          <w:rFonts w:ascii="12" w:hAnsi="12"/>
          <w:sz w:val="24"/>
          <w:szCs w:val="24"/>
        </w:rPr>
        <w:t xml:space="preserve">Lietuvas un Igaunijas </w:t>
      </w:r>
      <w:r w:rsidR="005A3FB4">
        <w:rPr>
          <w:rFonts w:ascii="12" w:hAnsi="12"/>
          <w:sz w:val="24"/>
          <w:szCs w:val="24"/>
        </w:rPr>
        <w:t>naktsmītņu vidējās cen</w:t>
      </w:r>
      <w:r w:rsidR="00E876F5">
        <w:rPr>
          <w:rFonts w:ascii="12" w:hAnsi="12"/>
          <w:sz w:val="24"/>
          <w:szCs w:val="24"/>
        </w:rPr>
        <w:t xml:space="preserve">ās, līdz ar to </w:t>
      </w:r>
      <w:r w:rsidR="00654D88">
        <w:rPr>
          <w:rFonts w:ascii="12" w:hAnsi="12"/>
          <w:sz w:val="24"/>
          <w:szCs w:val="24"/>
        </w:rPr>
        <w:t>Latvija ir spiesta turēt zemas cenas ciešās konkurences ar Lietuvu un Igauniju dēļ.</w:t>
      </w:r>
      <w:r w:rsidR="001F4214">
        <w:rPr>
          <w:rFonts w:ascii="12" w:hAnsi="12"/>
          <w:sz w:val="24"/>
          <w:szCs w:val="24"/>
        </w:rPr>
        <w:t xml:space="preserve"> </w:t>
      </w:r>
    </w:p>
    <w:p w14:paraId="49BED808" w14:textId="3B2357F0" w:rsidR="00ED5874" w:rsidRDefault="00ED5874" w:rsidP="005A3FB4">
      <w:pPr>
        <w:jc w:val="center"/>
        <w:rPr>
          <w:b/>
          <w:sz w:val="24"/>
          <w:szCs w:val="24"/>
        </w:rPr>
      </w:pPr>
    </w:p>
    <w:p w14:paraId="6963285B" w14:textId="2FC8E9D2" w:rsidR="005A3FB4" w:rsidRPr="005A3FB4" w:rsidRDefault="005A3FB4" w:rsidP="005A3FB4">
      <w:pPr>
        <w:jc w:val="center"/>
        <w:rPr>
          <w:b/>
          <w:sz w:val="24"/>
          <w:szCs w:val="24"/>
        </w:rPr>
      </w:pPr>
      <w:r w:rsidRPr="005A3FB4">
        <w:rPr>
          <w:b/>
          <w:sz w:val="24"/>
          <w:szCs w:val="24"/>
        </w:rPr>
        <w:t>Viesnīcu cenu indekss</w:t>
      </w:r>
    </w:p>
    <w:tbl>
      <w:tblPr>
        <w:tblW w:w="7785" w:type="dxa"/>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0" w:type="dxa"/>
          <w:right w:w="0" w:type="dxa"/>
        </w:tblCellMar>
        <w:tblLook w:val="04A0" w:firstRow="1" w:lastRow="0" w:firstColumn="1" w:lastColumn="0" w:noHBand="0" w:noVBand="1"/>
      </w:tblPr>
      <w:tblGrid>
        <w:gridCol w:w="841"/>
        <w:gridCol w:w="1984"/>
        <w:gridCol w:w="851"/>
        <w:gridCol w:w="709"/>
        <w:gridCol w:w="850"/>
        <w:gridCol w:w="850"/>
        <w:gridCol w:w="850"/>
        <w:gridCol w:w="850"/>
      </w:tblGrid>
      <w:tr w:rsidR="005A3FB4" w:rsidRPr="005A3FB4" w14:paraId="7B97E60C" w14:textId="77777777" w:rsidTr="005A3FB4">
        <w:trPr>
          <w:trHeight w:val="578"/>
          <w:jc w:val="center"/>
        </w:trPr>
        <w:tc>
          <w:tcPr>
            <w:tcW w:w="841" w:type="dxa"/>
            <w:vMerge w:val="restart"/>
            <w:shd w:val="clear" w:color="auto" w:fill="2994A9"/>
            <w:tcMar>
              <w:top w:w="15" w:type="dxa"/>
              <w:left w:w="41" w:type="dxa"/>
              <w:bottom w:w="0" w:type="dxa"/>
              <w:right w:w="41" w:type="dxa"/>
            </w:tcMar>
            <w:vAlign w:val="center"/>
          </w:tcPr>
          <w:p w14:paraId="58F695BC" w14:textId="197B789C" w:rsidR="005A3FB4" w:rsidRPr="005A3FB4" w:rsidRDefault="005A3FB4" w:rsidP="005A3FB4">
            <w:pPr>
              <w:jc w:val="center"/>
              <w:rPr>
                <w:b/>
                <w:bCs/>
                <w:color w:val="FFFFFF" w:themeColor="background1"/>
                <w:sz w:val="20"/>
                <w:szCs w:val="24"/>
              </w:rPr>
            </w:pPr>
            <w:r w:rsidRPr="005A3FB4">
              <w:rPr>
                <w:b/>
                <w:bCs/>
                <w:color w:val="FFFFFF" w:themeColor="background1"/>
                <w:sz w:val="20"/>
                <w:szCs w:val="24"/>
              </w:rPr>
              <w:t>Indeksa gads</w:t>
            </w:r>
          </w:p>
        </w:tc>
        <w:tc>
          <w:tcPr>
            <w:tcW w:w="1984" w:type="dxa"/>
            <w:vMerge w:val="restart"/>
            <w:shd w:val="clear" w:color="auto" w:fill="2994A9"/>
            <w:tcMar>
              <w:top w:w="15" w:type="dxa"/>
              <w:left w:w="41" w:type="dxa"/>
              <w:bottom w:w="0" w:type="dxa"/>
              <w:right w:w="41" w:type="dxa"/>
            </w:tcMar>
            <w:vAlign w:val="center"/>
          </w:tcPr>
          <w:p w14:paraId="06DB2079" w14:textId="2C5B8130" w:rsidR="005A3FB4" w:rsidRPr="005A3FB4" w:rsidRDefault="005A3FB4" w:rsidP="005A3FB4">
            <w:pPr>
              <w:jc w:val="center"/>
              <w:rPr>
                <w:b/>
                <w:bCs/>
                <w:color w:val="FFFFFF" w:themeColor="background1"/>
                <w:sz w:val="20"/>
                <w:szCs w:val="24"/>
              </w:rPr>
            </w:pPr>
            <w:r w:rsidRPr="005A3FB4">
              <w:rPr>
                <w:b/>
                <w:bCs/>
                <w:color w:val="FFFFFF" w:themeColor="background1"/>
                <w:sz w:val="20"/>
                <w:szCs w:val="24"/>
              </w:rPr>
              <w:t>Dati par laika periodu</w:t>
            </w:r>
          </w:p>
        </w:tc>
        <w:tc>
          <w:tcPr>
            <w:tcW w:w="2410" w:type="dxa"/>
            <w:gridSpan w:val="3"/>
            <w:shd w:val="clear" w:color="auto" w:fill="2994A9"/>
            <w:tcMar>
              <w:top w:w="15" w:type="dxa"/>
              <w:left w:w="41" w:type="dxa"/>
              <w:bottom w:w="0" w:type="dxa"/>
              <w:right w:w="41" w:type="dxa"/>
            </w:tcMar>
            <w:vAlign w:val="center"/>
          </w:tcPr>
          <w:p w14:paraId="6F59753C" w14:textId="7BBC3E9C" w:rsidR="005A3FB4" w:rsidRPr="005A3FB4" w:rsidRDefault="005A3FB4" w:rsidP="005A3FB4">
            <w:pPr>
              <w:jc w:val="center"/>
              <w:rPr>
                <w:b/>
                <w:bCs/>
                <w:color w:val="FFFFFF" w:themeColor="background1"/>
                <w:sz w:val="20"/>
                <w:szCs w:val="24"/>
              </w:rPr>
            </w:pPr>
            <w:r w:rsidRPr="005A3FB4">
              <w:rPr>
                <w:b/>
                <w:bCs/>
                <w:color w:val="FFFFFF" w:themeColor="background1"/>
                <w:sz w:val="20"/>
                <w:szCs w:val="24"/>
              </w:rPr>
              <w:t>Vidējās cenas, EUR</w:t>
            </w:r>
          </w:p>
        </w:tc>
        <w:tc>
          <w:tcPr>
            <w:tcW w:w="2550" w:type="dxa"/>
            <w:gridSpan w:val="3"/>
            <w:shd w:val="clear" w:color="auto" w:fill="2994A9"/>
            <w:vAlign w:val="center"/>
          </w:tcPr>
          <w:p w14:paraId="56043CA8" w14:textId="455E8F0A" w:rsidR="005A3FB4" w:rsidRPr="005A3FB4" w:rsidRDefault="005A3FB4" w:rsidP="005A3FB4">
            <w:pPr>
              <w:jc w:val="center"/>
              <w:rPr>
                <w:b/>
                <w:bCs/>
                <w:color w:val="FFFFFF" w:themeColor="background1"/>
                <w:sz w:val="20"/>
                <w:szCs w:val="24"/>
              </w:rPr>
            </w:pPr>
            <w:r w:rsidRPr="005A3FB4">
              <w:rPr>
                <w:b/>
                <w:bCs/>
                <w:color w:val="FFFFFF" w:themeColor="background1"/>
                <w:sz w:val="20"/>
                <w:szCs w:val="24"/>
              </w:rPr>
              <w:t>Rangs</w:t>
            </w:r>
          </w:p>
        </w:tc>
      </w:tr>
      <w:tr w:rsidR="005A3FB4" w:rsidRPr="005A3FB4" w14:paraId="19E74F74" w14:textId="531BCC3C" w:rsidTr="005A3FB4">
        <w:trPr>
          <w:trHeight w:val="578"/>
          <w:jc w:val="center"/>
        </w:trPr>
        <w:tc>
          <w:tcPr>
            <w:tcW w:w="841" w:type="dxa"/>
            <w:vMerge/>
            <w:shd w:val="clear" w:color="auto" w:fill="2994A9"/>
            <w:tcMar>
              <w:top w:w="15" w:type="dxa"/>
              <w:left w:w="41" w:type="dxa"/>
              <w:bottom w:w="0" w:type="dxa"/>
              <w:right w:w="41" w:type="dxa"/>
            </w:tcMar>
            <w:vAlign w:val="center"/>
            <w:hideMark/>
          </w:tcPr>
          <w:p w14:paraId="6171A365" w14:textId="52BF8C70" w:rsidR="005A3FB4" w:rsidRPr="005A3FB4" w:rsidRDefault="005A3FB4" w:rsidP="005A3FB4">
            <w:pPr>
              <w:jc w:val="center"/>
              <w:rPr>
                <w:color w:val="FFFFFF" w:themeColor="background1"/>
                <w:sz w:val="20"/>
                <w:szCs w:val="24"/>
              </w:rPr>
            </w:pPr>
          </w:p>
        </w:tc>
        <w:tc>
          <w:tcPr>
            <w:tcW w:w="1984" w:type="dxa"/>
            <w:vMerge/>
            <w:shd w:val="clear" w:color="auto" w:fill="2994A9"/>
            <w:tcMar>
              <w:top w:w="15" w:type="dxa"/>
              <w:left w:w="41" w:type="dxa"/>
              <w:bottom w:w="0" w:type="dxa"/>
              <w:right w:w="41" w:type="dxa"/>
            </w:tcMar>
            <w:vAlign w:val="center"/>
            <w:hideMark/>
          </w:tcPr>
          <w:p w14:paraId="5F9654F2" w14:textId="69ACFC64" w:rsidR="005A3FB4" w:rsidRPr="005A3FB4" w:rsidRDefault="005A3FB4" w:rsidP="005A3FB4">
            <w:pPr>
              <w:jc w:val="center"/>
              <w:rPr>
                <w:color w:val="FFFFFF" w:themeColor="background1"/>
                <w:sz w:val="20"/>
                <w:szCs w:val="24"/>
              </w:rPr>
            </w:pPr>
          </w:p>
        </w:tc>
        <w:tc>
          <w:tcPr>
            <w:tcW w:w="851" w:type="dxa"/>
            <w:shd w:val="clear" w:color="auto" w:fill="2994A9"/>
            <w:tcMar>
              <w:top w:w="15" w:type="dxa"/>
              <w:left w:w="41" w:type="dxa"/>
              <w:bottom w:w="0" w:type="dxa"/>
              <w:right w:w="41" w:type="dxa"/>
            </w:tcMar>
            <w:vAlign w:val="center"/>
            <w:hideMark/>
          </w:tcPr>
          <w:p w14:paraId="2545C067" w14:textId="77777777" w:rsidR="005A3FB4" w:rsidRPr="005A3FB4" w:rsidRDefault="005A3FB4" w:rsidP="005A3FB4">
            <w:pPr>
              <w:jc w:val="center"/>
              <w:rPr>
                <w:color w:val="FFFFFF" w:themeColor="background1"/>
                <w:sz w:val="20"/>
                <w:szCs w:val="24"/>
              </w:rPr>
            </w:pPr>
            <w:r w:rsidRPr="005A3FB4">
              <w:rPr>
                <w:b/>
                <w:bCs/>
                <w:color w:val="FFFFFF" w:themeColor="background1"/>
                <w:sz w:val="20"/>
                <w:szCs w:val="24"/>
              </w:rPr>
              <w:t>Igaunija</w:t>
            </w:r>
          </w:p>
        </w:tc>
        <w:tc>
          <w:tcPr>
            <w:tcW w:w="709" w:type="dxa"/>
            <w:shd w:val="clear" w:color="auto" w:fill="2994A9"/>
            <w:tcMar>
              <w:top w:w="15" w:type="dxa"/>
              <w:left w:w="41" w:type="dxa"/>
              <w:bottom w:w="0" w:type="dxa"/>
              <w:right w:w="41" w:type="dxa"/>
            </w:tcMar>
            <w:vAlign w:val="center"/>
            <w:hideMark/>
          </w:tcPr>
          <w:p w14:paraId="7FF2E5E3" w14:textId="77777777" w:rsidR="005A3FB4" w:rsidRPr="005A3FB4" w:rsidRDefault="005A3FB4" w:rsidP="005A3FB4">
            <w:pPr>
              <w:jc w:val="center"/>
              <w:rPr>
                <w:color w:val="FFFFFF" w:themeColor="background1"/>
                <w:sz w:val="20"/>
                <w:szCs w:val="24"/>
              </w:rPr>
            </w:pPr>
            <w:r w:rsidRPr="005A3FB4">
              <w:rPr>
                <w:b/>
                <w:bCs/>
                <w:color w:val="FFFFFF" w:themeColor="background1"/>
                <w:sz w:val="20"/>
                <w:szCs w:val="24"/>
              </w:rPr>
              <w:t>Latvija</w:t>
            </w:r>
          </w:p>
        </w:tc>
        <w:tc>
          <w:tcPr>
            <w:tcW w:w="850" w:type="dxa"/>
            <w:shd w:val="clear" w:color="auto" w:fill="2994A9"/>
            <w:tcMar>
              <w:top w:w="15" w:type="dxa"/>
              <w:left w:w="41" w:type="dxa"/>
              <w:bottom w:w="0" w:type="dxa"/>
              <w:right w:w="41" w:type="dxa"/>
            </w:tcMar>
            <w:vAlign w:val="center"/>
            <w:hideMark/>
          </w:tcPr>
          <w:p w14:paraId="246A37B1" w14:textId="77777777" w:rsidR="005A3FB4" w:rsidRPr="005A3FB4" w:rsidRDefault="005A3FB4" w:rsidP="005A3FB4">
            <w:pPr>
              <w:jc w:val="center"/>
              <w:rPr>
                <w:color w:val="FFFFFF" w:themeColor="background1"/>
                <w:sz w:val="20"/>
                <w:szCs w:val="24"/>
              </w:rPr>
            </w:pPr>
            <w:r w:rsidRPr="005A3FB4">
              <w:rPr>
                <w:b/>
                <w:bCs/>
                <w:color w:val="FFFFFF" w:themeColor="background1"/>
                <w:sz w:val="20"/>
                <w:szCs w:val="24"/>
              </w:rPr>
              <w:t>Lietuva</w:t>
            </w:r>
          </w:p>
        </w:tc>
        <w:tc>
          <w:tcPr>
            <w:tcW w:w="850" w:type="dxa"/>
            <w:shd w:val="clear" w:color="auto" w:fill="2994A9"/>
            <w:vAlign w:val="center"/>
          </w:tcPr>
          <w:p w14:paraId="17BDFB16" w14:textId="11E02756" w:rsidR="005A3FB4" w:rsidRPr="005A3FB4" w:rsidRDefault="005A3FB4" w:rsidP="005A3FB4">
            <w:pPr>
              <w:jc w:val="center"/>
              <w:rPr>
                <w:b/>
                <w:bCs/>
                <w:color w:val="FFFFFF" w:themeColor="background1"/>
                <w:sz w:val="20"/>
                <w:szCs w:val="24"/>
              </w:rPr>
            </w:pPr>
            <w:r w:rsidRPr="005A3FB4">
              <w:rPr>
                <w:b/>
                <w:bCs/>
                <w:color w:val="FFFFFF" w:themeColor="background1"/>
                <w:sz w:val="20"/>
                <w:szCs w:val="24"/>
              </w:rPr>
              <w:t>Igaunija</w:t>
            </w:r>
          </w:p>
        </w:tc>
        <w:tc>
          <w:tcPr>
            <w:tcW w:w="850" w:type="dxa"/>
            <w:shd w:val="clear" w:color="auto" w:fill="2994A9"/>
            <w:vAlign w:val="center"/>
          </w:tcPr>
          <w:p w14:paraId="5EA50AD4" w14:textId="19202B5E" w:rsidR="005A3FB4" w:rsidRPr="005A3FB4" w:rsidRDefault="005A3FB4" w:rsidP="005A3FB4">
            <w:pPr>
              <w:jc w:val="center"/>
              <w:rPr>
                <w:b/>
                <w:bCs/>
                <w:color w:val="FFFFFF" w:themeColor="background1"/>
                <w:sz w:val="20"/>
                <w:szCs w:val="24"/>
              </w:rPr>
            </w:pPr>
            <w:r w:rsidRPr="005A3FB4">
              <w:rPr>
                <w:b/>
                <w:bCs/>
                <w:color w:val="FFFFFF" w:themeColor="background1"/>
                <w:sz w:val="20"/>
                <w:szCs w:val="24"/>
              </w:rPr>
              <w:t>Latvija</w:t>
            </w:r>
          </w:p>
        </w:tc>
        <w:tc>
          <w:tcPr>
            <w:tcW w:w="850" w:type="dxa"/>
            <w:shd w:val="clear" w:color="auto" w:fill="2994A9"/>
            <w:vAlign w:val="center"/>
          </w:tcPr>
          <w:p w14:paraId="6C76F68E" w14:textId="4F5D6796" w:rsidR="005A3FB4" w:rsidRPr="005A3FB4" w:rsidRDefault="005A3FB4" w:rsidP="005A3FB4">
            <w:pPr>
              <w:jc w:val="center"/>
              <w:rPr>
                <w:b/>
                <w:bCs/>
                <w:color w:val="FFFFFF" w:themeColor="background1"/>
                <w:sz w:val="20"/>
                <w:szCs w:val="24"/>
              </w:rPr>
            </w:pPr>
            <w:r w:rsidRPr="005A3FB4">
              <w:rPr>
                <w:b/>
                <w:bCs/>
                <w:color w:val="FFFFFF" w:themeColor="background1"/>
                <w:sz w:val="20"/>
                <w:szCs w:val="24"/>
              </w:rPr>
              <w:t>Lietuva</w:t>
            </w:r>
          </w:p>
        </w:tc>
      </w:tr>
      <w:tr w:rsidR="005A3FB4" w:rsidRPr="005A3FB4" w14:paraId="368716AB" w14:textId="2ADDA0D8" w:rsidTr="005A3FB4">
        <w:trPr>
          <w:trHeight w:val="578"/>
          <w:jc w:val="center"/>
        </w:trPr>
        <w:tc>
          <w:tcPr>
            <w:tcW w:w="841" w:type="dxa"/>
            <w:shd w:val="clear" w:color="auto" w:fill="2994A9"/>
            <w:tcMar>
              <w:top w:w="15" w:type="dxa"/>
              <w:left w:w="41" w:type="dxa"/>
              <w:bottom w:w="0" w:type="dxa"/>
              <w:right w:w="41" w:type="dxa"/>
            </w:tcMar>
            <w:vAlign w:val="center"/>
            <w:hideMark/>
          </w:tcPr>
          <w:p w14:paraId="59DFD9EC" w14:textId="77777777" w:rsidR="005A3FB4" w:rsidRPr="005A3FB4" w:rsidRDefault="005A3FB4" w:rsidP="005A3FB4">
            <w:pPr>
              <w:jc w:val="center"/>
              <w:rPr>
                <w:color w:val="FFFFFF" w:themeColor="background1"/>
                <w:sz w:val="20"/>
                <w:szCs w:val="24"/>
              </w:rPr>
            </w:pPr>
            <w:r w:rsidRPr="005A3FB4">
              <w:rPr>
                <w:b/>
                <w:bCs/>
                <w:color w:val="FFFFFF" w:themeColor="background1"/>
                <w:sz w:val="20"/>
                <w:szCs w:val="24"/>
              </w:rPr>
              <w:t>2017</w:t>
            </w:r>
          </w:p>
        </w:tc>
        <w:tc>
          <w:tcPr>
            <w:tcW w:w="1984" w:type="dxa"/>
            <w:shd w:val="clear" w:color="auto" w:fill="E7E7E7"/>
            <w:tcMar>
              <w:top w:w="15" w:type="dxa"/>
              <w:left w:w="41" w:type="dxa"/>
              <w:bottom w:w="0" w:type="dxa"/>
              <w:right w:w="41" w:type="dxa"/>
            </w:tcMar>
            <w:vAlign w:val="center"/>
            <w:hideMark/>
          </w:tcPr>
          <w:p w14:paraId="7BB82931" w14:textId="77777777" w:rsidR="005A3FB4" w:rsidRPr="005A3FB4" w:rsidRDefault="005A3FB4" w:rsidP="005A3FB4">
            <w:pPr>
              <w:jc w:val="center"/>
              <w:rPr>
                <w:sz w:val="20"/>
                <w:szCs w:val="24"/>
              </w:rPr>
            </w:pPr>
            <w:r w:rsidRPr="005A3FB4">
              <w:rPr>
                <w:sz w:val="20"/>
                <w:szCs w:val="24"/>
              </w:rPr>
              <w:t>10.2015. – 10.2016.</w:t>
            </w:r>
          </w:p>
        </w:tc>
        <w:tc>
          <w:tcPr>
            <w:tcW w:w="851" w:type="dxa"/>
            <w:shd w:val="clear" w:color="auto" w:fill="E7E7E7"/>
            <w:tcMar>
              <w:top w:w="15" w:type="dxa"/>
              <w:left w:w="41" w:type="dxa"/>
              <w:bottom w:w="0" w:type="dxa"/>
              <w:right w:w="41" w:type="dxa"/>
            </w:tcMar>
            <w:vAlign w:val="center"/>
            <w:hideMark/>
          </w:tcPr>
          <w:p w14:paraId="631143AB" w14:textId="77777777" w:rsidR="005A3FB4" w:rsidRPr="005A3FB4" w:rsidRDefault="005A3FB4" w:rsidP="005A3FB4">
            <w:pPr>
              <w:jc w:val="center"/>
              <w:rPr>
                <w:sz w:val="20"/>
                <w:szCs w:val="24"/>
              </w:rPr>
            </w:pPr>
            <w:r w:rsidRPr="005A3FB4">
              <w:rPr>
                <w:sz w:val="20"/>
                <w:szCs w:val="24"/>
              </w:rPr>
              <w:t>81.98</w:t>
            </w:r>
          </w:p>
        </w:tc>
        <w:tc>
          <w:tcPr>
            <w:tcW w:w="709" w:type="dxa"/>
            <w:shd w:val="clear" w:color="auto" w:fill="E7E7E7"/>
            <w:tcMar>
              <w:top w:w="15" w:type="dxa"/>
              <w:left w:w="41" w:type="dxa"/>
              <w:bottom w:w="0" w:type="dxa"/>
              <w:right w:w="41" w:type="dxa"/>
            </w:tcMar>
            <w:vAlign w:val="center"/>
            <w:hideMark/>
          </w:tcPr>
          <w:p w14:paraId="285DF587" w14:textId="77777777" w:rsidR="005A3FB4" w:rsidRPr="005A3FB4" w:rsidRDefault="005A3FB4" w:rsidP="005A3FB4">
            <w:pPr>
              <w:jc w:val="center"/>
              <w:rPr>
                <w:sz w:val="20"/>
                <w:szCs w:val="24"/>
              </w:rPr>
            </w:pPr>
            <w:r w:rsidRPr="00654D88">
              <w:rPr>
                <w:b/>
                <w:bCs/>
                <w:color w:val="FF0000"/>
                <w:sz w:val="20"/>
                <w:szCs w:val="24"/>
              </w:rPr>
              <w:t>69.33</w:t>
            </w:r>
          </w:p>
        </w:tc>
        <w:tc>
          <w:tcPr>
            <w:tcW w:w="850" w:type="dxa"/>
            <w:shd w:val="clear" w:color="auto" w:fill="E7E7E7"/>
            <w:tcMar>
              <w:top w:w="15" w:type="dxa"/>
              <w:left w:w="41" w:type="dxa"/>
              <w:bottom w:w="0" w:type="dxa"/>
              <w:right w:w="41" w:type="dxa"/>
            </w:tcMar>
            <w:vAlign w:val="center"/>
            <w:hideMark/>
          </w:tcPr>
          <w:p w14:paraId="37A0FFEE" w14:textId="77777777" w:rsidR="005A3FB4" w:rsidRPr="005A3FB4" w:rsidRDefault="005A3FB4" w:rsidP="005A3FB4">
            <w:pPr>
              <w:jc w:val="center"/>
              <w:rPr>
                <w:sz w:val="20"/>
                <w:szCs w:val="24"/>
              </w:rPr>
            </w:pPr>
            <w:r w:rsidRPr="005A3FB4">
              <w:rPr>
                <w:b/>
                <w:bCs/>
                <w:sz w:val="20"/>
                <w:szCs w:val="24"/>
              </w:rPr>
              <w:t>64.42</w:t>
            </w:r>
          </w:p>
        </w:tc>
        <w:tc>
          <w:tcPr>
            <w:tcW w:w="850" w:type="dxa"/>
            <w:shd w:val="clear" w:color="auto" w:fill="E7E7E7"/>
            <w:vAlign w:val="center"/>
          </w:tcPr>
          <w:p w14:paraId="7C8094E8" w14:textId="768AFBF2" w:rsidR="005A3FB4" w:rsidRPr="005A3FB4" w:rsidRDefault="005A3FB4" w:rsidP="005A3FB4">
            <w:pPr>
              <w:jc w:val="center"/>
              <w:rPr>
                <w:b/>
                <w:bCs/>
                <w:sz w:val="20"/>
                <w:szCs w:val="24"/>
              </w:rPr>
            </w:pPr>
            <w:r>
              <w:rPr>
                <w:b/>
                <w:bCs/>
                <w:sz w:val="20"/>
                <w:szCs w:val="24"/>
              </w:rPr>
              <w:t>21</w:t>
            </w:r>
          </w:p>
        </w:tc>
        <w:tc>
          <w:tcPr>
            <w:tcW w:w="850" w:type="dxa"/>
            <w:shd w:val="clear" w:color="auto" w:fill="E7E7E7"/>
            <w:vAlign w:val="center"/>
          </w:tcPr>
          <w:p w14:paraId="3AFB6A19" w14:textId="0B968FDC" w:rsidR="005A3FB4" w:rsidRPr="005A3FB4" w:rsidRDefault="005A3FB4" w:rsidP="005A3FB4">
            <w:pPr>
              <w:jc w:val="center"/>
              <w:rPr>
                <w:b/>
                <w:bCs/>
                <w:sz w:val="20"/>
                <w:szCs w:val="24"/>
              </w:rPr>
            </w:pPr>
            <w:r w:rsidRPr="00654D88">
              <w:rPr>
                <w:b/>
                <w:bCs/>
                <w:color w:val="FF0000"/>
                <w:sz w:val="20"/>
                <w:szCs w:val="24"/>
              </w:rPr>
              <w:t>5</w:t>
            </w:r>
          </w:p>
        </w:tc>
        <w:tc>
          <w:tcPr>
            <w:tcW w:w="850" w:type="dxa"/>
            <w:shd w:val="clear" w:color="auto" w:fill="E7E7E7"/>
            <w:vAlign w:val="center"/>
          </w:tcPr>
          <w:p w14:paraId="137050AB" w14:textId="3C205B60" w:rsidR="005A3FB4" w:rsidRPr="005A3FB4" w:rsidRDefault="005A3FB4" w:rsidP="005A3FB4">
            <w:pPr>
              <w:jc w:val="center"/>
              <w:rPr>
                <w:b/>
                <w:bCs/>
                <w:sz w:val="20"/>
                <w:szCs w:val="24"/>
              </w:rPr>
            </w:pPr>
            <w:r>
              <w:rPr>
                <w:b/>
                <w:bCs/>
                <w:sz w:val="20"/>
                <w:szCs w:val="24"/>
              </w:rPr>
              <w:t>1</w:t>
            </w:r>
          </w:p>
        </w:tc>
      </w:tr>
      <w:tr w:rsidR="005A3FB4" w:rsidRPr="005A3FB4" w14:paraId="5D431CAD" w14:textId="56D36D90" w:rsidTr="005A3FB4">
        <w:trPr>
          <w:trHeight w:val="578"/>
          <w:jc w:val="center"/>
        </w:trPr>
        <w:tc>
          <w:tcPr>
            <w:tcW w:w="841" w:type="dxa"/>
            <w:shd w:val="clear" w:color="auto" w:fill="2994A9"/>
            <w:tcMar>
              <w:top w:w="15" w:type="dxa"/>
              <w:left w:w="41" w:type="dxa"/>
              <w:bottom w:w="0" w:type="dxa"/>
              <w:right w:w="41" w:type="dxa"/>
            </w:tcMar>
            <w:vAlign w:val="center"/>
            <w:hideMark/>
          </w:tcPr>
          <w:p w14:paraId="777D635A" w14:textId="77777777" w:rsidR="005A3FB4" w:rsidRPr="005A3FB4" w:rsidRDefault="005A3FB4" w:rsidP="005A3FB4">
            <w:pPr>
              <w:jc w:val="center"/>
              <w:rPr>
                <w:color w:val="FFFFFF" w:themeColor="background1"/>
                <w:sz w:val="20"/>
                <w:szCs w:val="24"/>
              </w:rPr>
            </w:pPr>
            <w:r w:rsidRPr="005A3FB4">
              <w:rPr>
                <w:b/>
                <w:bCs/>
                <w:color w:val="FFFFFF" w:themeColor="background1"/>
                <w:sz w:val="20"/>
                <w:szCs w:val="24"/>
              </w:rPr>
              <w:t>2015</w:t>
            </w:r>
          </w:p>
        </w:tc>
        <w:tc>
          <w:tcPr>
            <w:tcW w:w="1984" w:type="dxa"/>
            <w:shd w:val="clear" w:color="auto" w:fill="FFFFFF"/>
            <w:tcMar>
              <w:top w:w="15" w:type="dxa"/>
              <w:left w:w="41" w:type="dxa"/>
              <w:bottom w:w="0" w:type="dxa"/>
              <w:right w:w="41" w:type="dxa"/>
            </w:tcMar>
            <w:vAlign w:val="center"/>
            <w:hideMark/>
          </w:tcPr>
          <w:p w14:paraId="20596D9B" w14:textId="77777777" w:rsidR="005A3FB4" w:rsidRPr="005A3FB4" w:rsidRDefault="005A3FB4" w:rsidP="005A3FB4">
            <w:pPr>
              <w:jc w:val="center"/>
              <w:rPr>
                <w:sz w:val="20"/>
                <w:szCs w:val="24"/>
              </w:rPr>
            </w:pPr>
            <w:r w:rsidRPr="005A3FB4">
              <w:rPr>
                <w:sz w:val="20"/>
                <w:szCs w:val="24"/>
              </w:rPr>
              <w:t>10.2013. – 10.2014.</w:t>
            </w:r>
          </w:p>
        </w:tc>
        <w:tc>
          <w:tcPr>
            <w:tcW w:w="851" w:type="dxa"/>
            <w:shd w:val="clear" w:color="auto" w:fill="FFFFFF"/>
            <w:tcMar>
              <w:top w:w="15" w:type="dxa"/>
              <w:left w:w="41" w:type="dxa"/>
              <w:bottom w:w="0" w:type="dxa"/>
              <w:right w:w="41" w:type="dxa"/>
            </w:tcMar>
            <w:vAlign w:val="center"/>
            <w:hideMark/>
          </w:tcPr>
          <w:p w14:paraId="21CE9B2B" w14:textId="77777777" w:rsidR="005A3FB4" w:rsidRPr="005A3FB4" w:rsidRDefault="005A3FB4" w:rsidP="005A3FB4">
            <w:pPr>
              <w:jc w:val="center"/>
              <w:rPr>
                <w:sz w:val="20"/>
                <w:szCs w:val="24"/>
              </w:rPr>
            </w:pPr>
            <w:r w:rsidRPr="005A3FB4">
              <w:rPr>
                <w:sz w:val="20"/>
                <w:szCs w:val="24"/>
              </w:rPr>
              <w:t>99.65</w:t>
            </w:r>
          </w:p>
        </w:tc>
        <w:tc>
          <w:tcPr>
            <w:tcW w:w="709" w:type="dxa"/>
            <w:shd w:val="clear" w:color="auto" w:fill="FFFFFF"/>
            <w:tcMar>
              <w:top w:w="15" w:type="dxa"/>
              <w:left w:w="41" w:type="dxa"/>
              <w:bottom w:w="0" w:type="dxa"/>
              <w:right w:w="41" w:type="dxa"/>
            </w:tcMar>
            <w:vAlign w:val="center"/>
            <w:hideMark/>
          </w:tcPr>
          <w:p w14:paraId="0E237B85" w14:textId="77777777" w:rsidR="005A3FB4" w:rsidRPr="005A3FB4" w:rsidRDefault="005A3FB4" w:rsidP="005A3FB4">
            <w:pPr>
              <w:jc w:val="center"/>
              <w:rPr>
                <w:sz w:val="20"/>
                <w:szCs w:val="24"/>
              </w:rPr>
            </w:pPr>
            <w:r w:rsidRPr="005A3FB4">
              <w:rPr>
                <w:sz w:val="20"/>
                <w:szCs w:val="24"/>
              </w:rPr>
              <w:t>85.95</w:t>
            </w:r>
          </w:p>
        </w:tc>
        <w:tc>
          <w:tcPr>
            <w:tcW w:w="850" w:type="dxa"/>
            <w:shd w:val="clear" w:color="auto" w:fill="FFFFFF"/>
            <w:tcMar>
              <w:top w:w="15" w:type="dxa"/>
              <w:left w:w="41" w:type="dxa"/>
              <w:bottom w:w="0" w:type="dxa"/>
              <w:right w:w="41" w:type="dxa"/>
            </w:tcMar>
            <w:vAlign w:val="center"/>
            <w:hideMark/>
          </w:tcPr>
          <w:p w14:paraId="024647F4" w14:textId="77777777" w:rsidR="005A3FB4" w:rsidRPr="005A3FB4" w:rsidRDefault="005A3FB4" w:rsidP="005A3FB4">
            <w:pPr>
              <w:jc w:val="center"/>
              <w:rPr>
                <w:sz w:val="20"/>
                <w:szCs w:val="24"/>
              </w:rPr>
            </w:pPr>
            <w:r w:rsidRPr="005A3FB4">
              <w:rPr>
                <w:sz w:val="20"/>
                <w:szCs w:val="24"/>
              </w:rPr>
              <w:t>66.59</w:t>
            </w:r>
          </w:p>
        </w:tc>
        <w:tc>
          <w:tcPr>
            <w:tcW w:w="850" w:type="dxa"/>
            <w:shd w:val="clear" w:color="auto" w:fill="FFFFFF"/>
            <w:vAlign w:val="center"/>
          </w:tcPr>
          <w:p w14:paraId="2D2B8A66" w14:textId="3C23C859" w:rsidR="005A3FB4" w:rsidRPr="005A3FB4" w:rsidRDefault="005A3FB4" w:rsidP="005A3FB4">
            <w:pPr>
              <w:jc w:val="center"/>
              <w:rPr>
                <w:sz w:val="20"/>
                <w:szCs w:val="24"/>
              </w:rPr>
            </w:pPr>
            <w:r>
              <w:rPr>
                <w:sz w:val="20"/>
                <w:szCs w:val="24"/>
              </w:rPr>
              <w:t>23</w:t>
            </w:r>
          </w:p>
        </w:tc>
        <w:tc>
          <w:tcPr>
            <w:tcW w:w="850" w:type="dxa"/>
            <w:shd w:val="clear" w:color="auto" w:fill="FFFFFF"/>
            <w:vAlign w:val="center"/>
          </w:tcPr>
          <w:p w14:paraId="65E34A45" w14:textId="75033CD4" w:rsidR="005A3FB4" w:rsidRPr="005A3FB4" w:rsidRDefault="005A3FB4" w:rsidP="005A3FB4">
            <w:pPr>
              <w:jc w:val="center"/>
              <w:rPr>
                <w:sz w:val="20"/>
                <w:szCs w:val="24"/>
              </w:rPr>
            </w:pPr>
            <w:r>
              <w:rPr>
                <w:sz w:val="20"/>
                <w:szCs w:val="24"/>
              </w:rPr>
              <w:t>10</w:t>
            </w:r>
          </w:p>
        </w:tc>
        <w:tc>
          <w:tcPr>
            <w:tcW w:w="850" w:type="dxa"/>
            <w:shd w:val="clear" w:color="auto" w:fill="FFFFFF"/>
            <w:vAlign w:val="center"/>
          </w:tcPr>
          <w:p w14:paraId="081F050F" w14:textId="3747106F" w:rsidR="005A3FB4" w:rsidRPr="005A3FB4" w:rsidRDefault="005A3FB4" w:rsidP="005A3FB4">
            <w:pPr>
              <w:jc w:val="center"/>
              <w:rPr>
                <w:sz w:val="20"/>
                <w:szCs w:val="24"/>
              </w:rPr>
            </w:pPr>
            <w:r>
              <w:rPr>
                <w:sz w:val="20"/>
                <w:szCs w:val="24"/>
              </w:rPr>
              <w:t>1</w:t>
            </w:r>
          </w:p>
        </w:tc>
      </w:tr>
      <w:tr w:rsidR="005A3FB4" w:rsidRPr="005A3FB4" w14:paraId="021854B2" w14:textId="2911B876" w:rsidTr="005A3FB4">
        <w:trPr>
          <w:trHeight w:val="578"/>
          <w:jc w:val="center"/>
        </w:trPr>
        <w:tc>
          <w:tcPr>
            <w:tcW w:w="841" w:type="dxa"/>
            <w:shd w:val="clear" w:color="auto" w:fill="2994A9"/>
            <w:tcMar>
              <w:top w:w="15" w:type="dxa"/>
              <w:left w:w="41" w:type="dxa"/>
              <w:bottom w:w="0" w:type="dxa"/>
              <w:right w:w="41" w:type="dxa"/>
            </w:tcMar>
            <w:vAlign w:val="center"/>
            <w:hideMark/>
          </w:tcPr>
          <w:p w14:paraId="72B00C29" w14:textId="77777777" w:rsidR="005A3FB4" w:rsidRPr="005A3FB4" w:rsidRDefault="005A3FB4" w:rsidP="005A3FB4">
            <w:pPr>
              <w:jc w:val="center"/>
              <w:rPr>
                <w:color w:val="FFFFFF" w:themeColor="background1"/>
                <w:sz w:val="20"/>
                <w:szCs w:val="24"/>
              </w:rPr>
            </w:pPr>
            <w:r w:rsidRPr="005A3FB4">
              <w:rPr>
                <w:b/>
                <w:bCs/>
                <w:color w:val="FFFFFF" w:themeColor="background1"/>
                <w:sz w:val="20"/>
                <w:szCs w:val="24"/>
              </w:rPr>
              <w:t>2013</w:t>
            </w:r>
          </w:p>
        </w:tc>
        <w:tc>
          <w:tcPr>
            <w:tcW w:w="1984" w:type="dxa"/>
            <w:shd w:val="clear" w:color="auto" w:fill="E7E7E7"/>
            <w:tcMar>
              <w:top w:w="15" w:type="dxa"/>
              <w:left w:w="41" w:type="dxa"/>
              <w:bottom w:w="0" w:type="dxa"/>
              <w:right w:w="41" w:type="dxa"/>
            </w:tcMar>
            <w:vAlign w:val="center"/>
            <w:hideMark/>
          </w:tcPr>
          <w:p w14:paraId="66CF86A4" w14:textId="77777777" w:rsidR="005A3FB4" w:rsidRPr="005A3FB4" w:rsidRDefault="005A3FB4" w:rsidP="005A3FB4">
            <w:pPr>
              <w:jc w:val="center"/>
              <w:rPr>
                <w:sz w:val="20"/>
                <w:szCs w:val="24"/>
              </w:rPr>
            </w:pPr>
            <w:r w:rsidRPr="005A3FB4">
              <w:rPr>
                <w:sz w:val="20"/>
                <w:szCs w:val="24"/>
              </w:rPr>
              <w:t>01.2011. – 12.2011.</w:t>
            </w:r>
          </w:p>
        </w:tc>
        <w:tc>
          <w:tcPr>
            <w:tcW w:w="851" w:type="dxa"/>
            <w:shd w:val="clear" w:color="auto" w:fill="E7E7E7"/>
            <w:tcMar>
              <w:top w:w="15" w:type="dxa"/>
              <w:left w:w="41" w:type="dxa"/>
              <w:bottom w:w="0" w:type="dxa"/>
              <w:right w:w="41" w:type="dxa"/>
            </w:tcMar>
            <w:vAlign w:val="center"/>
            <w:hideMark/>
          </w:tcPr>
          <w:p w14:paraId="426D2442" w14:textId="77777777" w:rsidR="005A3FB4" w:rsidRPr="005A3FB4" w:rsidRDefault="005A3FB4" w:rsidP="005A3FB4">
            <w:pPr>
              <w:jc w:val="center"/>
              <w:rPr>
                <w:sz w:val="20"/>
                <w:szCs w:val="24"/>
              </w:rPr>
            </w:pPr>
            <w:r w:rsidRPr="005A3FB4">
              <w:rPr>
                <w:sz w:val="20"/>
                <w:szCs w:val="24"/>
              </w:rPr>
              <w:t>76.22</w:t>
            </w:r>
          </w:p>
        </w:tc>
        <w:tc>
          <w:tcPr>
            <w:tcW w:w="709" w:type="dxa"/>
            <w:shd w:val="clear" w:color="auto" w:fill="E7E7E7"/>
            <w:tcMar>
              <w:top w:w="15" w:type="dxa"/>
              <w:left w:w="41" w:type="dxa"/>
              <w:bottom w:w="0" w:type="dxa"/>
              <w:right w:w="41" w:type="dxa"/>
            </w:tcMar>
            <w:vAlign w:val="center"/>
            <w:hideMark/>
          </w:tcPr>
          <w:p w14:paraId="7014DA48" w14:textId="77777777" w:rsidR="005A3FB4" w:rsidRPr="005A3FB4" w:rsidRDefault="005A3FB4" w:rsidP="005A3FB4">
            <w:pPr>
              <w:jc w:val="center"/>
              <w:rPr>
                <w:sz w:val="20"/>
                <w:szCs w:val="24"/>
              </w:rPr>
            </w:pPr>
            <w:r w:rsidRPr="005A3FB4">
              <w:rPr>
                <w:sz w:val="20"/>
                <w:szCs w:val="24"/>
              </w:rPr>
              <w:t>74.99</w:t>
            </w:r>
          </w:p>
        </w:tc>
        <w:tc>
          <w:tcPr>
            <w:tcW w:w="850" w:type="dxa"/>
            <w:shd w:val="clear" w:color="auto" w:fill="E7E7E7"/>
            <w:tcMar>
              <w:top w:w="15" w:type="dxa"/>
              <w:left w:w="41" w:type="dxa"/>
              <w:bottom w:w="0" w:type="dxa"/>
              <w:right w:w="41" w:type="dxa"/>
            </w:tcMar>
            <w:vAlign w:val="center"/>
            <w:hideMark/>
          </w:tcPr>
          <w:p w14:paraId="6B06E1FB" w14:textId="77777777" w:rsidR="005A3FB4" w:rsidRPr="005A3FB4" w:rsidRDefault="005A3FB4" w:rsidP="005A3FB4">
            <w:pPr>
              <w:jc w:val="center"/>
              <w:rPr>
                <w:sz w:val="20"/>
                <w:szCs w:val="24"/>
              </w:rPr>
            </w:pPr>
            <w:r w:rsidRPr="005A3FB4">
              <w:rPr>
                <w:sz w:val="20"/>
                <w:szCs w:val="24"/>
              </w:rPr>
              <w:t>68.48</w:t>
            </w:r>
          </w:p>
        </w:tc>
        <w:tc>
          <w:tcPr>
            <w:tcW w:w="850" w:type="dxa"/>
            <w:shd w:val="clear" w:color="auto" w:fill="E7E7E7"/>
            <w:vAlign w:val="center"/>
          </w:tcPr>
          <w:p w14:paraId="30C1B6AE" w14:textId="51204C00" w:rsidR="005A3FB4" w:rsidRPr="005A3FB4" w:rsidRDefault="005A3FB4" w:rsidP="005A3FB4">
            <w:pPr>
              <w:jc w:val="center"/>
              <w:rPr>
                <w:sz w:val="20"/>
                <w:szCs w:val="24"/>
              </w:rPr>
            </w:pPr>
            <w:r>
              <w:rPr>
                <w:sz w:val="20"/>
                <w:szCs w:val="24"/>
              </w:rPr>
              <w:t>11</w:t>
            </w:r>
          </w:p>
        </w:tc>
        <w:tc>
          <w:tcPr>
            <w:tcW w:w="850" w:type="dxa"/>
            <w:shd w:val="clear" w:color="auto" w:fill="E7E7E7"/>
            <w:vAlign w:val="center"/>
          </w:tcPr>
          <w:p w14:paraId="6C312222" w14:textId="0E815F32" w:rsidR="005A3FB4" w:rsidRPr="005A3FB4" w:rsidRDefault="005A3FB4" w:rsidP="005A3FB4">
            <w:pPr>
              <w:jc w:val="center"/>
              <w:rPr>
                <w:sz w:val="20"/>
                <w:szCs w:val="24"/>
              </w:rPr>
            </w:pPr>
            <w:r>
              <w:rPr>
                <w:sz w:val="20"/>
                <w:szCs w:val="24"/>
              </w:rPr>
              <w:t>9</w:t>
            </w:r>
          </w:p>
        </w:tc>
        <w:tc>
          <w:tcPr>
            <w:tcW w:w="850" w:type="dxa"/>
            <w:shd w:val="clear" w:color="auto" w:fill="E7E7E7"/>
            <w:vAlign w:val="center"/>
          </w:tcPr>
          <w:p w14:paraId="27DE608F" w14:textId="1CF277C0" w:rsidR="005A3FB4" w:rsidRPr="005A3FB4" w:rsidRDefault="005A3FB4" w:rsidP="005A3FB4">
            <w:pPr>
              <w:jc w:val="center"/>
              <w:rPr>
                <w:sz w:val="20"/>
                <w:szCs w:val="24"/>
              </w:rPr>
            </w:pPr>
            <w:r>
              <w:rPr>
                <w:sz w:val="20"/>
                <w:szCs w:val="24"/>
              </w:rPr>
              <w:t>4</w:t>
            </w:r>
          </w:p>
        </w:tc>
      </w:tr>
      <w:tr w:rsidR="005A3FB4" w:rsidRPr="005A3FB4" w14:paraId="3921019C" w14:textId="192B11B0" w:rsidTr="005A3FB4">
        <w:trPr>
          <w:trHeight w:val="578"/>
          <w:jc w:val="center"/>
        </w:trPr>
        <w:tc>
          <w:tcPr>
            <w:tcW w:w="841" w:type="dxa"/>
            <w:shd w:val="clear" w:color="auto" w:fill="2994A9"/>
            <w:tcMar>
              <w:top w:w="15" w:type="dxa"/>
              <w:left w:w="41" w:type="dxa"/>
              <w:bottom w:w="0" w:type="dxa"/>
              <w:right w:w="41" w:type="dxa"/>
            </w:tcMar>
            <w:vAlign w:val="center"/>
            <w:hideMark/>
          </w:tcPr>
          <w:p w14:paraId="7A75E38A" w14:textId="77777777" w:rsidR="005A3FB4" w:rsidRPr="005A3FB4" w:rsidRDefault="005A3FB4" w:rsidP="005A3FB4">
            <w:pPr>
              <w:jc w:val="center"/>
              <w:rPr>
                <w:color w:val="FFFFFF" w:themeColor="background1"/>
                <w:sz w:val="20"/>
                <w:szCs w:val="24"/>
              </w:rPr>
            </w:pPr>
            <w:r w:rsidRPr="005A3FB4">
              <w:rPr>
                <w:b/>
                <w:bCs/>
                <w:color w:val="FFFFFF" w:themeColor="background1"/>
                <w:sz w:val="20"/>
                <w:szCs w:val="24"/>
              </w:rPr>
              <w:t>2011</w:t>
            </w:r>
          </w:p>
        </w:tc>
        <w:tc>
          <w:tcPr>
            <w:tcW w:w="1984" w:type="dxa"/>
            <w:shd w:val="clear" w:color="auto" w:fill="FFFFFF"/>
            <w:tcMar>
              <w:top w:w="15" w:type="dxa"/>
              <w:left w:w="41" w:type="dxa"/>
              <w:bottom w:w="0" w:type="dxa"/>
              <w:right w:w="41" w:type="dxa"/>
            </w:tcMar>
            <w:vAlign w:val="center"/>
            <w:hideMark/>
          </w:tcPr>
          <w:p w14:paraId="17A70BCA" w14:textId="77777777" w:rsidR="005A3FB4" w:rsidRPr="005A3FB4" w:rsidRDefault="005A3FB4" w:rsidP="005A3FB4">
            <w:pPr>
              <w:jc w:val="center"/>
              <w:rPr>
                <w:sz w:val="20"/>
                <w:szCs w:val="24"/>
              </w:rPr>
            </w:pPr>
            <w:r w:rsidRPr="005A3FB4">
              <w:rPr>
                <w:sz w:val="20"/>
                <w:szCs w:val="24"/>
              </w:rPr>
              <w:t>01.2009. – 12.2009.</w:t>
            </w:r>
          </w:p>
        </w:tc>
        <w:tc>
          <w:tcPr>
            <w:tcW w:w="851" w:type="dxa"/>
            <w:shd w:val="clear" w:color="auto" w:fill="FFFFFF"/>
            <w:tcMar>
              <w:top w:w="15" w:type="dxa"/>
              <w:left w:w="41" w:type="dxa"/>
              <w:bottom w:w="0" w:type="dxa"/>
              <w:right w:w="41" w:type="dxa"/>
            </w:tcMar>
            <w:vAlign w:val="center"/>
            <w:hideMark/>
          </w:tcPr>
          <w:p w14:paraId="7E7C0917" w14:textId="77777777" w:rsidR="005A3FB4" w:rsidRPr="005A3FB4" w:rsidRDefault="005A3FB4" w:rsidP="005A3FB4">
            <w:pPr>
              <w:jc w:val="center"/>
              <w:rPr>
                <w:sz w:val="20"/>
                <w:szCs w:val="24"/>
              </w:rPr>
            </w:pPr>
            <w:r w:rsidRPr="005A3FB4">
              <w:rPr>
                <w:sz w:val="20"/>
                <w:szCs w:val="24"/>
              </w:rPr>
              <w:t>85.48</w:t>
            </w:r>
          </w:p>
        </w:tc>
        <w:tc>
          <w:tcPr>
            <w:tcW w:w="709" w:type="dxa"/>
            <w:shd w:val="clear" w:color="auto" w:fill="FFFFFF"/>
            <w:tcMar>
              <w:top w:w="15" w:type="dxa"/>
              <w:left w:w="41" w:type="dxa"/>
              <w:bottom w:w="0" w:type="dxa"/>
              <w:right w:w="41" w:type="dxa"/>
            </w:tcMar>
            <w:vAlign w:val="center"/>
            <w:hideMark/>
          </w:tcPr>
          <w:p w14:paraId="7775A6D9" w14:textId="77777777" w:rsidR="005A3FB4" w:rsidRPr="005A3FB4" w:rsidRDefault="005A3FB4" w:rsidP="005A3FB4">
            <w:pPr>
              <w:jc w:val="center"/>
              <w:rPr>
                <w:sz w:val="20"/>
                <w:szCs w:val="24"/>
              </w:rPr>
            </w:pPr>
            <w:r w:rsidRPr="005A3FB4">
              <w:rPr>
                <w:sz w:val="20"/>
                <w:szCs w:val="24"/>
              </w:rPr>
              <w:t>69.70</w:t>
            </w:r>
          </w:p>
        </w:tc>
        <w:tc>
          <w:tcPr>
            <w:tcW w:w="850" w:type="dxa"/>
            <w:shd w:val="clear" w:color="auto" w:fill="FFFFFF"/>
            <w:tcMar>
              <w:top w:w="15" w:type="dxa"/>
              <w:left w:w="41" w:type="dxa"/>
              <w:bottom w:w="0" w:type="dxa"/>
              <w:right w:w="41" w:type="dxa"/>
            </w:tcMar>
            <w:vAlign w:val="center"/>
            <w:hideMark/>
          </w:tcPr>
          <w:p w14:paraId="778EB775" w14:textId="77777777" w:rsidR="005A3FB4" w:rsidRPr="005A3FB4" w:rsidRDefault="005A3FB4" w:rsidP="005A3FB4">
            <w:pPr>
              <w:jc w:val="center"/>
              <w:rPr>
                <w:sz w:val="20"/>
                <w:szCs w:val="24"/>
              </w:rPr>
            </w:pPr>
            <w:r w:rsidRPr="005A3FB4">
              <w:rPr>
                <w:sz w:val="20"/>
                <w:szCs w:val="24"/>
              </w:rPr>
              <w:t>83.49</w:t>
            </w:r>
          </w:p>
        </w:tc>
        <w:tc>
          <w:tcPr>
            <w:tcW w:w="850" w:type="dxa"/>
            <w:shd w:val="clear" w:color="auto" w:fill="FFFFFF"/>
            <w:vAlign w:val="center"/>
          </w:tcPr>
          <w:p w14:paraId="51786A31" w14:textId="78062593" w:rsidR="005A3FB4" w:rsidRPr="005A3FB4" w:rsidRDefault="005A3FB4" w:rsidP="005A3FB4">
            <w:pPr>
              <w:jc w:val="center"/>
              <w:rPr>
                <w:sz w:val="20"/>
                <w:szCs w:val="24"/>
              </w:rPr>
            </w:pPr>
            <w:r>
              <w:rPr>
                <w:sz w:val="20"/>
                <w:szCs w:val="24"/>
              </w:rPr>
              <w:t>19</w:t>
            </w:r>
          </w:p>
        </w:tc>
        <w:tc>
          <w:tcPr>
            <w:tcW w:w="850" w:type="dxa"/>
            <w:shd w:val="clear" w:color="auto" w:fill="FFFFFF"/>
            <w:vAlign w:val="center"/>
          </w:tcPr>
          <w:p w14:paraId="34E19B21" w14:textId="6C4ABD81" w:rsidR="005A3FB4" w:rsidRPr="005A3FB4" w:rsidRDefault="005A3FB4" w:rsidP="005A3FB4">
            <w:pPr>
              <w:jc w:val="center"/>
              <w:rPr>
                <w:sz w:val="20"/>
                <w:szCs w:val="24"/>
              </w:rPr>
            </w:pPr>
            <w:r>
              <w:rPr>
                <w:sz w:val="20"/>
                <w:szCs w:val="24"/>
              </w:rPr>
              <w:t>7</w:t>
            </w:r>
          </w:p>
        </w:tc>
        <w:tc>
          <w:tcPr>
            <w:tcW w:w="850" w:type="dxa"/>
            <w:shd w:val="clear" w:color="auto" w:fill="FFFFFF"/>
            <w:vAlign w:val="center"/>
          </w:tcPr>
          <w:p w14:paraId="24524835" w14:textId="23BC16F9" w:rsidR="005A3FB4" w:rsidRPr="005A3FB4" w:rsidRDefault="005A3FB4" w:rsidP="005A3FB4">
            <w:pPr>
              <w:jc w:val="center"/>
              <w:rPr>
                <w:sz w:val="20"/>
                <w:szCs w:val="24"/>
              </w:rPr>
            </w:pPr>
            <w:r>
              <w:rPr>
                <w:sz w:val="20"/>
                <w:szCs w:val="24"/>
              </w:rPr>
              <w:t>16</w:t>
            </w:r>
          </w:p>
        </w:tc>
      </w:tr>
    </w:tbl>
    <w:p w14:paraId="14B0D95D" w14:textId="0D28B5E2" w:rsidR="005A3FB4" w:rsidRPr="005A3FB4" w:rsidRDefault="00D7769D" w:rsidP="005A3FB4">
      <w:pPr>
        <w:ind w:firstLine="720"/>
        <w:jc w:val="center"/>
        <w:rPr>
          <w:sz w:val="20"/>
          <w:szCs w:val="24"/>
        </w:rPr>
      </w:pPr>
      <w:r>
        <w:rPr>
          <w:bCs/>
          <w:iCs/>
          <w:sz w:val="20"/>
          <w:szCs w:val="24"/>
        </w:rPr>
        <w:t>Datu a</w:t>
      </w:r>
      <w:r w:rsidR="005A3FB4" w:rsidRPr="005A3FB4">
        <w:rPr>
          <w:bCs/>
          <w:iCs/>
          <w:sz w:val="20"/>
          <w:szCs w:val="24"/>
        </w:rPr>
        <w:t>vots: Deloitte–STR Global and Smith Travel Research Inc.</w:t>
      </w:r>
    </w:p>
    <w:p w14:paraId="7F905AC7" w14:textId="77777777" w:rsidR="001F4214" w:rsidRDefault="001F4214" w:rsidP="001F4214">
      <w:pPr>
        <w:ind w:firstLine="720"/>
        <w:jc w:val="both"/>
        <w:rPr>
          <w:rFonts w:ascii="12" w:hAnsi="12"/>
          <w:sz w:val="24"/>
          <w:szCs w:val="24"/>
        </w:rPr>
      </w:pPr>
    </w:p>
    <w:p w14:paraId="39E05A7E" w14:textId="6B6139F4" w:rsidR="009F69B7" w:rsidRDefault="001F4214" w:rsidP="00ED5874">
      <w:pPr>
        <w:ind w:firstLine="720"/>
        <w:jc w:val="both"/>
        <w:rPr>
          <w:rFonts w:ascii="12" w:hAnsi="12"/>
          <w:sz w:val="24"/>
          <w:szCs w:val="24"/>
        </w:rPr>
      </w:pPr>
      <w:r>
        <w:rPr>
          <w:rFonts w:ascii="12" w:hAnsi="12"/>
          <w:sz w:val="24"/>
          <w:szCs w:val="24"/>
        </w:rPr>
        <w:t xml:space="preserve">Līdz ar viesnīcu cenu samazināšanos, samazinās arī </w:t>
      </w:r>
      <w:r w:rsidR="004E29C6" w:rsidRPr="004E29C6">
        <w:rPr>
          <w:rFonts w:ascii="12" w:hAnsi="12"/>
          <w:sz w:val="24"/>
          <w:szCs w:val="24"/>
        </w:rPr>
        <w:t>vidējie tūristu izdevumi diennaktī</w:t>
      </w:r>
      <w:r>
        <w:rPr>
          <w:rFonts w:ascii="12" w:hAnsi="12"/>
          <w:sz w:val="24"/>
          <w:szCs w:val="24"/>
        </w:rPr>
        <w:t xml:space="preserve">. Papildus viesnīcu cenām, vairākdienu ceļotāju vidējo tēriņu dienā ietekmē arī tādi apstākļi kā ēdināšanas sektora cenas, </w:t>
      </w:r>
      <w:r w:rsidR="005770E9">
        <w:rPr>
          <w:rFonts w:ascii="12" w:hAnsi="12"/>
          <w:sz w:val="24"/>
          <w:szCs w:val="24"/>
        </w:rPr>
        <w:t>iepirkšanās, izdevumi par kultūras un izklaides pasākumiem, vietējam transportam u.c.</w:t>
      </w:r>
    </w:p>
    <w:p w14:paraId="776BCBFC" w14:textId="744FF113" w:rsidR="0065780C" w:rsidRDefault="005770E9" w:rsidP="001F4214">
      <w:pPr>
        <w:ind w:firstLine="720"/>
        <w:jc w:val="both"/>
        <w:rPr>
          <w:rFonts w:ascii="12" w:hAnsi="12"/>
          <w:sz w:val="24"/>
          <w:szCs w:val="24"/>
        </w:rPr>
      </w:pPr>
      <w:r>
        <w:rPr>
          <w:rFonts w:ascii="12" w:hAnsi="12"/>
          <w:sz w:val="24"/>
          <w:szCs w:val="24"/>
        </w:rPr>
        <w:t>Papildus tam, ka būtiski samazinās viena vairākdienu ceļotāja vidējie izdevumi diennaktī, negatīva tendence vērojama arī kopējos ceļotāju vienas dienas tēriņa rādītājos, kur ņem vērā gan vienas dienas ekskursantu tēriņus, gan vairākdienu ceļotāju tēriņus. Arī šis rādītājs ir krities no 80 EUR 2012.gadā līdz 78 EUR 2015.gadā (dati par 2016.gadu vēl nav pieejami).</w:t>
      </w:r>
    </w:p>
    <w:p w14:paraId="3A79F4D5" w14:textId="7F87F3D5" w:rsidR="005770E9" w:rsidRDefault="005770E9" w:rsidP="001F4214">
      <w:pPr>
        <w:ind w:firstLine="720"/>
        <w:jc w:val="both"/>
        <w:rPr>
          <w:rFonts w:ascii="12" w:hAnsi="12"/>
          <w:sz w:val="24"/>
          <w:szCs w:val="24"/>
        </w:rPr>
      </w:pPr>
      <w:r>
        <w:rPr>
          <w:rFonts w:ascii="12" w:hAnsi="12"/>
          <w:sz w:val="24"/>
          <w:szCs w:val="24"/>
        </w:rPr>
        <w:t xml:space="preserve">Ņemot vērā minēto, </w:t>
      </w:r>
      <w:r w:rsidR="009519D9">
        <w:rPr>
          <w:rFonts w:ascii="12" w:hAnsi="12"/>
          <w:b/>
          <w:sz w:val="24"/>
          <w:szCs w:val="24"/>
        </w:rPr>
        <w:t>nepieciešams izvērtēt</w:t>
      </w:r>
      <w:r w:rsidRPr="005770E9">
        <w:rPr>
          <w:rFonts w:ascii="12" w:hAnsi="12"/>
          <w:b/>
          <w:sz w:val="24"/>
          <w:szCs w:val="24"/>
        </w:rPr>
        <w:t xml:space="preserve"> rezultatīv</w:t>
      </w:r>
      <w:r w:rsidR="009519D9">
        <w:rPr>
          <w:rFonts w:ascii="12" w:hAnsi="12"/>
          <w:b/>
          <w:sz w:val="24"/>
          <w:szCs w:val="24"/>
        </w:rPr>
        <w:t xml:space="preserve">ā </w:t>
      </w:r>
      <w:r w:rsidRPr="005770E9">
        <w:rPr>
          <w:rFonts w:ascii="12" w:hAnsi="12"/>
          <w:b/>
          <w:sz w:val="24"/>
          <w:szCs w:val="24"/>
        </w:rPr>
        <w:t>rādītāj</w:t>
      </w:r>
      <w:r w:rsidR="009519D9">
        <w:rPr>
          <w:rFonts w:ascii="12" w:hAnsi="12"/>
          <w:b/>
          <w:sz w:val="24"/>
          <w:szCs w:val="24"/>
        </w:rPr>
        <w:t>a</w:t>
      </w:r>
      <w:r w:rsidRPr="005770E9">
        <w:rPr>
          <w:rFonts w:ascii="12" w:hAnsi="12"/>
          <w:b/>
          <w:sz w:val="24"/>
          <w:szCs w:val="24"/>
        </w:rPr>
        <w:t xml:space="preserve"> “Viena ārvalstu vairākdienu ceļotāja vidējie izdevumi diennaktī” </w:t>
      </w:r>
      <w:r w:rsidR="009519D9">
        <w:rPr>
          <w:rFonts w:ascii="12" w:hAnsi="12"/>
          <w:b/>
          <w:sz w:val="24"/>
          <w:szCs w:val="24"/>
        </w:rPr>
        <w:t xml:space="preserve">izpildes prognozes </w:t>
      </w:r>
      <w:r w:rsidRPr="005770E9">
        <w:rPr>
          <w:rFonts w:ascii="12" w:hAnsi="12"/>
          <w:b/>
          <w:sz w:val="24"/>
          <w:szCs w:val="24"/>
        </w:rPr>
        <w:t>tur</w:t>
      </w:r>
      <w:r w:rsidR="00172631">
        <w:rPr>
          <w:rFonts w:ascii="12" w:hAnsi="12"/>
          <w:b/>
          <w:sz w:val="24"/>
          <w:szCs w:val="24"/>
        </w:rPr>
        <w:t>pmākajam pamatnostādņu periodam</w:t>
      </w:r>
      <w:r w:rsidR="00FB793F">
        <w:rPr>
          <w:rFonts w:ascii="12" w:hAnsi="12"/>
          <w:b/>
          <w:sz w:val="24"/>
          <w:szCs w:val="24"/>
        </w:rPr>
        <w:t xml:space="preserve"> līdz 2020.gadam</w:t>
      </w:r>
      <w:r w:rsidR="00172631">
        <w:rPr>
          <w:rFonts w:ascii="12" w:hAnsi="12"/>
          <w:b/>
          <w:sz w:val="24"/>
          <w:szCs w:val="24"/>
        </w:rPr>
        <w:t>.</w:t>
      </w:r>
    </w:p>
    <w:p w14:paraId="7C7EE838" w14:textId="1C8C77BA" w:rsidR="005A3FB4" w:rsidRDefault="005A3FB4" w:rsidP="005770E9">
      <w:pPr>
        <w:jc w:val="both"/>
        <w:rPr>
          <w:sz w:val="24"/>
          <w:szCs w:val="24"/>
        </w:rPr>
      </w:pPr>
    </w:p>
    <w:p w14:paraId="603A8C94" w14:textId="7B6098D2" w:rsidR="006F2F38" w:rsidRDefault="006F2F38" w:rsidP="006F2F38">
      <w:pPr>
        <w:pStyle w:val="Heading2"/>
        <w:shd w:val="clear" w:color="auto" w:fill="1DA0A7"/>
        <w:rPr>
          <w:szCs w:val="24"/>
        </w:rPr>
      </w:pPr>
      <w:bookmarkStart w:id="15" w:name="_Toc500423596"/>
      <w:r w:rsidRPr="009E53C0">
        <w:rPr>
          <w:b/>
          <w:color w:val="FFFFFF" w:themeColor="background1"/>
        </w:rPr>
        <w:t>2.</w:t>
      </w:r>
      <w:r>
        <w:rPr>
          <w:b/>
          <w:color w:val="FFFFFF" w:themeColor="background1"/>
        </w:rPr>
        <w:t>4</w:t>
      </w:r>
      <w:r w:rsidRPr="009E53C0">
        <w:rPr>
          <w:b/>
          <w:color w:val="FFFFFF" w:themeColor="background1"/>
        </w:rPr>
        <w:t xml:space="preserve">. </w:t>
      </w:r>
      <w:r w:rsidRPr="006F2F38">
        <w:rPr>
          <w:b/>
          <w:color w:val="FFFFFF" w:themeColor="background1"/>
        </w:rPr>
        <w:t>Ārvalstu vairākdienu ceļotāju kopējo izdevumu gadā pieaugums.</w:t>
      </w:r>
      <w:bookmarkEnd w:id="15"/>
    </w:p>
    <w:p w14:paraId="5F6B158A" w14:textId="1824FFE4" w:rsidR="006F2F38" w:rsidRPr="000F070B" w:rsidRDefault="006F2F38" w:rsidP="007111B1">
      <w:pPr>
        <w:ind w:firstLine="720"/>
        <w:jc w:val="both"/>
        <w:rPr>
          <w:sz w:val="10"/>
          <w:szCs w:val="24"/>
        </w:rPr>
      </w:pPr>
    </w:p>
    <w:p w14:paraId="5E798A72" w14:textId="43C1488A" w:rsidR="000F070B" w:rsidRDefault="000F070B" w:rsidP="007111B1">
      <w:pPr>
        <w:ind w:firstLine="720"/>
        <w:jc w:val="both"/>
        <w:rPr>
          <w:sz w:val="24"/>
          <w:szCs w:val="24"/>
        </w:rPr>
      </w:pPr>
      <w:r>
        <w:rPr>
          <w:sz w:val="24"/>
          <w:szCs w:val="24"/>
        </w:rPr>
        <w:t xml:space="preserve">Neskatoties uz to, ka ir palielinājies ārvalstu </w:t>
      </w:r>
      <w:r w:rsidR="00B828F6">
        <w:rPr>
          <w:sz w:val="24"/>
          <w:szCs w:val="24"/>
        </w:rPr>
        <w:t>tūristu</w:t>
      </w:r>
      <w:r>
        <w:rPr>
          <w:sz w:val="24"/>
          <w:szCs w:val="24"/>
        </w:rPr>
        <w:t xml:space="preserve"> kopējais skaits, viena tūrista vidējais patēriņš diennaktī ir samazinājies, līdz ar to 2016.gadā ir sarukuši ārvalstu vairākdienu ceļotāju kopējie izdevumi un 2016.gadā vērojama rezultatīvā rādītāja neizpilde par </w:t>
      </w:r>
      <w:r w:rsidR="00F64F61">
        <w:rPr>
          <w:sz w:val="24"/>
          <w:szCs w:val="24"/>
        </w:rPr>
        <w:t>85</w:t>
      </w:r>
      <w:r>
        <w:rPr>
          <w:sz w:val="24"/>
          <w:szCs w:val="24"/>
        </w:rPr>
        <w:t>%.</w:t>
      </w:r>
    </w:p>
    <w:p w14:paraId="2C9C1242" w14:textId="4973E1DD" w:rsidR="006F2F38" w:rsidRDefault="006F2F38" w:rsidP="007111B1">
      <w:pPr>
        <w:ind w:firstLine="720"/>
        <w:jc w:val="both"/>
        <w:rPr>
          <w:sz w:val="24"/>
          <w:szCs w:val="24"/>
        </w:rPr>
      </w:pPr>
    </w:p>
    <w:p w14:paraId="7DACABD4" w14:textId="2A61C337" w:rsidR="001C440D" w:rsidRDefault="001C440D" w:rsidP="001C440D">
      <w:pPr>
        <w:jc w:val="center"/>
        <w:rPr>
          <w:sz w:val="24"/>
          <w:szCs w:val="24"/>
        </w:rPr>
      </w:pPr>
      <w:r>
        <w:rPr>
          <w:noProof/>
          <w:lang w:eastAsia="lv-LV"/>
        </w:rPr>
        <w:drawing>
          <wp:inline distT="0" distB="0" distL="0" distR="0" wp14:anchorId="038AEDC6" wp14:editId="2F2AB571">
            <wp:extent cx="5315364" cy="2814761"/>
            <wp:effectExtent l="0" t="0" r="0" b="5080"/>
            <wp:docPr id="5" name="Chart 5">
              <a:extLst xmlns:a="http://schemas.openxmlformats.org/drawingml/2006/main">
                <a:ext uri="{FF2B5EF4-FFF2-40B4-BE49-F238E27FC236}">
                  <a16:creationId xmlns:a16="http://schemas.microsoft.com/office/drawing/2014/main" id="{7EA29BC3-E111-4919-B414-7DA7AE57F9E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D5CD788" w14:textId="305B4629" w:rsidR="00F51AA3" w:rsidRDefault="00F51AA3" w:rsidP="00D7769D">
      <w:pPr>
        <w:ind w:firstLine="720"/>
        <w:jc w:val="both"/>
        <w:rPr>
          <w:sz w:val="24"/>
          <w:szCs w:val="24"/>
        </w:rPr>
      </w:pPr>
    </w:p>
    <w:p w14:paraId="2197AE46" w14:textId="77777777" w:rsidR="00F51AA3" w:rsidRDefault="00F51AA3" w:rsidP="00172631">
      <w:pPr>
        <w:jc w:val="both"/>
        <w:rPr>
          <w:sz w:val="24"/>
          <w:szCs w:val="24"/>
        </w:rPr>
      </w:pPr>
    </w:p>
    <w:p w14:paraId="0594AC1B" w14:textId="00719CC4" w:rsidR="00D7769D" w:rsidRPr="00D7769D" w:rsidRDefault="00D7769D" w:rsidP="00D7769D">
      <w:pPr>
        <w:ind w:firstLine="720"/>
        <w:jc w:val="both"/>
        <w:rPr>
          <w:sz w:val="24"/>
          <w:szCs w:val="24"/>
        </w:rPr>
      </w:pPr>
      <w:r>
        <w:rPr>
          <w:sz w:val="24"/>
          <w:szCs w:val="24"/>
        </w:rPr>
        <w:t>Ārvalstu tūristu vislielākos izdevumus (34%) sastāda izdevumi naktsmītnei, 30% - izdevumi restorānos un kafejnīcās un 25% - iepirkšanās.</w:t>
      </w:r>
    </w:p>
    <w:p w14:paraId="31690F38" w14:textId="73344696" w:rsidR="003E7833" w:rsidRDefault="003E7833" w:rsidP="00172631">
      <w:pPr>
        <w:rPr>
          <w:b/>
          <w:sz w:val="24"/>
          <w:szCs w:val="24"/>
        </w:rPr>
      </w:pPr>
    </w:p>
    <w:p w14:paraId="49CC16AF" w14:textId="19F6F030" w:rsidR="006F2F38" w:rsidRPr="0075021F" w:rsidRDefault="0075021F" w:rsidP="003E7833">
      <w:pPr>
        <w:jc w:val="center"/>
        <w:rPr>
          <w:b/>
          <w:sz w:val="24"/>
          <w:szCs w:val="24"/>
        </w:rPr>
      </w:pPr>
      <w:r w:rsidRPr="0075021F">
        <w:rPr>
          <w:b/>
          <w:sz w:val="24"/>
          <w:szCs w:val="24"/>
        </w:rPr>
        <w:t>Ārvalstu tūristu tēriņi Latvijā</w:t>
      </w:r>
    </w:p>
    <w:p w14:paraId="58A31736" w14:textId="63B0D9E6" w:rsidR="0075021F" w:rsidRDefault="0075021F" w:rsidP="003E7833">
      <w:pPr>
        <w:jc w:val="center"/>
        <w:rPr>
          <w:sz w:val="24"/>
          <w:szCs w:val="24"/>
        </w:rPr>
      </w:pPr>
      <w:r w:rsidRPr="0075021F">
        <w:rPr>
          <w:noProof/>
          <w:sz w:val="24"/>
          <w:szCs w:val="24"/>
          <w:lang w:eastAsia="lv-LV"/>
        </w:rPr>
        <w:drawing>
          <wp:inline distT="0" distB="0" distL="0" distR="0" wp14:anchorId="12A43382" wp14:editId="27708CC3">
            <wp:extent cx="4869321" cy="2367342"/>
            <wp:effectExtent l="0" t="0" r="7620" b="1397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21AA69E" w14:textId="77777777" w:rsidR="00D7769D" w:rsidRPr="00267BCC" w:rsidRDefault="00D7769D" w:rsidP="00D7769D">
      <w:pPr>
        <w:jc w:val="center"/>
        <w:rPr>
          <w:sz w:val="20"/>
          <w:szCs w:val="20"/>
        </w:rPr>
      </w:pPr>
      <w:r w:rsidRPr="00267BCC">
        <w:rPr>
          <w:sz w:val="20"/>
          <w:szCs w:val="20"/>
        </w:rPr>
        <w:t>Datu avots: CSP</w:t>
      </w:r>
    </w:p>
    <w:p w14:paraId="393AC913" w14:textId="77777777" w:rsidR="00D7769D" w:rsidRDefault="00D7769D" w:rsidP="000F070B">
      <w:pPr>
        <w:ind w:firstLine="720"/>
        <w:jc w:val="both"/>
        <w:rPr>
          <w:sz w:val="24"/>
          <w:szCs w:val="24"/>
        </w:rPr>
      </w:pPr>
    </w:p>
    <w:p w14:paraId="54C083F4" w14:textId="5459D0C7" w:rsidR="000F070B" w:rsidRPr="000F070B" w:rsidRDefault="00D7769D" w:rsidP="000F070B">
      <w:pPr>
        <w:ind w:firstLine="720"/>
        <w:jc w:val="both"/>
        <w:rPr>
          <w:sz w:val="24"/>
          <w:szCs w:val="24"/>
        </w:rPr>
      </w:pPr>
      <w:r>
        <w:rPr>
          <w:sz w:val="24"/>
          <w:szCs w:val="24"/>
        </w:rPr>
        <w:t>Kā jau izanalizēts iepriekšējā sadaļā</w:t>
      </w:r>
      <w:r w:rsidR="002D4C5F">
        <w:rPr>
          <w:sz w:val="24"/>
          <w:szCs w:val="24"/>
        </w:rPr>
        <w:t xml:space="preserve">, ka ceļotāju tēriņu apjomu Latvijā ietekmē </w:t>
      </w:r>
      <w:r w:rsidR="000F070B">
        <w:rPr>
          <w:sz w:val="24"/>
          <w:szCs w:val="24"/>
        </w:rPr>
        <w:t xml:space="preserve">tādi faktori, kā </w:t>
      </w:r>
      <w:r w:rsidR="002D4C5F" w:rsidRPr="000F070B">
        <w:rPr>
          <w:rFonts w:ascii="12" w:hAnsi="12"/>
          <w:sz w:val="24"/>
          <w:szCs w:val="24"/>
        </w:rPr>
        <w:t>Krievijas tūristu skaita samazināšanās 2014.</w:t>
      </w:r>
      <w:r w:rsidR="00391072">
        <w:rPr>
          <w:rFonts w:ascii="12" w:hAnsi="12"/>
          <w:sz w:val="24"/>
          <w:szCs w:val="24"/>
        </w:rPr>
        <w:t xml:space="preserve"> </w:t>
      </w:r>
      <w:r w:rsidR="002D4C5F" w:rsidRPr="000F070B">
        <w:rPr>
          <w:rFonts w:ascii="12" w:hAnsi="12"/>
          <w:sz w:val="24"/>
          <w:szCs w:val="24"/>
        </w:rPr>
        <w:t>un 2015.gadā, kas joprojām atst</w:t>
      </w:r>
      <w:r w:rsidR="000F070B">
        <w:rPr>
          <w:rFonts w:ascii="12" w:hAnsi="12"/>
          <w:sz w:val="24"/>
          <w:szCs w:val="24"/>
        </w:rPr>
        <w:t>āj redzamas sekas uz 2016.gadu, i</w:t>
      </w:r>
      <w:r w:rsidR="000F070B" w:rsidRPr="000F070B">
        <w:rPr>
          <w:rFonts w:ascii="12" w:hAnsi="12"/>
          <w:sz w:val="24"/>
          <w:szCs w:val="24"/>
        </w:rPr>
        <w:t>epriekš pieminētā viesnīcu cenu samazināšanās</w:t>
      </w:r>
      <w:r w:rsidR="000F070B">
        <w:rPr>
          <w:rFonts w:ascii="12" w:hAnsi="12"/>
          <w:sz w:val="24"/>
          <w:szCs w:val="24"/>
        </w:rPr>
        <w:t xml:space="preserve">, kā arī kopējā nozares attīstības tempa samazināšanās. </w:t>
      </w:r>
    </w:p>
    <w:p w14:paraId="1A759828" w14:textId="791696D2" w:rsidR="002D4C5F" w:rsidRDefault="000F070B" w:rsidP="007111B1">
      <w:pPr>
        <w:ind w:firstLine="720"/>
        <w:jc w:val="both"/>
        <w:rPr>
          <w:sz w:val="24"/>
          <w:szCs w:val="24"/>
        </w:rPr>
      </w:pPr>
      <w:r>
        <w:rPr>
          <w:sz w:val="24"/>
          <w:szCs w:val="24"/>
        </w:rPr>
        <w:t xml:space="preserve">Ņemot vērā minēto, </w:t>
      </w:r>
      <w:r w:rsidR="00265A56">
        <w:rPr>
          <w:sz w:val="24"/>
          <w:szCs w:val="24"/>
        </w:rPr>
        <w:t xml:space="preserve">pašlaik </w:t>
      </w:r>
      <w:r w:rsidRPr="000F070B">
        <w:rPr>
          <w:b/>
          <w:sz w:val="24"/>
          <w:szCs w:val="24"/>
        </w:rPr>
        <w:t>rezultatīv</w:t>
      </w:r>
      <w:r w:rsidR="00265A56">
        <w:rPr>
          <w:b/>
          <w:sz w:val="24"/>
          <w:szCs w:val="24"/>
        </w:rPr>
        <w:t>ā</w:t>
      </w:r>
      <w:r w:rsidRPr="000F070B">
        <w:rPr>
          <w:b/>
          <w:sz w:val="24"/>
          <w:szCs w:val="24"/>
        </w:rPr>
        <w:t xml:space="preserve"> rādītāja “Ārvalstu vairākdienu ceļotāju kopējie izdevumi gadā” sasniedzamo apmēru 2017. un 2020.gadā</w:t>
      </w:r>
      <w:r w:rsidR="00265A56">
        <w:rPr>
          <w:b/>
          <w:sz w:val="24"/>
          <w:szCs w:val="24"/>
        </w:rPr>
        <w:t xml:space="preserve"> nav nepieciešams pārrēķināt, </w:t>
      </w:r>
      <w:r w:rsidR="00265A56">
        <w:rPr>
          <w:sz w:val="24"/>
          <w:szCs w:val="24"/>
        </w:rPr>
        <w:t>vienlaikus jāuzsver, ka</w:t>
      </w:r>
      <w:r w:rsidR="00265A56" w:rsidRPr="00265A56">
        <w:rPr>
          <w:sz w:val="24"/>
          <w:szCs w:val="24"/>
        </w:rPr>
        <w:t xml:space="preserve"> noteikti nepieciešams šo rādītāju izvērtēt Pamatnostādņu </w:t>
      </w:r>
      <w:r w:rsidR="00172631">
        <w:rPr>
          <w:sz w:val="24"/>
          <w:szCs w:val="24"/>
        </w:rPr>
        <w:t>gala novērtējumā</w:t>
      </w:r>
      <w:r w:rsidR="00265A56" w:rsidRPr="00265A56">
        <w:rPr>
          <w:sz w:val="24"/>
          <w:szCs w:val="24"/>
        </w:rPr>
        <w:t>.</w:t>
      </w:r>
    </w:p>
    <w:p w14:paraId="05C83ED9" w14:textId="560823FC" w:rsidR="002D4C5F" w:rsidRDefault="002D4C5F" w:rsidP="007111B1">
      <w:pPr>
        <w:ind w:firstLine="720"/>
        <w:jc w:val="both"/>
        <w:rPr>
          <w:sz w:val="24"/>
          <w:szCs w:val="24"/>
        </w:rPr>
      </w:pPr>
    </w:p>
    <w:p w14:paraId="60E40DC2" w14:textId="1694E158" w:rsidR="003E7833" w:rsidRDefault="003E7833">
      <w:pPr>
        <w:rPr>
          <w:rFonts w:eastAsia="Times New Roman" w:cs="Times New Roman"/>
          <w:b/>
          <w:bCs/>
          <w:color w:val="FFFFFF" w:themeColor="background1"/>
          <w:szCs w:val="28"/>
          <w:lang w:eastAsia="x-none"/>
        </w:rPr>
      </w:pPr>
      <w:r>
        <w:rPr>
          <w:color w:val="FFFFFF" w:themeColor="background1"/>
        </w:rPr>
        <w:br w:type="page"/>
      </w:r>
    </w:p>
    <w:p w14:paraId="183636C3" w14:textId="2EC16EE1" w:rsidR="00225843" w:rsidRPr="009E53C0" w:rsidRDefault="00225843" w:rsidP="003D0090">
      <w:pPr>
        <w:pStyle w:val="Heading1"/>
        <w:shd w:val="clear" w:color="auto" w:fill="1DA0A7"/>
        <w:spacing w:before="0"/>
        <w:rPr>
          <w:color w:val="FFFFFF" w:themeColor="background1"/>
          <w:sz w:val="28"/>
        </w:rPr>
      </w:pPr>
      <w:bookmarkStart w:id="16" w:name="_Toc500423597"/>
      <w:r>
        <w:rPr>
          <w:color w:val="FFFFFF" w:themeColor="background1"/>
          <w:sz w:val="28"/>
          <w:lang w:val="lv-LV"/>
        </w:rPr>
        <w:lastRenderedPageBreak/>
        <w:t>3</w:t>
      </w:r>
      <w:r w:rsidRPr="009E53C0">
        <w:rPr>
          <w:color w:val="FFFFFF" w:themeColor="background1"/>
          <w:sz w:val="28"/>
        </w:rPr>
        <w:t xml:space="preserve">. </w:t>
      </w:r>
      <w:r w:rsidR="003D0090">
        <w:rPr>
          <w:color w:val="FFFFFF" w:themeColor="background1"/>
          <w:sz w:val="28"/>
          <w:lang w:val="lv-LV"/>
        </w:rPr>
        <w:t>Rezultatīv</w:t>
      </w:r>
      <w:r w:rsidR="00ED5874">
        <w:rPr>
          <w:color w:val="FFFFFF" w:themeColor="background1"/>
          <w:sz w:val="28"/>
          <w:lang w:val="lv-LV"/>
        </w:rPr>
        <w:t>o</w:t>
      </w:r>
      <w:r w:rsidR="003D0090">
        <w:rPr>
          <w:color w:val="FFFFFF" w:themeColor="background1"/>
          <w:sz w:val="28"/>
          <w:lang w:val="lv-LV"/>
        </w:rPr>
        <w:t xml:space="preserve"> rādītāj</w:t>
      </w:r>
      <w:r w:rsidR="00ED5874">
        <w:rPr>
          <w:color w:val="FFFFFF" w:themeColor="background1"/>
          <w:sz w:val="28"/>
          <w:lang w:val="lv-LV"/>
        </w:rPr>
        <w:t>u prognozes</w:t>
      </w:r>
      <w:r w:rsidR="003D0090">
        <w:rPr>
          <w:color w:val="FFFFFF" w:themeColor="background1"/>
          <w:sz w:val="28"/>
          <w:lang w:val="lv-LV"/>
        </w:rPr>
        <w:t xml:space="preserve"> Pamatnostādņu periodam (201</w:t>
      </w:r>
      <w:r w:rsidR="00172631">
        <w:rPr>
          <w:color w:val="FFFFFF" w:themeColor="background1"/>
          <w:sz w:val="28"/>
          <w:lang w:val="lv-LV"/>
        </w:rPr>
        <w:t>8</w:t>
      </w:r>
      <w:r w:rsidR="003D0090">
        <w:rPr>
          <w:color w:val="FFFFFF" w:themeColor="background1"/>
          <w:sz w:val="28"/>
          <w:lang w:val="lv-LV"/>
        </w:rPr>
        <w:t>.-2020.</w:t>
      </w:r>
      <w:r w:rsidR="00391072">
        <w:rPr>
          <w:color w:val="FFFFFF" w:themeColor="background1"/>
          <w:sz w:val="28"/>
          <w:lang w:val="lv-LV"/>
        </w:rPr>
        <w:t>gads</w:t>
      </w:r>
      <w:r w:rsidR="003D0090">
        <w:rPr>
          <w:color w:val="FFFFFF" w:themeColor="background1"/>
          <w:sz w:val="28"/>
          <w:lang w:val="lv-LV"/>
        </w:rPr>
        <w:t>)</w:t>
      </w:r>
      <w:bookmarkEnd w:id="16"/>
    </w:p>
    <w:p w14:paraId="529268BA" w14:textId="77777777" w:rsidR="00915D57" w:rsidRDefault="00915D57" w:rsidP="007111B1">
      <w:pPr>
        <w:ind w:firstLine="720"/>
        <w:jc w:val="both"/>
        <w:rPr>
          <w:sz w:val="24"/>
        </w:rPr>
      </w:pPr>
    </w:p>
    <w:p w14:paraId="11596EC4" w14:textId="39B6DCA2" w:rsidR="00225843" w:rsidRPr="00225843" w:rsidRDefault="00915D57" w:rsidP="007111B1">
      <w:pPr>
        <w:ind w:firstLine="720"/>
        <w:jc w:val="both"/>
        <w:rPr>
          <w:sz w:val="24"/>
          <w:szCs w:val="24"/>
          <w:lang w:val="x-none"/>
        </w:rPr>
      </w:pPr>
      <w:r>
        <w:rPr>
          <w:sz w:val="24"/>
        </w:rPr>
        <w:t>Pamatojoties uz veikto rezultatīvo rādītāju izpildes analīzi, kā arī ievērojot tūrisma attīstības tendences</w:t>
      </w:r>
      <w:r w:rsidR="003D0090">
        <w:rPr>
          <w:sz w:val="24"/>
        </w:rPr>
        <w:t xml:space="preserve"> un prognozes</w:t>
      </w:r>
      <w:r>
        <w:rPr>
          <w:sz w:val="24"/>
        </w:rPr>
        <w:t xml:space="preserve">, ir nepieciešams </w:t>
      </w:r>
      <w:r w:rsidR="009519D9">
        <w:rPr>
          <w:sz w:val="24"/>
        </w:rPr>
        <w:t>izvērtēt</w:t>
      </w:r>
      <w:r>
        <w:rPr>
          <w:sz w:val="24"/>
        </w:rPr>
        <w:t xml:space="preserve"> atsevišķus rezultatīvos rādītājus </w:t>
      </w:r>
      <w:r w:rsidR="009519D9">
        <w:rPr>
          <w:sz w:val="24"/>
        </w:rPr>
        <w:t xml:space="preserve">un to prognozes </w:t>
      </w:r>
      <w:r>
        <w:rPr>
          <w:sz w:val="24"/>
        </w:rPr>
        <w:t>turpmākajam Pamatnostādņu periodam (201</w:t>
      </w:r>
      <w:r w:rsidR="00172631">
        <w:rPr>
          <w:sz w:val="24"/>
        </w:rPr>
        <w:t>8</w:t>
      </w:r>
      <w:r w:rsidR="003D0090">
        <w:rPr>
          <w:sz w:val="24"/>
        </w:rPr>
        <w:t>.-2020.</w:t>
      </w:r>
      <w:r w:rsidR="00391072">
        <w:rPr>
          <w:sz w:val="24"/>
        </w:rPr>
        <w:t>gads</w:t>
      </w:r>
      <w:r w:rsidR="003D0090">
        <w:rPr>
          <w:sz w:val="24"/>
        </w:rPr>
        <w:t>).</w:t>
      </w:r>
    </w:p>
    <w:p w14:paraId="4415DC1B" w14:textId="687DDE42" w:rsidR="00225843" w:rsidRDefault="00225843" w:rsidP="00B93CF6">
      <w:pPr>
        <w:ind w:firstLine="360"/>
        <w:jc w:val="both"/>
        <w:rPr>
          <w:rFonts w:eastAsiaTheme="majorEastAsia" w:cstheme="majorBidi"/>
          <w:b/>
          <w:color w:val="FFFFFF" w:themeColor="background1"/>
          <w:sz w:val="24"/>
          <w:szCs w:val="26"/>
        </w:rPr>
      </w:pPr>
    </w:p>
    <w:p w14:paraId="4CEEE77E" w14:textId="20EA78F7" w:rsidR="00225843" w:rsidRDefault="00225843" w:rsidP="00225843">
      <w:pPr>
        <w:pStyle w:val="Heading2"/>
        <w:shd w:val="clear" w:color="auto" w:fill="1DA0A7"/>
        <w:rPr>
          <w:szCs w:val="24"/>
        </w:rPr>
      </w:pPr>
      <w:bookmarkStart w:id="17" w:name="_Toc500423598"/>
      <w:r>
        <w:rPr>
          <w:b/>
          <w:color w:val="FFFFFF" w:themeColor="background1"/>
        </w:rPr>
        <w:t>3.1</w:t>
      </w:r>
      <w:r w:rsidRPr="009E53C0">
        <w:rPr>
          <w:b/>
          <w:color w:val="FFFFFF" w:themeColor="background1"/>
        </w:rPr>
        <w:t xml:space="preserve">. </w:t>
      </w:r>
      <w:r w:rsidRPr="00225843">
        <w:rPr>
          <w:b/>
          <w:color w:val="FFFFFF" w:themeColor="background1"/>
        </w:rPr>
        <w:t>Tūrisma kā tautsaimniecības sektora attīstība</w:t>
      </w:r>
      <w:r>
        <w:rPr>
          <w:b/>
          <w:color w:val="FFFFFF" w:themeColor="background1"/>
        </w:rPr>
        <w:t>s prognozes</w:t>
      </w:r>
      <w:bookmarkEnd w:id="17"/>
    </w:p>
    <w:p w14:paraId="42D7F492" w14:textId="50B62DD9" w:rsidR="00915D57" w:rsidRPr="00922CA5" w:rsidRDefault="00915D57" w:rsidP="00915D57">
      <w:pPr>
        <w:ind w:firstLine="567"/>
        <w:jc w:val="both"/>
        <w:rPr>
          <w:sz w:val="24"/>
        </w:rPr>
      </w:pPr>
      <w:r>
        <w:rPr>
          <w:sz w:val="24"/>
        </w:rPr>
        <w:t xml:space="preserve">Pamatnostādņu starpnovērtējuma procesā Ekonomikas </w:t>
      </w:r>
      <w:r w:rsidR="00D71DE0">
        <w:rPr>
          <w:sz w:val="24"/>
        </w:rPr>
        <w:t>ministrija</w:t>
      </w:r>
      <w:r w:rsidRPr="00922CA5">
        <w:rPr>
          <w:sz w:val="24"/>
        </w:rPr>
        <w:t xml:space="preserve"> ir veikusi tūrisma kā nozares</w:t>
      </w:r>
      <w:r>
        <w:t xml:space="preserve"> </w:t>
      </w:r>
      <w:r>
        <w:rPr>
          <w:sz w:val="24"/>
        </w:rPr>
        <w:t>(</w:t>
      </w:r>
      <w:r w:rsidRPr="00225843">
        <w:rPr>
          <w:sz w:val="24"/>
        </w:rPr>
        <w:t>tūrisma nozare kā tautsaimniecības sektors atbilstoši tūrisma satelītkontu koncepcijai</w:t>
      </w:r>
      <w:r>
        <w:rPr>
          <w:sz w:val="24"/>
        </w:rPr>
        <w:t>)</w:t>
      </w:r>
      <w:r w:rsidRPr="00225843">
        <w:rPr>
          <w:sz w:val="24"/>
        </w:rPr>
        <w:t xml:space="preserve"> </w:t>
      </w:r>
      <w:r w:rsidRPr="00922CA5">
        <w:rPr>
          <w:sz w:val="24"/>
        </w:rPr>
        <w:t>attīstības novērtējumu 2014. līdz 2016.gadam, analizējot tūrisma raksturīgo nozaru un izlietojuma posteņu dinamiku par kuriem ir pieejami statistiskie dati. Ir sagatavotas arī tūrisma attīstības prognozes 201</w:t>
      </w:r>
      <w:r w:rsidR="00172631">
        <w:rPr>
          <w:sz w:val="24"/>
        </w:rPr>
        <w:t>8</w:t>
      </w:r>
      <w:r w:rsidRPr="00922CA5">
        <w:rPr>
          <w:sz w:val="24"/>
        </w:rPr>
        <w:t>. līdz 2020.gadam.</w:t>
      </w:r>
    </w:p>
    <w:p w14:paraId="622E538A" w14:textId="77777777" w:rsidR="00225843" w:rsidRDefault="00225843" w:rsidP="00225843">
      <w:pPr>
        <w:jc w:val="center"/>
        <w:rPr>
          <w:b/>
          <w:sz w:val="24"/>
        </w:rPr>
      </w:pPr>
    </w:p>
    <w:p w14:paraId="38A8B765" w14:textId="77777777" w:rsidR="00915D57" w:rsidRPr="00922CA5" w:rsidRDefault="00915D57" w:rsidP="00915D57">
      <w:pPr>
        <w:spacing w:after="120"/>
        <w:jc w:val="center"/>
        <w:rPr>
          <w:b/>
          <w:sz w:val="24"/>
        </w:rPr>
      </w:pPr>
      <w:r w:rsidRPr="00922CA5">
        <w:rPr>
          <w:b/>
          <w:sz w:val="24"/>
        </w:rPr>
        <w:t>Tūrisma nozares ieguldījums tautsaimniecībā</w:t>
      </w:r>
    </w:p>
    <w:tbl>
      <w:tblPr>
        <w:tblStyle w:val="GridTable1Light1"/>
        <w:tblW w:w="9395" w:type="dxa"/>
        <w:jc w:val="center"/>
        <w:tblLook w:val="04A0" w:firstRow="1" w:lastRow="0" w:firstColumn="1" w:lastColumn="0" w:noHBand="0" w:noVBand="1"/>
      </w:tblPr>
      <w:tblGrid>
        <w:gridCol w:w="3125"/>
        <w:gridCol w:w="712"/>
        <w:gridCol w:w="794"/>
        <w:gridCol w:w="794"/>
        <w:gridCol w:w="794"/>
        <w:gridCol w:w="794"/>
        <w:gridCol w:w="794"/>
        <w:gridCol w:w="794"/>
        <w:gridCol w:w="794"/>
      </w:tblGrid>
      <w:tr w:rsidR="00915D57" w:rsidRPr="003D0090" w14:paraId="17C46FC5" w14:textId="77777777" w:rsidTr="003D009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25" w:type="dxa"/>
            <w:vMerge w:val="restart"/>
          </w:tcPr>
          <w:p w14:paraId="3B906F97" w14:textId="77777777" w:rsidR="00915D57" w:rsidRPr="003D0090" w:rsidRDefault="00915D57" w:rsidP="0032229B">
            <w:pPr>
              <w:jc w:val="both"/>
              <w:rPr>
                <w:rFonts w:cs="Times New Roman"/>
                <w:sz w:val="20"/>
                <w:szCs w:val="20"/>
              </w:rPr>
            </w:pPr>
          </w:p>
        </w:tc>
        <w:tc>
          <w:tcPr>
            <w:tcW w:w="712" w:type="dxa"/>
          </w:tcPr>
          <w:p w14:paraId="2F15BBCA" w14:textId="77777777" w:rsidR="00915D57" w:rsidRPr="003D0090" w:rsidRDefault="00915D57" w:rsidP="0032229B">
            <w:pPr>
              <w:jc w:val="cente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3D0090">
              <w:rPr>
                <w:rFonts w:cs="Times New Roman"/>
                <w:sz w:val="20"/>
                <w:szCs w:val="20"/>
              </w:rPr>
              <w:t>Fakts</w:t>
            </w:r>
          </w:p>
        </w:tc>
        <w:tc>
          <w:tcPr>
            <w:tcW w:w="2382" w:type="dxa"/>
            <w:gridSpan w:val="3"/>
          </w:tcPr>
          <w:p w14:paraId="6FD1F63E" w14:textId="77777777" w:rsidR="00915D57" w:rsidRPr="003D0090" w:rsidRDefault="00915D57" w:rsidP="0032229B">
            <w:pPr>
              <w:jc w:val="cente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3D0090">
              <w:rPr>
                <w:rFonts w:cs="Times New Roman"/>
                <w:sz w:val="20"/>
                <w:szCs w:val="20"/>
              </w:rPr>
              <w:t>Fakts un novērtējums</w:t>
            </w:r>
            <w:r w:rsidRPr="003D0090">
              <w:rPr>
                <w:rStyle w:val="FootnoteReference"/>
                <w:rFonts w:cs="Times New Roman"/>
                <w:sz w:val="20"/>
                <w:szCs w:val="20"/>
              </w:rPr>
              <w:footnoteReference w:id="1"/>
            </w:r>
          </w:p>
        </w:tc>
        <w:tc>
          <w:tcPr>
            <w:tcW w:w="3176" w:type="dxa"/>
            <w:gridSpan w:val="4"/>
          </w:tcPr>
          <w:p w14:paraId="64E09BC3" w14:textId="77777777" w:rsidR="00915D57" w:rsidRPr="003D0090" w:rsidRDefault="00915D57" w:rsidP="0032229B">
            <w:pPr>
              <w:jc w:val="cente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3D0090">
              <w:rPr>
                <w:rFonts w:cs="Times New Roman"/>
                <w:sz w:val="20"/>
                <w:szCs w:val="20"/>
              </w:rPr>
              <w:t>Prognoze</w:t>
            </w:r>
          </w:p>
        </w:tc>
      </w:tr>
      <w:tr w:rsidR="00915D57" w:rsidRPr="003D0090" w14:paraId="2FECE282" w14:textId="77777777" w:rsidTr="003D0090">
        <w:trPr>
          <w:jc w:val="center"/>
        </w:trPr>
        <w:tc>
          <w:tcPr>
            <w:cnfStyle w:val="001000000000" w:firstRow="0" w:lastRow="0" w:firstColumn="1" w:lastColumn="0" w:oddVBand="0" w:evenVBand="0" w:oddHBand="0" w:evenHBand="0" w:firstRowFirstColumn="0" w:firstRowLastColumn="0" w:lastRowFirstColumn="0" w:lastRowLastColumn="0"/>
            <w:tcW w:w="3125" w:type="dxa"/>
            <w:vMerge/>
          </w:tcPr>
          <w:p w14:paraId="66008991" w14:textId="77777777" w:rsidR="00915D57" w:rsidRPr="003D0090" w:rsidRDefault="00915D57" w:rsidP="0032229B">
            <w:pPr>
              <w:jc w:val="both"/>
              <w:rPr>
                <w:rFonts w:cs="Times New Roman"/>
                <w:sz w:val="20"/>
                <w:szCs w:val="20"/>
              </w:rPr>
            </w:pPr>
          </w:p>
        </w:tc>
        <w:tc>
          <w:tcPr>
            <w:tcW w:w="712" w:type="dxa"/>
          </w:tcPr>
          <w:p w14:paraId="3DAA77F0" w14:textId="77777777" w:rsidR="00915D57" w:rsidRPr="003D0090" w:rsidRDefault="00915D57" w:rsidP="0032229B">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D0090">
              <w:rPr>
                <w:rFonts w:cs="Times New Roman"/>
                <w:sz w:val="20"/>
                <w:szCs w:val="20"/>
              </w:rPr>
              <w:t>2013</w:t>
            </w:r>
          </w:p>
        </w:tc>
        <w:tc>
          <w:tcPr>
            <w:tcW w:w="794" w:type="dxa"/>
          </w:tcPr>
          <w:p w14:paraId="4FC7FA1E" w14:textId="77777777" w:rsidR="00915D57" w:rsidRPr="003D0090" w:rsidRDefault="00915D57" w:rsidP="0032229B">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D0090">
              <w:rPr>
                <w:rFonts w:cs="Times New Roman"/>
                <w:sz w:val="20"/>
                <w:szCs w:val="20"/>
              </w:rPr>
              <w:t>2014</w:t>
            </w:r>
          </w:p>
        </w:tc>
        <w:tc>
          <w:tcPr>
            <w:tcW w:w="794" w:type="dxa"/>
          </w:tcPr>
          <w:p w14:paraId="45D33920" w14:textId="77777777" w:rsidR="00915D57" w:rsidRPr="003D0090" w:rsidRDefault="00915D57" w:rsidP="0032229B">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D0090">
              <w:rPr>
                <w:rFonts w:cs="Times New Roman"/>
                <w:sz w:val="20"/>
                <w:szCs w:val="20"/>
              </w:rPr>
              <w:t>2015</w:t>
            </w:r>
          </w:p>
        </w:tc>
        <w:tc>
          <w:tcPr>
            <w:tcW w:w="794" w:type="dxa"/>
          </w:tcPr>
          <w:p w14:paraId="53434D80" w14:textId="77777777" w:rsidR="00915D57" w:rsidRPr="003D0090" w:rsidRDefault="00915D57" w:rsidP="0032229B">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D0090">
              <w:rPr>
                <w:rFonts w:cs="Times New Roman"/>
                <w:sz w:val="20"/>
                <w:szCs w:val="20"/>
              </w:rPr>
              <w:t>2016</w:t>
            </w:r>
          </w:p>
        </w:tc>
        <w:tc>
          <w:tcPr>
            <w:tcW w:w="794" w:type="dxa"/>
          </w:tcPr>
          <w:p w14:paraId="58010F46" w14:textId="77777777" w:rsidR="00915D57" w:rsidRPr="003D0090" w:rsidRDefault="00915D57" w:rsidP="0032229B">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D0090">
              <w:rPr>
                <w:rFonts w:cs="Times New Roman"/>
                <w:sz w:val="20"/>
                <w:szCs w:val="20"/>
              </w:rPr>
              <w:t>2017</w:t>
            </w:r>
          </w:p>
        </w:tc>
        <w:tc>
          <w:tcPr>
            <w:tcW w:w="794" w:type="dxa"/>
          </w:tcPr>
          <w:p w14:paraId="3BB3E039" w14:textId="77777777" w:rsidR="00915D57" w:rsidRPr="003D0090" w:rsidRDefault="00915D57" w:rsidP="0032229B">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D0090">
              <w:rPr>
                <w:rFonts w:cs="Times New Roman"/>
                <w:sz w:val="20"/>
                <w:szCs w:val="20"/>
              </w:rPr>
              <w:t>2018</w:t>
            </w:r>
          </w:p>
        </w:tc>
        <w:tc>
          <w:tcPr>
            <w:tcW w:w="794" w:type="dxa"/>
          </w:tcPr>
          <w:p w14:paraId="7EADC4D8" w14:textId="77777777" w:rsidR="00915D57" w:rsidRPr="003D0090" w:rsidRDefault="00915D57" w:rsidP="0032229B">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D0090">
              <w:rPr>
                <w:rFonts w:cs="Times New Roman"/>
                <w:sz w:val="20"/>
                <w:szCs w:val="20"/>
              </w:rPr>
              <w:t>2019</w:t>
            </w:r>
          </w:p>
        </w:tc>
        <w:tc>
          <w:tcPr>
            <w:tcW w:w="794" w:type="dxa"/>
          </w:tcPr>
          <w:p w14:paraId="6B658003" w14:textId="77777777" w:rsidR="00915D57" w:rsidRPr="003D0090" w:rsidRDefault="00915D57" w:rsidP="0032229B">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D0090">
              <w:rPr>
                <w:rFonts w:cs="Times New Roman"/>
                <w:sz w:val="20"/>
                <w:szCs w:val="20"/>
              </w:rPr>
              <w:t>2020</w:t>
            </w:r>
          </w:p>
        </w:tc>
      </w:tr>
      <w:tr w:rsidR="00915D57" w:rsidRPr="003D0090" w14:paraId="583930B2" w14:textId="77777777" w:rsidTr="003D0090">
        <w:trPr>
          <w:jc w:val="center"/>
        </w:trPr>
        <w:tc>
          <w:tcPr>
            <w:cnfStyle w:val="001000000000" w:firstRow="0" w:lastRow="0" w:firstColumn="1" w:lastColumn="0" w:oddVBand="0" w:evenVBand="0" w:oddHBand="0" w:evenHBand="0" w:firstRowFirstColumn="0" w:firstRowLastColumn="0" w:lastRowFirstColumn="0" w:lastRowLastColumn="0"/>
            <w:tcW w:w="3125" w:type="dxa"/>
          </w:tcPr>
          <w:p w14:paraId="2DBA72F7" w14:textId="77777777" w:rsidR="00915D57" w:rsidRPr="003D0090" w:rsidRDefault="00915D57" w:rsidP="0032229B">
            <w:pPr>
              <w:rPr>
                <w:rFonts w:cs="Times New Roman"/>
                <w:sz w:val="20"/>
                <w:szCs w:val="20"/>
              </w:rPr>
            </w:pPr>
            <w:r w:rsidRPr="003D0090">
              <w:rPr>
                <w:rFonts w:cs="Times New Roman"/>
                <w:sz w:val="20"/>
                <w:szCs w:val="20"/>
              </w:rPr>
              <w:t>Tūrisma nozares īpatsvars kopējā pievienotā vērtībā (%)</w:t>
            </w:r>
          </w:p>
        </w:tc>
        <w:tc>
          <w:tcPr>
            <w:tcW w:w="712" w:type="dxa"/>
          </w:tcPr>
          <w:p w14:paraId="64D92A1F" w14:textId="77777777" w:rsidR="00915D57" w:rsidRPr="003D0090" w:rsidRDefault="00915D57" w:rsidP="0032229B">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rPr>
            </w:pPr>
            <w:r w:rsidRPr="003D0090">
              <w:rPr>
                <w:rFonts w:cs="Times New Roman"/>
                <w:color w:val="000000"/>
                <w:sz w:val="20"/>
                <w:szCs w:val="20"/>
              </w:rPr>
              <w:t>4.2</w:t>
            </w:r>
          </w:p>
        </w:tc>
        <w:tc>
          <w:tcPr>
            <w:tcW w:w="794" w:type="dxa"/>
          </w:tcPr>
          <w:p w14:paraId="7A31D088" w14:textId="77777777" w:rsidR="00915D57" w:rsidRPr="003D0090" w:rsidRDefault="00915D57" w:rsidP="0032229B">
            <w:pPr>
              <w:jc w:val="right"/>
              <w:cnfStyle w:val="000000000000" w:firstRow="0" w:lastRow="0" w:firstColumn="0" w:lastColumn="0" w:oddVBand="0" w:evenVBand="0" w:oddHBand="0" w:evenHBand="0" w:firstRowFirstColumn="0" w:firstRowLastColumn="0" w:lastRowFirstColumn="0" w:lastRowLastColumn="0"/>
              <w:rPr>
                <w:rFonts w:cs="Times New Roman"/>
                <w:i/>
                <w:color w:val="000000"/>
                <w:sz w:val="20"/>
                <w:szCs w:val="20"/>
              </w:rPr>
            </w:pPr>
            <w:r w:rsidRPr="003D0090">
              <w:rPr>
                <w:rFonts w:cs="Times New Roman"/>
                <w:i/>
                <w:color w:val="000000"/>
                <w:sz w:val="20"/>
                <w:szCs w:val="20"/>
              </w:rPr>
              <w:t>4.4</w:t>
            </w:r>
          </w:p>
        </w:tc>
        <w:tc>
          <w:tcPr>
            <w:tcW w:w="794" w:type="dxa"/>
          </w:tcPr>
          <w:p w14:paraId="6419F979" w14:textId="77777777" w:rsidR="00915D57" w:rsidRPr="003D0090" w:rsidRDefault="00915D57" w:rsidP="0032229B">
            <w:pPr>
              <w:jc w:val="right"/>
              <w:cnfStyle w:val="000000000000" w:firstRow="0" w:lastRow="0" w:firstColumn="0" w:lastColumn="0" w:oddVBand="0" w:evenVBand="0" w:oddHBand="0" w:evenHBand="0" w:firstRowFirstColumn="0" w:firstRowLastColumn="0" w:lastRowFirstColumn="0" w:lastRowLastColumn="0"/>
              <w:rPr>
                <w:rFonts w:cs="Times New Roman"/>
                <w:i/>
                <w:color w:val="000000"/>
                <w:sz w:val="20"/>
                <w:szCs w:val="20"/>
              </w:rPr>
            </w:pPr>
            <w:r w:rsidRPr="003D0090">
              <w:rPr>
                <w:rFonts w:cs="Times New Roman"/>
                <w:i/>
                <w:color w:val="000000"/>
                <w:sz w:val="20"/>
                <w:szCs w:val="20"/>
              </w:rPr>
              <w:t>4.8</w:t>
            </w:r>
          </w:p>
        </w:tc>
        <w:tc>
          <w:tcPr>
            <w:tcW w:w="794" w:type="dxa"/>
          </w:tcPr>
          <w:p w14:paraId="538491C3" w14:textId="77777777" w:rsidR="00915D57" w:rsidRPr="003D0090" w:rsidRDefault="00915D57" w:rsidP="0032229B">
            <w:pPr>
              <w:jc w:val="right"/>
              <w:cnfStyle w:val="000000000000" w:firstRow="0" w:lastRow="0" w:firstColumn="0" w:lastColumn="0" w:oddVBand="0" w:evenVBand="0" w:oddHBand="0" w:evenHBand="0" w:firstRowFirstColumn="0" w:firstRowLastColumn="0" w:lastRowFirstColumn="0" w:lastRowLastColumn="0"/>
              <w:rPr>
                <w:rFonts w:cs="Times New Roman"/>
                <w:i/>
                <w:color w:val="000000"/>
                <w:sz w:val="20"/>
                <w:szCs w:val="20"/>
              </w:rPr>
            </w:pPr>
            <w:r w:rsidRPr="003D0090">
              <w:rPr>
                <w:rFonts w:cs="Times New Roman"/>
                <w:i/>
                <w:color w:val="000000"/>
                <w:sz w:val="20"/>
                <w:szCs w:val="20"/>
              </w:rPr>
              <w:t>5.3</w:t>
            </w:r>
          </w:p>
        </w:tc>
        <w:tc>
          <w:tcPr>
            <w:tcW w:w="794" w:type="dxa"/>
          </w:tcPr>
          <w:p w14:paraId="1FD8DAE1" w14:textId="77777777" w:rsidR="00915D57" w:rsidRPr="003D0090" w:rsidRDefault="00915D57" w:rsidP="0032229B">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rPr>
            </w:pPr>
            <w:r w:rsidRPr="003D0090">
              <w:rPr>
                <w:rFonts w:cs="Times New Roman"/>
                <w:color w:val="000000"/>
                <w:sz w:val="20"/>
                <w:szCs w:val="20"/>
              </w:rPr>
              <w:t>5.4</w:t>
            </w:r>
          </w:p>
        </w:tc>
        <w:tc>
          <w:tcPr>
            <w:tcW w:w="794" w:type="dxa"/>
          </w:tcPr>
          <w:p w14:paraId="5D51B8F0" w14:textId="77777777" w:rsidR="00915D57" w:rsidRPr="003D0090" w:rsidRDefault="00915D57" w:rsidP="0032229B">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rPr>
            </w:pPr>
            <w:r w:rsidRPr="003D0090">
              <w:rPr>
                <w:rFonts w:cs="Times New Roman"/>
                <w:color w:val="000000"/>
                <w:sz w:val="20"/>
                <w:szCs w:val="20"/>
              </w:rPr>
              <w:t>5.5</w:t>
            </w:r>
          </w:p>
        </w:tc>
        <w:tc>
          <w:tcPr>
            <w:tcW w:w="794" w:type="dxa"/>
          </w:tcPr>
          <w:p w14:paraId="2330A8CE" w14:textId="77777777" w:rsidR="00915D57" w:rsidRPr="003D0090" w:rsidRDefault="00915D57" w:rsidP="0032229B">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rPr>
            </w:pPr>
            <w:r w:rsidRPr="003D0090">
              <w:rPr>
                <w:rFonts w:cs="Times New Roman"/>
                <w:color w:val="000000"/>
                <w:sz w:val="20"/>
                <w:szCs w:val="20"/>
              </w:rPr>
              <w:t>5.2</w:t>
            </w:r>
          </w:p>
        </w:tc>
        <w:tc>
          <w:tcPr>
            <w:tcW w:w="794" w:type="dxa"/>
          </w:tcPr>
          <w:p w14:paraId="1CC8A39B" w14:textId="77777777" w:rsidR="00915D57" w:rsidRPr="003D0090" w:rsidRDefault="00915D57" w:rsidP="0032229B">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rPr>
            </w:pPr>
            <w:r w:rsidRPr="003D0090">
              <w:rPr>
                <w:rFonts w:cs="Times New Roman"/>
                <w:color w:val="000000"/>
                <w:sz w:val="20"/>
                <w:szCs w:val="20"/>
              </w:rPr>
              <w:t>5.1</w:t>
            </w:r>
          </w:p>
        </w:tc>
      </w:tr>
      <w:tr w:rsidR="00915D57" w:rsidRPr="003D0090" w14:paraId="7877F67F" w14:textId="77777777" w:rsidTr="003D0090">
        <w:trPr>
          <w:jc w:val="center"/>
        </w:trPr>
        <w:tc>
          <w:tcPr>
            <w:cnfStyle w:val="001000000000" w:firstRow="0" w:lastRow="0" w:firstColumn="1" w:lastColumn="0" w:oddVBand="0" w:evenVBand="0" w:oddHBand="0" w:evenHBand="0" w:firstRowFirstColumn="0" w:firstRowLastColumn="0" w:lastRowFirstColumn="0" w:lastRowLastColumn="0"/>
            <w:tcW w:w="3125" w:type="dxa"/>
          </w:tcPr>
          <w:p w14:paraId="250E1021" w14:textId="77777777" w:rsidR="00915D57" w:rsidRPr="003D0090" w:rsidRDefault="00915D57" w:rsidP="0032229B">
            <w:pPr>
              <w:rPr>
                <w:rFonts w:cs="Times New Roman"/>
                <w:sz w:val="20"/>
                <w:szCs w:val="20"/>
              </w:rPr>
            </w:pPr>
            <w:r w:rsidRPr="003D0090">
              <w:rPr>
                <w:rFonts w:cs="Times New Roman"/>
                <w:sz w:val="20"/>
                <w:szCs w:val="20"/>
              </w:rPr>
              <w:t>Braucienu un pasažieru transporta īpatsvars preču un pakalpojumu eksportā</w:t>
            </w:r>
            <w:r w:rsidRPr="003D0090">
              <w:rPr>
                <w:rStyle w:val="FootnoteReference"/>
                <w:rFonts w:cs="Times New Roman"/>
                <w:sz w:val="20"/>
                <w:szCs w:val="20"/>
              </w:rPr>
              <w:footnoteReference w:id="2"/>
            </w:r>
            <w:r w:rsidRPr="003D0090">
              <w:rPr>
                <w:rFonts w:cs="Times New Roman"/>
                <w:sz w:val="20"/>
                <w:szCs w:val="20"/>
              </w:rPr>
              <w:t xml:space="preserve"> (%)</w:t>
            </w:r>
          </w:p>
        </w:tc>
        <w:tc>
          <w:tcPr>
            <w:tcW w:w="712" w:type="dxa"/>
          </w:tcPr>
          <w:p w14:paraId="278D984F" w14:textId="77777777" w:rsidR="00915D57" w:rsidRPr="003D0090" w:rsidRDefault="00915D57" w:rsidP="0032229B">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rPr>
            </w:pPr>
            <w:r w:rsidRPr="003D0090">
              <w:rPr>
                <w:rFonts w:cs="Times New Roman"/>
                <w:color w:val="000000"/>
                <w:sz w:val="20"/>
                <w:szCs w:val="20"/>
              </w:rPr>
              <w:t>6.2</w:t>
            </w:r>
          </w:p>
        </w:tc>
        <w:tc>
          <w:tcPr>
            <w:tcW w:w="794" w:type="dxa"/>
          </w:tcPr>
          <w:p w14:paraId="7E18CBC3" w14:textId="77777777" w:rsidR="00915D57" w:rsidRPr="003D0090" w:rsidRDefault="00915D57" w:rsidP="0032229B">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rPr>
            </w:pPr>
            <w:r w:rsidRPr="003D0090">
              <w:rPr>
                <w:rFonts w:cs="Times New Roman"/>
                <w:color w:val="000000"/>
                <w:sz w:val="20"/>
                <w:szCs w:val="20"/>
              </w:rPr>
              <w:t>6.5</w:t>
            </w:r>
          </w:p>
        </w:tc>
        <w:tc>
          <w:tcPr>
            <w:tcW w:w="794" w:type="dxa"/>
          </w:tcPr>
          <w:p w14:paraId="184DF978" w14:textId="77777777" w:rsidR="00915D57" w:rsidRPr="003D0090" w:rsidRDefault="00915D57" w:rsidP="0032229B">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rPr>
            </w:pPr>
            <w:r w:rsidRPr="003D0090">
              <w:rPr>
                <w:rFonts w:cs="Times New Roman"/>
                <w:color w:val="000000"/>
                <w:sz w:val="20"/>
                <w:szCs w:val="20"/>
              </w:rPr>
              <w:t>7.2</w:t>
            </w:r>
          </w:p>
        </w:tc>
        <w:tc>
          <w:tcPr>
            <w:tcW w:w="794" w:type="dxa"/>
          </w:tcPr>
          <w:p w14:paraId="02682D5D" w14:textId="77777777" w:rsidR="00915D57" w:rsidRPr="003D0090" w:rsidRDefault="00915D57" w:rsidP="0032229B">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rPr>
            </w:pPr>
            <w:r w:rsidRPr="003D0090">
              <w:rPr>
                <w:rFonts w:cs="Times New Roman"/>
                <w:color w:val="000000"/>
                <w:sz w:val="20"/>
                <w:szCs w:val="20"/>
              </w:rPr>
              <w:t>8.0</w:t>
            </w:r>
          </w:p>
        </w:tc>
        <w:tc>
          <w:tcPr>
            <w:tcW w:w="794" w:type="dxa"/>
          </w:tcPr>
          <w:p w14:paraId="71A1082C" w14:textId="77777777" w:rsidR="00915D57" w:rsidRPr="003D0090" w:rsidRDefault="00915D57" w:rsidP="0032229B">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rPr>
            </w:pPr>
            <w:r w:rsidRPr="003D0090">
              <w:rPr>
                <w:rFonts w:cs="Times New Roman"/>
                <w:color w:val="000000"/>
                <w:sz w:val="20"/>
                <w:szCs w:val="20"/>
              </w:rPr>
              <w:t>8.2</w:t>
            </w:r>
          </w:p>
        </w:tc>
        <w:tc>
          <w:tcPr>
            <w:tcW w:w="794" w:type="dxa"/>
          </w:tcPr>
          <w:p w14:paraId="49C37373" w14:textId="77777777" w:rsidR="00915D57" w:rsidRPr="003D0090" w:rsidRDefault="00915D57" w:rsidP="0032229B">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rPr>
            </w:pPr>
            <w:r w:rsidRPr="003D0090">
              <w:rPr>
                <w:rFonts w:cs="Times New Roman"/>
                <w:color w:val="000000"/>
                <w:sz w:val="20"/>
                <w:szCs w:val="20"/>
              </w:rPr>
              <w:t>8.4</w:t>
            </w:r>
          </w:p>
        </w:tc>
        <w:tc>
          <w:tcPr>
            <w:tcW w:w="794" w:type="dxa"/>
          </w:tcPr>
          <w:p w14:paraId="6A30F018" w14:textId="77777777" w:rsidR="00915D57" w:rsidRPr="003D0090" w:rsidRDefault="00915D57" w:rsidP="0032229B">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rPr>
            </w:pPr>
            <w:r w:rsidRPr="003D0090">
              <w:rPr>
                <w:rFonts w:cs="Times New Roman"/>
                <w:color w:val="000000"/>
                <w:sz w:val="20"/>
                <w:szCs w:val="20"/>
              </w:rPr>
              <w:t>7.9</w:t>
            </w:r>
          </w:p>
        </w:tc>
        <w:tc>
          <w:tcPr>
            <w:tcW w:w="794" w:type="dxa"/>
          </w:tcPr>
          <w:p w14:paraId="7277C971" w14:textId="77777777" w:rsidR="00915D57" w:rsidRPr="003D0090" w:rsidRDefault="00915D57" w:rsidP="0032229B">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rPr>
            </w:pPr>
            <w:r w:rsidRPr="003D0090">
              <w:rPr>
                <w:rFonts w:cs="Times New Roman"/>
                <w:color w:val="000000"/>
                <w:sz w:val="20"/>
                <w:szCs w:val="20"/>
              </w:rPr>
              <w:t>7.9</w:t>
            </w:r>
          </w:p>
        </w:tc>
      </w:tr>
    </w:tbl>
    <w:p w14:paraId="2D386F7B" w14:textId="77777777" w:rsidR="00915D57" w:rsidRPr="00922CA5" w:rsidRDefault="00915D57" w:rsidP="00915D57">
      <w:pPr>
        <w:jc w:val="both"/>
        <w:rPr>
          <w:sz w:val="24"/>
          <w:szCs w:val="24"/>
        </w:rPr>
      </w:pPr>
    </w:p>
    <w:p w14:paraId="69199993" w14:textId="77777777" w:rsidR="00915D57" w:rsidRPr="00922CA5" w:rsidRDefault="00915D57" w:rsidP="00915D57">
      <w:pPr>
        <w:ind w:firstLine="567"/>
        <w:jc w:val="both"/>
        <w:rPr>
          <w:sz w:val="24"/>
          <w:szCs w:val="24"/>
        </w:rPr>
      </w:pPr>
      <w:r w:rsidRPr="00922CA5">
        <w:rPr>
          <w:sz w:val="24"/>
          <w:szCs w:val="24"/>
        </w:rPr>
        <w:t>Ik gadu šajā periodā ar tūrismu saistītie ienākumi pieauga straujākos tempos nekā bija kopējā tautsaimniecības dinamika, palielinā</w:t>
      </w:r>
      <w:r>
        <w:rPr>
          <w:sz w:val="24"/>
          <w:szCs w:val="24"/>
        </w:rPr>
        <w:t>jā</w:t>
      </w:r>
      <w:r w:rsidRPr="00922CA5">
        <w:rPr>
          <w:sz w:val="24"/>
          <w:szCs w:val="24"/>
        </w:rPr>
        <w:t>s tūrisma ieguldījums tautsaimniecībā. Straujāk nekā kopējais preču un pakalpojumu eksports palielinājās arī tūrisma eksports.</w:t>
      </w:r>
    </w:p>
    <w:p w14:paraId="162578B8" w14:textId="77777777" w:rsidR="00915D57" w:rsidRPr="00922CA5" w:rsidRDefault="00915D57" w:rsidP="00915D57">
      <w:pPr>
        <w:ind w:firstLine="567"/>
        <w:jc w:val="both"/>
        <w:rPr>
          <w:sz w:val="24"/>
          <w:szCs w:val="24"/>
        </w:rPr>
      </w:pPr>
    </w:p>
    <w:p w14:paraId="3694D5EE" w14:textId="77777777" w:rsidR="00915D57" w:rsidRPr="00922CA5" w:rsidRDefault="00915D57" w:rsidP="00915D57">
      <w:pPr>
        <w:tabs>
          <w:tab w:val="center" w:pos="2268"/>
          <w:tab w:val="center" w:pos="6804"/>
        </w:tabs>
        <w:rPr>
          <w:b/>
          <w:sz w:val="24"/>
          <w:szCs w:val="24"/>
        </w:rPr>
      </w:pPr>
      <w:r>
        <w:rPr>
          <w:b/>
          <w:sz w:val="24"/>
          <w:szCs w:val="24"/>
        </w:rPr>
        <w:tab/>
      </w:r>
      <w:r w:rsidRPr="00922CA5">
        <w:rPr>
          <w:b/>
          <w:sz w:val="24"/>
          <w:szCs w:val="24"/>
        </w:rPr>
        <w:t>Tūrisma un IKP attīstības dinamika</w:t>
      </w:r>
      <w:r>
        <w:rPr>
          <w:b/>
          <w:sz w:val="24"/>
          <w:szCs w:val="24"/>
        </w:rPr>
        <w:tab/>
      </w:r>
      <w:r w:rsidRPr="00922CA5">
        <w:rPr>
          <w:b/>
          <w:sz w:val="24"/>
          <w:szCs w:val="24"/>
        </w:rPr>
        <w:t>Tūrisma eksporta pakalpojumu un kopējā</w:t>
      </w:r>
      <w:r>
        <w:rPr>
          <w:b/>
          <w:sz w:val="24"/>
          <w:szCs w:val="24"/>
        </w:rPr>
        <w:br/>
      </w:r>
      <w:r>
        <w:rPr>
          <w:b/>
          <w:sz w:val="24"/>
          <w:szCs w:val="24"/>
        </w:rPr>
        <w:tab/>
      </w:r>
      <w:r w:rsidRPr="00922CA5">
        <w:rPr>
          <w:sz w:val="20"/>
          <w:szCs w:val="24"/>
        </w:rPr>
        <w:t>2013 =100</w:t>
      </w:r>
      <w:r>
        <w:rPr>
          <w:b/>
          <w:sz w:val="24"/>
          <w:szCs w:val="24"/>
        </w:rPr>
        <w:tab/>
      </w:r>
      <w:r w:rsidRPr="00922CA5">
        <w:rPr>
          <w:b/>
          <w:sz w:val="24"/>
          <w:szCs w:val="24"/>
        </w:rPr>
        <w:t>preču un pakalpojumu attīstības dinamika</w:t>
      </w:r>
    </w:p>
    <w:p w14:paraId="06DFCFF3" w14:textId="77777777" w:rsidR="00915D57" w:rsidRPr="00922CA5" w:rsidRDefault="00915D57" w:rsidP="00915D57">
      <w:pPr>
        <w:tabs>
          <w:tab w:val="center" w:pos="2268"/>
          <w:tab w:val="center" w:pos="6804"/>
        </w:tabs>
        <w:rPr>
          <w:sz w:val="20"/>
          <w:szCs w:val="24"/>
        </w:rPr>
      </w:pPr>
      <w:r>
        <w:rPr>
          <w:sz w:val="20"/>
          <w:szCs w:val="24"/>
        </w:rPr>
        <w:tab/>
      </w:r>
      <w:r>
        <w:rPr>
          <w:sz w:val="20"/>
          <w:szCs w:val="24"/>
        </w:rPr>
        <w:tab/>
      </w:r>
      <w:r>
        <w:rPr>
          <w:sz w:val="20"/>
          <w:szCs w:val="20"/>
        </w:rPr>
        <w:t>2013 = 100</w:t>
      </w:r>
    </w:p>
    <w:p w14:paraId="58F88C7E" w14:textId="64D90660" w:rsidR="00915D57" w:rsidRPr="00ED5874" w:rsidRDefault="00915D57" w:rsidP="00915D57">
      <w:pPr>
        <w:jc w:val="both"/>
      </w:pPr>
      <w:r>
        <w:rPr>
          <w:noProof/>
          <w:lang w:eastAsia="lv-LV"/>
        </w:rPr>
        <w:drawing>
          <wp:inline distT="0" distB="0" distL="0" distR="0" wp14:anchorId="38E610D2" wp14:editId="6D201C95">
            <wp:extent cx="2844000" cy="21600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Pr>
          <w:noProof/>
          <w:lang w:eastAsia="lv-LV"/>
        </w:rPr>
        <w:drawing>
          <wp:inline distT="0" distB="0" distL="0" distR="0" wp14:anchorId="03F5673C" wp14:editId="788619DF">
            <wp:extent cx="2844000" cy="21600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2CE1F83" w14:textId="77777777" w:rsidR="00ED5874" w:rsidRDefault="00ED5874" w:rsidP="003D0090">
      <w:pPr>
        <w:ind w:firstLine="567"/>
        <w:jc w:val="both"/>
        <w:rPr>
          <w:sz w:val="24"/>
        </w:rPr>
      </w:pPr>
    </w:p>
    <w:p w14:paraId="7970B965" w14:textId="6EC83CB7" w:rsidR="00915D57" w:rsidRPr="00922CA5" w:rsidRDefault="00915D57" w:rsidP="003D0090">
      <w:pPr>
        <w:ind w:firstLine="567"/>
        <w:jc w:val="both"/>
        <w:rPr>
          <w:sz w:val="24"/>
        </w:rPr>
      </w:pPr>
      <w:r w:rsidRPr="00922CA5">
        <w:rPr>
          <w:sz w:val="24"/>
        </w:rPr>
        <w:t>Tūrisma daļas būtisko pieaugumu 2016.gada rādītājos ne tik daudz noteica tūrisma nozares pozitīvā dinamika, bet lielākā mērā ekonomikas kopīgo izaugsmes tempu samazinājums, t.i., pārējo tautsaimniecības nozaru sniegums. Pie tam 2016.gadā straujāk p</w:t>
      </w:r>
      <w:r w:rsidR="003D0090">
        <w:rPr>
          <w:sz w:val="24"/>
        </w:rPr>
        <w:t>ieauga tieši iekšējais tūrisms.</w:t>
      </w:r>
    </w:p>
    <w:p w14:paraId="541BD5DC" w14:textId="3FA6D61A" w:rsidR="00225843" w:rsidRDefault="00915D57" w:rsidP="003D0090">
      <w:pPr>
        <w:ind w:firstLine="567"/>
        <w:jc w:val="both"/>
        <w:rPr>
          <w:sz w:val="24"/>
        </w:rPr>
      </w:pPr>
      <w:r w:rsidRPr="00922CA5">
        <w:rPr>
          <w:sz w:val="24"/>
        </w:rPr>
        <w:t>Prognozēj</w:t>
      </w:r>
      <w:r>
        <w:rPr>
          <w:sz w:val="24"/>
        </w:rPr>
        <w:t>ot tūrisma dinamiku 201</w:t>
      </w:r>
      <w:r w:rsidR="00172631">
        <w:rPr>
          <w:sz w:val="24"/>
        </w:rPr>
        <w:t>8</w:t>
      </w:r>
      <w:r>
        <w:rPr>
          <w:sz w:val="24"/>
        </w:rPr>
        <w:t>.-2020.</w:t>
      </w:r>
      <w:r w:rsidRPr="00922CA5">
        <w:rPr>
          <w:sz w:val="24"/>
        </w:rPr>
        <w:t>gadam, tika ņemtas vērā kopīgās tautsaimniecības attīstības tendences, kā arī fakts, ka 2018.gadā būs Latvijas valsts simtgades svinības, kas var papildus veicināt tūrismu. Tāpēc līdz 2018.gadam nozares īpatsvars tautsaimniecībā un eksportā palielināsies, bet pēc tā var nedaudz samazināties, jo paredzēts, ka pārējo tautsaimniecības noz</w:t>
      </w:r>
      <w:r>
        <w:rPr>
          <w:sz w:val="24"/>
        </w:rPr>
        <w:t>aru izaugsme var būt straujāka.</w:t>
      </w:r>
    </w:p>
    <w:p w14:paraId="7851F67C" w14:textId="6AC1285E" w:rsidR="003D0090" w:rsidRDefault="003D0090" w:rsidP="003D0090">
      <w:pPr>
        <w:ind w:firstLine="567"/>
        <w:jc w:val="both"/>
        <w:rPr>
          <w:sz w:val="24"/>
        </w:rPr>
      </w:pPr>
      <w:r>
        <w:rPr>
          <w:sz w:val="24"/>
        </w:rPr>
        <w:lastRenderedPageBreak/>
        <w:t xml:space="preserve">Ņemot vērā minēto, </w:t>
      </w:r>
      <w:r w:rsidR="009519D9">
        <w:rPr>
          <w:sz w:val="24"/>
        </w:rPr>
        <w:t>izvērtējot</w:t>
      </w:r>
      <w:r>
        <w:rPr>
          <w:sz w:val="24"/>
        </w:rPr>
        <w:t xml:space="preserve"> </w:t>
      </w:r>
      <w:r w:rsidR="009519D9">
        <w:rPr>
          <w:sz w:val="24"/>
        </w:rPr>
        <w:t>uzstādītos</w:t>
      </w:r>
      <w:r>
        <w:rPr>
          <w:sz w:val="24"/>
        </w:rPr>
        <w:t xml:space="preserve"> rezultatīvos rādītājus, jāņem vērā prognoze, ka pēc </w:t>
      </w:r>
      <w:r w:rsidR="000D3B0D">
        <w:rPr>
          <w:sz w:val="24"/>
        </w:rPr>
        <w:t xml:space="preserve">strauja pieauguma </w:t>
      </w:r>
      <w:r>
        <w:rPr>
          <w:sz w:val="24"/>
        </w:rPr>
        <w:t>2018.gad</w:t>
      </w:r>
      <w:r w:rsidR="000D3B0D">
        <w:rPr>
          <w:sz w:val="24"/>
        </w:rPr>
        <w:t>ā</w:t>
      </w:r>
      <w:r>
        <w:rPr>
          <w:sz w:val="24"/>
        </w:rPr>
        <w:t xml:space="preserve"> varētu būt vērojams tūrisma nozares attīstības tempa kritums. Kopsummā gan prognozējams neliels pieaugums l</w:t>
      </w:r>
      <w:r w:rsidR="000D3B0D">
        <w:rPr>
          <w:sz w:val="24"/>
        </w:rPr>
        <w:t>īdz 2020.gadam, jo 2018.gada pieaugums, kas prognozēts pateicoties Latvijas 100gades pasākumiem, gluži tāpat kā 2014.gada piemērs par Rīgu kā Eiropas kultūras galvaspilsētu, neveidos ilgtermiņa ietekmi uz nozares attīstību.</w:t>
      </w:r>
    </w:p>
    <w:p w14:paraId="193BE030" w14:textId="77777777" w:rsidR="003D0090" w:rsidRDefault="003D0090" w:rsidP="003D0090">
      <w:pPr>
        <w:ind w:firstLine="567"/>
        <w:jc w:val="both"/>
        <w:rPr>
          <w:sz w:val="24"/>
        </w:rPr>
      </w:pPr>
    </w:p>
    <w:p w14:paraId="6DA7BA97" w14:textId="789BF085" w:rsidR="003D0090" w:rsidRPr="003D0090" w:rsidRDefault="003D0090" w:rsidP="003D0090">
      <w:pPr>
        <w:pStyle w:val="Heading2"/>
        <w:shd w:val="clear" w:color="auto" w:fill="1DA0A7"/>
        <w:rPr>
          <w:rFonts w:eastAsiaTheme="minorHAnsi" w:cstheme="minorBidi"/>
          <w:szCs w:val="22"/>
        </w:rPr>
      </w:pPr>
      <w:bookmarkStart w:id="18" w:name="_Toc500423599"/>
      <w:r>
        <w:rPr>
          <w:b/>
          <w:color w:val="FFFFFF" w:themeColor="background1"/>
        </w:rPr>
        <w:t>3.2</w:t>
      </w:r>
      <w:r w:rsidRPr="009E53C0">
        <w:rPr>
          <w:b/>
          <w:color w:val="FFFFFF" w:themeColor="background1"/>
        </w:rPr>
        <w:t xml:space="preserve">. </w:t>
      </w:r>
      <w:r w:rsidR="001B7FDA">
        <w:rPr>
          <w:b/>
          <w:color w:val="FFFFFF" w:themeColor="background1"/>
        </w:rPr>
        <w:t>Prognozētie</w:t>
      </w:r>
      <w:r w:rsidRPr="003D0090">
        <w:rPr>
          <w:b/>
          <w:color w:val="FFFFFF" w:themeColor="background1"/>
        </w:rPr>
        <w:t xml:space="preserve"> </w:t>
      </w:r>
      <w:r w:rsidR="001B7FDA">
        <w:rPr>
          <w:b/>
          <w:color w:val="FFFFFF" w:themeColor="background1"/>
        </w:rPr>
        <w:t>rezultatīvie</w:t>
      </w:r>
      <w:r w:rsidRPr="003D0090">
        <w:rPr>
          <w:b/>
          <w:color w:val="FFFFFF" w:themeColor="background1"/>
        </w:rPr>
        <w:t xml:space="preserve"> rādītāji un to skaitliskās vērtības</w:t>
      </w:r>
      <w:bookmarkEnd w:id="18"/>
    </w:p>
    <w:p w14:paraId="0D5465E8" w14:textId="26D5F866" w:rsidR="00973196" w:rsidRDefault="00B93CF6" w:rsidP="00973196">
      <w:pPr>
        <w:ind w:firstLine="360"/>
        <w:jc w:val="both"/>
        <w:rPr>
          <w:sz w:val="24"/>
          <w:szCs w:val="24"/>
        </w:rPr>
      </w:pPr>
      <w:r w:rsidRPr="009629C8">
        <w:rPr>
          <w:sz w:val="24"/>
          <w:szCs w:val="24"/>
        </w:rPr>
        <w:t>Lai pilnvērtīgāk atspoguļotu Pamatnostādnēs definēto mērķu sasniegšanas progresu, kā arī nodrošinātu korektu rādītāju salīdzināmību, turpmākajā politikas plānošanas dokumenta īstenošanas periodā</w:t>
      </w:r>
      <w:r w:rsidR="007914D3">
        <w:rPr>
          <w:sz w:val="24"/>
          <w:szCs w:val="24"/>
        </w:rPr>
        <w:t xml:space="preserve"> tiek prognozētas sekojošas skaitliskās vērtības rezultatīvajiem rādītājiem</w:t>
      </w:r>
      <w:r w:rsidRPr="009629C8">
        <w:rPr>
          <w:sz w:val="24"/>
          <w:szCs w:val="24"/>
        </w:rPr>
        <w:t>:</w:t>
      </w:r>
    </w:p>
    <w:p w14:paraId="3FF98250" w14:textId="49FBC98D" w:rsidR="002F2DD4" w:rsidRDefault="00B93CF6" w:rsidP="003E7833">
      <w:pPr>
        <w:pStyle w:val="ListParagraph"/>
        <w:numPr>
          <w:ilvl w:val="0"/>
          <w:numId w:val="22"/>
        </w:numPr>
        <w:spacing w:line="240" w:lineRule="auto"/>
        <w:jc w:val="both"/>
        <w:rPr>
          <w:rFonts w:ascii="Times New Roman" w:hAnsi="Times New Roman"/>
          <w:sz w:val="24"/>
          <w:szCs w:val="24"/>
          <w:u w:val="single"/>
        </w:rPr>
      </w:pPr>
      <w:r w:rsidRPr="00DF336B">
        <w:rPr>
          <w:rFonts w:ascii="Times New Roman" w:hAnsi="Times New Roman"/>
          <w:sz w:val="24"/>
          <w:szCs w:val="24"/>
        </w:rPr>
        <w:t xml:space="preserve">Vērtējot </w:t>
      </w:r>
      <w:r w:rsidR="002F2DD4">
        <w:rPr>
          <w:rFonts w:ascii="Times New Roman" w:hAnsi="Times New Roman"/>
          <w:b/>
          <w:sz w:val="24"/>
          <w:szCs w:val="24"/>
        </w:rPr>
        <w:t>ā</w:t>
      </w:r>
      <w:r w:rsidR="002F2DD4" w:rsidRPr="002F2DD4">
        <w:rPr>
          <w:rFonts w:ascii="Times New Roman" w:hAnsi="Times New Roman"/>
          <w:b/>
          <w:sz w:val="24"/>
          <w:szCs w:val="24"/>
        </w:rPr>
        <w:t>rvalstu vairākdienu ceļotāju skait</w:t>
      </w:r>
      <w:r w:rsidR="002F2DD4">
        <w:rPr>
          <w:rFonts w:ascii="Times New Roman" w:hAnsi="Times New Roman"/>
          <w:b/>
          <w:sz w:val="24"/>
          <w:szCs w:val="24"/>
        </w:rPr>
        <w:t>u</w:t>
      </w:r>
      <w:r w:rsidR="002F2DD4">
        <w:rPr>
          <w:rFonts w:ascii="Times New Roman" w:hAnsi="Times New Roman"/>
          <w:sz w:val="24"/>
          <w:szCs w:val="24"/>
        </w:rPr>
        <w:t xml:space="preserve"> laika posmā no 201</w:t>
      </w:r>
      <w:r w:rsidR="00172631">
        <w:rPr>
          <w:rFonts w:ascii="Times New Roman" w:hAnsi="Times New Roman"/>
          <w:sz w:val="24"/>
          <w:szCs w:val="24"/>
        </w:rPr>
        <w:t>8</w:t>
      </w:r>
      <w:r w:rsidR="002F2DD4">
        <w:rPr>
          <w:rFonts w:ascii="Times New Roman" w:hAnsi="Times New Roman"/>
          <w:sz w:val="24"/>
          <w:szCs w:val="24"/>
        </w:rPr>
        <w:t>.</w:t>
      </w:r>
      <w:r w:rsidR="00172631">
        <w:rPr>
          <w:rFonts w:ascii="Times New Roman" w:hAnsi="Times New Roman"/>
          <w:sz w:val="24"/>
          <w:szCs w:val="24"/>
        </w:rPr>
        <w:t xml:space="preserve"> </w:t>
      </w:r>
      <w:r w:rsidR="002F2DD4">
        <w:rPr>
          <w:rFonts w:ascii="Times New Roman" w:hAnsi="Times New Roman"/>
          <w:sz w:val="24"/>
          <w:szCs w:val="24"/>
        </w:rPr>
        <w:t xml:space="preserve">līdz 2020.gadam tiek koriģēta rezultatīvā rādītāja bāzes vērtība 2016.gadā, attiecīgi nosakot to 1 793 tūkst. Analizējot 2012.-2016.gada ceļotāju skaita pieauguma svārstības, tiek secināts, ka vidēji ārvalstu vairākdienu ceļotāju skaits ir pieaudzis par 5% gadā. Attiecīgi šāda tendence (5% tūristu skaita pieaugums gadā) tiek prognozēta arī par </w:t>
      </w:r>
      <w:r w:rsidR="00172631">
        <w:rPr>
          <w:rFonts w:ascii="Times New Roman" w:hAnsi="Times New Roman"/>
          <w:sz w:val="24"/>
          <w:szCs w:val="24"/>
        </w:rPr>
        <w:t xml:space="preserve">turpmāko Pamatnostādņu </w:t>
      </w:r>
      <w:r w:rsidR="002F2DD4">
        <w:rPr>
          <w:rFonts w:ascii="Times New Roman" w:hAnsi="Times New Roman"/>
          <w:sz w:val="24"/>
          <w:szCs w:val="24"/>
        </w:rPr>
        <w:t>periodu līdz 2020.gadam (2018.gada Latvijas 100gades svinības netiek ņemta vērā, jo ietekme uz ilgtermiņa tūrisma attīstību netiek prognozēta)</w:t>
      </w:r>
      <w:r w:rsidR="00F80EB7">
        <w:rPr>
          <w:rFonts w:ascii="Times New Roman" w:hAnsi="Times New Roman"/>
          <w:sz w:val="24"/>
          <w:szCs w:val="24"/>
        </w:rPr>
        <w:t xml:space="preserve">. </w:t>
      </w:r>
      <w:r w:rsidR="00F80EB7" w:rsidRPr="00E27ABE">
        <w:rPr>
          <w:rFonts w:ascii="Times New Roman" w:hAnsi="Times New Roman"/>
          <w:sz w:val="24"/>
          <w:szCs w:val="24"/>
          <w:u w:val="single"/>
        </w:rPr>
        <w:t>Līdz ar to</w:t>
      </w:r>
      <w:r w:rsidR="00867ECA" w:rsidRPr="00E27ABE">
        <w:rPr>
          <w:rFonts w:ascii="Times New Roman" w:hAnsi="Times New Roman"/>
          <w:sz w:val="24"/>
          <w:szCs w:val="24"/>
          <w:u w:val="single"/>
        </w:rPr>
        <w:t xml:space="preserve"> </w:t>
      </w:r>
      <w:r w:rsidR="00E27ABE">
        <w:rPr>
          <w:rFonts w:ascii="Times New Roman" w:hAnsi="Times New Roman"/>
          <w:sz w:val="24"/>
          <w:szCs w:val="24"/>
          <w:u w:val="single"/>
        </w:rPr>
        <w:t>precizētie</w:t>
      </w:r>
      <w:r w:rsidR="00867ECA" w:rsidRPr="00E27ABE">
        <w:rPr>
          <w:rFonts w:ascii="Times New Roman" w:hAnsi="Times New Roman"/>
          <w:sz w:val="24"/>
          <w:szCs w:val="24"/>
          <w:u w:val="single"/>
        </w:rPr>
        <w:t xml:space="preserve"> rezultatīvie rādītāji</w:t>
      </w:r>
      <w:r w:rsidR="00E27ABE" w:rsidRPr="00E27ABE">
        <w:rPr>
          <w:rFonts w:ascii="Times New Roman" w:hAnsi="Times New Roman"/>
          <w:sz w:val="24"/>
          <w:szCs w:val="24"/>
          <w:u w:val="single"/>
        </w:rPr>
        <w:t xml:space="preserve">, kurus būtu jāņem vērā veicot </w:t>
      </w:r>
      <w:r w:rsidR="00172631">
        <w:rPr>
          <w:rFonts w:ascii="Times New Roman" w:hAnsi="Times New Roman"/>
          <w:sz w:val="24"/>
          <w:szCs w:val="24"/>
          <w:u w:val="single"/>
        </w:rPr>
        <w:t>Pamatnostādņu gala</w:t>
      </w:r>
      <w:r w:rsidR="00E27ABE" w:rsidRPr="00E27ABE">
        <w:rPr>
          <w:rFonts w:ascii="Times New Roman" w:hAnsi="Times New Roman"/>
          <w:sz w:val="24"/>
          <w:szCs w:val="24"/>
          <w:u w:val="single"/>
        </w:rPr>
        <w:t xml:space="preserve"> novērt</w:t>
      </w:r>
      <w:r w:rsidR="00172631">
        <w:rPr>
          <w:rFonts w:ascii="Times New Roman" w:hAnsi="Times New Roman"/>
          <w:sz w:val="24"/>
          <w:szCs w:val="24"/>
          <w:u w:val="single"/>
        </w:rPr>
        <w:t>ējumu</w:t>
      </w:r>
      <w:r w:rsidR="00E27ABE">
        <w:rPr>
          <w:rFonts w:ascii="Times New Roman" w:hAnsi="Times New Roman"/>
          <w:sz w:val="24"/>
          <w:szCs w:val="24"/>
          <w:u w:val="single"/>
        </w:rPr>
        <w:t>,</w:t>
      </w:r>
      <w:r w:rsidR="00867ECA" w:rsidRPr="00E27ABE">
        <w:rPr>
          <w:rFonts w:ascii="Times New Roman" w:hAnsi="Times New Roman"/>
          <w:sz w:val="24"/>
          <w:szCs w:val="24"/>
          <w:u w:val="single"/>
        </w:rPr>
        <w:t xml:space="preserve"> tiek noteikti šādi:</w:t>
      </w:r>
    </w:p>
    <w:p w14:paraId="7068379A" w14:textId="77777777" w:rsidR="00EF31C3" w:rsidRPr="00E27ABE" w:rsidRDefault="00EF31C3" w:rsidP="00EF31C3">
      <w:pPr>
        <w:pStyle w:val="ListParagraph"/>
        <w:spacing w:line="240" w:lineRule="auto"/>
        <w:jc w:val="both"/>
        <w:rPr>
          <w:rFonts w:ascii="Times New Roman" w:hAnsi="Times New Roman"/>
          <w:sz w:val="24"/>
          <w:szCs w:val="24"/>
          <w:u w:val="single"/>
        </w:rPr>
      </w:pPr>
    </w:p>
    <w:tbl>
      <w:tblPr>
        <w:tblStyle w:val="GridTable1Light1"/>
        <w:tblW w:w="6758" w:type="dxa"/>
        <w:jc w:val="center"/>
        <w:tblLook w:val="04A0" w:firstRow="1" w:lastRow="0" w:firstColumn="1" w:lastColumn="0" w:noHBand="0" w:noVBand="1"/>
      </w:tblPr>
      <w:tblGrid>
        <w:gridCol w:w="2101"/>
        <w:gridCol w:w="817"/>
        <w:gridCol w:w="960"/>
        <w:gridCol w:w="960"/>
        <w:gridCol w:w="960"/>
        <w:gridCol w:w="960"/>
      </w:tblGrid>
      <w:tr w:rsidR="00F80EB7" w:rsidRPr="00F80EB7" w14:paraId="51231C35" w14:textId="77777777" w:rsidTr="00F80EB7">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01" w:type="dxa"/>
            <w:vAlign w:val="center"/>
          </w:tcPr>
          <w:p w14:paraId="63AFA912" w14:textId="77777777" w:rsidR="00F80EB7" w:rsidRPr="00F80EB7" w:rsidRDefault="00F80EB7" w:rsidP="00F80EB7">
            <w:pPr>
              <w:jc w:val="center"/>
              <w:rPr>
                <w:rFonts w:eastAsia="Times New Roman" w:cs="Times New Roman"/>
                <w:color w:val="000000"/>
                <w:sz w:val="20"/>
                <w:lang w:eastAsia="lv-LV"/>
              </w:rPr>
            </w:pPr>
          </w:p>
        </w:tc>
        <w:tc>
          <w:tcPr>
            <w:tcW w:w="817" w:type="dxa"/>
            <w:vAlign w:val="center"/>
          </w:tcPr>
          <w:p w14:paraId="70AB84D0" w14:textId="77777777" w:rsidR="00F80EB7" w:rsidRPr="00F80EB7" w:rsidRDefault="00F80EB7" w:rsidP="00F80EB7">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lang w:eastAsia="lv-LV"/>
              </w:rPr>
            </w:pPr>
            <w:r w:rsidRPr="00F80EB7">
              <w:rPr>
                <w:rFonts w:eastAsia="Times New Roman" w:cs="Times New Roman"/>
                <w:color w:val="000000"/>
                <w:sz w:val="20"/>
                <w:lang w:eastAsia="lv-LV"/>
              </w:rPr>
              <w:t>2016</w:t>
            </w:r>
          </w:p>
          <w:p w14:paraId="12302545" w14:textId="7F13157F" w:rsidR="00F80EB7" w:rsidRPr="00F80EB7" w:rsidRDefault="00F80EB7" w:rsidP="00F80EB7">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lang w:eastAsia="lv-LV"/>
              </w:rPr>
            </w:pPr>
            <w:r w:rsidRPr="00F80EB7">
              <w:rPr>
                <w:rFonts w:eastAsia="Times New Roman" w:cs="Times New Roman"/>
                <w:color w:val="000000"/>
                <w:sz w:val="20"/>
                <w:lang w:eastAsia="lv-LV"/>
              </w:rPr>
              <w:t>(bāze)</w:t>
            </w:r>
          </w:p>
        </w:tc>
        <w:tc>
          <w:tcPr>
            <w:tcW w:w="960" w:type="dxa"/>
            <w:noWrap/>
            <w:vAlign w:val="center"/>
            <w:hideMark/>
          </w:tcPr>
          <w:p w14:paraId="1B698706" w14:textId="2F52AFD4" w:rsidR="00F80EB7" w:rsidRPr="00F80EB7" w:rsidRDefault="00F80EB7" w:rsidP="00F80EB7">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lang w:eastAsia="lv-LV"/>
              </w:rPr>
            </w:pPr>
            <w:r w:rsidRPr="00F80EB7">
              <w:rPr>
                <w:rFonts w:eastAsia="Times New Roman" w:cs="Times New Roman"/>
                <w:color w:val="000000"/>
                <w:sz w:val="20"/>
                <w:lang w:eastAsia="lv-LV"/>
              </w:rPr>
              <w:t>2017</w:t>
            </w:r>
          </w:p>
        </w:tc>
        <w:tc>
          <w:tcPr>
            <w:tcW w:w="960" w:type="dxa"/>
            <w:noWrap/>
            <w:vAlign w:val="center"/>
            <w:hideMark/>
          </w:tcPr>
          <w:p w14:paraId="3A6DA81A" w14:textId="77777777" w:rsidR="00F80EB7" w:rsidRPr="00F80EB7" w:rsidRDefault="00F80EB7" w:rsidP="00F80EB7">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lang w:eastAsia="lv-LV"/>
              </w:rPr>
            </w:pPr>
            <w:r w:rsidRPr="00F80EB7">
              <w:rPr>
                <w:rFonts w:eastAsia="Times New Roman" w:cs="Times New Roman"/>
                <w:color w:val="000000"/>
                <w:sz w:val="20"/>
                <w:lang w:eastAsia="lv-LV"/>
              </w:rPr>
              <w:t>2018</w:t>
            </w:r>
          </w:p>
        </w:tc>
        <w:tc>
          <w:tcPr>
            <w:tcW w:w="960" w:type="dxa"/>
            <w:noWrap/>
            <w:vAlign w:val="center"/>
            <w:hideMark/>
          </w:tcPr>
          <w:p w14:paraId="1BD6CCC2" w14:textId="77777777" w:rsidR="00F80EB7" w:rsidRPr="00F80EB7" w:rsidRDefault="00F80EB7" w:rsidP="00F80EB7">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lang w:eastAsia="lv-LV"/>
              </w:rPr>
            </w:pPr>
            <w:r w:rsidRPr="00F80EB7">
              <w:rPr>
                <w:rFonts w:eastAsia="Times New Roman" w:cs="Times New Roman"/>
                <w:color w:val="000000"/>
                <w:sz w:val="20"/>
                <w:lang w:eastAsia="lv-LV"/>
              </w:rPr>
              <w:t>2019</w:t>
            </w:r>
          </w:p>
        </w:tc>
        <w:tc>
          <w:tcPr>
            <w:tcW w:w="960" w:type="dxa"/>
            <w:noWrap/>
            <w:vAlign w:val="center"/>
            <w:hideMark/>
          </w:tcPr>
          <w:p w14:paraId="1A79E3C1" w14:textId="77777777" w:rsidR="00F80EB7" w:rsidRPr="00F80EB7" w:rsidRDefault="00F80EB7" w:rsidP="00F80EB7">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lang w:eastAsia="lv-LV"/>
              </w:rPr>
            </w:pPr>
            <w:r w:rsidRPr="00F80EB7">
              <w:rPr>
                <w:rFonts w:eastAsia="Times New Roman" w:cs="Times New Roman"/>
                <w:color w:val="000000"/>
                <w:sz w:val="20"/>
                <w:lang w:eastAsia="lv-LV"/>
              </w:rPr>
              <w:t>2020</w:t>
            </w:r>
          </w:p>
        </w:tc>
      </w:tr>
      <w:tr w:rsidR="00F80EB7" w:rsidRPr="00F80EB7" w14:paraId="3A27F851" w14:textId="77777777" w:rsidTr="00F80EB7">
        <w:trPr>
          <w:trHeight w:val="300"/>
          <w:jc w:val="center"/>
        </w:trPr>
        <w:tc>
          <w:tcPr>
            <w:cnfStyle w:val="001000000000" w:firstRow="0" w:lastRow="0" w:firstColumn="1" w:lastColumn="0" w:oddVBand="0" w:evenVBand="0" w:oddHBand="0" w:evenHBand="0" w:firstRowFirstColumn="0" w:firstRowLastColumn="0" w:lastRowFirstColumn="0" w:lastRowLastColumn="0"/>
            <w:tcW w:w="2101" w:type="dxa"/>
            <w:vAlign w:val="center"/>
          </w:tcPr>
          <w:p w14:paraId="4D088794" w14:textId="4BDB328A" w:rsidR="00F80EB7" w:rsidRPr="00F80EB7" w:rsidRDefault="00E27ABE" w:rsidP="00F80EB7">
            <w:pPr>
              <w:jc w:val="center"/>
              <w:rPr>
                <w:rFonts w:eastAsia="Times New Roman" w:cs="Times New Roman"/>
                <w:b w:val="0"/>
                <w:bCs w:val="0"/>
                <w:color w:val="000000"/>
                <w:sz w:val="20"/>
                <w:lang w:eastAsia="lv-LV"/>
              </w:rPr>
            </w:pPr>
            <w:r>
              <w:rPr>
                <w:rFonts w:eastAsia="Times New Roman" w:cs="Times New Roman"/>
                <w:b w:val="0"/>
                <w:bCs w:val="0"/>
                <w:color w:val="000000"/>
                <w:sz w:val="20"/>
                <w:lang w:eastAsia="lv-LV"/>
              </w:rPr>
              <w:t>Noteiktais</w:t>
            </w:r>
            <w:r w:rsidR="00F80EB7" w:rsidRPr="00F80EB7">
              <w:rPr>
                <w:rFonts w:eastAsia="Times New Roman" w:cs="Times New Roman"/>
                <w:b w:val="0"/>
                <w:bCs w:val="0"/>
                <w:color w:val="000000"/>
                <w:sz w:val="20"/>
                <w:lang w:eastAsia="lv-LV"/>
              </w:rPr>
              <w:t xml:space="preserve"> rādītājs</w:t>
            </w:r>
          </w:p>
        </w:tc>
        <w:tc>
          <w:tcPr>
            <w:tcW w:w="817" w:type="dxa"/>
            <w:vAlign w:val="center"/>
          </w:tcPr>
          <w:p w14:paraId="4DA9E331" w14:textId="1A2CA5BF" w:rsidR="00F80EB7" w:rsidRPr="00F80EB7" w:rsidRDefault="00F80EB7" w:rsidP="00F80E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0"/>
                <w:lang w:eastAsia="lv-LV"/>
              </w:rPr>
            </w:pPr>
            <w:r w:rsidRPr="00F80EB7">
              <w:rPr>
                <w:rFonts w:eastAsia="Times New Roman" w:cs="Times New Roman"/>
                <w:color w:val="000000"/>
                <w:sz w:val="20"/>
                <w:lang w:eastAsia="lv-LV"/>
              </w:rPr>
              <w:t>1607</w:t>
            </w:r>
          </w:p>
        </w:tc>
        <w:tc>
          <w:tcPr>
            <w:tcW w:w="960" w:type="dxa"/>
            <w:noWrap/>
            <w:vAlign w:val="center"/>
            <w:hideMark/>
          </w:tcPr>
          <w:p w14:paraId="0E58CA3C" w14:textId="5C1285F5" w:rsidR="00F80EB7" w:rsidRPr="00F80EB7" w:rsidRDefault="00F80EB7" w:rsidP="00F80E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0"/>
                <w:lang w:eastAsia="lv-LV"/>
              </w:rPr>
            </w:pPr>
            <w:r w:rsidRPr="00F80EB7">
              <w:rPr>
                <w:rFonts w:eastAsia="Times New Roman" w:cs="Times New Roman"/>
                <w:b/>
                <w:bCs/>
                <w:color w:val="000000"/>
                <w:sz w:val="20"/>
                <w:lang w:eastAsia="lv-LV"/>
              </w:rPr>
              <w:t>1650</w:t>
            </w:r>
          </w:p>
        </w:tc>
        <w:tc>
          <w:tcPr>
            <w:tcW w:w="960" w:type="dxa"/>
            <w:noWrap/>
            <w:vAlign w:val="center"/>
            <w:hideMark/>
          </w:tcPr>
          <w:p w14:paraId="7F5323C1" w14:textId="77777777" w:rsidR="00F80EB7" w:rsidRPr="00F80EB7" w:rsidRDefault="00F80EB7" w:rsidP="00F80E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lang w:eastAsia="lv-LV"/>
              </w:rPr>
            </w:pPr>
            <w:r w:rsidRPr="00F80EB7">
              <w:rPr>
                <w:rFonts w:eastAsia="Times New Roman" w:cs="Times New Roman"/>
                <w:color w:val="000000"/>
                <w:sz w:val="20"/>
                <w:lang w:eastAsia="lv-LV"/>
              </w:rPr>
              <w:t>1674</w:t>
            </w:r>
          </w:p>
        </w:tc>
        <w:tc>
          <w:tcPr>
            <w:tcW w:w="960" w:type="dxa"/>
            <w:noWrap/>
            <w:vAlign w:val="center"/>
            <w:hideMark/>
          </w:tcPr>
          <w:p w14:paraId="338F99A7" w14:textId="77777777" w:rsidR="00F80EB7" w:rsidRPr="00F80EB7" w:rsidRDefault="00F80EB7" w:rsidP="00F80E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lang w:eastAsia="lv-LV"/>
              </w:rPr>
            </w:pPr>
            <w:r w:rsidRPr="00F80EB7">
              <w:rPr>
                <w:rFonts w:eastAsia="Times New Roman" w:cs="Times New Roman"/>
                <w:color w:val="000000"/>
                <w:sz w:val="20"/>
                <w:lang w:eastAsia="lv-LV"/>
              </w:rPr>
              <w:t>1698</w:t>
            </w:r>
          </w:p>
        </w:tc>
        <w:tc>
          <w:tcPr>
            <w:tcW w:w="960" w:type="dxa"/>
            <w:noWrap/>
            <w:vAlign w:val="center"/>
            <w:hideMark/>
          </w:tcPr>
          <w:p w14:paraId="27065CEF" w14:textId="77777777" w:rsidR="00F80EB7" w:rsidRPr="00F80EB7" w:rsidRDefault="00F80EB7" w:rsidP="00F80E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0"/>
                <w:lang w:eastAsia="lv-LV"/>
              </w:rPr>
            </w:pPr>
            <w:r w:rsidRPr="00F80EB7">
              <w:rPr>
                <w:rFonts w:eastAsia="Times New Roman" w:cs="Times New Roman"/>
                <w:b/>
                <w:bCs/>
                <w:color w:val="000000"/>
                <w:sz w:val="20"/>
                <w:lang w:eastAsia="lv-LV"/>
              </w:rPr>
              <w:t>1722</w:t>
            </w:r>
          </w:p>
        </w:tc>
      </w:tr>
      <w:tr w:rsidR="00F80EB7" w:rsidRPr="00F80EB7" w14:paraId="72A5604A" w14:textId="77777777" w:rsidTr="00F80EB7">
        <w:trPr>
          <w:trHeight w:val="300"/>
          <w:jc w:val="center"/>
        </w:trPr>
        <w:tc>
          <w:tcPr>
            <w:cnfStyle w:val="001000000000" w:firstRow="0" w:lastRow="0" w:firstColumn="1" w:lastColumn="0" w:oddVBand="0" w:evenVBand="0" w:oddHBand="0" w:evenHBand="0" w:firstRowFirstColumn="0" w:firstRowLastColumn="0" w:lastRowFirstColumn="0" w:lastRowLastColumn="0"/>
            <w:tcW w:w="2101" w:type="dxa"/>
            <w:vAlign w:val="center"/>
          </w:tcPr>
          <w:p w14:paraId="2B080D30" w14:textId="70F07E75" w:rsidR="00F80EB7" w:rsidRPr="00F80EB7" w:rsidRDefault="00E27ABE" w:rsidP="00F80EB7">
            <w:pPr>
              <w:jc w:val="center"/>
              <w:rPr>
                <w:rFonts w:eastAsia="Times New Roman" w:cs="Times New Roman"/>
                <w:b w:val="0"/>
                <w:bCs w:val="0"/>
                <w:color w:val="000000"/>
                <w:sz w:val="20"/>
                <w:lang w:eastAsia="lv-LV"/>
              </w:rPr>
            </w:pPr>
            <w:r>
              <w:rPr>
                <w:rFonts w:eastAsia="Times New Roman" w:cs="Times New Roman"/>
                <w:b w:val="0"/>
                <w:bCs w:val="0"/>
                <w:color w:val="000000"/>
                <w:sz w:val="20"/>
                <w:lang w:eastAsia="lv-LV"/>
              </w:rPr>
              <w:t>Prognozētais</w:t>
            </w:r>
            <w:r w:rsidR="00F80EB7" w:rsidRPr="00F80EB7">
              <w:rPr>
                <w:rFonts w:eastAsia="Times New Roman" w:cs="Times New Roman"/>
                <w:b w:val="0"/>
                <w:bCs w:val="0"/>
                <w:color w:val="000000"/>
                <w:sz w:val="20"/>
                <w:lang w:eastAsia="lv-LV"/>
              </w:rPr>
              <w:t xml:space="preserve"> rādītājs</w:t>
            </w:r>
          </w:p>
        </w:tc>
        <w:tc>
          <w:tcPr>
            <w:tcW w:w="817" w:type="dxa"/>
            <w:vAlign w:val="center"/>
          </w:tcPr>
          <w:p w14:paraId="350EC980" w14:textId="3DDF468F" w:rsidR="00F80EB7" w:rsidRPr="00F80EB7" w:rsidRDefault="00F80EB7" w:rsidP="00F80E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0"/>
                <w:lang w:eastAsia="lv-LV"/>
              </w:rPr>
            </w:pPr>
            <w:r w:rsidRPr="00F80EB7">
              <w:rPr>
                <w:rFonts w:eastAsia="Times New Roman" w:cs="Times New Roman"/>
                <w:b/>
                <w:color w:val="000000"/>
                <w:sz w:val="20"/>
                <w:lang w:eastAsia="lv-LV"/>
              </w:rPr>
              <w:t>1793</w:t>
            </w:r>
          </w:p>
        </w:tc>
        <w:tc>
          <w:tcPr>
            <w:tcW w:w="960" w:type="dxa"/>
            <w:noWrap/>
            <w:vAlign w:val="center"/>
            <w:hideMark/>
          </w:tcPr>
          <w:p w14:paraId="5D7A54A1" w14:textId="097DAAD1" w:rsidR="00F80EB7" w:rsidRPr="00F80EB7" w:rsidRDefault="00F80EB7" w:rsidP="00F80E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0"/>
                <w:lang w:eastAsia="lv-LV"/>
              </w:rPr>
            </w:pPr>
            <w:r w:rsidRPr="00F80EB7">
              <w:rPr>
                <w:rFonts w:eastAsia="Times New Roman" w:cs="Times New Roman"/>
                <w:b/>
                <w:bCs/>
                <w:color w:val="FF0000"/>
                <w:sz w:val="20"/>
                <w:lang w:eastAsia="lv-LV"/>
              </w:rPr>
              <w:t>1883</w:t>
            </w:r>
          </w:p>
        </w:tc>
        <w:tc>
          <w:tcPr>
            <w:tcW w:w="960" w:type="dxa"/>
            <w:noWrap/>
            <w:vAlign w:val="center"/>
            <w:hideMark/>
          </w:tcPr>
          <w:p w14:paraId="390D9ACD" w14:textId="358BDD84" w:rsidR="00F80EB7" w:rsidRPr="00F80EB7" w:rsidRDefault="00F80EB7" w:rsidP="00F80E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lang w:eastAsia="lv-LV"/>
              </w:rPr>
            </w:pPr>
            <w:r w:rsidRPr="00F80EB7">
              <w:rPr>
                <w:rFonts w:eastAsia="Times New Roman" w:cs="Times New Roman"/>
                <w:color w:val="000000"/>
                <w:sz w:val="20"/>
                <w:lang w:eastAsia="lv-LV"/>
              </w:rPr>
              <w:t>1</w:t>
            </w:r>
            <w:r w:rsidR="00792C51">
              <w:rPr>
                <w:rFonts w:eastAsia="Times New Roman" w:cs="Times New Roman"/>
                <w:color w:val="000000"/>
                <w:sz w:val="20"/>
                <w:lang w:eastAsia="lv-LV"/>
              </w:rPr>
              <w:t> </w:t>
            </w:r>
            <w:r w:rsidRPr="00F80EB7">
              <w:rPr>
                <w:rFonts w:eastAsia="Times New Roman" w:cs="Times New Roman"/>
                <w:color w:val="000000"/>
                <w:sz w:val="20"/>
                <w:lang w:eastAsia="lv-LV"/>
              </w:rPr>
              <w:t>977</w:t>
            </w:r>
          </w:p>
        </w:tc>
        <w:tc>
          <w:tcPr>
            <w:tcW w:w="960" w:type="dxa"/>
            <w:noWrap/>
            <w:vAlign w:val="center"/>
            <w:hideMark/>
          </w:tcPr>
          <w:p w14:paraId="59F87D0B" w14:textId="77777777" w:rsidR="00F80EB7" w:rsidRPr="00F80EB7" w:rsidRDefault="00F80EB7" w:rsidP="00F80E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lang w:eastAsia="lv-LV"/>
              </w:rPr>
            </w:pPr>
            <w:r w:rsidRPr="00F80EB7">
              <w:rPr>
                <w:rFonts w:eastAsia="Times New Roman" w:cs="Times New Roman"/>
                <w:color w:val="000000"/>
                <w:sz w:val="20"/>
                <w:lang w:eastAsia="lv-LV"/>
              </w:rPr>
              <w:t>2076</w:t>
            </w:r>
          </w:p>
        </w:tc>
        <w:tc>
          <w:tcPr>
            <w:tcW w:w="960" w:type="dxa"/>
            <w:noWrap/>
            <w:vAlign w:val="center"/>
            <w:hideMark/>
          </w:tcPr>
          <w:p w14:paraId="2CE1EF48" w14:textId="20B6D869" w:rsidR="00F80EB7" w:rsidRPr="00F80EB7" w:rsidRDefault="00867ECA" w:rsidP="00F80E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0"/>
                <w:lang w:eastAsia="lv-LV"/>
              </w:rPr>
            </w:pPr>
            <w:r w:rsidRPr="00867ECA">
              <w:rPr>
                <w:rFonts w:eastAsia="Times New Roman" w:cs="Times New Roman"/>
                <w:b/>
                <w:color w:val="FF0000"/>
                <w:sz w:val="20"/>
                <w:lang w:eastAsia="lv-LV"/>
              </w:rPr>
              <w:t>2179</w:t>
            </w:r>
          </w:p>
        </w:tc>
      </w:tr>
    </w:tbl>
    <w:p w14:paraId="649A5C17" w14:textId="77777777" w:rsidR="00F80EB7" w:rsidRPr="00F80EB7" w:rsidRDefault="00F80EB7" w:rsidP="00F80EB7">
      <w:pPr>
        <w:jc w:val="both"/>
        <w:rPr>
          <w:sz w:val="24"/>
          <w:szCs w:val="24"/>
        </w:rPr>
      </w:pPr>
    </w:p>
    <w:p w14:paraId="17F27E05" w14:textId="6ECCA02B" w:rsidR="00792C51" w:rsidRDefault="00792C51" w:rsidP="003E7833">
      <w:pPr>
        <w:pStyle w:val="ListParagraph"/>
        <w:numPr>
          <w:ilvl w:val="0"/>
          <w:numId w:val="22"/>
        </w:numPr>
        <w:spacing w:line="240" w:lineRule="auto"/>
        <w:jc w:val="both"/>
        <w:rPr>
          <w:rFonts w:ascii="Times New Roman" w:hAnsi="Times New Roman"/>
          <w:sz w:val="24"/>
          <w:szCs w:val="24"/>
        </w:rPr>
      </w:pPr>
      <w:r>
        <w:rPr>
          <w:rFonts w:ascii="Times New Roman" w:hAnsi="Times New Roman"/>
          <w:sz w:val="24"/>
          <w:szCs w:val="24"/>
        </w:rPr>
        <w:t xml:space="preserve">Rezultatīvais rādītājs </w:t>
      </w:r>
      <w:r w:rsidRPr="00792C51">
        <w:rPr>
          <w:rFonts w:ascii="Times New Roman" w:hAnsi="Times New Roman"/>
          <w:b/>
          <w:sz w:val="24"/>
          <w:szCs w:val="24"/>
        </w:rPr>
        <w:t>vidējā izmitināšanas mītņu noslodze (gultas vietu noslogojums) ārpus noslogotākās vasaras sezonas (izņemot jūn.-aug.)</w:t>
      </w:r>
      <w:r>
        <w:rPr>
          <w:rFonts w:ascii="Times New Roman" w:hAnsi="Times New Roman"/>
          <w:sz w:val="24"/>
          <w:szCs w:val="24"/>
        </w:rPr>
        <w:t xml:space="preserve"> laika posmam līdz 2020.gadam netiek pārrēķināts</w:t>
      </w:r>
      <w:r w:rsidR="009F69B7">
        <w:rPr>
          <w:rFonts w:ascii="Times New Roman" w:hAnsi="Times New Roman"/>
          <w:sz w:val="24"/>
          <w:szCs w:val="24"/>
        </w:rPr>
        <w:t>, jo tas atbilst uzstādītajām prognozēm</w:t>
      </w:r>
      <w:r>
        <w:rPr>
          <w:rFonts w:ascii="Times New Roman" w:hAnsi="Times New Roman"/>
          <w:sz w:val="24"/>
          <w:szCs w:val="24"/>
        </w:rPr>
        <w:t>.</w:t>
      </w:r>
      <w:r w:rsidR="00913C2A">
        <w:rPr>
          <w:rFonts w:ascii="Times New Roman" w:hAnsi="Times New Roman"/>
          <w:sz w:val="24"/>
          <w:szCs w:val="24"/>
        </w:rPr>
        <w:t xml:space="preserve"> Taču</w:t>
      </w:r>
      <w:r w:rsidR="00FB793F">
        <w:rPr>
          <w:rFonts w:ascii="Times New Roman" w:hAnsi="Times New Roman"/>
          <w:sz w:val="24"/>
          <w:szCs w:val="24"/>
        </w:rPr>
        <w:t>,</w:t>
      </w:r>
      <w:r w:rsidR="00913C2A">
        <w:rPr>
          <w:rFonts w:ascii="Times New Roman" w:hAnsi="Times New Roman"/>
          <w:sz w:val="24"/>
          <w:szCs w:val="24"/>
        </w:rPr>
        <w:t xml:space="preserve"> </w:t>
      </w:r>
      <w:r w:rsidR="00FB793F">
        <w:rPr>
          <w:rFonts w:ascii="Times New Roman" w:hAnsi="Times New Roman"/>
          <w:sz w:val="24"/>
          <w:szCs w:val="24"/>
        </w:rPr>
        <w:t xml:space="preserve">vērtējot sadarbības ekonomikas ietekmi uz izmitināšanas sektoru, </w:t>
      </w:r>
      <w:r w:rsidR="00913C2A">
        <w:rPr>
          <w:rFonts w:ascii="Times New Roman" w:hAnsi="Times New Roman"/>
          <w:sz w:val="24"/>
          <w:szCs w:val="24"/>
        </w:rPr>
        <w:t>šo rezultatīvo rādītā</w:t>
      </w:r>
      <w:r w:rsidR="00172631">
        <w:rPr>
          <w:rFonts w:ascii="Times New Roman" w:hAnsi="Times New Roman"/>
          <w:sz w:val="24"/>
          <w:szCs w:val="24"/>
        </w:rPr>
        <w:t xml:space="preserve">ju iespējams nāksies pārrēķināt </w:t>
      </w:r>
      <w:r w:rsidR="00913C2A">
        <w:rPr>
          <w:rFonts w:ascii="Times New Roman" w:hAnsi="Times New Roman"/>
          <w:sz w:val="24"/>
          <w:szCs w:val="24"/>
        </w:rPr>
        <w:t xml:space="preserve">Pamatnostādņu </w:t>
      </w:r>
      <w:r w:rsidR="00172631">
        <w:rPr>
          <w:rFonts w:ascii="Times New Roman" w:hAnsi="Times New Roman"/>
          <w:sz w:val="24"/>
          <w:szCs w:val="24"/>
        </w:rPr>
        <w:t>gala novērtējumā un plānojot Pamatnostādnes 2021.-2027.gadam</w:t>
      </w:r>
      <w:r w:rsidR="00913C2A">
        <w:rPr>
          <w:rFonts w:ascii="Times New Roman" w:hAnsi="Times New Roman"/>
          <w:sz w:val="24"/>
          <w:szCs w:val="24"/>
        </w:rPr>
        <w:t>.</w:t>
      </w:r>
    </w:p>
    <w:p w14:paraId="54B9650F" w14:textId="088030A8" w:rsidR="0036517D" w:rsidRPr="0036517D" w:rsidRDefault="0036517D" w:rsidP="009F69B7">
      <w:pPr>
        <w:pStyle w:val="ListParagraph"/>
        <w:numPr>
          <w:ilvl w:val="0"/>
          <w:numId w:val="22"/>
        </w:numPr>
        <w:spacing w:line="240" w:lineRule="auto"/>
        <w:jc w:val="both"/>
        <w:rPr>
          <w:sz w:val="24"/>
          <w:szCs w:val="24"/>
        </w:rPr>
      </w:pPr>
      <w:r>
        <w:rPr>
          <w:rFonts w:ascii="Times New Roman" w:hAnsi="Times New Roman"/>
          <w:sz w:val="24"/>
          <w:szCs w:val="24"/>
        </w:rPr>
        <w:t xml:space="preserve">Rezultatīvais rādītājs </w:t>
      </w:r>
      <w:r w:rsidRPr="0036517D">
        <w:rPr>
          <w:rFonts w:ascii="Times New Roman" w:hAnsi="Times New Roman"/>
          <w:b/>
          <w:sz w:val="24"/>
          <w:szCs w:val="24"/>
        </w:rPr>
        <w:t>viena ārvalstu vairākdienu ceļotāja vidējie izdevumi diennaktī</w:t>
      </w:r>
      <w:r>
        <w:rPr>
          <w:rFonts w:ascii="Times New Roman" w:hAnsi="Times New Roman"/>
          <w:sz w:val="24"/>
          <w:szCs w:val="24"/>
        </w:rPr>
        <w:t xml:space="preserve"> kopš Pamatnostādņu ieviešanas 2014.gadā ir </w:t>
      </w:r>
      <w:r w:rsidR="0064627C">
        <w:rPr>
          <w:rFonts w:ascii="Times New Roman" w:hAnsi="Times New Roman"/>
          <w:sz w:val="24"/>
          <w:szCs w:val="24"/>
        </w:rPr>
        <w:t xml:space="preserve">bijis ļoti svārstīgs. To ietekmē tādi faktori, kā </w:t>
      </w:r>
      <w:r w:rsidR="009F69B7" w:rsidRPr="009F69B7">
        <w:rPr>
          <w:rFonts w:ascii="Times New Roman" w:hAnsi="Times New Roman"/>
          <w:sz w:val="24"/>
          <w:szCs w:val="24"/>
        </w:rPr>
        <w:t>Latvijas viesnīcu cenu kritums par 20%</w:t>
      </w:r>
      <w:r w:rsidR="009F69B7">
        <w:rPr>
          <w:rFonts w:ascii="Times New Roman" w:hAnsi="Times New Roman"/>
          <w:sz w:val="24"/>
          <w:szCs w:val="24"/>
        </w:rPr>
        <w:t xml:space="preserve">, </w:t>
      </w:r>
      <w:r w:rsidR="009F69B7" w:rsidRPr="009F69B7">
        <w:rPr>
          <w:rFonts w:ascii="Times New Roman" w:hAnsi="Times New Roman"/>
          <w:sz w:val="24"/>
          <w:szCs w:val="24"/>
        </w:rPr>
        <w:t xml:space="preserve">Krievijas tūristu kopējo </w:t>
      </w:r>
      <w:r w:rsidR="009F69B7">
        <w:rPr>
          <w:rFonts w:ascii="Times New Roman" w:hAnsi="Times New Roman"/>
          <w:sz w:val="24"/>
          <w:szCs w:val="24"/>
        </w:rPr>
        <w:t>izdevumu samazināšanās un v</w:t>
      </w:r>
      <w:r w:rsidR="009F69B7" w:rsidRPr="009F69B7">
        <w:rPr>
          <w:rFonts w:ascii="Times New Roman" w:hAnsi="Times New Roman"/>
          <w:sz w:val="24"/>
          <w:szCs w:val="24"/>
        </w:rPr>
        <w:t>airākdienu ceļotāju vidējās uzturēšanās ilguma pieaugums Latvijā</w:t>
      </w:r>
      <w:r w:rsidR="009F69B7">
        <w:rPr>
          <w:rFonts w:ascii="Times New Roman" w:hAnsi="Times New Roman"/>
          <w:sz w:val="24"/>
          <w:szCs w:val="24"/>
        </w:rPr>
        <w:t xml:space="preserve">. Līdz ar to nav iespējams pašlaik precīzi prognozēt turpmākās rezultatīvā rādītāja svārstības. </w:t>
      </w:r>
      <w:r w:rsidR="009F69B7" w:rsidRPr="009F69B7">
        <w:rPr>
          <w:rFonts w:ascii="Times New Roman" w:hAnsi="Times New Roman"/>
          <w:sz w:val="24"/>
          <w:szCs w:val="24"/>
        </w:rPr>
        <w:t>Tomēr, ņ</w:t>
      </w:r>
      <w:r w:rsidRPr="009F69B7">
        <w:rPr>
          <w:rFonts w:ascii="Times New Roman" w:hAnsi="Times New Roman"/>
          <w:sz w:val="24"/>
          <w:szCs w:val="24"/>
        </w:rPr>
        <w:t xml:space="preserve">emot vērā faktu, ka Krievija sāk atkopties no krīzes, kā arī faktu, ka pieaug maksātspējīgo tūristu skaits Latvijā (Norvēģija, Zviedrija, Dānija), </w:t>
      </w:r>
      <w:r w:rsidR="00172631">
        <w:rPr>
          <w:rFonts w:ascii="Times New Roman" w:hAnsi="Times New Roman"/>
          <w:sz w:val="24"/>
          <w:szCs w:val="24"/>
        </w:rPr>
        <w:t>turpmākajam</w:t>
      </w:r>
      <w:r w:rsidRPr="009F69B7">
        <w:rPr>
          <w:rFonts w:ascii="Times New Roman" w:hAnsi="Times New Roman"/>
          <w:sz w:val="24"/>
          <w:szCs w:val="24"/>
        </w:rPr>
        <w:t xml:space="preserve"> Pamatnostādņu periodam </w:t>
      </w:r>
      <w:r w:rsidR="00172631">
        <w:rPr>
          <w:rFonts w:ascii="Times New Roman" w:hAnsi="Times New Roman"/>
          <w:sz w:val="24"/>
          <w:szCs w:val="24"/>
        </w:rPr>
        <w:t xml:space="preserve">līdz 2020.gadam </w:t>
      </w:r>
      <w:r w:rsidRPr="009F69B7">
        <w:rPr>
          <w:rFonts w:ascii="Times New Roman" w:hAnsi="Times New Roman"/>
          <w:sz w:val="24"/>
          <w:szCs w:val="24"/>
        </w:rPr>
        <w:t xml:space="preserve">attiecīgā rādītāja pieauguma temps tiek prognozēts augstāks nekā līdz šim, bet joprojām zemāks, nekā sākotnēji plānots. </w:t>
      </w:r>
    </w:p>
    <w:p w14:paraId="435D19CA" w14:textId="6038C069" w:rsidR="00265A56" w:rsidRPr="009F69B7" w:rsidRDefault="00B85B9A" w:rsidP="00265A56">
      <w:pPr>
        <w:pStyle w:val="ListParagraph"/>
        <w:numPr>
          <w:ilvl w:val="0"/>
          <w:numId w:val="23"/>
        </w:numPr>
        <w:spacing w:line="240" w:lineRule="auto"/>
        <w:ind w:left="709"/>
        <w:jc w:val="both"/>
        <w:rPr>
          <w:rFonts w:ascii="Times New Roman" w:hAnsi="Times New Roman"/>
          <w:sz w:val="24"/>
          <w:szCs w:val="24"/>
        </w:rPr>
      </w:pPr>
      <w:r>
        <w:rPr>
          <w:rFonts w:ascii="Times New Roman" w:hAnsi="Times New Roman"/>
          <w:sz w:val="24"/>
          <w:szCs w:val="24"/>
        </w:rPr>
        <w:t xml:space="preserve">Vērtējot rezultatīvā rādītāja </w:t>
      </w:r>
      <w:r w:rsidRPr="009F69B7">
        <w:rPr>
          <w:rFonts w:ascii="Times New Roman" w:hAnsi="Times New Roman"/>
          <w:b/>
          <w:sz w:val="24"/>
          <w:szCs w:val="24"/>
        </w:rPr>
        <w:t>ārvalstu vairākdienu ceļotāju kopējie izdevumi gadā</w:t>
      </w:r>
      <w:r>
        <w:rPr>
          <w:rFonts w:ascii="Times New Roman" w:hAnsi="Times New Roman"/>
          <w:sz w:val="24"/>
          <w:szCs w:val="24"/>
        </w:rPr>
        <w:t xml:space="preserve"> attīstības tempus, jāsecina, ka kaut arī pēdējos 3 gados vērojams kritums, kopējā tendence kopš 2012.gada uzrāda pieaugumu par vidēji 1,6% gadā. Būtiski ir piebilst, ka 2014.-20</w:t>
      </w:r>
      <w:r w:rsidR="00265A56">
        <w:rPr>
          <w:rFonts w:ascii="Times New Roman" w:hAnsi="Times New Roman"/>
          <w:sz w:val="24"/>
          <w:szCs w:val="24"/>
        </w:rPr>
        <w:t>16</w:t>
      </w:r>
      <w:r>
        <w:rPr>
          <w:rFonts w:ascii="Times New Roman" w:hAnsi="Times New Roman"/>
          <w:sz w:val="24"/>
          <w:szCs w:val="24"/>
        </w:rPr>
        <w:t xml:space="preserve">.gadu ietekmēja Krievijas tūristu skaita kritums, kas kopš 2016.gada sāk lēnām atkal pieaugt. Tādēļ, </w:t>
      </w:r>
      <w:r w:rsidR="00265A56">
        <w:rPr>
          <w:rFonts w:ascii="Times New Roman" w:hAnsi="Times New Roman"/>
          <w:sz w:val="24"/>
          <w:szCs w:val="24"/>
        </w:rPr>
        <w:t xml:space="preserve">esošo </w:t>
      </w:r>
      <w:r w:rsidR="009F69B7">
        <w:rPr>
          <w:rFonts w:ascii="Times New Roman" w:hAnsi="Times New Roman"/>
          <w:sz w:val="24"/>
          <w:szCs w:val="24"/>
        </w:rPr>
        <w:t>rezultatīvo</w:t>
      </w:r>
      <w:r w:rsidR="00265A56">
        <w:rPr>
          <w:rFonts w:ascii="Times New Roman" w:hAnsi="Times New Roman"/>
          <w:sz w:val="24"/>
          <w:szCs w:val="24"/>
        </w:rPr>
        <w:t xml:space="preserve"> rādītāju pašlaik nav nepieciešams pārrēķināt</w:t>
      </w:r>
      <w:r w:rsidR="009F69B7">
        <w:rPr>
          <w:rFonts w:ascii="Times New Roman" w:hAnsi="Times New Roman"/>
          <w:sz w:val="24"/>
          <w:szCs w:val="24"/>
        </w:rPr>
        <w:t>, jo tas atbilst nākotnes prognozēm</w:t>
      </w:r>
      <w:r w:rsidR="00265A56">
        <w:rPr>
          <w:rFonts w:ascii="Times New Roman" w:hAnsi="Times New Roman"/>
          <w:sz w:val="24"/>
          <w:szCs w:val="24"/>
        </w:rPr>
        <w:t xml:space="preserve">. </w:t>
      </w:r>
      <w:r w:rsidR="00265A56" w:rsidRPr="00265A56">
        <w:rPr>
          <w:rFonts w:ascii="Times New Roman" w:hAnsi="Times New Roman"/>
          <w:sz w:val="24"/>
          <w:szCs w:val="24"/>
        </w:rPr>
        <w:t>Taču</w:t>
      </w:r>
      <w:r w:rsidR="00FB793F">
        <w:rPr>
          <w:rFonts w:ascii="Times New Roman" w:hAnsi="Times New Roman"/>
          <w:sz w:val="24"/>
          <w:szCs w:val="24"/>
        </w:rPr>
        <w:t>,</w:t>
      </w:r>
      <w:r w:rsidR="00265A56" w:rsidRPr="00265A56">
        <w:rPr>
          <w:rFonts w:ascii="Times New Roman" w:hAnsi="Times New Roman"/>
          <w:sz w:val="24"/>
          <w:szCs w:val="24"/>
        </w:rPr>
        <w:t xml:space="preserve"> </w:t>
      </w:r>
      <w:r w:rsidR="00FB793F" w:rsidRPr="00265A56">
        <w:rPr>
          <w:rFonts w:ascii="Times New Roman" w:hAnsi="Times New Roman"/>
          <w:sz w:val="24"/>
          <w:szCs w:val="24"/>
        </w:rPr>
        <w:t xml:space="preserve">vērtējot </w:t>
      </w:r>
      <w:r w:rsidR="00FB793F">
        <w:rPr>
          <w:rFonts w:ascii="Times New Roman" w:hAnsi="Times New Roman"/>
          <w:sz w:val="24"/>
          <w:szCs w:val="24"/>
        </w:rPr>
        <w:t>viesnīcu cenu svārstības Latvijā un Baltijas valstīs,</w:t>
      </w:r>
      <w:r w:rsidR="00FB793F" w:rsidRPr="00265A56">
        <w:rPr>
          <w:rFonts w:ascii="Times New Roman" w:hAnsi="Times New Roman"/>
          <w:sz w:val="24"/>
          <w:szCs w:val="24"/>
        </w:rPr>
        <w:t xml:space="preserve"> </w:t>
      </w:r>
      <w:r w:rsidR="00265A56" w:rsidRPr="00265A56">
        <w:rPr>
          <w:rFonts w:ascii="Times New Roman" w:hAnsi="Times New Roman"/>
          <w:sz w:val="24"/>
          <w:szCs w:val="24"/>
        </w:rPr>
        <w:t xml:space="preserve">šo rezultatīvo rādītāju iespējams nāksies </w:t>
      </w:r>
      <w:r w:rsidR="00E27ABE">
        <w:rPr>
          <w:rFonts w:ascii="Times New Roman" w:hAnsi="Times New Roman"/>
          <w:sz w:val="24"/>
          <w:szCs w:val="24"/>
        </w:rPr>
        <w:t>precizēt</w:t>
      </w:r>
      <w:r w:rsidR="00265A56" w:rsidRPr="00265A56">
        <w:rPr>
          <w:rFonts w:ascii="Times New Roman" w:hAnsi="Times New Roman"/>
          <w:sz w:val="24"/>
          <w:szCs w:val="24"/>
        </w:rPr>
        <w:t xml:space="preserve"> </w:t>
      </w:r>
      <w:r w:rsidR="00FB793F">
        <w:rPr>
          <w:rFonts w:ascii="Times New Roman" w:hAnsi="Times New Roman"/>
          <w:sz w:val="24"/>
          <w:szCs w:val="24"/>
        </w:rPr>
        <w:t>Pamatnostādņu gala novērtējumā un plānojot Pamatnostādnes 2021.-2027.gadam</w:t>
      </w:r>
      <w:r w:rsidR="00265A56" w:rsidRPr="00265A56">
        <w:rPr>
          <w:rFonts w:ascii="Times New Roman" w:hAnsi="Times New Roman"/>
          <w:sz w:val="24"/>
          <w:szCs w:val="24"/>
        </w:rPr>
        <w:t>.</w:t>
      </w:r>
    </w:p>
    <w:p w14:paraId="64B1AEED" w14:textId="42345497" w:rsidR="00DF336B" w:rsidRDefault="005D71DA" w:rsidP="00920EAC">
      <w:pPr>
        <w:spacing w:after="240"/>
        <w:ind w:firstLine="360"/>
        <w:jc w:val="both"/>
        <w:rPr>
          <w:sz w:val="24"/>
          <w:szCs w:val="24"/>
        </w:rPr>
      </w:pPr>
      <w:r>
        <w:rPr>
          <w:sz w:val="24"/>
          <w:szCs w:val="24"/>
        </w:rPr>
        <w:t xml:space="preserve">Apkopojot augstāk minēto, </w:t>
      </w:r>
      <w:r w:rsidR="00E27ABE">
        <w:rPr>
          <w:sz w:val="24"/>
          <w:szCs w:val="24"/>
        </w:rPr>
        <w:t>precizēt</w:t>
      </w:r>
      <w:r w:rsidR="009F69B7">
        <w:rPr>
          <w:sz w:val="24"/>
          <w:szCs w:val="24"/>
        </w:rPr>
        <w:t>ais</w:t>
      </w:r>
      <w:r>
        <w:rPr>
          <w:sz w:val="24"/>
          <w:szCs w:val="24"/>
        </w:rPr>
        <w:t xml:space="preserve"> r</w:t>
      </w:r>
      <w:r w:rsidR="00DF336B">
        <w:rPr>
          <w:sz w:val="24"/>
          <w:szCs w:val="24"/>
        </w:rPr>
        <w:t>ezultatīv</w:t>
      </w:r>
      <w:r w:rsidR="009F69B7">
        <w:rPr>
          <w:sz w:val="24"/>
          <w:szCs w:val="24"/>
        </w:rPr>
        <w:t xml:space="preserve">ais </w:t>
      </w:r>
      <w:r w:rsidR="00DF336B">
        <w:rPr>
          <w:sz w:val="24"/>
          <w:szCs w:val="24"/>
        </w:rPr>
        <w:t>rādītāj</w:t>
      </w:r>
      <w:r w:rsidR="009F69B7">
        <w:rPr>
          <w:sz w:val="24"/>
          <w:szCs w:val="24"/>
        </w:rPr>
        <w:t xml:space="preserve">s </w:t>
      </w:r>
      <w:r w:rsidR="009F69B7" w:rsidRPr="009F69B7">
        <w:rPr>
          <w:i/>
          <w:sz w:val="24"/>
          <w:szCs w:val="24"/>
        </w:rPr>
        <w:t>ārvalstu vairākdienu ceļotāju skait</w:t>
      </w:r>
      <w:r w:rsidR="009F69B7">
        <w:rPr>
          <w:i/>
          <w:sz w:val="24"/>
          <w:szCs w:val="24"/>
        </w:rPr>
        <w:t xml:space="preserve">s </w:t>
      </w:r>
      <w:r w:rsidR="00DF336B">
        <w:rPr>
          <w:sz w:val="24"/>
          <w:szCs w:val="24"/>
        </w:rPr>
        <w:t xml:space="preserve">un </w:t>
      </w:r>
      <w:r w:rsidR="009F69B7">
        <w:rPr>
          <w:sz w:val="24"/>
          <w:szCs w:val="24"/>
        </w:rPr>
        <w:t>tā</w:t>
      </w:r>
      <w:r w:rsidR="00DF336B">
        <w:rPr>
          <w:sz w:val="24"/>
          <w:szCs w:val="24"/>
        </w:rPr>
        <w:t xml:space="preserve"> </w:t>
      </w:r>
      <w:r w:rsidR="00B865DB">
        <w:rPr>
          <w:sz w:val="24"/>
          <w:szCs w:val="24"/>
        </w:rPr>
        <w:t xml:space="preserve">reāli </w:t>
      </w:r>
      <w:r w:rsidR="00DF336B">
        <w:rPr>
          <w:sz w:val="24"/>
          <w:szCs w:val="24"/>
        </w:rPr>
        <w:t>sasniedzamās rezultatīvās vērtības</w:t>
      </w:r>
      <w:r w:rsidR="009F69B7">
        <w:rPr>
          <w:sz w:val="24"/>
          <w:szCs w:val="24"/>
        </w:rPr>
        <w:t>, kā arī pārējo rezultatīvo rādītāju prognozes, kas atbilst uzstādītajiem mērķiem,</w:t>
      </w:r>
      <w:r w:rsidR="00DF336B">
        <w:rPr>
          <w:sz w:val="24"/>
          <w:szCs w:val="24"/>
        </w:rPr>
        <w:t xml:space="preserve"> </w:t>
      </w:r>
      <w:r w:rsidR="009F69B7">
        <w:rPr>
          <w:rFonts w:cs="Times New Roman"/>
          <w:sz w:val="24"/>
          <w:szCs w:val="24"/>
        </w:rPr>
        <w:t>ir</w:t>
      </w:r>
      <w:r w:rsidR="009151F7">
        <w:rPr>
          <w:rFonts w:cs="Times New Roman"/>
          <w:sz w:val="24"/>
          <w:szCs w:val="24"/>
        </w:rPr>
        <w:t xml:space="preserve"> </w:t>
      </w:r>
      <w:r w:rsidR="002F6E74" w:rsidRPr="00E27ABE">
        <w:rPr>
          <w:rFonts w:cs="Times New Roman"/>
          <w:sz w:val="24"/>
          <w:szCs w:val="24"/>
        </w:rPr>
        <w:t>jāņem vērā veicot nākošo starpposma novērtējumu</w:t>
      </w:r>
      <w:r w:rsidR="00DF336B">
        <w:rPr>
          <w:sz w:val="24"/>
          <w:szCs w:val="24"/>
        </w:rPr>
        <w:t>.</w:t>
      </w:r>
      <w:r w:rsidR="00E27ABE">
        <w:rPr>
          <w:sz w:val="24"/>
          <w:szCs w:val="24"/>
        </w:rPr>
        <w:t xml:space="preserve"> Vienlaikus būtiski piebilst, ka orģināli </w:t>
      </w:r>
      <w:r w:rsidR="009151F7">
        <w:rPr>
          <w:sz w:val="24"/>
          <w:szCs w:val="24"/>
        </w:rPr>
        <w:t xml:space="preserve">pamatnostādnēs </w:t>
      </w:r>
      <w:r w:rsidR="00E27ABE">
        <w:rPr>
          <w:sz w:val="24"/>
          <w:szCs w:val="24"/>
        </w:rPr>
        <w:t>noteiktie rezultatīvie rādītāji netiks koriģēti, taču, precizējot jau tagad tos rādītājus, kuri neatbilst reālajai nozares situācijai, tiek nodrošināta precīzāka nākotnes mērķu nospraušana balstoties uz nozares attīstības tempiem.</w:t>
      </w:r>
    </w:p>
    <w:p w14:paraId="4B23B769" w14:textId="43AE1421" w:rsidR="00360F54" w:rsidRPr="00C45E26" w:rsidRDefault="00360F54" w:rsidP="00360F54">
      <w:pPr>
        <w:pStyle w:val="Heading1"/>
        <w:shd w:val="clear" w:color="auto" w:fill="1DA0A7"/>
        <w:spacing w:before="0" w:line="240" w:lineRule="auto"/>
        <w:rPr>
          <w:color w:val="FFFFFF" w:themeColor="background1"/>
          <w:sz w:val="28"/>
          <w:lang w:val="lv-LV"/>
        </w:rPr>
      </w:pPr>
      <w:bookmarkStart w:id="19" w:name="_Toc462739797"/>
      <w:bookmarkStart w:id="20" w:name="_Toc500423600"/>
      <w:r w:rsidRPr="00360F54">
        <w:rPr>
          <w:color w:val="FFFFFF" w:themeColor="background1"/>
          <w:sz w:val="28"/>
        </w:rPr>
        <w:lastRenderedPageBreak/>
        <w:t>4. Pamatnostādņu īstenošanā ieguldīt</w:t>
      </w:r>
      <w:r w:rsidR="00C45E26">
        <w:rPr>
          <w:color w:val="FFFFFF" w:themeColor="background1"/>
          <w:sz w:val="28"/>
          <w:lang w:val="lv-LV"/>
        </w:rPr>
        <w:t>ie</w:t>
      </w:r>
      <w:r w:rsidRPr="00360F54">
        <w:rPr>
          <w:color w:val="FFFFFF" w:themeColor="background1"/>
          <w:sz w:val="28"/>
        </w:rPr>
        <w:t xml:space="preserve"> resurs</w:t>
      </w:r>
      <w:bookmarkEnd w:id="19"/>
      <w:bookmarkEnd w:id="20"/>
      <w:r w:rsidR="00C45E26">
        <w:rPr>
          <w:color w:val="FFFFFF" w:themeColor="background1"/>
          <w:sz w:val="28"/>
          <w:lang w:val="lv-LV"/>
        </w:rPr>
        <w:t>i</w:t>
      </w:r>
    </w:p>
    <w:p w14:paraId="195F7F25" w14:textId="4D26F87B" w:rsidR="00DF336B" w:rsidRDefault="00336CE7" w:rsidP="00DF336B">
      <w:pPr>
        <w:jc w:val="both"/>
        <w:rPr>
          <w:sz w:val="24"/>
          <w:szCs w:val="24"/>
        </w:rPr>
      </w:pPr>
      <w:r>
        <w:rPr>
          <w:sz w:val="24"/>
          <w:szCs w:val="24"/>
        </w:rPr>
        <w:t xml:space="preserve">Pamatnostādņu </w:t>
      </w:r>
      <w:r w:rsidR="00DF336B">
        <w:rPr>
          <w:sz w:val="24"/>
          <w:szCs w:val="24"/>
        </w:rPr>
        <w:t xml:space="preserve">definētā mērķa </w:t>
      </w:r>
      <w:r w:rsidR="00DF336B" w:rsidRPr="00C82F5B">
        <w:rPr>
          <w:i/>
          <w:sz w:val="24"/>
          <w:szCs w:val="24"/>
        </w:rPr>
        <w:t>“</w:t>
      </w:r>
      <w:r w:rsidR="00F95B16" w:rsidRPr="00C82F5B">
        <w:rPr>
          <w:i/>
          <w:color w:val="000000" w:themeColor="text1"/>
          <w:sz w:val="24"/>
          <w:szCs w:val="24"/>
        </w:rPr>
        <w:t>veicināt ilgtspējīgu Latvijas tūrisma attīstību, palielinot Latvijas tūrisma produktu</w:t>
      </w:r>
      <w:r w:rsidR="00C82F5B" w:rsidRPr="00C82F5B">
        <w:rPr>
          <w:i/>
          <w:color w:val="000000" w:themeColor="text1"/>
          <w:sz w:val="24"/>
          <w:szCs w:val="24"/>
        </w:rPr>
        <w:t xml:space="preserve"> konkurētspēju ārvalstu tirgos, ievērojot s</w:t>
      </w:r>
      <w:r w:rsidR="00F95B16" w:rsidRPr="00C82F5B">
        <w:rPr>
          <w:i/>
          <w:color w:val="000000" w:themeColor="text1"/>
          <w:sz w:val="24"/>
          <w:szCs w:val="24"/>
        </w:rPr>
        <w:t>tratēģisk</w:t>
      </w:r>
      <w:r w:rsidR="00C82F5B" w:rsidRPr="00C82F5B">
        <w:rPr>
          <w:i/>
          <w:color w:val="000000" w:themeColor="text1"/>
          <w:sz w:val="24"/>
          <w:szCs w:val="24"/>
        </w:rPr>
        <w:t>os</w:t>
      </w:r>
      <w:r w:rsidR="00F95B16" w:rsidRPr="00C82F5B">
        <w:rPr>
          <w:i/>
          <w:color w:val="000000" w:themeColor="text1"/>
          <w:sz w:val="24"/>
          <w:szCs w:val="24"/>
        </w:rPr>
        <w:t xml:space="preserve"> tūrisma </w:t>
      </w:r>
      <w:r w:rsidR="00C82F5B" w:rsidRPr="00C82F5B">
        <w:rPr>
          <w:i/>
          <w:color w:val="000000" w:themeColor="text1"/>
          <w:sz w:val="24"/>
          <w:szCs w:val="24"/>
        </w:rPr>
        <w:t>veidus</w:t>
      </w:r>
      <w:r w:rsidR="00F95B16" w:rsidRPr="00C82F5B">
        <w:rPr>
          <w:i/>
          <w:color w:val="000000" w:themeColor="text1"/>
          <w:sz w:val="24"/>
          <w:szCs w:val="24"/>
        </w:rPr>
        <w:t>: MICE (darījumu un pasākumu) tūrisms; veselības tūrisms; dabas tūrisms; kultūras</w:t>
      </w:r>
      <w:r w:rsidR="00C82F5B" w:rsidRPr="00C82F5B">
        <w:rPr>
          <w:i/>
          <w:color w:val="000000" w:themeColor="text1"/>
          <w:sz w:val="24"/>
          <w:szCs w:val="24"/>
        </w:rPr>
        <w:t xml:space="preserve"> tūrisms un radošās industrijas”</w:t>
      </w:r>
      <w:r w:rsidR="00C82F5B">
        <w:rPr>
          <w:sz w:val="24"/>
          <w:szCs w:val="24"/>
        </w:rPr>
        <w:t xml:space="preserve"> </w:t>
      </w:r>
      <w:r w:rsidRPr="00242557">
        <w:rPr>
          <w:sz w:val="24"/>
          <w:szCs w:val="24"/>
        </w:rPr>
        <w:t>ī</w:t>
      </w:r>
      <w:r w:rsidR="00DF336B" w:rsidRPr="00242557">
        <w:rPr>
          <w:sz w:val="24"/>
          <w:szCs w:val="24"/>
        </w:rPr>
        <w:t xml:space="preserve">stenojamo aktivitātīšu izpilde Pamatnostādņu starpposma </w:t>
      </w:r>
      <w:r w:rsidR="00242557">
        <w:rPr>
          <w:sz w:val="24"/>
          <w:szCs w:val="24"/>
        </w:rPr>
        <w:t>novērtējuma</w:t>
      </w:r>
      <w:r w:rsidR="00DF336B" w:rsidRPr="00242557">
        <w:rPr>
          <w:sz w:val="24"/>
          <w:szCs w:val="24"/>
        </w:rPr>
        <w:t xml:space="preserve"> periodā apkopota informatīvā ziņojuma 1.pielikumā.</w:t>
      </w:r>
    </w:p>
    <w:p w14:paraId="7F9D5F97" w14:textId="18C47A6E" w:rsidR="00DF336B" w:rsidRDefault="00DF336B" w:rsidP="00DF336B">
      <w:pPr>
        <w:jc w:val="both"/>
        <w:rPr>
          <w:sz w:val="24"/>
          <w:szCs w:val="24"/>
        </w:rPr>
      </w:pPr>
      <w:r>
        <w:rPr>
          <w:sz w:val="24"/>
          <w:szCs w:val="24"/>
        </w:rPr>
        <w:tab/>
      </w:r>
      <w:r w:rsidRPr="00C82F5B">
        <w:rPr>
          <w:b/>
          <w:sz w:val="24"/>
          <w:szCs w:val="24"/>
        </w:rPr>
        <w:t xml:space="preserve"> 1.rīcības virzien</w:t>
      </w:r>
      <w:r w:rsidR="00C82F5B" w:rsidRPr="00C82F5B">
        <w:rPr>
          <w:b/>
          <w:sz w:val="24"/>
          <w:szCs w:val="24"/>
        </w:rPr>
        <w:t>a</w:t>
      </w:r>
      <w:r w:rsidRPr="00C82F5B">
        <w:rPr>
          <w:b/>
          <w:sz w:val="24"/>
          <w:szCs w:val="24"/>
        </w:rPr>
        <w:t xml:space="preserve"> “</w:t>
      </w:r>
      <w:r w:rsidR="00C82F5B" w:rsidRPr="00C82F5B">
        <w:rPr>
          <w:b/>
          <w:i/>
          <w:sz w:val="24"/>
          <w:szCs w:val="24"/>
        </w:rPr>
        <w:t>Infrastruktūras attīstība tūrisma izaugsmei</w:t>
      </w:r>
      <w:r w:rsidRPr="00C82F5B">
        <w:rPr>
          <w:b/>
          <w:sz w:val="24"/>
          <w:szCs w:val="24"/>
        </w:rPr>
        <w:t>”</w:t>
      </w:r>
      <w:r>
        <w:rPr>
          <w:sz w:val="24"/>
          <w:szCs w:val="24"/>
        </w:rPr>
        <w:t xml:space="preserve"> </w:t>
      </w:r>
      <w:r w:rsidR="00C82F5B">
        <w:rPr>
          <w:sz w:val="24"/>
          <w:szCs w:val="24"/>
        </w:rPr>
        <w:t xml:space="preserve">uzdevumi/pasākumi </w:t>
      </w:r>
      <w:r>
        <w:rPr>
          <w:sz w:val="24"/>
          <w:szCs w:val="24"/>
        </w:rPr>
        <w:t>pārskata periodā ietver vairākas ESF un ERAF līdzfinansētas aktivitātes 20</w:t>
      </w:r>
      <w:r w:rsidR="00C82F5B">
        <w:rPr>
          <w:sz w:val="24"/>
          <w:szCs w:val="24"/>
        </w:rPr>
        <w:t>14</w:t>
      </w:r>
      <w:r>
        <w:rPr>
          <w:sz w:val="24"/>
          <w:szCs w:val="24"/>
        </w:rPr>
        <w:t>.-20</w:t>
      </w:r>
      <w:r w:rsidR="00C82F5B">
        <w:rPr>
          <w:sz w:val="24"/>
          <w:szCs w:val="24"/>
        </w:rPr>
        <w:t>20</w:t>
      </w:r>
      <w:r>
        <w:rPr>
          <w:sz w:val="24"/>
          <w:szCs w:val="24"/>
        </w:rPr>
        <w:t>.gada plānošanas periodā, kuru mērķis ir:</w:t>
      </w:r>
    </w:p>
    <w:p w14:paraId="06145823" w14:textId="6FBF1FCF" w:rsidR="003232C4" w:rsidRDefault="00C82F5B" w:rsidP="003232C4">
      <w:pPr>
        <w:pStyle w:val="ListParagraph"/>
        <w:numPr>
          <w:ilvl w:val="1"/>
          <w:numId w:val="18"/>
        </w:numPr>
        <w:spacing w:line="240" w:lineRule="auto"/>
        <w:jc w:val="both"/>
        <w:rPr>
          <w:rFonts w:ascii="Times New Roman" w:hAnsi="Times New Roman"/>
          <w:sz w:val="24"/>
          <w:szCs w:val="24"/>
        </w:rPr>
      </w:pPr>
      <w:r w:rsidRPr="00C82F5B">
        <w:rPr>
          <w:rFonts w:ascii="Times New Roman" w:hAnsi="Times New Roman"/>
          <w:sz w:val="24"/>
          <w:szCs w:val="24"/>
        </w:rPr>
        <w:t>Starptautiskas nozīmes ilgtspējīgu tūrisma produktu, kas saistīti ar materiālā un nemateriālā kultūras un dabas mantojuma efektīvu izmantošanu, attīstības veicināšana</w:t>
      </w:r>
      <w:r w:rsidR="00DF336B" w:rsidRPr="00C82F5B">
        <w:rPr>
          <w:rFonts w:ascii="Times New Roman" w:hAnsi="Times New Roman"/>
          <w:sz w:val="24"/>
          <w:szCs w:val="24"/>
        </w:rPr>
        <w:t>;</w:t>
      </w:r>
    </w:p>
    <w:p w14:paraId="62F8F273" w14:textId="4E679C42" w:rsidR="003232C4" w:rsidRDefault="00C82F5B" w:rsidP="003232C4">
      <w:pPr>
        <w:pStyle w:val="ListParagraph"/>
        <w:numPr>
          <w:ilvl w:val="1"/>
          <w:numId w:val="18"/>
        </w:numPr>
        <w:spacing w:line="240" w:lineRule="auto"/>
        <w:jc w:val="both"/>
        <w:rPr>
          <w:rFonts w:ascii="Times New Roman" w:hAnsi="Times New Roman"/>
          <w:sz w:val="24"/>
          <w:szCs w:val="24"/>
        </w:rPr>
      </w:pPr>
      <w:r w:rsidRPr="003232C4">
        <w:rPr>
          <w:rFonts w:ascii="Times New Roman" w:hAnsi="Times New Roman"/>
          <w:sz w:val="24"/>
          <w:szCs w:val="24"/>
        </w:rPr>
        <w:t>Starptautiska līmeņa  un lokālo dabas tūrisma produktu attīstība īpaši aizsargājamās dabas teritorijās un īpaši aizsargājamos biotopos</w:t>
      </w:r>
      <w:r w:rsidR="00DF336B" w:rsidRPr="003232C4">
        <w:rPr>
          <w:rFonts w:ascii="Times New Roman" w:hAnsi="Times New Roman"/>
          <w:sz w:val="24"/>
          <w:szCs w:val="24"/>
        </w:rPr>
        <w:t>;</w:t>
      </w:r>
    </w:p>
    <w:p w14:paraId="69B17665" w14:textId="78A2868D" w:rsidR="003232C4" w:rsidRDefault="00C82F5B" w:rsidP="003232C4">
      <w:pPr>
        <w:pStyle w:val="ListParagraph"/>
        <w:numPr>
          <w:ilvl w:val="1"/>
          <w:numId w:val="18"/>
        </w:numPr>
        <w:spacing w:line="240" w:lineRule="auto"/>
        <w:jc w:val="both"/>
        <w:rPr>
          <w:rFonts w:ascii="Times New Roman" w:hAnsi="Times New Roman"/>
          <w:sz w:val="24"/>
          <w:szCs w:val="24"/>
        </w:rPr>
      </w:pPr>
      <w:r w:rsidRPr="003232C4">
        <w:rPr>
          <w:rFonts w:ascii="Times New Roman" w:hAnsi="Times New Roman"/>
          <w:sz w:val="24"/>
          <w:szCs w:val="24"/>
        </w:rPr>
        <w:t>Veicināt pilsētas revitalizāciju, vides kvalitātes uzlabošanos, investīciju piesaistīšanu, kā arī integrētus ieguldījumus infrastruktūras attīstībā, tai skaitā nacionālas nozīmes kultūras, darījumu tūrisma un sporta infrastruktūras attīstībā</w:t>
      </w:r>
      <w:r w:rsidR="00DF336B" w:rsidRPr="003232C4">
        <w:rPr>
          <w:rFonts w:ascii="Times New Roman" w:hAnsi="Times New Roman"/>
          <w:sz w:val="24"/>
          <w:szCs w:val="24"/>
        </w:rPr>
        <w:t>;</w:t>
      </w:r>
    </w:p>
    <w:p w14:paraId="7DE32200" w14:textId="122326FF" w:rsidR="00DF336B" w:rsidRPr="003232C4" w:rsidRDefault="00C82F5B" w:rsidP="003232C4">
      <w:pPr>
        <w:pStyle w:val="ListParagraph"/>
        <w:numPr>
          <w:ilvl w:val="1"/>
          <w:numId w:val="18"/>
        </w:numPr>
        <w:spacing w:line="240" w:lineRule="auto"/>
        <w:jc w:val="both"/>
        <w:rPr>
          <w:rFonts w:ascii="Times New Roman" w:hAnsi="Times New Roman"/>
          <w:sz w:val="24"/>
          <w:szCs w:val="24"/>
        </w:rPr>
      </w:pPr>
      <w:r w:rsidRPr="003232C4">
        <w:rPr>
          <w:rFonts w:ascii="Times New Roman" w:hAnsi="Times New Roman"/>
          <w:sz w:val="24"/>
          <w:szCs w:val="24"/>
        </w:rPr>
        <w:t>Dabas dziedniecisko resursu izpētes un ilgtspējīgas izmantošanas nodrošināšana</w:t>
      </w:r>
      <w:r w:rsidR="00DF336B" w:rsidRPr="003232C4">
        <w:rPr>
          <w:rFonts w:ascii="Times New Roman" w:hAnsi="Times New Roman"/>
          <w:sz w:val="24"/>
          <w:szCs w:val="24"/>
        </w:rPr>
        <w:t>.</w:t>
      </w:r>
    </w:p>
    <w:p w14:paraId="200DDCE3" w14:textId="52B54D5D" w:rsidR="003059E4" w:rsidRDefault="00ED23D9" w:rsidP="00DF336B">
      <w:pPr>
        <w:ind w:left="66" w:firstLine="360"/>
        <w:jc w:val="both"/>
        <w:rPr>
          <w:sz w:val="24"/>
          <w:szCs w:val="24"/>
        </w:rPr>
      </w:pPr>
      <w:r>
        <w:rPr>
          <w:sz w:val="24"/>
          <w:szCs w:val="24"/>
        </w:rPr>
        <w:t>P</w:t>
      </w:r>
      <w:r w:rsidR="00242557">
        <w:rPr>
          <w:sz w:val="24"/>
          <w:szCs w:val="24"/>
        </w:rPr>
        <w:t xml:space="preserve">ārskata periodā ir uzsāktas </w:t>
      </w:r>
      <w:r w:rsidR="00391072">
        <w:rPr>
          <w:sz w:val="24"/>
          <w:szCs w:val="24"/>
        </w:rPr>
        <w:t xml:space="preserve">piecas </w:t>
      </w:r>
      <w:r w:rsidR="00F92AF4">
        <w:rPr>
          <w:sz w:val="24"/>
          <w:szCs w:val="24"/>
        </w:rPr>
        <w:t>ERAF</w:t>
      </w:r>
      <w:r w:rsidR="00242557">
        <w:rPr>
          <w:sz w:val="24"/>
          <w:szCs w:val="24"/>
        </w:rPr>
        <w:t xml:space="preserve"> darbība programmas</w:t>
      </w:r>
      <w:r w:rsidR="00F92AF4">
        <w:rPr>
          <w:sz w:val="24"/>
          <w:szCs w:val="24"/>
        </w:rPr>
        <w:t xml:space="preserve"> 2014-2020</w:t>
      </w:r>
      <w:r w:rsidR="00242557">
        <w:rPr>
          <w:sz w:val="24"/>
          <w:szCs w:val="24"/>
        </w:rPr>
        <w:t>, kuras ir tieši vai netieši saistītas ar tūrisma infrastruk</w:t>
      </w:r>
      <w:r w:rsidR="002A1F94">
        <w:rPr>
          <w:sz w:val="24"/>
          <w:szCs w:val="24"/>
        </w:rPr>
        <w:t>tūras un kopējo nozares izaugsmes veicināšanu</w:t>
      </w:r>
      <w:r w:rsidR="00242557">
        <w:rPr>
          <w:sz w:val="24"/>
          <w:szCs w:val="24"/>
        </w:rPr>
        <w:t xml:space="preserve">: </w:t>
      </w:r>
    </w:p>
    <w:p w14:paraId="7DAFFB59" w14:textId="600A1442" w:rsidR="00D970F8" w:rsidRPr="003059E4" w:rsidRDefault="00D970F8" w:rsidP="00D970F8">
      <w:pPr>
        <w:pStyle w:val="ListParagraph"/>
        <w:numPr>
          <w:ilvl w:val="0"/>
          <w:numId w:val="26"/>
        </w:numPr>
        <w:spacing w:line="240" w:lineRule="auto"/>
        <w:ind w:left="709"/>
        <w:jc w:val="both"/>
        <w:rPr>
          <w:rFonts w:ascii="Times New Roman" w:hAnsi="Times New Roman"/>
          <w:sz w:val="24"/>
          <w:szCs w:val="24"/>
        </w:rPr>
      </w:pPr>
      <w:r>
        <w:rPr>
          <w:rFonts w:ascii="Times New Roman" w:hAnsi="Times New Roman"/>
          <w:sz w:val="24"/>
          <w:szCs w:val="24"/>
        </w:rPr>
        <w:t>3.3.1.</w:t>
      </w:r>
      <w:r w:rsidRPr="003059E4">
        <w:rPr>
          <w:rFonts w:ascii="Times New Roman" w:hAnsi="Times New Roman"/>
          <w:sz w:val="24"/>
          <w:szCs w:val="24"/>
        </w:rPr>
        <w:t>SAM “Palielināt privāto investīciju apjomu reģionos, veicot ieguldījumus uzņēmējdarbības attīstībai atbilstoši pašvaldību attīstības programmās noteiktajai teritoriju ekonomiskajai specializācijai un balstoties uz vietējo uzņēmēju vajadzībām”</w:t>
      </w:r>
      <w:r>
        <w:rPr>
          <w:rFonts w:ascii="Times New Roman" w:hAnsi="Times New Roman"/>
          <w:sz w:val="24"/>
          <w:szCs w:val="24"/>
        </w:rPr>
        <w:t xml:space="preserve"> (VARAM)</w:t>
      </w:r>
      <w:r w:rsidRPr="003059E4">
        <w:rPr>
          <w:rFonts w:ascii="Times New Roman" w:hAnsi="Times New Roman"/>
          <w:sz w:val="24"/>
          <w:szCs w:val="24"/>
        </w:rPr>
        <w:t xml:space="preserve">, </w:t>
      </w:r>
    </w:p>
    <w:p w14:paraId="0C304113" w14:textId="08793AB3" w:rsidR="00D970F8" w:rsidRPr="00D970F8" w:rsidRDefault="00D970F8" w:rsidP="00D970F8">
      <w:pPr>
        <w:pStyle w:val="ListParagraph"/>
        <w:numPr>
          <w:ilvl w:val="0"/>
          <w:numId w:val="26"/>
        </w:numPr>
        <w:spacing w:line="240" w:lineRule="auto"/>
        <w:ind w:left="709"/>
        <w:jc w:val="both"/>
        <w:rPr>
          <w:rFonts w:ascii="Times New Roman" w:hAnsi="Times New Roman"/>
          <w:sz w:val="24"/>
          <w:szCs w:val="24"/>
        </w:rPr>
      </w:pPr>
      <w:r w:rsidRPr="00D970F8">
        <w:rPr>
          <w:rFonts w:ascii="Times New Roman" w:hAnsi="Times New Roman"/>
          <w:sz w:val="24"/>
          <w:szCs w:val="24"/>
        </w:rPr>
        <w:t>5.4.1. SAM „Saglabāt un atjaunot bioloģisko daudzveidību un aizsargāt ekosistēmas” 5.4.1.1. pasākums “Antropogēno slodzi mazinošas infrastruktūras izbūve un rekonstrukcija Natura 2000 teritorijās”</w:t>
      </w:r>
      <w:r>
        <w:rPr>
          <w:rFonts w:ascii="Times New Roman" w:hAnsi="Times New Roman"/>
          <w:sz w:val="24"/>
          <w:szCs w:val="24"/>
        </w:rPr>
        <w:t xml:space="preserve"> (VARAM)</w:t>
      </w:r>
      <w:r w:rsidRPr="00D970F8">
        <w:rPr>
          <w:rFonts w:ascii="Times New Roman" w:hAnsi="Times New Roman"/>
          <w:sz w:val="24"/>
          <w:szCs w:val="24"/>
        </w:rPr>
        <w:t xml:space="preserve">, </w:t>
      </w:r>
    </w:p>
    <w:p w14:paraId="5AACD8F7" w14:textId="24A9C073" w:rsidR="00D970F8" w:rsidRDefault="00391072" w:rsidP="00D970F8">
      <w:pPr>
        <w:pStyle w:val="ListParagraph"/>
        <w:numPr>
          <w:ilvl w:val="0"/>
          <w:numId w:val="26"/>
        </w:numPr>
        <w:spacing w:line="240" w:lineRule="auto"/>
        <w:ind w:left="709"/>
        <w:jc w:val="both"/>
        <w:rPr>
          <w:rFonts w:ascii="Times New Roman" w:hAnsi="Times New Roman"/>
          <w:sz w:val="24"/>
          <w:szCs w:val="24"/>
        </w:rPr>
      </w:pPr>
      <w:r>
        <w:rPr>
          <w:rFonts w:ascii="Times New Roman" w:hAnsi="Times New Roman"/>
          <w:sz w:val="24"/>
          <w:szCs w:val="24"/>
        </w:rPr>
        <w:t>5.5.1.SAM “</w:t>
      </w:r>
      <w:r w:rsidR="003059E4" w:rsidRPr="003059E4">
        <w:rPr>
          <w:rFonts w:ascii="Times New Roman" w:hAnsi="Times New Roman"/>
          <w:sz w:val="24"/>
          <w:szCs w:val="24"/>
        </w:rPr>
        <w:t>Saglabāt, aizsargāt un attīstīt nozīmīgu kultūras un dabas mantojumu, kā arī attīstīt ar to saistītos pakalpojumus”</w:t>
      </w:r>
      <w:r w:rsidR="00D970F8">
        <w:rPr>
          <w:rFonts w:ascii="Times New Roman" w:hAnsi="Times New Roman"/>
          <w:sz w:val="24"/>
          <w:szCs w:val="24"/>
        </w:rPr>
        <w:t>(KM+VARAM)</w:t>
      </w:r>
      <w:r w:rsidR="003059E4" w:rsidRPr="003059E4">
        <w:rPr>
          <w:rFonts w:ascii="Times New Roman" w:hAnsi="Times New Roman"/>
          <w:sz w:val="24"/>
          <w:szCs w:val="24"/>
        </w:rPr>
        <w:t xml:space="preserve">, </w:t>
      </w:r>
    </w:p>
    <w:p w14:paraId="0FD59BFC" w14:textId="77BE93C7" w:rsidR="003059E4" w:rsidRPr="00391072" w:rsidRDefault="00391072" w:rsidP="00391072">
      <w:pPr>
        <w:pStyle w:val="ListParagraph"/>
        <w:numPr>
          <w:ilvl w:val="0"/>
          <w:numId w:val="26"/>
        </w:numPr>
        <w:spacing w:line="240" w:lineRule="auto"/>
        <w:ind w:left="709"/>
        <w:jc w:val="both"/>
        <w:rPr>
          <w:rFonts w:ascii="Times New Roman" w:hAnsi="Times New Roman"/>
          <w:sz w:val="24"/>
          <w:szCs w:val="24"/>
        </w:rPr>
      </w:pPr>
      <w:r>
        <w:rPr>
          <w:rFonts w:ascii="Times New Roman" w:hAnsi="Times New Roman"/>
          <w:sz w:val="24"/>
          <w:szCs w:val="24"/>
        </w:rPr>
        <w:t>5.6.1.SAM “</w:t>
      </w:r>
      <w:r w:rsidR="003059E4" w:rsidRPr="00391072">
        <w:rPr>
          <w:rFonts w:ascii="Times New Roman" w:hAnsi="Times New Roman"/>
          <w:sz w:val="24"/>
          <w:szCs w:val="24"/>
        </w:rPr>
        <w:t>Veicināt Rīgas pilsētas revitalizāciju, nodrošinot teritorijas efektīvu sociālekonomisko izmantošanu”</w:t>
      </w:r>
      <w:r w:rsidR="00D970F8" w:rsidRPr="00391072">
        <w:rPr>
          <w:rFonts w:ascii="Times New Roman" w:hAnsi="Times New Roman"/>
          <w:sz w:val="24"/>
          <w:szCs w:val="24"/>
        </w:rPr>
        <w:t xml:space="preserve"> (KM)</w:t>
      </w:r>
      <w:r w:rsidR="003059E4" w:rsidRPr="00391072">
        <w:rPr>
          <w:rFonts w:ascii="Times New Roman" w:hAnsi="Times New Roman"/>
          <w:sz w:val="24"/>
          <w:szCs w:val="24"/>
        </w:rPr>
        <w:t xml:space="preserve">, </w:t>
      </w:r>
    </w:p>
    <w:p w14:paraId="13E421D5" w14:textId="2676AED1" w:rsidR="003059E4" w:rsidRDefault="003059E4" w:rsidP="00D970F8">
      <w:pPr>
        <w:pStyle w:val="ListParagraph"/>
        <w:numPr>
          <w:ilvl w:val="0"/>
          <w:numId w:val="26"/>
        </w:numPr>
        <w:spacing w:line="240" w:lineRule="auto"/>
        <w:ind w:left="709"/>
        <w:jc w:val="both"/>
        <w:rPr>
          <w:rFonts w:ascii="Times New Roman" w:hAnsi="Times New Roman"/>
          <w:sz w:val="24"/>
          <w:szCs w:val="24"/>
        </w:rPr>
      </w:pPr>
      <w:r w:rsidRPr="003059E4">
        <w:rPr>
          <w:rFonts w:ascii="Times New Roman" w:hAnsi="Times New Roman"/>
          <w:sz w:val="24"/>
          <w:szCs w:val="24"/>
        </w:rPr>
        <w:t>5.6.2. SAM “Teritoriju revitalizācija, reģenerējot degradētās teritorijas atbilstoši pašvaldību integrētajām attīstības programmām”</w:t>
      </w:r>
      <w:r w:rsidR="00D970F8">
        <w:rPr>
          <w:rFonts w:ascii="Times New Roman" w:hAnsi="Times New Roman"/>
          <w:sz w:val="24"/>
          <w:szCs w:val="24"/>
        </w:rPr>
        <w:t xml:space="preserve"> (VARAM)</w:t>
      </w:r>
      <w:r>
        <w:rPr>
          <w:rFonts w:ascii="Times New Roman" w:hAnsi="Times New Roman"/>
          <w:sz w:val="24"/>
          <w:szCs w:val="24"/>
        </w:rPr>
        <w:t>.</w:t>
      </w:r>
    </w:p>
    <w:p w14:paraId="65B6D3EA" w14:textId="34F5986B" w:rsidR="00D95620" w:rsidRDefault="00D95620" w:rsidP="004031A3">
      <w:pPr>
        <w:pStyle w:val="ListParagraph"/>
        <w:spacing w:line="240" w:lineRule="auto"/>
        <w:ind w:left="0" w:firstLine="426"/>
        <w:jc w:val="both"/>
        <w:rPr>
          <w:rFonts w:ascii="Times New Roman" w:hAnsi="Times New Roman"/>
          <w:sz w:val="24"/>
          <w:szCs w:val="24"/>
        </w:rPr>
      </w:pPr>
      <w:r>
        <w:rPr>
          <w:rFonts w:ascii="Times New Roman" w:hAnsi="Times New Roman"/>
          <w:sz w:val="24"/>
          <w:szCs w:val="24"/>
        </w:rPr>
        <w:t xml:space="preserve">Lauku tūrisma uzņēmējdarbības </w:t>
      </w:r>
      <w:r w:rsidRPr="00D95620">
        <w:rPr>
          <w:rFonts w:ascii="Times New Roman" w:hAnsi="Times New Roman"/>
          <w:sz w:val="24"/>
          <w:szCs w:val="24"/>
        </w:rPr>
        <w:t xml:space="preserve">attīstība (ZM) </w:t>
      </w:r>
      <w:r>
        <w:rPr>
          <w:rFonts w:ascii="Times New Roman" w:hAnsi="Times New Roman"/>
          <w:sz w:val="24"/>
          <w:szCs w:val="24"/>
        </w:rPr>
        <w:t>tiek</w:t>
      </w:r>
      <w:r w:rsidRPr="00D95620">
        <w:rPr>
          <w:rFonts w:ascii="Times New Roman" w:hAnsi="Times New Roman"/>
          <w:sz w:val="24"/>
          <w:szCs w:val="24"/>
        </w:rPr>
        <w:t xml:space="preserve"> veicināta</w:t>
      </w:r>
      <w:r>
        <w:t xml:space="preserve"> </w:t>
      </w:r>
      <w:r w:rsidRPr="00D95620">
        <w:rPr>
          <w:rFonts w:ascii="Times New Roman" w:hAnsi="Times New Roman"/>
          <w:sz w:val="24"/>
          <w:szCs w:val="24"/>
        </w:rPr>
        <w:t>īstenojot Latvijas Lauku attīstības programmas 2014.-2020. gadam pasākumus - apakšpasākums “Darbību īstenošana saskaņā ar sabiedrības virzītas vietējās attīstības stratēģiju” aktivitāte “Vietējās ekonomikas stiprināšanas iniciatīvas”, pasākuma “Atbalsts ieguldījumiem ar lauksaimniecību nesaistītu darbību radīšanā un attīstīšanā” aktivitāte “Tūrisma aktivitāšu veicināšana” un pasākuma “Sadarbība” apakšpasākums „Atbalsts lauku tūrisma attīstības veicināšanai”</w:t>
      </w:r>
      <w:r>
        <w:rPr>
          <w:rFonts w:ascii="Times New Roman" w:hAnsi="Times New Roman"/>
          <w:sz w:val="24"/>
          <w:szCs w:val="24"/>
        </w:rPr>
        <w:t>.</w:t>
      </w:r>
    </w:p>
    <w:p w14:paraId="321D4152" w14:textId="28BB2AFD" w:rsidR="004031A3" w:rsidRDefault="00F92AF4" w:rsidP="004031A3">
      <w:pPr>
        <w:pStyle w:val="ListParagraph"/>
        <w:spacing w:line="240" w:lineRule="auto"/>
        <w:ind w:left="0" w:firstLine="426"/>
        <w:jc w:val="both"/>
        <w:rPr>
          <w:rFonts w:ascii="Times New Roman" w:hAnsi="Times New Roman"/>
          <w:sz w:val="24"/>
          <w:szCs w:val="24"/>
        </w:rPr>
      </w:pPr>
      <w:r>
        <w:rPr>
          <w:rFonts w:ascii="Times New Roman" w:hAnsi="Times New Roman"/>
          <w:sz w:val="24"/>
          <w:szCs w:val="24"/>
        </w:rPr>
        <w:t xml:space="preserve">Papildus ERAF darbības programmām ministrijas veic tūrisma attīstību veicinošas aktivitātes no Kokēzijas fonda, valsts budžeta, Norvēģijas finanšu instrumenta u.c. tādās aktivitātēs, kā piekrastes </w:t>
      </w:r>
      <w:r w:rsidR="004310F8">
        <w:rPr>
          <w:rFonts w:ascii="Times New Roman" w:hAnsi="Times New Roman"/>
          <w:sz w:val="24"/>
          <w:szCs w:val="24"/>
        </w:rPr>
        <w:t xml:space="preserve">un “Natura 2000” teritorijās </w:t>
      </w:r>
      <w:r>
        <w:rPr>
          <w:rFonts w:ascii="Times New Roman" w:hAnsi="Times New Roman"/>
          <w:sz w:val="24"/>
          <w:szCs w:val="24"/>
        </w:rPr>
        <w:t>publiskās infrastruktūras attīstība</w:t>
      </w:r>
      <w:r w:rsidR="004310F8">
        <w:rPr>
          <w:rFonts w:ascii="Times New Roman" w:hAnsi="Times New Roman"/>
          <w:sz w:val="24"/>
          <w:szCs w:val="24"/>
        </w:rPr>
        <w:t xml:space="preserve"> un </w:t>
      </w:r>
      <w:r w:rsidR="004310F8" w:rsidRPr="004310F8">
        <w:rPr>
          <w:rFonts w:ascii="Times New Roman" w:hAnsi="Times New Roman"/>
          <w:sz w:val="24"/>
          <w:szCs w:val="24"/>
        </w:rPr>
        <w:t>dziedniecisko dūņu atradnes “Sloka” izpēte</w:t>
      </w:r>
      <w:r>
        <w:rPr>
          <w:rFonts w:ascii="Times New Roman" w:hAnsi="Times New Roman"/>
          <w:sz w:val="24"/>
          <w:szCs w:val="24"/>
        </w:rPr>
        <w:t xml:space="preserve"> (VARAM), </w:t>
      </w:r>
      <w:r w:rsidR="004310F8">
        <w:rPr>
          <w:rFonts w:ascii="Times New Roman" w:hAnsi="Times New Roman"/>
          <w:sz w:val="24"/>
          <w:szCs w:val="24"/>
        </w:rPr>
        <w:t xml:space="preserve">autoceļu seguma un tīkla uzlabojumi, dzelzceļa pasažieru un </w:t>
      </w:r>
      <w:r w:rsidR="00391072">
        <w:rPr>
          <w:rFonts w:ascii="Times New Roman" w:hAnsi="Times New Roman"/>
          <w:sz w:val="24"/>
          <w:szCs w:val="24"/>
        </w:rPr>
        <w:t>Starptautiskās lidostas “</w:t>
      </w:r>
      <w:r w:rsidR="004310F8" w:rsidRPr="004310F8">
        <w:rPr>
          <w:rFonts w:ascii="Times New Roman" w:hAnsi="Times New Roman"/>
          <w:sz w:val="24"/>
          <w:szCs w:val="24"/>
        </w:rPr>
        <w:t xml:space="preserve">Rīga” </w:t>
      </w:r>
      <w:r w:rsidR="004310F8">
        <w:rPr>
          <w:rFonts w:ascii="Times New Roman" w:hAnsi="Times New Roman"/>
          <w:sz w:val="24"/>
          <w:szCs w:val="24"/>
        </w:rPr>
        <w:t xml:space="preserve">infrastruktūras modernizācija (SM), </w:t>
      </w:r>
      <w:r w:rsidR="00D95620">
        <w:rPr>
          <w:rFonts w:ascii="Times New Roman" w:hAnsi="Times New Roman"/>
          <w:sz w:val="24"/>
          <w:szCs w:val="24"/>
        </w:rPr>
        <w:t>z</w:t>
      </w:r>
      <w:r w:rsidR="00D95620" w:rsidRPr="004310F8">
        <w:rPr>
          <w:rFonts w:ascii="Times New Roman" w:hAnsi="Times New Roman"/>
          <w:sz w:val="24"/>
          <w:szCs w:val="24"/>
        </w:rPr>
        <w:t>emes dzīļu resursu izpēte</w:t>
      </w:r>
      <w:r w:rsidR="00D95620">
        <w:rPr>
          <w:rFonts w:ascii="Times New Roman" w:hAnsi="Times New Roman"/>
          <w:sz w:val="24"/>
          <w:szCs w:val="24"/>
        </w:rPr>
        <w:t xml:space="preserve"> (IZM) u.c.</w:t>
      </w:r>
      <w:r w:rsidR="004310F8">
        <w:rPr>
          <w:rFonts w:ascii="Times New Roman" w:hAnsi="Times New Roman"/>
          <w:sz w:val="24"/>
          <w:szCs w:val="24"/>
        </w:rPr>
        <w:t xml:space="preserve">  </w:t>
      </w:r>
    </w:p>
    <w:p w14:paraId="2F6CFFC2" w14:textId="72F8B566" w:rsidR="00C45E26" w:rsidRDefault="00C45E26" w:rsidP="004031A3">
      <w:pPr>
        <w:pStyle w:val="ListParagraph"/>
        <w:spacing w:line="240" w:lineRule="auto"/>
        <w:ind w:left="0" w:firstLine="426"/>
        <w:jc w:val="both"/>
        <w:rPr>
          <w:rFonts w:ascii="Times New Roman" w:hAnsi="Times New Roman"/>
          <w:sz w:val="24"/>
          <w:szCs w:val="24"/>
        </w:rPr>
      </w:pPr>
      <w:r w:rsidRPr="00C45E26">
        <w:rPr>
          <w:rFonts w:ascii="Times New Roman" w:hAnsi="Times New Roman"/>
          <w:sz w:val="24"/>
          <w:szCs w:val="24"/>
        </w:rPr>
        <w:t>Pamatnostādņu īstenošanā ieguldīt</w:t>
      </w:r>
      <w:r>
        <w:rPr>
          <w:rFonts w:ascii="Times New Roman" w:hAnsi="Times New Roman"/>
          <w:sz w:val="24"/>
          <w:szCs w:val="24"/>
        </w:rPr>
        <w:t>o</w:t>
      </w:r>
      <w:r w:rsidRPr="00C45E26">
        <w:rPr>
          <w:rFonts w:ascii="Times New Roman" w:hAnsi="Times New Roman"/>
          <w:sz w:val="24"/>
          <w:szCs w:val="24"/>
        </w:rPr>
        <w:t xml:space="preserve"> resurs</w:t>
      </w:r>
      <w:r>
        <w:rPr>
          <w:rFonts w:ascii="Times New Roman" w:hAnsi="Times New Roman"/>
          <w:sz w:val="24"/>
          <w:szCs w:val="24"/>
        </w:rPr>
        <w:t>u efektivitāti nav iespējams vēl izvērtēt, jo programmas ir tikko uzsāktas. Resursu efektivitāti varēs izvērtēt pēc 2014.-2020.gada plānošanas perioda beigām.</w:t>
      </w:r>
    </w:p>
    <w:p w14:paraId="293C8E94" w14:textId="5DCCA7A1" w:rsidR="00320988" w:rsidRDefault="00320988" w:rsidP="004031A3">
      <w:pPr>
        <w:pStyle w:val="ListParagraph"/>
        <w:spacing w:line="240" w:lineRule="auto"/>
        <w:ind w:left="0" w:firstLine="426"/>
        <w:jc w:val="both"/>
        <w:rPr>
          <w:rFonts w:ascii="Times New Roman" w:hAnsi="Times New Roman"/>
          <w:sz w:val="24"/>
          <w:szCs w:val="24"/>
        </w:rPr>
      </w:pPr>
      <w:r>
        <w:rPr>
          <w:rFonts w:ascii="Times New Roman" w:hAnsi="Times New Roman"/>
          <w:sz w:val="24"/>
          <w:szCs w:val="24"/>
        </w:rPr>
        <w:t xml:space="preserve">Minētā rīcības virziena pasākumu izpildē būtiski uzsvērt </w:t>
      </w:r>
      <w:r w:rsidRPr="00320988">
        <w:rPr>
          <w:rFonts w:ascii="Times New Roman" w:hAnsi="Times New Roman"/>
          <w:sz w:val="24"/>
          <w:szCs w:val="24"/>
          <w:u w:val="single"/>
        </w:rPr>
        <w:t>pašvaldību nozīmīgo lomu</w:t>
      </w:r>
      <w:r>
        <w:rPr>
          <w:rFonts w:ascii="Times New Roman" w:hAnsi="Times New Roman"/>
          <w:sz w:val="24"/>
          <w:szCs w:val="24"/>
        </w:rPr>
        <w:t xml:space="preserve"> publiskās un tūrisma infrastruktūras labiekārtošanā, </w:t>
      </w:r>
      <w:r w:rsidR="00DA2296">
        <w:rPr>
          <w:rFonts w:ascii="Times New Roman" w:hAnsi="Times New Roman"/>
          <w:sz w:val="24"/>
          <w:szCs w:val="24"/>
        </w:rPr>
        <w:t xml:space="preserve">kur pašvaldības finansējumu rod gan no saviem līdzekļiem, gan no struktūrfondiem, pārrobežu programmām u.c. Pārskata periodā radīti vairāki jauni tūrisma produkti, izbūvēti vairāki velo celiņi un pieguļošā infrastruktūra, pašvaldības regulāri uztur Tūrisma informācijas centru darbību un nodrošina tos ar virtuāliem un drukātiem materiāliem, ir izstrādāti vairāki jauni tūrisma maršruti, ierīkotas dabas takas u.c. </w:t>
      </w:r>
      <w:r w:rsidR="00A91FCA">
        <w:rPr>
          <w:rFonts w:ascii="Times New Roman" w:hAnsi="Times New Roman"/>
          <w:sz w:val="24"/>
          <w:szCs w:val="24"/>
        </w:rPr>
        <w:t xml:space="preserve">Kopsummā pašvaldības iesniegušas informāciju par vairāk kā 400 tūrisma </w:t>
      </w:r>
      <w:r w:rsidR="00874497">
        <w:rPr>
          <w:rFonts w:ascii="Times New Roman" w:hAnsi="Times New Roman"/>
          <w:sz w:val="24"/>
          <w:szCs w:val="24"/>
        </w:rPr>
        <w:t>aktivitātīšu</w:t>
      </w:r>
      <w:r w:rsidR="00A91FCA">
        <w:rPr>
          <w:rFonts w:ascii="Times New Roman" w:hAnsi="Times New Roman"/>
          <w:sz w:val="24"/>
          <w:szCs w:val="24"/>
        </w:rPr>
        <w:t xml:space="preserve"> īsten</w:t>
      </w:r>
      <w:r w:rsidR="00874497">
        <w:rPr>
          <w:rFonts w:ascii="Times New Roman" w:hAnsi="Times New Roman"/>
          <w:sz w:val="24"/>
          <w:szCs w:val="24"/>
        </w:rPr>
        <w:t>ošanu pārskata periodā un vairāk kā 200 jaunām plānotām aktivitātēm 2017.-2020.gadu periodā. Apkopojums</w:t>
      </w:r>
      <w:r w:rsidR="00DA2296" w:rsidRPr="00C139C0">
        <w:rPr>
          <w:rFonts w:ascii="Times New Roman" w:hAnsi="Times New Roman"/>
          <w:sz w:val="24"/>
          <w:szCs w:val="24"/>
        </w:rPr>
        <w:t xml:space="preserve"> par pašvaldību īstenotajām un vēl plānotajām aktivitātēm skatāms </w:t>
      </w:r>
      <w:r w:rsidR="00C139C0" w:rsidRPr="00C139C0">
        <w:rPr>
          <w:rFonts w:ascii="Times New Roman" w:hAnsi="Times New Roman"/>
          <w:sz w:val="24"/>
          <w:szCs w:val="24"/>
        </w:rPr>
        <w:t>informatīvā ziņojuma</w:t>
      </w:r>
      <w:r w:rsidR="00DA2296" w:rsidRPr="00C139C0">
        <w:rPr>
          <w:rFonts w:ascii="Times New Roman" w:hAnsi="Times New Roman"/>
          <w:sz w:val="24"/>
          <w:szCs w:val="24"/>
        </w:rPr>
        <w:t xml:space="preserve"> 2.pielikumā.</w:t>
      </w:r>
      <w:r w:rsidR="00DA2296">
        <w:rPr>
          <w:rFonts w:ascii="Times New Roman" w:hAnsi="Times New Roman"/>
          <w:sz w:val="24"/>
          <w:szCs w:val="24"/>
        </w:rPr>
        <w:t xml:space="preserve"> </w:t>
      </w:r>
    </w:p>
    <w:p w14:paraId="2D07F74E" w14:textId="3A1DF454" w:rsidR="003232C4" w:rsidRDefault="00DF336B" w:rsidP="00DF336B">
      <w:pPr>
        <w:jc w:val="both"/>
        <w:rPr>
          <w:sz w:val="24"/>
          <w:szCs w:val="24"/>
        </w:rPr>
      </w:pPr>
      <w:r>
        <w:rPr>
          <w:sz w:val="24"/>
          <w:szCs w:val="24"/>
        </w:rPr>
        <w:lastRenderedPageBreak/>
        <w:tab/>
      </w:r>
      <w:r w:rsidRPr="003232C4">
        <w:rPr>
          <w:b/>
          <w:sz w:val="24"/>
          <w:szCs w:val="24"/>
        </w:rPr>
        <w:t>2.rīcības virziena “</w:t>
      </w:r>
      <w:r w:rsidR="00861E72" w:rsidRPr="003232C4">
        <w:rPr>
          <w:b/>
          <w:i/>
          <w:sz w:val="24"/>
          <w:szCs w:val="24"/>
        </w:rPr>
        <w:t>tūrisma puduru (t.sk. reģionālo) veidošanas veicināšana</w:t>
      </w:r>
      <w:r w:rsidRPr="003232C4">
        <w:rPr>
          <w:b/>
          <w:sz w:val="24"/>
          <w:szCs w:val="24"/>
        </w:rPr>
        <w:t>”</w:t>
      </w:r>
      <w:r>
        <w:rPr>
          <w:sz w:val="24"/>
          <w:szCs w:val="24"/>
        </w:rPr>
        <w:t xml:space="preserve"> pārskata periodā ietver aktivitātes, kas saistītas ar </w:t>
      </w:r>
      <w:r w:rsidR="003232C4">
        <w:rPr>
          <w:sz w:val="24"/>
          <w:szCs w:val="24"/>
        </w:rPr>
        <w:t xml:space="preserve">Klasteru programmas </w:t>
      </w:r>
      <w:r>
        <w:rPr>
          <w:sz w:val="24"/>
          <w:szCs w:val="24"/>
        </w:rPr>
        <w:t xml:space="preserve">īstenošanas darbību, tādejādi </w:t>
      </w:r>
      <w:r w:rsidR="003232C4">
        <w:rPr>
          <w:sz w:val="24"/>
          <w:szCs w:val="24"/>
        </w:rPr>
        <w:t xml:space="preserve">sniedzot atbalstu </w:t>
      </w:r>
      <w:r w:rsidR="003232C4" w:rsidRPr="003232C4">
        <w:rPr>
          <w:sz w:val="24"/>
          <w:szCs w:val="24"/>
        </w:rPr>
        <w:t>ar tūrisma veicināša</w:t>
      </w:r>
      <w:r w:rsidR="003232C4">
        <w:rPr>
          <w:sz w:val="24"/>
          <w:szCs w:val="24"/>
        </w:rPr>
        <w:t>nu saistīto klasteru attīstībai. Rīcības virzienā definēti šādi uzdevumi:</w:t>
      </w:r>
    </w:p>
    <w:p w14:paraId="75E77F3B" w14:textId="77777777" w:rsidR="003232C4" w:rsidRDefault="003232C4" w:rsidP="003232C4">
      <w:pPr>
        <w:pStyle w:val="ListParagraph"/>
        <w:numPr>
          <w:ilvl w:val="1"/>
          <w:numId w:val="19"/>
        </w:numPr>
        <w:spacing w:line="240" w:lineRule="auto"/>
        <w:jc w:val="both"/>
        <w:rPr>
          <w:rFonts w:ascii="Times New Roman" w:hAnsi="Times New Roman"/>
          <w:sz w:val="24"/>
          <w:szCs w:val="24"/>
        </w:rPr>
      </w:pPr>
      <w:r w:rsidRPr="003232C4">
        <w:rPr>
          <w:rFonts w:ascii="Times New Roman" w:hAnsi="Times New Roman"/>
          <w:sz w:val="24"/>
          <w:szCs w:val="24"/>
        </w:rPr>
        <w:t>Atbalsta programma tūrisma puduru (klasteru) attīstībai</w:t>
      </w:r>
      <w:r>
        <w:rPr>
          <w:rFonts w:ascii="Times New Roman" w:hAnsi="Times New Roman"/>
          <w:sz w:val="24"/>
          <w:szCs w:val="24"/>
        </w:rPr>
        <w:t>;</w:t>
      </w:r>
    </w:p>
    <w:p w14:paraId="0D81B993" w14:textId="77777777" w:rsidR="003232C4" w:rsidRDefault="003232C4" w:rsidP="003232C4">
      <w:pPr>
        <w:pStyle w:val="ListParagraph"/>
        <w:numPr>
          <w:ilvl w:val="1"/>
          <w:numId w:val="19"/>
        </w:numPr>
        <w:spacing w:line="240" w:lineRule="auto"/>
        <w:jc w:val="both"/>
        <w:rPr>
          <w:rFonts w:ascii="Times New Roman" w:hAnsi="Times New Roman"/>
          <w:sz w:val="24"/>
          <w:szCs w:val="24"/>
        </w:rPr>
      </w:pPr>
      <w:r w:rsidRPr="003232C4">
        <w:rPr>
          <w:rFonts w:ascii="Times New Roman" w:hAnsi="Times New Roman"/>
          <w:sz w:val="24"/>
          <w:szCs w:val="24"/>
        </w:rPr>
        <w:t>Tūrisma komersantiem labvēlīgas uzņēmējdarbības vides nodrošināšana;</w:t>
      </w:r>
    </w:p>
    <w:p w14:paraId="10B4C355" w14:textId="77777777" w:rsidR="003232C4" w:rsidRDefault="003232C4" w:rsidP="003232C4">
      <w:pPr>
        <w:pStyle w:val="ListParagraph"/>
        <w:numPr>
          <w:ilvl w:val="1"/>
          <w:numId w:val="19"/>
        </w:numPr>
        <w:spacing w:line="240" w:lineRule="auto"/>
        <w:jc w:val="both"/>
        <w:rPr>
          <w:rFonts w:ascii="Times New Roman" w:hAnsi="Times New Roman"/>
          <w:sz w:val="24"/>
          <w:szCs w:val="24"/>
        </w:rPr>
      </w:pPr>
      <w:r w:rsidRPr="003232C4">
        <w:rPr>
          <w:rFonts w:ascii="Times New Roman" w:hAnsi="Times New Roman"/>
          <w:sz w:val="24"/>
          <w:szCs w:val="24"/>
        </w:rPr>
        <w:t>Tūrisma informācijas pieejamības veicināšana, t.sk. atbalsta nodrošināšana uzņēmumiem informācijas nodrošināšanai interneta vidē, informācijas stendu un norāžu nodrošināšanai pie tūrisma objektiem;</w:t>
      </w:r>
    </w:p>
    <w:p w14:paraId="4297EC9A" w14:textId="22E6F0E8" w:rsidR="003232C4" w:rsidRPr="003232C4" w:rsidRDefault="003232C4" w:rsidP="003232C4">
      <w:pPr>
        <w:pStyle w:val="ListParagraph"/>
        <w:numPr>
          <w:ilvl w:val="1"/>
          <w:numId w:val="19"/>
        </w:numPr>
        <w:spacing w:line="240" w:lineRule="auto"/>
        <w:jc w:val="both"/>
        <w:rPr>
          <w:rFonts w:ascii="Times New Roman" w:hAnsi="Times New Roman"/>
          <w:sz w:val="24"/>
          <w:szCs w:val="24"/>
        </w:rPr>
      </w:pPr>
      <w:r w:rsidRPr="003232C4">
        <w:rPr>
          <w:rFonts w:ascii="Times New Roman" w:hAnsi="Times New Roman"/>
          <w:bCs/>
          <w:sz w:val="24"/>
          <w:szCs w:val="24"/>
        </w:rPr>
        <w:t>Komersantu izglītošana par uzņēmējdarbības attīstīšanu un tūrisma puduru (klasteru) veidošanas priekšrocībām.</w:t>
      </w:r>
    </w:p>
    <w:p w14:paraId="2D110CFA" w14:textId="2480D837" w:rsidR="00DF336B" w:rsidRPr="00BC0D44" w:rsidRDefault="00DF336B" w:rsidP="009A1753">
      <w:pPr>
        <w:ind w:left="66"/>
        <w:jc w:val="both"/>
        <w:rPr>
          <w:sz w:val="24"/>
          <w:szCs w:val="24"/>
        </w:rPr>
      </w:pPr>
      <w:r>
        <w:rPr>
          <w:sz w:val="24"/>
          <w:szCs w:val="24"/>
        </w:rPr>
        <w:tab/>
      </w:r>
      <w:r w:rsidR="009A1753">
        <w:rPr>
          <w:sz w:val="24"/>
          <w:szCs w:val="24"/>
        </w:rPr>
        <w:t xml:space="preserve">Veicinot klasteru attīstību tūrisma nozarē, </w:t>
      </w:r>
      <w:r w:rsidR="00D76FD4" w:rsidRPr="00D76FD4">
        <w:rPr>
          <w:sz w:val="24"/>
          <w:szCs w:val="24"/>
        </w:rPr>
        <w:t>2017.gada sākumā tika noslēgti jauni projektu īstenošanas līgumi 3.2.1.1. aktivitātes “Klasteru programma” ietvaros ar 14 klasteriem, tai sk</w:t>
      </w:r>
      <w:r w:rsidR="009A1753">
        <w:rPr>
          <w:sz w:val="24"/>
          <w:szCs w:val="24"/>
        </w:rPr>
        <w:t xml:space="preserve">aitā diviem tūrisma klasteriem: </w:t>
      </w:r>
      <w:r w:rsidR="00D76FD4" w:rsidRPr="00D76FD4">
        <w:rPr>
          <w:sz w:val="24"/>
          <w:szCs w:val="24"/>
        </w:rPr>
        <w:t>Gaujas Nacionālā parka tūrisma klasteris; Latvijas Veselības tūrisma klasteris</w:t>
      </w:r>
      <w:r w:rsidR="009A1753">
        <w:rPr>
          <w:sz w:val="24"/>
          <w:szCs w:val="24"/>
        </w:rPr>
        <w:t>. Pārskata periodā s</w:t>
      </w:r>
      <w:r w:rsidR="009A1753" w:rsidRPr="009A1753">
        <w:rPr>
          <w:sz w:val="24"/>
          <w:szCs w:val="24"/>
        </w:rPr>
        <w:t>niegta izglītojoša informācija par uzņēmējdarbības attīstīšanu un tūrisma puduru (klasteru) veidošanas priekšrocībām un reģionālā tūrisma attīstību.</w:t>
      </w:r>
      <w:r w:rsidR="009A1753">
        <w:rPr>
          <w:sz w:val="24"/>
          <w:szCs w:val="24"/>
        </w:rPr>
        <w:t xml:space="preserve"> Papildus Ekonomikas ministrija ir uzsākusi dalību </w:t>
      </w:r>
      <w:r w:rsidR="009A1753" w:rsidRPr="009A1753">
        <w:rPr>
          <w:bCs/>
          <w:sz w:val="24"/>
          <w:szCs w:val="24"/>
        </w:rPr>
        <w:t>Interreg Europe projektā “BRANDTour Building Regional Actions for New Developments in Tourism” kā viens no partneriem</w:t>
      </w:r>
      <w:r w:rsidR="009A1753">
        <w:rPr>
          <w:sz w:val="24"/>
          <w:szCs w:val="24"/>
        </w:rPr>
        <w:t xml:space="preserve">. </w:t>
      </w:r>
      <w:r w:rsidR="009A1753" w:rsidRPr="009A1753">
        <w:rPr>
          <w:sz w:val="24"/>
          <w:szCs w:val="24"/>
        </w:rPr>
        <w:t>Projekta mērķis ir uzlabot tūrisma politikas kvalitāti un efektivitāti, lai veicinātu mazo un vidējo uzņēmumu konkurētspēju un ilgtspējīgu tūrisma sektora izaugsmi.</w:t>
      </w:r>
    </w:p>
    <w:p w14:paraId="7657210B" w14:textId="77777777" w:rsidR="003232C4" w:rsidRDefault="00DF336B" w:rsidP="00FC287C">
      <w:pPr>
        <w:jc w:val="both"/>
        <w:rPr>
          <w:rFonts w:cs="Times New Roman"/>
          <w:sz w:val="24"/>
          <w:szCs w:val="24"/>
        </w:rPr>
      </w:pPr>
      <w:r>
        <w:rPr>
          <w:rFonts w:cs="Times New Roman"/>
          <w:sz w:val="24"/>
          <w:szCs w:val="24"/>
        </w:rPr>
        <w:tab/>
      </w:r>
      <w:r w:rsidRPr="003232C4">
        <w:rPr>
          <w:rFonts w:cs="Times New Roman"/>
          <w:b/>
          <w:sz w:val="24"/>
          <w:szCs w:val="24"/>
        </w:rPr>
        <w:t>3.rīcības virziena “</w:t>
      </w:r>
      <w:r w:rsidR="003232C4" w:rsidRPr="003232C4">
        <w:rPr>
          <w:rFonts w:cs="Times New Roman"/>
          <w:b/>
          <w:i/>
          <w:sz w:val="24"/>
          <w:szCs w:val="24"/>
        </w:rPr>
        <w:t>Latvijas tūrisma produkta iekļaušana kopējā Baltijas jūras reģiona valstu tūrisma piedāvājumā</w:t>
      </w:r>
      <w:r w:rsidRPr="003232C4">
        <w:rPr>
          <w:rFonts w:cs="Times New Roman"/>
          <w:b/>
          <w:sz w:val="24"/>
          <w:szCs w:val="24"/>
        </w:rPr>
        <w:t>”</w:t>
      </w:r>
      <w:r>
        <w:rPr>
          <w:rFonts w:cs="Times New Roman"/>
          <w:sz w:val="24"/>
          <w:szCs w:val="24"/>
        </w:rPr>
        <w:t xml:space="preserve"> Pamatnostādņu starpposma novērtējuma pārskata periodā ietvertas ar </w:t>
      </w:r>
      <w:r w:rsidR="003232C4">
        <w:rPr>
          <w:rFonts w:cs="Times New Roman"/>
          <w:sz w:val="24"/>
          <w:szCs w:val="24"/>
        </w:rPr>
        <w:t>marketinga saistītas aktivitātes,</w:t>
      </w:r>
      <w:r>
        <w:rPr>
          <w:rFonts w:cs="Times New Roman"/>
          <w:sz w:val="24"/>
          <w:szCs w:val="24"/>
        </w:rPr>
        <w:t xml:space="preserve"> kuru izpildē iesaistīta gan LIAA, </w:t>
      </w:r>
      <w:r w:rsidR="003232C4">
        <w:rPr>
          <w:rFonts w:cs="Times New Roman"/>
          <w:sz w:val="24"/>
          <w:szCs w:val="24"/>
        </w:rPr>
        <w:t>gan Ekonomikas ministrija</w:t>
      </w:r>
      <w:r>
        <w:rPr>
          <w:rFonts w:cs="Times New Roman"/>
          <w:sz w:val="24"/>
          <w:szCs w:val="24"/>
        </w:rPr>
        <w:t xml:space="preserve">, lai </w:t>
      </w:r>
      <w:r w:rsidR="003232C4">
        <w:rPr>
          <w:rFonts w:cs="Times New Roman"/>
          <w:sz w:val="24"/>
          <w:szCs w:val="24"/>
        </w:rPr>
        <w:t>izpildītu sekojošus uzdevumus:</w:t>
      </w:r>
    </w:p>
    <w:p w14:paraId="44FDE207" w14:textId="77777777" w:rsidR="003232C4" w:rsidRPr="003232C4" w:rsidRDefault="003232C4" w:rsidP="003232C4">
      <w:pPr>
        <w:pStyle w:val="ListParagraph"/>
        <w:numPr>
          <w:ilvl w:val="1"/>
          <w:numId w:val="11"/>
        </w:numPr>
        <w:spacing w:line="240" w:lineRule="auto"/>
        <w:jc w:val="both"/>
        <w:rPr>
          <w:rFonts w:ascii="Times New Roman" w:hAnsi="Times New Roman"/>
          <w:sz w:val="24"/>
          <w:szCs w:val="24"/>
        </w:rPr>
      </w:pPr>
      <w:r w:rsidRPr="003232C4">
        <w:rPr>
          <w:rFonts w:ascii="Times New Roman" w:hAnsi="Times New Roman"/>
          <w:bCs/>
          <w:sz w:val="24"/>
          <w:szCs w:val="24"/>
        </w:rPr>
        <w:t>Baltijas jūras reģiona valstu turpmāka sadarbības, gan kopīgu tūrisma produktu, gan arī mārketinga</w:t>
      </w:r>
      <w:r>
        <w:rPr>
          <w:rFonts w:ascii="Times New Roman" w:hAnsi="Times New Roman"/>
          <w:bCs/>
          <w:sz w:val="24"/>
          <w:szCs w:val="24"/>
        </w:rPr>
        <w:t xml:space="preserve"> un infrastruktūras attīstīšanā;</w:t>
      </w:r>
    </w:p>
    <w:p w14:paraId="06DC96AA" w14:textId="77777777" w:rsidR="003232C4" w:rsidRPr="003232C4" w:rsidRDefault="003232C4" w:rsidP="003232C4">
      <w:pPr>
        <w:pStyle w:val="ListParagraph"/>
        <w:numPr>
          <w:ilvl w:val="1"/>
          <w:numId w:val="11"/>
        </w:numPr>
        <w:spacing w:line="240" w:lineRule="auto"/>
        <w:jc w:val="both"/>
        <w:rPr>
          <w:rFonts w:ascii="Times New Roman" w:hAnsi="Times New Roman"/>
          <w:sz w:val="24"/>
          <w:szCs w:val="24"/>
        </w:rPr>
      </w:pPr>
      <w:r w:rsidRPr="003232C4">
        <w:rPr>
          <w:rFonts w:ascii="Times New Roman" w:hAnsi="Times New Roman"/>
          <w:bCs/>
          <w:sz w:val="24"/>
          <w:szCs w:val="24"/>
        </w:rPr>
        <w:t>Tūrisma operatoru, kas veido un piedāvā Baltijas jūras reģiona valstu tūrisma produktus, darbības veicināšana;</w:t>
      </w:r>
    </w:p>
    <w:p w14:paraId="0864F40C" w14:textId="4EBEC01A" w:rsidR="003232C4" w:rsidRPr="003232C4" w:rsidRDefault="003232C4" w:rsidP="003232C4">
      <w:pPr>
        <w:pStyle w:val="ListParagraph"/>
        <w:numPr>
          <w:ilvl w:val="1"/>
          <w:numId w:val="11"/>
        </w:numPr>
        <w:spacing w:line="240" w:lineRule="auto"/>
        <w:jc w:val="both"/>
        <w:rPr>
          <w:rFonts w:ascii="Times New Roman" w:hAnsi="Times New Roman"/>
          <w:sz w:val="24"/>
          <w:szCs w:val="24"/>
        </w:rPr>
      </w:pPr>
      <w:r w:rsidRPr="003232C4">
        <w:rPr>
          <w:rFonts w:ascii="Times New Roman" w:hAnsi="Times New Roman"/>
          <w:bCs/>
          <w:sz w:val="24"/>
          <w:szCs w:val="24"/>
        </w:rPr>
        <w:t>Latvijas, Baltijas un Baltijas jūras reģiona valstu pozicionēšana mērķa tūrisma tirgos, izmantojot starptautisko organizāciju resursus.</w:t>
      </w:r>
    </w:p>
    <w:p w14:paraId="0CED2CB7" w14:textId="6685FA7E" w:rsidR="003232C4" w:rsidRDefault="003362AD" w:rsidP="00C8779F">
      <w:pPr>
        <w:pStyle w:val="ListParagraph"/>
        <w:spacing w:line="240" w:lineRule="auto"/>
        <w:ind w:left="0" w:firstLine="426"/>
        <w:jc w:val="both"/>
        <w:rPr>
          <w:rFonts w:ascii="Times New Roman" w:hAnsi="Times New Roman"/>
          <w:bCs/>
          <w:sz w:val="24"/>
          <w:szCs w:val="24"/>
        </w:rPr>
      </w:pPr>
      <w:r>
        <w:rPr>
          <w:rFonts w:ascii="Times New Roman" w:hAnsi="Times New Roman"/>
          <w:bCs/>
          <w:sz w:val="24"/>
          <w:szCs w:val="24"/>
        </w:rPr>
        <w:t xml:space="preserve">Izpildot 3.rīcības virzienā izvirzītos uzdevumus, LIAA </w:t>
      </w:r>
      <w:r w:rsidR="00C8779F">
        <w:rPr>
          <w:rFonts w:ascii="Times New Roman" w:hAnsi="Times New Roman"/>
          <w:bCs/>
          <w:sz w:val="24"/>
          <w:szCs w:val="24"/>
        </w:rPr>
        <w:t>īsteno</w:t>
      </w:r>
      <w:r w:rsidR="00C8779F" w:rsidRPr="00C8779F">
        <w:rPr>
          <w:rFonts w:ascii="Times New Roman" w:hAnsi="Times New Roman"/>
          <w:bCs/>
          <w:sz w:val="24"/>
          <w:szCs w:val="24"/>
        </w:rPr>
        <w:t xml:space="preserve"> efektīv</w:t>
      </w:r>
      <w:r w:rsidR="00C8779F">
        <w:rPr>
          <w:rFonts w:ascii="Times New Roman" w:hAnsi="Times New Roman"/>
          <w:bCs/>
          <w:sz w:val="24"/>
          <w:szCs w:val="24"/>
        </w:rPr>
        <w:t>u</w:t>
      </w:r>
      <w:r w:rsidR="00C8779F" w:rsidRPr="00C8779F">
        <w:rPr>
          <w:rFonts w:ascii="Times New Roman" w:hAnsi="Times New Roman"/>
          <w:bCs/>
          <w:sz w:val="24"/>
          <w:szCs w:val="24"/>
        </w:rPr>
        <w:t xml:space="preserve"> Baltijas jūras reģiona valstu sadarbība kopīgu tūrisma produktu, mārketinga un infrastruktūras attīstībai - nodrošināta regulāra komunikācija ar Baltijas valstu nacionālajām tūrisma organizācijām Baltijas apvienotās tūrisma komitejas ietvaros.</w:t>
      </w:r>
      <w:r w:rsidR="00C8779F">
        <w:rPr>
          <w:rFonts w:ascii="Times New Roman" w:hAnsi="Times New Roman"/>
          <w:bCs/>
          <w:sz w:val="24"/>
          <w:szCs w:val="24"/>
        </w:rPr>
        <w:t xml:space="preserve"> Tāpat tiek n</w:t>
      </w:r>
      <w:r w:rsidR="00C8779F" w:rsidRPr="00C8779F">
        <w:rPr>
          <w:rFonts w:ascii="Times New Roman" w:hAnsi="Times New Roman"/>
          <w:bCs/>
          <w:sz w:val="24"/>
          <w:szCs w:val="24"/>
        </w:rPr>
        <w:t xml:space="preserve">odrošinātas </w:t>
      </w:r>
      <w:r w:rsidR="00C8779F">
        <w:rPr>
          <w:rFonts w:ascii="Times New Roman" w:hAnsi="Times New Roman"/>
          <w:bCs/>
          <w:sz w:val="24"/>
          <w:szCs w:val="24"/>
        </w:rPr>
        <w:t xml:space="preserve">Ekonomikas ministrijas kā </w:t>
      </w:r>
      <w:r w:rsidR="00C8779F" w:rsidRPr="00C8779F">
        <w:rPr>
          <w:rFonts w:ascii="Times New Roman" w:hAnsi="Times New Roman"/>
          <w:bCs/>
          <w:sz w:val="24"/>
          <w:szCs w:val="24"/>
        </w:rPr>
        <w:t>vadošās ministrijas funkcijas Baltijas jūra reģionu stratēģijas (BSR) īstenošanā tūrisma politikas jomā.</w:t>
      </w:r>
      <w:r w:rsidR="00C8779F">
        <w:rPr>
          <w:rFonts w:ascii="Times New Roman" w:hAnsi="Times New Roman"/>
          <w:bCs/>
          <w:sz w:val="24"/>
          <w:szCs w:val="24"/>
        </w:rPr>
        <w:t xml:space="preserve"> Nodrošinot efektīvu starptautisko organizāciju resursu izmantošanu, LIAA līdzdarbojas </w:t>
      </w:r>
      <w:r w:rsidR="00C8779F" w:rsidRPr="00C8779F">
        <w:rPr>
          <w:rFonts w:ascii="Times New Roman" w:hAnsi="Times New Roman"/>
          <w:bCs/>
          <w:sz w:val="24"/>
          <w:szCs w:val="24"/>
        </w:rPr>
        <w:t>Eiropas Ceļojumu komisijā un tās rīkotajās aktivitātēs</w:t>
      </w:r>
      <w:r w:rsidR="00C8779F">
        <w:rPr>
          <w:rFonts w:ascii="Times New Roman" w:hAnsi="Times New Roman"/>
          <w:bCs/>
          <w:sz w:val="24"/>
          <w:szCs w:val="24"/>
        </w:rPr>
        <w:t xml:space="preserve">, kā arī </w:t>
      </w:r>
      <w:r w:rsidR="00133F69">
        <w:rPr>
          <w:rFonts w:ascii="Times New Roman" w:hAnsi="Times New Roman"/>
          <w:bCs/>
          <w:sz w:val="24"/>
          <w:szCs w:val="24"/>
        </w:rPr>
        <w:t xml:space="preserve">nodrošina </w:t>
      </w:r>
      <w:r w:rsidR="00133F69" w:rsidRPr="00133F69">
        <w:rPr>
          <w:rFonts w:ascii="Times New Roman" w:hAnsi="Times New Roman"/>
          <w:bCs/>
          <w:sz w:val="24"/>
          <w:szCs w:val="24"/>
        </w:rPr>
        <w:t>iesaistīšanās Eiropas Komisijas organizētajā projektā un nacionālās atlases organizēšana par tēmu “Eiropas izcilākie tūrisma galamērķi EDEN – Tūrisms un vietējā gastronomija”</w:t>
      </w:r>
      <w:r w:rsidR="00133F69">
        <w:rPr>
          <w:rFonts w:ascii="Times New Roman" w:hAnsi="Times New Roman"/>
          <w:bCs/>
          <w:sz w:val="24"/>
          <w:szCs w:val="24"/>
        </w:rPr>
        <w:t>.</w:t>
      </w:r>
    </w:p>
    <w:p w14:paraId="0E04F25B" w14:textId="47B5978F" w:rsidR="003232C4" w:rsidRDefault="003232C4" w:rsidP="00C139C0">
      <w:pPr>
        <w:pStyle w:val="ListParagraph"/>
        <w:spacing w:line="240" w:lineRule="auto"/>
        <w:ind w:left="0" w:firstLine="776"/>
        <w:jc w:val="both"/>
        <w:rPr>
          <w:rFonts w:ascii="Times New Roman" w:hAnsi="Times New Roman"/>
          <w:bCs/>
          <w:sz w:val="24"/>
          <w:szCs w:val="24"/>
        </w:rPr>
      </w:pPr>
      <w:r w:rsidRPr="008A24D9">
        <w:rPr>
          <w:rFonts w:ascii="Times New Roman" w:hAnsi="Times New Roman"/>
          <w:b/>
          <w:bCs/>
          <w:sz w:val="24"/>
          <w:szCs w:val="24"/>
        </w:rPr>
        <w:t>4.rīcī</w:t>
      </w:r>
      <w:r w:rsidR="004C0913" w:rsidRPr="008A24D9">
        <w:rPr>
          <w:rFonts w:ascii="Times New Roman" w:hAnsi="Times New Roman"/>
          <w:b/>
          <w:bCs/>
          <w:sz w:val="24"/>
          <w:szCs w:val="24"/>
        </w:rPr>
        <w:t xml:space="preserve">bas virziena </w:t>
      </w:r>
      <w:r w:rsidR="004C0913" w:rsidRPr="008A24D9">
        <w:rPr>
          <w:rFonts w:ascii="Times New Roman" w:hAnsi="Times New Roman"/>
          <w:b/>
          <w:bCs/>
          <w:i/>
          <w:sz w:val="24"/>
          <w:szCs w:val="24"/>
        </w:rPr>
        <w:t>“</w:t>
      </w:r>
      <w:r w:rsidR="008A24D9" w:rsidRPr="008A24D9">
        <w:rPr>
          <w:rFonts w:ascii="Times New Roman" w:hAnsi="Times New Roman"/>
          <w:b/>
          <w:bCs/>
          <w:i/>
          <w:sz w:val="24"/>
          <w:szCs w:val="24"/>
        </w:rPr>
        <w:t>Kvalitātes attīstība”</w:t>
      </w:r>
      <w:r w:rsidR="008A24D9">
        <w:rPr>
          <w:rFonts w:ascii="Times New Roman" w:hAnsi="Times New Roman"/>
          <w:bCs/>
          <w:sz w:val="24"/>
          <w:szCs w:val="24"/>
        </w:rPr>
        <w:t xml:space="preserve"> izpilde tiek nodrošināta, piešķirto budžeta līdzekļu ietvaros ar mērķi nodrošināt kvalitatīvu tūrisma produktu attīstību, pamatojoties uz šādu uzdevumu izpildi:</w:t>
      </w:r>
    </w:p>
    <w:p w14:paraId="33548E33" w14:textId="624BDB97" w:rsidR="008A24D9" w:rsidRDefault="008A24D9" w:rsidP="00C139C0">
      <w:pPr>
        <w:pStyle w:val="ListParagraph"/>
        <w:spacing w:line="240" w:lineRule="auto"/>
        <w:ind w:left="0" w:firstLine="776"/>
        <w:jc w:val="both"/>
        <w:rPr>
          <w:rFonts w:ascii="Times New Roman" w:hAnsi="Times New Roman"/>
          <w:bCs/>
          <w:sz w:val="24"/>
          <w:szCs w:val="24"/>
        </w:rPr>
      </w:pPr>
      <w:r>
        <w:rPr>
          <w:rFonts w:ascii="Times New Roman" w:hAnsi="Times New Roman"/>
          <w:bCs/>
          <w:sz w:val="24"/>
          <w:szCs w:val="24"/>
        </w:rPr>
        <w:t xml:space="preserve">4.1. </w:t>
      </w:r>
      <w:r w:rsidRPr="008A24D9">
        <w:rPr>
          <w:rFonts w:ascii="Times New Roman" w:hAnsi="Times New Roman"/>
          <w:bCs/>
          <w:sz w:val="24"/>
          <w:szCs w:val="24"/>
        </w:rPr>
        <w:t>Uz klientu orientēta vīzu izsniegšanas procedūru nodrošināšana</w:t>
      </w:r>
      <w:r>
        <w:rPr>
          <w:rFonts w:ascii="Times New Roman" w:hAnsi="Times New Roman"/>
          <w:bCs/>
          <w:sz w:val="24"/>
          <w:szCs w:val="24"/>
        </w:rPr>
        <w:t>;</w:t>
      </w:r>
    </w:p>
    <w:p w14:paraId="13341BD5" w14:textId="6A5A98AF" w:rsidR="008A24D9" w:rsidRDefault="008A24D9" w:rsidP="00C139C0">
      <w:pPr>
        <w:pStyle w:val="ListParagraph"/>
        <w:tabs>
          <w:tab w:val="left" w:pos="284"/>
        </w:tabs>
        <w:spacing w:line="240" w:lineRule="auto"/>
        <w:ind w:left="0" w:firstLine="776"/>
        <w:jc w:val="both"/>
        <w:rPr>
          <w:rFonts w:ascii="Times New Roman" w:hAnsi="Times New Roman"/>
          <w:bCs/>
          <w:sz w:val="24"/>
          <w:szCs w:val="24"/>
        </w:rPr>
      </w:pPr>
      <w:r>
        <w:rPr>
          <w:rFonts w:ascii="Times New Roman" w:hAnsi="Times New Roman"/>
          <w:bCs/>
          <w:sz w:val="24"/>
          <w:szCs w:val="24"/>
        </w:rPr>
        <w:t xml:space="preserve">4.2. </w:t>
      </w:r>
      <w:r w:rsidRPr="008A24D9">
        <w:rPr>
          <w:rFonts w:ascii="Times New Roman" w:hAnsi="Times New Roman"/>
          <w:bCs/>
          <w:sz w:val="24"/>
          <w:szCs w:val="24"/>
        </w:rPr>
        <w:t xml:space="preserve">Kvalitātes nozīmes stiprināšana </w:t>
      </w:r>
      <w:r>
        <w:rPr>
          <w:rFonts w:ascii="Times New Roman" w:hAnsi="Times New Roman"/>
          <w:bCs/>
          <w:sz w:val="24"/>
          <w:szCs w:val="24"/>
        </w:rPr>
        <w:t>tūrisma nozares komersantu vidū;</w:t>
      </w:r>
    </w:p>
    <w:p w14:paraId="30A06ACF" w14:textId="56850853" w:rsidR="008A24D9" w:rsidRDefault="008A24D9" w:rsidP="00C139C0">
      <w:pPr>
        <w:pStyle w:val="ListParagraph"/>
        <w:tabs>
          <w:tab w:val="left" w:pos="284"/>
        </w:tabs>
        <w:spacing w:line="240" w:lineRule="auto"/>
        <w:ind w:left="0" w:firstLine="776"/>
        <w:jc w:val="both"/>
        <w:rPr>
          <w:rFonts w:ascii="Times New Roman" w:hAnsi="Times New Roman"/>
          <w:bCs/>
          <w:sz w:val="24"/>
          <w:szCs w:val="24"/>
        </w:rPr>
      </w:pPr>
      <w:r>
        <w:rPr>
          <w:rFonts w:ascii="Times New Roman" w:hAnsi="Times New Roman"/>
          <w:bCs/>
          <w:sz w:val="24"/>
          <w:szCs w:val="24"/>
        </w:rPr>
        <w:t xml:space="preserve">4.3. </w:t>
      </w:r>
      <w:r w:rsidRPr="008A24D9">
        <w:rPr>
          <w:rFonts w:ascii="Times New Roman" w:hAnsi="Times New Roman"/>
          <w:bCs/>
          <w:sz w:val="24"/>
          <w:szCs w:val="24"/>
        </w:rPr>
        <w:t>Veikti pētījumi tūrisma pakalpojum</w:t>
      </w:r>
      <w:r>
        <w:rPr>
          <w:rFonts w:ascii="Times New Roman" w:hAnsi="Times New Roman"/>
          <w:bCs/>
          <w:sz w:val="24"/>
          <w:szCs w:val="24"/>
        </w:rPr>
        <w:t>u konkurētspējas nodrošināšanai;</w:t>
      </w:r>
    </w:p>
    <w:p w14:paraId="489D306B" w14:textId="7C15713D" w:rsidR="008A24D9" w:rsidRDefault="008A24D9" w:rsidP="00C139C0">
      <w:pPr>
        <w:pStyle w:val="ListParagraph"/>
        <w:tabs>
          <w:tab w:val="left" w:pos="284"/>
        </w:tabs>
        <w:spacing w:line="240" w:lineRule="auto"/>
        <w:ind w:left="0" w:firstLine="776"/>
        <w:jc w:val="both"/>
        <w:rPr>
          <w:rFonts w:ascii="Times New Roman" w:hAnsi="Times New Roman"/>
          <w:sz w:val="24"/>
          <w:szCs w:val="24"/>
        </w:rPr>
      </w:pPr>
      <w:r>
        <w:rPr>
          <w:rFonts w:ascii="Times New Roman" w:hAnsi="Times New Roman"/>
          <w:sz w:val="24"/>
          <w:szCs w:val="24"/>
        </w:rPr>
        <w:t xml:space="preserve">4.4. </w:t>
      </w:r>
      <w:r w:rsidRPr="008A24D9">
        <w:rPr>
          <w:rFonts w:ascii="Times New Roman" w:hAnsi="Times New Roman"/>
          <w:sz w:val="24"/>
          <w:szCs w:val="24"/>
        </w:rPr>
        <w:t>Pakalpojumu kvalitātes un kvantitātes mērījumu veikšana atbilstoši noteiktām iedzīvotāju grupām, tai skaitā, nosakot personu ar invaliditāti, ģimeņu ar bērniem, senioru apmierinātību par attiecīgā pakalpojuma saturu, pieejamību un kvalitāti.</w:t>
      </w:r>
    </w:p>
    <w:p w14:paraId="5DA63A94" w14:textId="4BD8AF51" w:rsidR="008A24D9" w:rsidRDefault="00430045" w:rsidP="00430045">
      <w:pPr>
        <w:pStyle w:val="ListParagraph"/>
        <w:tabs>
          <w:tab w:val="left" w:pos="284"/>
        </w:tabs>
        <w:spacing w:line="240" w:lineRule="auto"/>
        <w:ind w:left="0" w:firstLine="776"/>
        <w:jc w:val="both"/>
        <w:rPr>
          <w:rFonts w:ascii="Times New Roman" w:hAnsi="Times New Roman"/>
          <w:sz w:val="24"/>
          <w:szCs w:val="24"/>
        </w:rPr>
      </w:pPr>
      <w:r>
        <w:rPr>
          <w:rFonts w:ascii="Times New Roman" w:hAnsi="Times New Roman"/>
          <w:sz w:val="24"/>
          <w:szCs w:val="24"/>
        </w:rPr>
        <w:t xml:space="preserve">Izpildot šo rīcības virzienu, LIAA ir veicis </w:t>
      </w:r>
      <w:r w:rsidRPr="00430045">
        <w:rPr>
          <w:rFonts w:ascii="Times New Roman" w:hAnsi="Times New Roman"/>
          <w:bCs/>
          <w:sz w:val="24"/>
          <w:szCs w:val="24"/>
        </w:rPr>
        <w:t>tūrisma tirgu izpēt</w:t>
      </w:r>
      <w:r>
        <w:rPr>
          <w:rFonts w:ascii="Times New Roman" w:hAnsi="Times New Roman"/>
          <w:bCs/>
          <w:sz w:val="24"/>
          <w:szCs w:val="24"/>
        </w:rPr>
        <w:t>i</w:t>
      </w:r>
      <w:r w:rsidRPr="00430045">
        <w:rPr>
          <w:rFonts w:ascii="Times New Roman" w:hAnsi="Times New Roman"/>
          <w:bCs/>
          <w:sz w:val="24"/>
          <w:szCs w:val="24"/>
        </w:rPr>
        <w:t xml:space="preserve"> efektīvai tūrisma nozares attīstībai un pārvaldībai</w:t>
      </w:r>
      <w:r>
        <w:rPr>
          <w:rFonts w:ascii="Times New Roman" w:hAnsi="Times New Roman"/>
          <w:bCs/>
          <w:sz w:val="24"/>
          <w:szCs w:val="24"/>
        </w:rPr>
        <w:t>, veikts pētījums par</w:t>
      </w:r>
      <w:r w:rsidRPr="00430045">
        <w:rPr>
          <w:rFonts w:ascii="Times New Roman" w:eastAsia="Times New Roman" w:hAnsi="Times New Roman"/>
          <w:sz w:val="18"/>
          <w:szCs w:val="24"/>
          <w:lang w:eastAsia="lv-LV"/>
        </w:rPr>
        <w:t xml:space="preserve"> </w:t>
      </w:r>
      <w:r w:rsidRPr="00430045">
        <w:rPr>
          <w:rFonts w:ascii="Times New Roman" w:hAnsi="Times New Roman"/>
          <w:bCs/>
          <w:sz w:val="24"/>
          <w:szCs w:val="24"/>
        </w:rPr>
        <w:t>ārvalstu tūristu paradumiem interneta meklētājos</w:t>
      </w:r>
      <w:r>
        <w:rPr>
          <w:rFonts w:ascii="Times New Roman" w:hAnsi="Times New Roman"/>
          <w:bCs/>
          <w:sz w:val="24"/>
          <w:szCs w:val="24"/>
        </w:rPr>
        <w:t>, kā arī rīkotas</w:t>
      </w:r>
      <w:r w:rsidRPr="00430045">
        <w:rPr>
          <w:rFonts w:ascii="Times New Roman" w:eastAsia="Times New Roman" w:hAnsi="Times New Roman"/>
          <w:sz w:val="18"/>
          <w:szCs w:val="24"/>
          <w:lang w:eastAsia="lv-LV"/>
        </w:rPr>
        <w:t xml:space="preserve"> </w:t>
      </w:r>
      <w:r w:rsidRPr="00430045">
        <w:rPr>
          <w:rFonts w:ascii="Times New Roman" w:hAnsi="Times New Roman"/>
          <w:bCs/>
          <w:sz w:val="24"/>
          <w:szCs w:val="24"/>
        </w:rPr>
        <w:t>fokusa grupu diskusijas ar ārvalstu tūrisma nozares ekspertiem prioritārajos ārvalstu tirgos, lai noskaidrotu Latvijas tūrisma pakalpojumu kvalitāti, trūkumus, stiprās puses, nepieciešamos uzlabojumus utt.</w:t>
      </w:r>
      <w:r w:rsidR="00D27993">
        <w:rPr>
          <w:rFonts w:ascii="Times New Roman" w:hAnsi="Times New Roman"/>
          <w:bCs/>
          <w:sz w:val="24"/>
          <w:szCs w:val="24"/>
        </w:rPr>
        <w:t xml:space="preserve"> Savukārt projekta 3.2.1.2/16/l/002</w:t>
      </w:r>
      <w:r w:rsidR="00D27993" w:rsidRPr="00D27993">
        <w:rPr>
          <w:rFonts w:ascii="Times New Roman" w:hAnsi="Times New Roman"/>
          <w:bCs/>
          <w:sz w:val="24"/>
          <w:szCs w:val="24"/>
        </w:rPr>
        <w:t xml:space="preserve"> "Latvijas starptautiskās konkurētspējas veicināšana tūrismā" ietvaros (uz 28.02.2017.) ar atbalsta saņēmējiem ir noslēgti 66 līgumi par atbalsta </w:t>
      </w:r>
      <w:r w:rsidR="00D27993" w:rsidRPr="00D27993">
        <w:rPr>
          <w:rFonts w:ascii="Times New Roman" w:hAnsi="Times New Roman"/>
          <w:bCs/>
          <w:sz w:val="24"/>
          <w:szCs w:val="24"/>
        </w:rPr>
        <w:lastRenderedPageBreak/>
        <w:t>saņemšanu, atbalsts sniegts par LIAA iesniegtiem 40 maksājuma pieprasījumiem par kopējo atbalsta summu 187 913.42 EUR. Projekta ietvaros ir noorganizēti 11 nacionālie stendi un uzsākta 2 nacionālo stendu organizēšana (atlasīti atbalsta saņēmēji, rezervēts laukums, izsludināti iepirkumi).</w:t>
      </w:r>
    </w:p>
    <w:p w14:paraId="2B201619" w14:textId="27CA199C" w:rsidR="008A24D9" w:rsidRDefault="008A24D9" w:rsidP="002A1F94">
      <w:pPr>
        <w:pStyle w:val="ListParagraph"/>
        <w:tabs>
          <w:tab w:val="left" w:pos="284"/>
        </w:tabs>
        <w:spacing w:line="240" w:lineRule="auto"/>
        <w:ind w:left="0" w:firstLine="776"/>
        <w:jc w:val="both"/>
        <w:rPr>
          <w:rFonts w:ascii="Times New Roman" w:hAnsi="Times New Roman"/>
          <w:sz w:val="24"/>
          <w:szCs w:val="24"/>
        </w:rPr>
      </w:pPr>
      <w:r>
        <w:rPr>
          <w:rFonts w:ascii="Times New Roman" w:hAnsi="Times New Roman"/>
          <w:sz w:val="24"/>
          <w:szCs w:val="24"/>
        </w:rPr>
        <w:t xml:space="preserve">Visbeidzot, </w:t>
      </w:r>
      <w:r w:rsidRPr="008A24D9">
        <w:rPr>
          <w:rFonts w:ascii="Times New Roman" w:hAnsi="Times New Roman"/>
          <w:b/>
          <w:sz w:val="24"/>
          <w:szCs w:val="24"/>
        </w:rPr>
        <w:t xml:space="preserve">5.rīcības virziens </w:t>
      </w:r>
      <w:r w:rsidRPr="008A24D9">
        <w:rPr>
          <w:rFonts w:ascii="Times New Roman" w:hAnsi="Times New Roman"/>
          <w:b/>
          <w:i/>
          <w:sz w:val="24"/>
          <w:szCs w:val="24"/>
        </w:rPr>
        <w:t>“Atpazīstamības veicināšana”</w:t>
      </w:r>
      <w:r w:rsidRPr="008A24D9">
        <w:rPr>
          <w:rFonts w:ascii="Times New Roman" w:hAnsi="Times New Roman"/>
          <w:i/>
          <w:sz w:val="24"/>
          <w:szCs w:val="24"/>
        </w:rPr>
        <w:t xml:space="preserve"> </w:t>
      </w:r>
      <w:r>
        <w:rPr>
          <w:rFonts w:ascii="Times New Roman" w:hAnsi="Times New Roman"/>
          <w:sz w:val="24"/>
          <w:szCs w:val="24"/>
        </w:rPr>
        <w:t>tiek īstenots ERAF finansējuma, kā arī valsts budžeta līdzekļu ietvaros. Definēti šādi uzdevumi:</w:t>
      </w:r>
    </w:p>
    <w:p w14:paraId="76AA307A" w14:textId="42FB47DC" w:rsidR="008A24D9" w:rsidRDefault="008A24D9" w:rsidP="002A1F94">
      <w:pPr>
        <w:pStyle w:val="ListParagraph"/>
        <w:numPr>
          <w:ilvl w:val="1"/>
          <w:numId w:val="21"/>
        </w:numPr>
        <w:tabs>
          <w:tab w:val="left" w:pos="284"/>
        </w:tabs>
        <w:spacing w:line="240" w:lineRule="auto"/>
        <w:ind w:left="1134"/>
        <w:jc w:val="both"/>
        <w:rPr>
          <w:rFonts w:ascii="Times New Roman" w:hAnsi="Times New Roman"/>
          <w:sz w:val="24"/>
          <w:szCs w:val="24"/>
        </w:rPr>
      </w:pPr>
      <w:r w:rsidRPr="008A24D9">
        <w:rPr>
          <w:rFonts w:ascii="Times New Roman" w:hAnsi="Times New Roman"/>
          <w:sz w:val="24"/>
          <w:szCs w:val="24"/>
        </w:rPr>
        <w:t>Izstrādāta un īstenota valsts atbalsta programma MICE (darījumu un pasākum</w:t>
      </w:r>
      <w:r>
        <w:rPr>
          <w:rFonts w:ascii="Times New Roman" w:hAnsi="Times New Roman"/>
          <w:sz w:val="24"/>
          <w:szCs w:val="24"/>
        </w:rPr>
        <w:t xml:space="preserve">u) tūrisma  pasākumu piesaistei; </w:t>
      </w:r>
      <w:r w:rsidRPr="008A24D9">
        <w:rPr>
          <w:rFonts w:ascii="Times New Roman" w:hAnsi="Times New Roman"/>
          <w:sz w:val="24"/>
          <w:szCs w:val="24"/>
        </w:rPr>
        <w:t>Latvijas kā tūrisma galamērķa atpazīstamības veicināšanas pasākumu (mārketinga aktivitāšu) īstenošana mērķa tirgos</w:t>
      </w:r>
      <w:r>
        <w:rPr>
          <w:rFonts w:ascii="Times New Roman" w:hAnsi="Times New Roman"/>
          <w:sz w:val="24"/>
          <w:szCs w:val="24"/>
        </w:rPr>
        <w:t xml:space="preserve">; </w:t>
      </w:r>
      <w:r w:rsidRPr="008A24D9">
        <w:rPr>
          <w:rFonts w:ascii="Times New Roman" w:hAnsi="Times New Roman"/>
          <w:sz w:val="24"/>
          <w:szCs w:val="24"/>
        </w:rPr>
        <w:t>Nišu tūrisma produktu attīstība</w:t>
      </w:r>
      <w:r>
        <w:rPr>
          <w:rFonts w:ascii="Times New Roman" w:hAnsi="Times New Roman"/>
          <w:sz w:val="24"/>
          <w:szCs w:val="24"/>
        </w:rPr>
        <w:t>;</w:t>
      </w:r>
    </w:p>
    <w:p w14:paraId="3D00AD9F" w14:textId="1B04FA54" w:rsidR="008A24D9" w:rsidRDefault="008A24D9" w:rsidP="002A1F94">
      <w:pPr>
        <w:pStyle w:val="ListParagraph"/>
        <w:numPr>
          <w:ilvl w:val="1"/>
          <w:numId w:val="21"/>
        </w:numPr>
        <w:tabs>
          <w:tab w:val="left" w:pos="284"/>
        </w:tabs>
        <w:spacing w:line="240" w:lineRule="auto"/>
        <w:ind w:left="1134"/>
        <w:jc w:val="both"/>
        <w:rPr>
          <w:rFonts w:ascii="Times New Roman" w:hAnsi="Times New Roman"/>
          <w:sz w:val="24"/>
          <w:szCs w:val="24"/>
        </w:rPr>
      </w:pPr>
      <w:r w:rsidRPr="008A24D9">
        <w:rPr>
          <w:rFonts w:ascii="Times New Roman" w:hAnsi="Times New Roman"/>
          <w:sz w:val="24"/>
          <w:szCs w:val="24"/>
        </w:rPr>
        <w:t>Latvijas tūrisma mārketinga stratē</w:t>
      </w:r>
      <w:r>
        <w:rPr>
          <w:rFonts w:ascii="Times New Roman" w:hAnsi="Times New Roman"/>
          <w:sz w:val="24"/>
          <w:szCs w:val="24"/>
        </w:rPr>
        <w:t>ģijas 2015.-2020.gadam izstrāde;</w:t>
      </w:r>
    </w:p>
    <w:p w14:paraId="29042044" w14:textId="544399CD" w:rsidR="008A24D9" w:rsidRDefault="008A24D9" w:rsidP="002A1F94">
      <w:pPr>
        <w:pStyle w:val="ListParagraph"/>
        <w:numPr>
          <w:ilvl w:val="1"/>
          <w:numId w:val="21"/>
        </w:numPr>
        <w:tabs>
          <w:tab w:val="left" w:pos="284"/>
        </w:tabs>
        <w:spacing w:line="240" w:lineRule="auto"/>
        <w:ind w:left="1134"/>
        <w:jc w:val="both"/>
        <w:rPr>
          <w:rFonts w:ascii="Times New Roman" w:hAnsi="Times New Roman"/>
          <w:sz w:val="24"/>
          <w:szCs w:val="24"/>
        </w:rPr>
      </w:pPr>
      <w:r w:rsidRPr="008A24D9">
        <w:rPr>
          <w:rFonts w:ascii="Times New Roman" w:hAnsi="Times New Roman"/>
          <w:sz w:val="24"/>
          <w:szCs w:val="24"/>
        </w:rPr>
        <w:t>Tūrisma attīstības valsts aģentūras kapacitātes stiprināšana</w:t>
      </w:r>
      <w:r>
        <w:rPr>
          <w:rFonts w:ascii="Times New Roman" w:hAnsi="Times New Roman"/>
          <w:sz w:val="24"/>
          <w:szCs w:val="24"/>
        </w:rPr>
        <w:t>.</w:t>
      </w:r>
    </w:p>
    <w:p w14:paraId="7A12B9F1" w14:textId="30AF1BB5" w:rsidR="008A24D9" w:rsidRPr="008A24D9" w:rsidRDefault="00D27993" w:rsidP="002A1F94">
      <w:pPr>
        <w:pStyle w:val="ListParagraph"/>
        <w:tabs>
          <w:tab w:val="left" w:pos="284"/>
        </w:tabs>
        <w:spacing w:line="240" w:lineRule="auto"/>
        <w:ind w:left="0" w:firstLine="709"/>
        <w:jc w:val="both"/>
        <w:rPr>
          <w:rFonts w:ascii="Times New Roman" w:hAnsi="Times New Roman"/>
          <w:sz w:val="24"/>
          <w:szCs w:val="24"/>
        </w:rPr>
      </w:pPr>
      <w:r w:rsidRPr="00D27993">
        <w:rPr>
          <w:rFonts w:ascii="Times New Roman" w:hAnsi="Times New Roman"/>
          <w:sz w:val="24"/>
          <w:szCs w:val="24"/>
        </w:rPr>
        <w:t>Pamatojoties uz ārvalstu tirgu pētījumiem, izstrādāts Latvijas tūrisma mārketinga stratēģijas projekts, iekļaujot esošās situācijas un tendenču analīzi, prioritāros tirgus, produktus, mērķa tirgus, tirgus segmentus, aktivitātes katrā no tirgiem. Savukārt stiprinot Tūrisma valsts aģentūras kapacitāti tika nolemts to apvienot ar LIAA, tādējādi mārketinga aktivitāšu ārvalstīs plānošanā un organizēšanā, eksporta veicināšanā nodrošinot sinerģiju ar citām tautsaimniecības nozarēm, efektīvāk izmantojot Latvijas ārējo ekonomisko pārstāvniecību sniegtās iespējas un nodrošinot tūrisma nozares pārstāvību konkrētās ārvalstīs valsts līmenī, ceļot nozares statusu ārvalstīs, nozīmīgumu valstu sadarbībā un biznesa attiecību veidošanā.</w:t>
      </w:r>
    </w:p>
    <w:p w14:paraId="522BDB72" w14:textId="7928CF98" w:rsidR="008A24D9" w:rsidRDefault="008A24D9" w:rsidP="008A24D9">
      <w:pPr>
        <w:pStyle w:val="ListParagraph"/>
        <w:tabs>
          <w:tab w:val="left" w:pos="284"/>
        </w:tabs>
        <w:ind w:left="0" w:firstLine="776"/>
        <w:jc w:val="both"/>
        <w:rPr>
          <w:rFonts w:ascii="Times New Roman" w:hAnsi="Times New Roman"/>
          <w:sz w:val="24"/>
          <w:szCs w:val="24"/>
        </w:rPr>
      </w:pPr>
    </w:p>
    <w:p w14:paraId="44FB5E7B" w14:textId="77777777" w:rsidR="00F46468" w:rsidRDefault="00F46468">
      <w:pPr>
        <w:rPr>
          <w:rFonts w:eastAsia="Times New Roman" w:cs="Times New Roman"/>
          <w:b/>
          <w:bCs/>
          <w:color w:val="FFFFFF" w:themeColor="background1"/>
          <w:szCs w:val="28"/>
          <w:lang w:eastAsia="x-none"/>
        </w:rPr>
      </w:pPr>
      <w:r>
        <w:rPr>
          <w:color w:val="FFFFFF" w:themeColor="background1"/>
        </w:rPr>
        <w:br w:type="page"/>
      </w:r>
    </w:p>
    <w:p w14:paraId="2DB0EAB0" w14:textId="22444053" w:rsidR="007B2E10" w:rsidRPr="008C4E02" w:rsidRDefault="00F46468" w:rsidP="008C4E02">
      <w:pPr>
        <w:pStyle w:val="Heading1"/>
        <w:shd w:val="clear" w:color="auto" w:fill="1DA0A7"/>
        <w:spacing w:before="0" w:line="240" w:lineRule="auto"/>
        <w:rPr>
          <w:color w:val="FFFFFF" w:themeColor="background1"/>
          <w:sz w:val="28"/>
          <w:lang w:val="lv-LV"/>
        </w:rPr>
      </w:pPr>
      <w:bookmarkStart w:id="21" w:name="_Toc500423601"/>
      <w:r>
        <w:rPr>
          <w:color w:val="FFFFFF" w:themeColor="background1"/>
          <w:sz w:val="28"/>
          <w:lang w:val="lv-LV"/>
        </w:rPr>
        <w:lastRenderedPageBreak/>
        <w:t>5</w:t>
      </w:r>
      <w:r w:rsidRPr="00360F54">
        <w:rPr>
          <w:color w:val="FFFFFF" w:themeColor="background1"/>
          <w:sz w:val="28"/>
        </w:rPr>
        <w:t>. </w:t>
      </w:r>
      <w:r>
        <w:rPr>
          <w:color w:val="FFFFFF" w:themeColor="background1"/>
          <w:sz w:val="28"/>
          <w:lang w:val="lv-LV"/>
        </w:rPr>
        <w:t>Turpmākie rīcības virzieni Latvijas tūrisma attīstības veicināšan</w:t>
      </w:r>
      <w:r w:rsidR="00021B5B">
        <w:rPr>
          <w:color w:val="FFFFFF" w:themeColor="background1"/>
          <w:sz w:val="28"/>
          <w:lang w:val="lv-LV"/>
        </w:rPr>
        <w:t>ai</w:t>
      </w:r>
      <w:bookmarkEnd w:id="21"/>
    </w:p>
    <w:p w14:paraId="33D0E92A" w14:textId="77777777" w:rsidR="008C4E02" w:rsidRDefault="008C4E02" w:rsidP="008C4E02">
      <w:pPr>
        <w:ind w:firstLine="426"/>
        <w:jc w:val="both"/>
        <w:rPr>
          <w:rFonts w:cs="Times New Roman"/>
          <w:sz w:val="24"/>
        </w:rPr>
      </w:pPr>
      <w:r w:rsidRPr="00BF3DC4">
        <w:rPr>
          <w:rFonts w:cs="Times New Roman"/>
          <w:b/>
          <w:sz w:val="24"/>
        </w:rPr>
        <w:t>Analizējot tūrisma nozares attīstību</w:t>
      </w:r>
      <w:r>
        <w:rPr>
          <w:rFonts w:cs="Times New Roman"/>
          <w:sz w:val="24"/>
        </w:rPr>
        <w:t>, tiek secināts, ka t</w:t>
      </w:r>
      <w:r w:rsidRPr="00B1784E">
        <w:rPr>
          <w:rFonts w:cs="Times New Roman"/>
          <w:sz w:val="24"/>
        </w:rPr>
        <w:t>ūrisma daļas būtisko pieaugumu 2016.gada rādītājos ne tik daudz noteica tūrisma nozares pozitīvā dinamika, bet lielākā mērā ekonomikas kopīgo izaugsmes tempu samazinājums, t.i., pārējo tautsaimniecības nozaru sniegums. Pie tam 2016.gadā straujāk pieauga tieši iekšējais tūrisms.</w:t>
      </w:r>
      <w:r>
        <w:rPr>
          <w:rFonts w:cs="Times New Roman"/>
          <w:sz w:val="24"/>
        </w:rPr>
        <w:t xml:space="preserve"> </w:t>
      </w:r>
    </w:p>
    <w:p w14:paraId="708DC274" w14:textId="77777777" w:rsidR="008C4E02" w:rsidRDefault="008C4E02" w:rsidP="008C4E02">
      <w:pPr>
        <w:ind w:firstLine="426"/>
        <w:jc w:val="both"/>
        <w:rPr>
          <w:rFonts w:cs="Times New Roman"/>
          <w:sz w:val="24"/>
        </w:rPr>
      </w:pPr>
      <w:r>
        <w:rPr>
          <w:rFonts w:cs="Times New Roman"/>
          <w:sz w:val="24"/>
        </w:rPr>
        <w:t xml:space="preserve">Kā būtisku problēmu un izaicinājumu nozarē var minēt viesnīcu vidējo cenu samazināšanos Baltijas valstu sīvās konkurences ietekmē, kas veicinājusi tūrista vidējā tēriņa samazināšanos Latvijā. </w:t>
      </w:r>
      <w:r>
        <w:rPr>
          <w:rFonts w:ascii="12" w:hAnsi="12"/>
          <w:sz w:val="24"/>
          <w:szCs w:val="24"/>
        </w:rPr>
        <w:t>Papildus tam, ka būtiski samazinās viena vairākdienu ceļotāja vidējie izd</w:t>
      </w:r>
      <w:bookmarkStart w:id="22" w:name="_GoBack"/>
      <w:bookmarkEnd w:id="22"/>
      <w:r>
        <w:rPr>
          <w:rFonts w:ascii="12" w:hAnsi="12"/>
          <w:sz w:val="24"/>
          <w:szCs w:val="24"/>
        </w:rPr>
        <w:t xml:space="preserve">evumi diennaktī, negatīva tendence vērojama arī kopējos ceļotāju vienas dienas tēriņa rādītājos, kur ņem vērā gan vienas dienas ekskursantu tēriņus, gan vairākdienu ceļotāju tēriņus. </w:t>
      </w:r>
    </w:p>
    <w:p w14:paraId="6062D72B" w14:textId="13A34627" w:rsidR="008C4E02" w:rsidRDefault="008C4E02" w:rsidP="00C70CCF">
      <w:pPr>
        <w:ind w:firstLine="426"/>
        <w:jc w:val="both"/>
        <w:rPr>
          <w:rFonts w:ascii="12" w:hAnsi="12"/>
          <w:sz w:val="24"/>
          <w:szCs w:val="24"/>
        </w:rPr>
      </w:pPr>
      <w:r>
        <w:rPr>
          <w:rFonts w:ascii="12" w:hAnsi="12"/>
          <w:sz w:val="24"/>
          <w:szCs w:val="24"/>
        </w:rPr>
        <w:t xml:space="preserve">Otrs būtisks faktors ir dzīvokļu un apartamentu attīstība un tās ietekme uz tradicionālajām naktsmītnēm. </w:t>
      </w:r>
      <w:r w:rsidRPr="00B862D6">
        <w:rPr>
          <w:rFonts w:ascii="12" w:hAnsi="12"/>
          <w:sz w:val="24"/>
          <w:szCs w:val="24"/>
        </w:rPr>
        <w:t>Sadarbības ekonomikas rezultātā šim sektoram ir tendence augt un izkonkurēt tradicionālo naktsmītņu pakalpojumus</w:t>
      </w:r>
      <w:r>
        <w:rPr>
          <w:rFonts w:ascii="12" w:hAnsi="12"/>
          <w:sz w:val="24"/>
          <w:szCs w:val="24"/>
        </w:rPr>
        <w:t>, veicinot ēnu ekonomikas attīstību valstī</w:t>
      </w:r>
      <w:r w:rsidRPr="00B862D6">
        <w:rPr>
          <w:rFonts w:ascii="12" w:hAnsi="12"/>
          <w:sz w:val="24"/>
          <w:szCs w:val="24"/>
        </w:rPr>
        <w:t>. Kaut arī Latvijā šī tendence ir samērā jauna, ir nepieciešams sākt pastiprināti monitorēt apartamentu sektoru, tādēļ nākošā perioda pamatnostādnēs ir jāveic detalizēta sadarbības ekonomikas ietekmes uz tūrisma industriju analīze, kā arī jāizvērtē nepieciešamība iekļaut jaunus rezultatīvos rādītājus attiecībā uz apartamentu pozīciju naktsmītņu sektorā.</w:t>
      </w:r>
    </w:p>
    <w:p w14:paraId="4F1CF56A" w14:textId="77777777" w:rsidR="009519D9" w:rsidRDefault="009519D9" w:rsidP="00D62462">
      <w:pPr>
        <w:ind w:firstLine="426"/>
        <w:jc w:val="both"/>
        <w:rPr>
          <w:rFonts w:cs="Times New Roman"/>
          <w:b/>
          <w:sz w:val="24"/>
        </w:rPr>
      </w:pPr>
    </w:p>
    <w:p w14:paraId="698C97BE" w14:textId="53C8B7D8" w:rsidR="00D62462" w:rsidRPr="002601EE" w:rsidRDefault="00D62462" w:rsidP="00D62462">
      <w:pPr>
        <w:ind w:firstLine="426"/>
        <w:jc w:val="both"/>
        <w:rPr>
          <w:rFonts w:cs="Times New Roman"/>
          <w:sz w:val="24"/>
        </w:rPr>
      </w:pPr>
      <w:r w:rsidRPr="00BF3DC4">
        <w:rPr>
          <w:rFonts w:cs="Times New Roman"/>
          <w:b/>
          <w:sz w:val="24"/>
        </w:rPr>
        <w:t>Prognozējot tūrisma dinamiku</w:t>
      </w:r>
      <w:r w:rsidRPr="00B1784E">
        <w:rPr>
          <w:rFonts w:cs="Times New Roman"/>
          <w:sz w:val="24"/>
        </w:rPr>
        <w:t xml:space="preserve"> </w:t>
      </w:r>
      <w:r w:rsidR="00C35695">
        <w:rPr>
          <w:rFonts w:cs="Times New Roman"/>
          <w:sz w:val="24"/>
        </w:rPr>
        <w:t xml:space="preserve">līdz </w:t>
      </w:r>
      <w:r w:rsidRPr="00B1784E">
        <w:rPr>
          <w:rFonts w:cs="Times New Roman"/>
          <w:sz w:val="24"/>
        </w:rPr>
        <w:t>2020.gadam, tika ņemtas vērā kopīgās tautsaimniecības attīstības tendences, kā arī fakts, ka 2018.gadā būs Latvijas valsts simtgades svinības, kas var papildus veicināt tūrismu. Tāpēc līdz 2018.gadam nozares īpatsvars tautsaimniecībā un eksportā palielināsies, bet pēc tā var nedaudz samazināties, jo paredzēts, ka pārējo tautsaimniecības nozaru izaugsme var būt straujāka.</w:t>
      </w:r>
    </w:p>
    <w:p w14:paraId="24040333" w14:textId="77777777" w:rsidR="00D62462" w:rsidRDefault="00D62462" w:rsidP="00D62462">
      <w:pPr>
        <w:ind w:firstLine="426"/>
        <w:jc w:val="both"/>
        <w:rPr>
          <w:sz w:val="24"/>
          <w:szCs w:val="24"/>
        </w:rPr>
      </w:pPr>
      <w:r>
        <w:rPr>
          <w:sz w:val="24"/>
          <w:szCs w:val="24"/>
        </w:rPr>
        <w:t>Tūrisma attīstības p</w:t>
      </w:r>
      <w:r w:rsidRPr="00480559">
        <w:rPr>
          <w:sz w:val="24"/>
          <w:szCs w:val="24"/>
        </w:rPr>
        <w:t xml:space="preserve">amatnostādnēs </w:t>
      </w:r>
      <w:r>
        <w:rPr>
          <w:sz w:val="24"/>
          <w:szCs w:val="24"/>
        </w:rPr>
        <w:t xml:space="preserve">ir </w:t>
      </w:r>
      <w:r w:rsidRPr="00480559">
        <w:rPr>
          <w:sz w:val="24"/>
          <w:szCs w:val="24"/>
        </w:rPr>
        <w:t xml:space="preserve">noteikti 4 rezultatīvie rādītāji, kas atspoguļo </w:t>
      </w:r>
      <w:r>
        <w:rPr>
          <w:sz w:val="24"/>
          <w:szCs w:val="24"/>
        </w:rPr>
        <w:t>tūrisma politikas</w:t>
      </w:r>
      <w:r w:rsidRPr="00480559">
        <w:rPr>
          <w:sz w:val="24"/>
          <w:szCs w:val="24"/>
        </w:rPr>
        <w:t xml:space="preserve"> mērķ</w:t>
      </w:r>
      <w:r>
        <w:rPr>
          <w:sz w:val="24"/>
          <w:szCs w:val="24"/>
        </w:rPr>
        <w:t>i</w:t>
      </w:r>
      <w:r w:rsidRPr="00480559">
        <w:rPr>
          <w:sz w:val="24"/>
          <w:szCs w:val="24"/>
        </w:rPr>
        <w:t xml:space="preserve"> –</w:t>
      </w:r>
      <w:r>
        <w:rPr>
          <w:sz w:val="24"/>
          <w:szCs w:val="24"/>
        </w:rPr>
        <w:t xml:space="preserve"> </w:t>
      </w:r>
      <w:r w:rsidRPr="00E878CD">
        <w:rPr>
          <w:sz w:val="24"/>
          <w:szCs w:val="24"/>
        </w:rPr>
        <w:t>ilgtspējīga Latvijas tūrisma attīstība, veicinot tūrisma produktu konkurētspējas palielināšanos ārvalstu tirgos</w:t>
      </w:r>
      <w:r>
        <w:rPr>
          <w:sz w:val="24"/>
          <w:szCs w:val="24"/>
        </w:rPr>
        <w:t>. Tie ir:</w:t>
      </w:r>
    </w:p>
    <w:p w14:paraId="67CB95B0" w14:textId="77777777" w:rsidR="00D62462" w:rsidRPr="00D62462" w:rsidRDefault="00D62462" w:rsidP="00D62462">
      <w:pPr>
        <w:pStyle w:val="ListParagraph"/>
        <w:numPr>
          <w:ilvl w:val="0"/>
          <w:numId w:val="34"/>
        </w:numPr>
        <w:spacing w:line="240" w:lineRule="auto"/>
        <w:jc w:val="both"/>
        <w:rPr>
          <w:rFonts w:ascii="Times New Roman" w:hAnsi="Times New Roman"/>
          <w:sz w:val="24"/>
          <w:szCs w:val="24"/>
        </w:rPr>
      </w:pPr>
      <w:r w:rsidRPr="00D62462">
        <w:rPr>
          <w:rFonts w:ascii="Times New Roman" w:hAnsi="Times New Roman"/>
          <w:sz w:val="24"/>
          <w:szCs w:val="24"/>
        </w:rPr>
        <w:t>Ārvalstu vairākdienu ceļotāju skaita pieaugums.</w:t>
      </w:r>
    </w:p>
    <w:p w14:paraId="6D07E30D" w14:textId="77777777" w:rsidR="00D62462" w:rsidRPr="00D62462" w:rsidRDefault="00D62462" w:rsidP="00D62462">
      <w:pPr>
        <w:pStyle w:val="ListParagraph"/>
        <w:numPr>
          <w:ilvl w:val="0"/>
          <w:numId w:val="34"/>
        </w:numPr>
        <w:spacing w:line="240" w:lineRule="auto"/>
        <w:jc w:val="both"/>
        <w:rPr>
          <w:rFonts w:ascii="Times New Roman" w:hAnsi="Times New Roman"/>
          <w:sz w:val="24"/>
          <w:szCs w:val="24"/>
        </w:rPr>
      </w:pPr>
      <w:r w:rsidRPr="00D62462">
        <w:rPr>
          <w:rFonts w:ascii="Times New Roman" w:hAnsi="Times New Roman"/>
          <w:sz w:val="24"/>
          <w:szCs w:val="24"/>
        </w:rPr>
        <w:t xml:space="preserve">Vidējās noslodzes (gultas vietu noslogojums) palielināšanās izmitināšanas mītnēs ārpus noslogotākās vasaras sezonas (izņemot jūn.-aug.). </w:t>
      </w:r>
    </w:p>
    <w:p w14:paraId="714D54E3" w14:textId="77777777" w:rsidR="00D62462" w:rsidRPr="00D62462" w:rsidRDefault="00D62462" w:rsidP="00D62462">
      <w:pPr>
        <w:pStyle w:val="ListParagraph"/>
        <w:numPr>
          <w:ilvl w:val="0"/>
          <w:numId w:val="34"/>
        </w:numPr>
        <w:spacing w:line="240" w:lineRule="auto"/>
        <w:jc w:val="both"/>
        <w:rPr>
          <w:rFonts w:ascii="Times New Roman" w:hAnsi="Times New Roman"/>
          <w:sz w:val="24"/>
          <w:szCs w:val="24"/>
        </w:rPr>
      </w:pPr>
      <w:r w:rsidRPr="00D62462">
        <w:rPr>
          <w:rFonts w:ascii="Times New Roman" w:hAnsi="Times New Roman"/>
          <w:sz w:val="24"/>
          <w:szCs w:val="24"/>
        </w:rPr>
        <w:t>Viena ārvalstu vairākdienu ceļotāja vidējo izdevumu diennaktī pieaugums.</w:t>
      </w:r>
    </w:p>
    <w:p w14:paraId="4376A3C6" w14:textId="1687C2EA" w:rsidR="00D62462" w:rsidRPr="00D62462" w:rsidRDefault="00D62462" w:rsidP="00D62462">
      <w:pPr>
        <w:pStyle w:val="ListParagraph"/>
        <w:numPr>
          <w:ilvl w:val="0"/>
          <w:numId w:val="34"/>
        </w:numPr>
        <w:spacing w:line="240" w:lineRule="auto"/>
        <w:jc w:val="both"/>
        <w:rPr>
          <w:rFonts w:ascii="Times New Roman" w:hAnsi="Times New Roman"/>
          <w:sz w:val="24"/>
          <w:szCs w:val="24"/>
        </w:rPr>
      </w:pPr>
      <w:r w:rsidRPr="00D62462">
        <w:rPr>
          <w:rFonts w:ascii="Times New Roman" w:hAnsi="Times New Roman"/>
          <w:sz w:val="24"/>
          <w:szCs w:val="24"/>
        </w:rPr>
        <w:t>Ārvalstu vairākdienu ceļotāju kopējo izdevumu gadā pieaugums.</w:t>
      </w:r>
    </w:p>
    <w:p w14:paraId="785E8D46" w14:textId="77777777" w:rsidR="009519D9" w:rsidRDefault="009519D9" w:rsidP="009519D9">
      <w:pPr>
        <w:ind w:firstLine="426"/>
        <w:jc w:val="both"/>
        <w:rPr>
          <w:b/>
          <w:sz w:val="24"/>
          <w:szCs w:val="24"/>
        </w:rPr>
      </w:pPr>
    </w:p>
    <w:p w14:paraId="5EFC3DD1" w14:textId="65896EC0" w:rsidR="00ED5874" w:rsidRDefault="00F46468" w:rsidP="009519D9">
      <w:pPr>
        <w:ind w:firstLine="426"/>
        <w:jc w:val="both"/>
        <w:rPr>
          <w:sz w:val="24"/>
          <w:szCs w:val="24"/>
        </w:rPr>
      </w:pPr>
      <w:r w:rsidRPr="00BF3DC4">
        <w:rPr>
          <w:b/>
          <w:sz w:val="24"/>
          <w:szCs w:val="24"/>
        </w:rPr>
        <w:t>Izvērtējot rezultatīvos rādītājus</w:t>
      </w:r>
      <w:r>
        <w:rPr>
          <w:sz w:val="24"/>
          <w:szCs w:val="24"/>
        </w:rPr>
        <w:t xml:space="preserve"> par 2014., 2015.un 2016.gadu, jāsecina, ka līdz 2017.gadam nospraustie mērķi tiks īstenoti tikai daļēji. 2017.gadā </w:t>
      </w:r>
      <w:r w:rsidR="00335EA5">
        <w:rPr>
          <w:sz w:val="24"/>
          <w:szCs w:val="24"/>
        </w:rPr>
        <w:t>provizoriski</w:t>
      </w:r>
      <w:r>
        <w:rPr>
          <w:sz w:val="24"/>
          <w:szCs w:val="24"/>
        </w:rPr>
        <w:t xml:space="preserve"> ievērojami pārsnie</w:t>
      </w:r>
      <w:r w:rsidR="00335EA5">
        <w:rPr>
          <w:sz w:val="24"/>
          <w:szCs w:val="24"/>
        </w:rPr>
        <w:t>dz</w:t>
      </w:r>
      <w:r>
        <w:rPr>
          <w:sz w:val="24"/>
          <w:szCs w:val="24"/>
        </w:rPr>
        <w:t xml:space="preserve"> rādītāj</w:t>
      </w:r>
      <w:r w:rsidR="00335EA5">
        <w:rPr>
          <w:sz w:val="24"/>
          <w:szCs w:val="24"/>
        </w:rPr>
        <w:t>u</w:t>
      </w:r>
      <w:r>
        <w:rPr>
          <w:sz w:val="24"/>
          <w:szCs w:val="24"/>
        </w:rPr>
        <w:t xml:space="preserve"> “</w:t>
      </w:r>
      <w:r w:rsidRPr="00A82A0F">
        <w:rPr>
          <w:sz w:val="24"/>
          <w:szCs w:val="24"/>
        </w:rPr>
        <w:t>Ārvalstu vairākdienu ceļotāju skaits</w:t>
      </w:r>
      <w:r>
        <w:rPr>
          <w:sz w:val="24"/>
          <w:szCs w:val="24"/>
        </w:rPr>
        <w:t>”, iespējams tiks sasniegts rādītājs “</w:t>
      </w:r>
      <w:r w:rsidRPr="00A82A0F">
        <w:rPr>
          <w:sz w:val="24"/>
          <w:szCs w:val="24"/>
        </w:rPr>
        <w:t>Vidējā izmitināšanas mītņu noslodze (gultas vietu noslogojums) ārpus noslogotākās vasaras sezonas (izņemot jūn.-aug.)</w:t>
      </w:r>
      <w:r>
        <w:rPr>
          <w:sz w:val="24"/>
          <w:szCs w:val="24"/>
        </w:rPr>
        <w:t>” un “</w:t>
      </w:r>
      <w:r w:rsidRPr="00CB7A6E">
        <w:rPr>
          <w:sz w:val="24"/>
          <w:szCs w:val="24"/>
        </w:rPr>
        <w:t>Ārvalstu vairākdienu ceļotāju kopējie izdevumi gadā</w:t>
      </w:r>
      <w:r>
        <w:rPr>
          <w:sz w:val="24"/>
          <w:szCs w:val="24"/>
        </w:rPr>
        <w:t>”, taču rādītāji “</w:t>
      </w:r>
      <w:r w:rsidRPr="00CB7A6E">
        <w:rPr>
          <w:sz w:val="24"/>
          <w:szCs w:val="24"/>
        </w:rPr>
        <w:t>Viena ārvalstu vairākdienu ceļotāja vidējie izdevumi diennaktī</w:t>
      </w:r>
      <w:r>
        <w:rPr>
          <w:sz w:val="24"/>
          <w:szCs w:val="24"/>
        </w:rPr>
        <w:t>” nesasniegs 2017.vai 2020.gada prog</w:t>
      </w:r>
      <w:r w:rsidR="009519D9">
        <w:rPr>
          <w:sz w:val="24"/>
          <w:szCs w:val="24"/>
        </w:rPr>
        <w:t xml:space="preserve">nozes. </w:t>
      </w:r>
    </w:p>
    <w:p w14:paraId="517E2AF7" w14:textId="7222E13D" w:rsidR="00D86819" w:rsidRPr="009519D9" w:rsidRDefault="00D86819" w:rsidP="009519D9">
      <w:pPr>
        <w:ind w:firstLine="426"/>
        <w:jc w:val="both"/>
        <w:rPr>
          <w:sz w:val="24"/>
          <w:szCs w:val="24"/>
        </w:rPr>
      </w:pPr>
      <w:r w:rsidRPr="00AE7241">
        <w:rPr>
          <w:rFonts w:cs="Times New Roman"/>
          <w:sz w:val="24"/>
          <w:szCs w:val="24"/>
        </w:rPr>
        <w:t xml:space="preserve">Ņemot vērā minēto, novērtējumā tiek </w:t>
      </w:r>
      <w:r w:rsidR="00335EA5">
        <w:rPr>
          <w:rFonts w:cs="Times New Roman"/>
          <w:sz w:val="24"/>
          <w:szCs w:val="24"/>
        </w:rPr>
        <w:t>prognozēta</w:t>
      </w:r>
      <w:r w:rsidRPr="00AE7241">
        <w:rPr>
          <w:rFonts w:cs="Times New Roman"/>
          <w:sz w:val="24"/>
          <w:szCs w:val="24"/>
        </w:rPr>
        <w:t xml:space="preserve"> </w:t>
      </w:r>
      <w:r>
        <w:rPr>
          <w:rFonts w:cs="Times New Roman"/>
          <w:sz w:val="24"/>
          <w:szCs w:val="24"/>
        </w:rPr>
        <w:t xml:space="preserve">jauna vērtība </w:t>
      </w:r>
      <w:r w:rsidRPr="00AE7241">
        <w:rPr>
          <w:rFonts w:cs="Times New Roman"/>
          <w:sz w:val="24"/>
          <w:szCs w:val="24"/>
        </w:rPr>
        <w:t>sasniedzam</w:t>
      </w:r>
      <w:r>
        <w:rPr>
          <w:rFonts w:cs="Times New Roman"/>
          <w:sz w:val="24"/>
          <w:szCs w:val="24"/>
        </w:rPr>
        <w:t>a</w:t>
      </w:r>
      <w:r w:rsidR="009519D9">
        <w:rPr>
          <w:rFonts w:cs="Times New Roman"/>
          <w:sz w:val="24"/>
          <w:szCs w:val="24"/>
        </w:rPr>
        <w:t>jam</w:t>
      </w:r>
      <w:r w:rsidRPr="00AE7241">
        <w:rPr>
          <w:rFonts w:cs="Times New Roman"/>
          <w:sz w:val="24"/>
          <w:szCs w:val="24"/>
        </w:rPr>
        <w:t xml:space="preserve"> rādītāj</w:t>
      </w:r>
      <w:r w:rsidR="009519D9">
        <w:rPr>
          <w:rFonts w:cs="Times New Roman"/>
          <w:sz w:val="24"/>
          <w:szCs w:val="24"/>
        </w:rPr>
        <w:t xml:space="preserve">am - </w:t>
      </w:r>
      <w:r w:rsidR="009519D9">
        <w:rPr>
          <w:sz w:val="24"/>
          <w:szCs w:val="24"/>
        </w:rPr>
        <w:t xml:space="preserve"> </w:t>
      </w:r>
      <w:r w:rsidRPr="009519D9">
        <w:rPr>
          <w:b/>
          <w:sz w:val="24"/>
          <w:szCs w:val="24"/>
        </w:rPr>
        <w:t>ārvalstu vairākdienu ceļotāju skaits</w:t>
      </w:r>
      <w:r w:rsidR="009519D9">
        <w:rPr>
          <w:b/>
          <w:sz w:val="24"/>
          <w:szCs w:val="24"/>
        </w:rPr>
        <w:t>.</w:t>
      </w:r>
      <w:r w:rsidR="009519D9">
        <w:rPr>
          <w:sz w:val="24"/>
          <w:szCs w:val="24"/>
        </w:rPr>
        <w:t xml:space="preserve"> P</w:t>
      </w:r>
      <w:r w:rsidRPr="009519D9">
        <w:rPr>
          <w:sz w:val="24"/>
          <w:szCs w:val="24"/>
        </w:rPr>
        <w:t>aredzams, ka rezultatīvais rādītājs 2017.g. sasniegs 1,8 milj. un 2020.g. - 2,1 milj. ārvalstu vairākdienu ceļotājus.</w:t>
      </w:r>
    </w:p>
    <w:p w14:paraId="70CA35F6" w14:textId="77777777" w:rsidR="009519D9" w:rsidRDefault="009519D9" w:rsidP="00C70CCF">
      <w:pPr>
        <w:ind w:firstLine="426"/>
        <w:jc w:val="both"/>
        <w:rPr>
          <w:rFonts w:cs="Times New Roman"/>
          <w:sz w:val="24"/>
          <w:szCs w:val="24"/>
        </w:rPr>
      </w:pPr>
    </w:p>
    <w:p w14:paraId="38CFE519" w14:textId="316FEBDB" w:rsidR="00F46468" w:rsidRPr="00C70CCF" w:rsidRDefault="00D86819" w:rsidP="00C70CCF">
      <w:pPr>
        <w:ind w:firstLine="426"/>
        <w:jc w:val="both"/>
        <w:rPr>
          <w:rFonts w:cs="Times New Roman"/>
          <w:sz w:val="24"/>
          <w:szCs w:val="24"/>
        </w:rPr>
      </w:pPr>
      <w:r w:rsidRPr="00BF3DC4">
        <w:rPr>
          <w:rFonts w:cs="Times New Roman"/>
          <w:sz w:val="24"/>
          <w:szCs w:val="24"/>
        </w:rPr>
        <w:t xml:space="preserve">Savukārt, vērtējot </w:t>
      </w:r>
      <w:r w:rsidRPr="00BF3DC4">
        <w:rPr>
          <w:rFonts w:cs="Times New Roman"/>
          <w:b/>
          <w:sz w:val="24"/>
          <w:szCs w:val="24"/>
        </w:rPr>
        <w:t>pamatnostādņu īstenošanā ieguldīto resursu un to izlietojuma efektivitāti</w:t>
      </w:r>
      <w:r w:rsidRPr="00BF3DC4">
        <w:rPr>
          <w:rFonts w:cs="Times New Roman"/>
          <w:sz w:val="24"/>
          <w:szCs w:val="24"/>
        </w:rPr>
        <w:t>, tiek secināts, ka kopumā plānā iekļautās aktivitātes tiek pildītas atbilstoši plānam. Kopsumm</w:t>
      </w:r>
      <w:r w:rsidR="00222257">
        <w:rPr>
          <w:rFonts w:cs="Times New Roman"/>
          <w:sz w:val="24"/>
          <w:szCs w:val="24"/>
        </w:rPr>
        <w:t>ā pārskata periodā ir uzsāktas piecas</w:t>
      </w:r>
      <w:r w:rsidRPr="00BF3DC4">
        <w:rPr>
          <w:rFonts w:cs="Times New Roman"/>
          <w:sz w:val="24"/>
          <w:szCs w:val="24"/>
        </w:rPr>
        <w:t xml:space="preserve"> ERAF darbība</w:t>
      </w:r>
      <w:r w:rsidR="00927BCE">
        <w:rPr>
          <w:rFonts w:cs="Times New Roman"/>
          <w:sz w:val="24"/>
          <w:szCs w:val="24"/>
        </w:rPr>
        <w:t>s</w:t>
      </w:r>
      <w:r w:rsidRPr="00BF3DC4">
        <w:rPr>
          <w:rFonts w:cs="Times New Roman"/>
          <w:sz w:val="24"/>
          <w:szCs w:val="24"/>
        </w:rPr>
        <w:t xml:space="preserve"> programmas 2014-2020, kuras ir tieši vai netieši saistītas ar tūrisma infrastruktūras un kopējo nozares izaugsmes veicināšanu. Tāpat būtiski ir uzsvērt pašvaldību nozīmīgo lomu publiskās un tūrisma infrastruktūras labiekārtošanā, kur pašvaldības finansējumu rod gan no saviem līdzekļiem, gan no struktūrfondiem, pārrobežu programmām u.c.</w:t>
      </w:r>
    </w:p>
    <w:p w14:paraId="10545B34" w14:textId="77777777" w:rsidR="009519D9" w:rsidRDefault="009519D9" w:rsidP="00D86819">
      <w:pPr>
        <w:ind w:firstLine="426"/>
        <w:jc w:val="both"/>
        <w:rPr>
          <w:rFonts w:cs="Times New Roman"/>
          <w:b/>
          <w:sz w:val="24"/>
          <w:szCs w:val="24"/>
        </w:rPr>
      </w:pPr>
    </w:p>
    <w:p w14:paraId="79790908" w14:textId="5A1141EA" w:rsidR="00D86819" w:rsidRDefault="00F46468" w:rsidP="00D86819">
      <w:pPr>
        <w:ind w:firstLine="426"/>
        <w:jc w:val="both"/>
        <w:rPr>
          <w:rFonts w:cs="Times New Roman"/>
          <w:sz w:val="24"/>
          <w:szCs w:val="24"/>
        </w:rPr>
      </w:pPr>
      <w:r w:rsidRPr="00637988">
        <w:rPr>
          <w:rFonts w:cs="Times New Roman"/>
          <w:b/>
          <w:sz w:val="24"/>
          <w:szCs w:val="24"/>
        </w:rPr>
        <w:t>Analizējot starpnovērtēju</w:t>
      </w:r>
      <w:r w:rsidR="00D86819">
        <w:rPr>
          <w:rFonts w:cs="Times New Roman"/>
          <w:b/>
          <w:sz w:val="24"/>
          <w:szCs w:val="24"/>
        </w:rPr>
        <w:t xml:space="preserve">ma rezultātus tiek secināts, </w:t>
      </w:r>
      <w:r w:rsidR="00D86819" w:rsidRPr="00B72CEC">
        <w:rPr>
          <w:rFonts w:cs="Times New Roman"/>
          <w:sz w:val="24"/>
          <w:szCs w:val="24"/>
        </w:rPr>
        <w:t xml:space="preserve">ka Latvijas tūrisma produktu konkurētspējas un kvalitātes celšanai ir nepieciešams radīt jaunus tūrisma produktus ar augstu pievienoto vērtību. Radot jaunus un interesantus produktus, Latvija nodrošinās, ka tūrists uzturas </w:t>
      </w:r>
      <w:r w:rsidR="00D86819" w:rsidRPr="00B72CEC">
        <w:rPr>
          <w:rFonts w:cs="Times New Roman"/>
          <w:sz w:val="24"/>
          <w:szCs w:val="24"/>
        </w:rPr>
        <w:lastRenderedPageBreak/>
        <w:t>Latvijā ilgāk un iztērē vairāk naudas tās teritorijā. Ņemot vērā minēto, tie noteikti šādi rīcības virzieni turpmākajai tūrisma nozares attīstības veicināšanai</w:t>
      </w:r>
      <w:r w:rsidR="003C0D9F">
        <w:rPr>
          <w:rFonts w:cs="Times New Roman"/>
          <w:sz w:val="24"/>
          <w:szCs w:val="24"/>
        </w:rPr>
        <w:t xml:space="preserve">, kurus </w:t>
      </w:r>
      <w:r w:rsidR="003C0D9F" w:rsidRPr="003C0D9F">
        <w:rPr>
          <w:rFonts w:cs="Times New Roman"/>
          <w:sz w:val="24"/>
          <w:szCs w:val="24"/>
        </w:rPr>
        <w:t>paredzēts īstenot esošo formātu ietvaros</w:t>
      </w:r>
      <w:r w:rsidR="00D86819" w:rsidRPr="00B72CEC">
        <w:rPr>
          <w:rFonts w:cs="Times New Roman"/>
          <w:sz w:val="24"/>
          <w:szCs w:val="24"/>
        </w:rPr>
        <w:t>:</w:t>
      </w:r>
    </w:p>
    <w:p w14:paraId="71B3D6E1" w14:textId="77777777" w:rsidR="00ED5874" w:rsidRPr="00B72CEC" w:rsidRDefault="00ED5874" w:rsidP="00D86819">
      <w:pPr>
        <w:ind w:firstLine="426"/>
        <w:jc w:val="both"/>
        <w:rPr>
          <w:rFonts w:cs="Times New Roman"/>
          <w:sz w:val="24"/>
          <w:szCs w:val="24"/>
        </w:rPr>
      </w:pPr>
    </w:p>
    <w:p w14:paraId="2E1D9C31" w14:textId="77777777" w:rsidR="00ED5874" w:rsidRDefault="00F46468" w:rsidP="00C70CCF">
      <w:pPr>
        <w:pStyle w:val="ListParagraph"/>
        <w:numPr>
          <w:ilvl w:val="0"/>
          <w:numId w:val="33"/>
        </w:numPr>
        <w:spacing w:line="240" w:lineRule="auto"/>
        <w:jc w:val="both"/>
        <w:rPr>
          <w:rFonts w:ascii="Times New Roman" w:hAnsi="Times New Roman"/>
          <w:sz w:val="24"/>
          <w:szCs w:val="24"/>
        </w:rPr>
      </w:pPr>
      <w:r w:rsidRPr="00C70CCF">
        <w:rPr>
          <w:rFonts w:ascii="Times New Roman" w:hAnsi="Times New Roman"/>
          <w:b/>
          <w:sz w:val="24"/>
          <w:szCs w:val="24"/>
        </w:rPr>
        <w:t>Jau</w:t>
      </w:r>
      <w:r w:rsidR="00D00DFA" w:rsidRPr="00C70CCF">
        <w:rPr>
          <w:rFonts w:ascii="Times New Roman" w:hAnsi="Times New Roman"/>
          <w:b/>
          <w:sz w:val="24"/>
          <w:szCs w:val="24"/>
        </w:rPr>
        <w:t xml:space="preserve">nu </w:t>
      </w:r>
      <w:r w:rsidR="00B72CEC" w:rsidRPr="00C70CCF">
        <w:rPr>
          <w:rFonts w:ascii="Times New Roman" w:hAnsi="Times New Roman"/>
          <w:b/>
          <w:sz w:val="24"/>
          <w:szCs w:val="24"/>
        </w:rPr>
        <w:t>tūrisma</w:t>
      </w:r>
      <w:r w:rsidR="00D00DFA" w:rsidRPr="00C70CCF">
        <w:rPr>
          <w:rFonts w:ascii="Times New Roman" w:hAnsi="Times New Roman"/>
          <w:b/>
          <w:sz w:val="24"/>
          <w:szCs w:val="24"/>
        </w:rPr>
        <w:t xml:space="preserve"> produktu veidošana.</w:t>
      </w:r>
      <w:r w:rsidR="00D00DFA" w:rsidRPr="00C70CCF">
        <w:rPr>
          <w:rFonts w:ascii="Times New Roman" w:hAnsi="Times New Roman"/>
          <w:sz w:val="24"/>
          <w:szCs w:val="24"/>
        </w:rPr>
        <w:t xml:space="preserve"> </w:t>
      </w:r>
    </w:p>
    <w:p w14:paraId="0D543FB5" w14:textId="567465B9" w:rsidR="00C70CCF" w:rsidRDefault="00B72CEC" w:rsidP="00ED5874">
      <w:pPr>
        <w:pStyle w:val="ListParagraph"/>
        <w:spacing w:line="240" w:lineRule="auto"/>
        <w:jc w:val="both"/>
        <w:rPr>
          <w:rFonts w:ascii="Times New Roman" w:hAnsi="Times New Roman"/>
          <w:sz w:val="24"/>
          <w:szCs w:val="24"/>
        </w:rPr>
      </w:pPr>
      <w:r w:rsidRPr="00C70CCF">
        <w:rPr>
          <w:rFonts w:ascii="Times New Roman" w:hAnsi="Times New Roman"/>
          <w:sz w:val="24"/>
          <w:szCs w:val="24"/>
        </w:rPr>
        <w:t>Latvija piedāvā ļoti plašu tūrisma produktu un pakalpojumu klāstu, taču, salīdzinot ar Baltijas valstīm, Latvijā tūristi atstāj vismazāk naudas. Lai veicinātu Latvijas konkurētspēju Baltijas valstīs, ir jānodrošina kvalitatīvs, interesants un pietiekami unikāls tūrisma produkts ar augstu pievienoto vērt</w:t>
      </w:r>
      <w:r w:rsidR="00C70CCF" w:rsidRPr="00C70CCF">
        <w:rPr>
          <w:rFonts w:ascii="Times New Roman" w:hAnsi="Times New Roman"/>
          <w:sz w:val="24"/>
          <w:szCs w:val="24"/>
        </w:rPr>
        <w:t>ību, lai tūristi būtu gatavi Latvijā uzturēties ilgāk un par pakalpojumu samaksāt vairāk, vienlaikus Latvijai veiksmīgi konkurējot ar kaimiņvalstu zemajām pakalpojumu cenām.</w:t>
      </w:r>
      <w:r w:rsidR="00AD7CAE">
        <w:rPr>
          <w:rFonts w:ascii="Times New Roman" w:hAnsi="Times New Roman"/>
          <w:sz w:val="24"/>
          <w:szCs w:val="24"/>
        </w:rPr>
        <w:t xml:space="preserve"> </w:t>
      </w:r>
      <w:r w:rsidRPr="00053852">
        <w:rPr>
          <w:rFonts w:ascii="Times New Roman" w:hAnsi="Times New Roman"/>
          <w:sz w:val="24"/>
          <w:szCs w:val="24"/>
          <w:u w:val="single"/>
        </w:rPr>
        <w:t xml:space="preserve">Līdz ar to ir nepieciešams definēt pamata </w:t>
      </w:r>
      <w:r w:rsidR="00AD7CAE" w:rsidRPr="00053852">
        <w:rPr>
          <w:rFonts w:ascii="Times New Roman" w:hAnsi="Times New Roman"/>
          <w:sz w:val="24"/>
          <w:szCs w:val="24"/>
          <w:u w:val="single"/>
        </w:rPr>
        <w:t>problēmas un to risinājumus</w:t>
      </w:r>
      <w:r w:rsidRPr="00053852">
        <w:rPr>
          <w:rFonts w:ascii="Times New Roman" w:hAnsi="Times New Roman"/>
          <w:sz w:val="24"/>
          <w:szCs w:val="24"/>
          <w:u w:val="single"/>
        </w:rPr>
        <w:t xml:space="preserve"> jaunu tūrisma produktu veidošanā </w:t>
      </w:r>
      <w:r w:rsidR="00C70CCF" w:rsidRPr="00053852">
        <w:rPr>
          <w:rFonts w:ascii="Times New Roman" w:hAnsi="Times New Roman"/>
          <w:sz w:val="24"/>
          <w:szCs w:val="24"/>
          <w:u w:val="single"/>
        </w:rPr>
        <w:t xml:space="preserve">vai esoša produkta pielāgošanā </w:t>
      </w:r>
      <w:r w:rsidR="00AD7CAE" w:rsidRPr="00053852">
        <w:rPr>
          <w:rFonts w:ascii="Times New Roman" w:hAnsi="Times New Roman"/>
          <w:sz w:val="24"/>
          <w:szCs w:val="24"/>
          <w:u w:val="single"/>
        </w:rPr>
        <w:t>tūristu</w:t>
      </w:r>
      <w:r w:rsidR="00C70CCF" w:rsidRPr="00053852">
        <w:rPr>
          <w:rFonts w:ascii="Times New Roman" w:hAnsi="Times New Roman"/>
          <w:sz w:val="24"/>
          <w:szCs w:val="24"/>
          <w:u w:val="single"/>
        </w:rPr>
        <w:t xml:space="preserve"> vajadzībām</w:t>
      </w:r>
      <w:r w:rsidR="00AD7CAE" w:rsidRPr="00053852">
        <w:rPr>
          <w:rFonts w:ascii="Times New Roman" w:hAnsi="Times New Roman"/>
          <w:sz w:val="24"/>
          <w:szCs w:val="24"/>
          <w:u w:val="single"/>
        </w:rPr>
        <w:t xml:space="preserve"> </w:t>
      </w:r>
      <w:r w:rsidR="00AD7CAE" w:rsidRPr="00AD7CAE">
        <w:rPr>
          <w:rFonts w:ascii="Times New Roman" w:hAnsi="Times New Roman"/>
          <w:sz w:val="24"/>
          <w:szCs w:val="24"/>
          <w:u w:val="single"/>
        </w:rPr>
        <w:t>gan prioritāro, gan tālo tirgu kā Ķīna piesaistei Latvijai</w:t>
      </w:r>
      <w:r w:rsidRPr="00C70CCF">
        <w:rPr>
          <w:rFonts w:ascii="Times New Roman" w:hAnsi="Times New Roman"/>
          <w:sz w:val="24"/>
          <w:szCs w:val="24"/>
        </w:rPr>
        <w:t xml:space="preserve">. </w:t>
      </w:r>
      <w:r w:rsidR="00C70CCF" w:rsidRPr="00C70CCF">
        <w:rPr>
          <w:rFonts w:ascii="Times New Roman" w:hAnsi="Times New Roman"/>
          <w:sz w:val="24"/>
          <w:szCs w:val="24"/>
        </w:rPr>
        <w:t>Lai to panāktu,</w:t>
      </w:r>
      <w:r w:rsidR="00F46468" w:rsidRPr="00C70CCF">
        <w:rPr>
          <w:rFonts w:ascii="Times New Roman" w:hAnsi="Times New Roman"/>
          <w:sz w:val="24"/>
          <w:szCs w:val="24"/>
        </w:rPr>
        <w:t xml:space="preserve"> ir jāiesaistās gan valstij, gan tūrisma komersantiem, nodrošin</w:t>
      </w:r>
      <w:r w:rsidR="00C70CCF" w:rsidRPr="00C70CCF">
        <w:rPr>
          <w:rFonts w:ascii="Times New Roman" w:hAnsi="Times New Roman"/>
          <w:sz w:val="24"/>
          <w:szCs w:val="24"/>
        </w:rPr>
        <w:t>ot ciešu savstarpējo sadarbību tūrisma produktu izstrādē/pilnveidē turpmāko gadu gaitā.</w:t>
      </w:r>
      <w:r w:rsidR="00AD7CAE">
        <w:rPr>
          <w:rFonts w:ascii="Times New Roman" w:hAnsi="Times New Roman"/>
          <w:sz w:val="24"/>
          <w:szCs w:val="24"/>
        </w:rPr>
        <w:t xml:space="preserve"> </w:t>
      </w:r>
    </w:p>
    <w:p w14:paraId="4A6F47F1" w14:textId="77777777" w:rsidR="00ED5874" w:rsidRDefault="00ED5874" w:rsidP="00ED5874">
      <w:pPr>
        <w:pStyle w:val="ListParagraph"/>
        <w:spacing w:line="240" w:lineRule="auto"/>
        <w:jc w:val="both"/>
        <w:rPr>
          <w:rFonts w:ascii="Times New Roman" w:hAnsi="Times New Roman"/>
          <w:sz w:val="24"/>
          <w:szCs w:val="24"/>
        </w:rPr>
      </w:pPr>
    </w:p>
    <w:p w14:paraId="72BC04D1" w14:textId="77777777" w:rsidR="004849B1" w:rsidRDefault="004849B1" w:rsidP="004849B1">
      <w:pPr>
        <w:pStyle w:val="ListParagraph"/>
        <w:numPr>
          <w:ilvl w:val="0"/>
          <w:numId w:val="33"/>
        </w:numPr>
        <w:spacing w:line="240" w:lineRule="auto"/>
        <w:jc w:val="both"/>
        <w:rPr>
          <w:rFonts w:ascii="Times New Roman" w:hAnsi="Times New Roman"/>
          <w:sz w:val="24"/>
          <w:szCs w:val="24"/>
        </w:rPr>
      </w:pPr>
      <w:r w:rsidRPr="00C70CCF">
        <w:rPr>
          <w:rFonts w:ascii="Times New Roman" w:hAnsi="Times New Roman"/>
          <w:b/>
          <w:sz w:val="24"/>
          <w:szCs w:val="24"/>
        </w:rPr>
        <w:t>Tūrisma puduru jeb klasteru veidošana.</w:t>
      </w:r>
      <w:r>
        <w:rPr>
          <w:rFonts w:ascii="Times New Roman" w:hAnsi="Times New Roman"/>
          <w:sz w:val="24"/>
          <w:szCs w:val="24"/>
        </w:rPr>
        <w:t xml:space="preserve"> </w:t>
      </w:r>
    </w:p>
    <w:p w14:paraId="3211B20C" w14:textId="31A502AE" w:rsidR="004849B1" w:rsidRDefault="004849B1" w:rsidP="004849B1">
      <w:pPr>
        <w:pStyle w:val="ListParagraph"/>
        <w:spacing w:line="240" w:lineRule="auto"/>
        <w:jc w:val="both"/>
        <w:rPr>
          <w:rFonts w:ascii="Times New Roman" w:hAnsi="Times New Roman"/>
          <w:sz w:val="24"/>
          <w:szCs w:val="24"/>
        </w:rPr>
      </w:pPr>
      <w:r>
        <w:rPr>
          <w:rFonts w:ascii="Times New Roman" w:hAnsi="Times New Roman"/>
          <w:sz w:val="24"/>
          <w:szCs w:val="24"/>
        </w:rPr>
        <w:t xml:space="preserve">Joprojām jāuzsver tūrisma klasteru nozīme tūrisma attīstībai reģionos. </w:t>
      </w:r>
      <w:r w:rsidR="00EC0CE6">
        <w:rPr>
          <w:rFonts w:ascii="Times New Roman" w:hAnsi="Times New Roman"/>
          <w:sz w:val="24"/>
          <w:szCs w:val="24"/>
        </w:rPr>
        <w:t xml:space="preserve">Atsevišķu tūrisma produktu apvienošanās pudurī veicinās galamērķa (jeb produktu kopuma) redzamību un eksportspēju. </w:t>
      </w:r>
      <w:r w:rsidRPr="00C70CCF">
        <w:rPr>
          <w:rFonts w:ascii="Times New Roman" w:hAnsi="Times New Roman"/>
          <w:sz w:val="24"/>
          <w:szCs w:val="24"/>
        </w:rPr>
        <w:t xml:space="preserve">Lai veicinātu tūrisma puduru veidošanos un attīstību reģionos, ir jārisina – kā speciālās tūrisma, tā arī vispārīgās infrastruktūras (galamērķu sasniedzamība) attīstības jautājumi. </w:t>
      </w:r>
      <w:r w:rsidR="00EC0CE6">
        <w:rPr>
          <w:rFonts w:ascii="Times New Roman" w:hAnsi="Times New Roman"/>
          <w:sz w:val="24"/>
          <w:szCs w:val="24"/>
        </w:rPr>
        <w:t xml:space="preserve">Būtiski ir </w:t>
      </w:r>
      <w:r w:rsidR="00EC0CE6" w:rsidRPr="00EC0CE6">
        <w:rPr>
          <w:rFonts w:ascii="Times New Roman" w:hAnsi="Times New Roman"/>
          <w:sz w:val="24"/>
          <w:szCs w:val="24"/>
          <w:u w:val="single"/>
        </w:rPr>
        <w:t>attīstīt gan ceļu infrastruktūru, gan tūrisma infrastruktūru</w:t>
      </w:r>
      <w:r w:rsidR="00EC0CE6">
        <w:rPr>
          <w:rFonts w:ascii="Times New Roman" w:hAnsi="Times New Roman"/>
          <w:sz w:val="24"/>
          <w:szCs w:val="24"/>
        </w:rPr>
        <w:t xml:space="preserve">, lai nodrošinātu gan ērtu nokļūšanu uz galamērķi, gan jau esot galamērķī. </w:t>
      </w:r>
      <w:r w:rsidRPr="00C70CCF">
        <w:rPr>
          <w:rFonts w:ascii="Times New Roman" w:hAnsi="Times New Roman"/>
          <w:sz w:val="24"/>
          <w:szCs w:val="24"/>
        </w:rPr>
        <w:t>Vienlaikus jāveido arvien koordinētāka informācijas apkopošana un pieejamība par tūrisma galamērķiem, kur nozīmīga loma ir reģionālajām tūrisma organizācijām, informācijas centriem un</w:t>
      </w:r>
      <w:r>
        <w:rPr>
          <w:rFonts w:ascii="Times New Roman" w:hAnsi="Times New Roman"/>
          <w:sz w:val="24"/>
          <w:szCs w:val="24"/>
        </w:rPr>
        <w:t xml:space="preserve"> tūrisma klasteriem.</w:t>
      </w:r>
      <w:r w:rsidR="00EC0CE6">
        <w:rPr>
          <w:rFonts w:ascii="Times New Roman" w:hAnsi="Times New Roman"/>
          <w:sz w:val="24"/>
          <w:szCs w:val="24"/>
        </w:rPr>
        <w:t xml:space="preserve"> Attīstot tūrisma politiku reģionos ir būtiski </w:t>
      </w:r>
      <w:r w:rsidR="00EC0CE6" w:rsidRPr="00EC0CE6">
        <w:rPr>
          <w:rFonts w:ascii="Times New Roman" w:hAnsi="Times New Roman"/>
          <w:sz w:val="24"/>
          <w:szCs w:val="24"/>
          <w:u w:val="single"/>
        </w:rPr>
        <w:t>iekļaut lielo eksportspējīgo teritoriju prioritātes tūrisma attīstības plānā nacionālā līmenī</w:t>
      </w:r>
      <w:r w:rsidR="00EC0CE6">
        <w:rPr>
          <w:rFonts w:ascii="Times New Roman" w:hAnsi="Times New Roman"/>
          <w:sz w:val="24"/>
          <w:szCs w:val="24"/>
        </w:rPr>
        <w:t xml:space="preserve"> (piemēram Gaujas nacionālais parks, Bauska un Rundāle, Liepāja, Jūrmala u.c.)</w:t>
      </w:r>
      <w:r w:rsidR="00D452CD">
        <w:rPr>
          <w:rFonts w:ascii="Times New Roman" w:hAnsi="Times New Roman"/>
          <w:sz w:val="24"/>
          <w:szCs w:val="24"/>
        </w:rPr>
        <w:t xml:space="preserve">, kā arī </w:t>
      </w:r>
      <w:r w:rsidR="00D452CD" w:rsidRPr="00D452CD">
        <w:rPr>
          <w:rFonts w:ascii="Times New Roman" w:hAnsi="Times New Roman"/>
          <w:sz w:val="24"/>
          <w:szCs w:val="24"/>
          <w:u w:val="single"/>
        </w:rPr>
        <w:t>veicināt ārvalstu tiešo investīciju plūsmu</w:t>
      </w:r>
      <w:r w:rsidR="00D452CD">
        <w:rPr>
          <w:rFonts w:ascii="Times New Roman" w:hAnsi="Times New Roman"/>
          <w:sz w:val="24"/>
          <w:szCs w:val="24"/>
        </w:rPr>
        <w:t xml:space="preserve"> minētajos tūrisma galamērķos.</w:t>
      </w:r>
    </w:p>
    <w:p w14:paraId="68E9105C" w14:textId="77777777" w:rsidR="004849B1" w:rsidRPr="00C70CCF" w:rsidRDefault="004849B1" w:rsidP="004849B1">
      <w:pPr>
        <w:pStyle w:val="ListParagraph"/>
        <w:spacing w:line="240" w:lineRule="auto"/>
        <w:jc w:val="both"/>
        <w:rPr>
          <w:rFonts w:ascii="Times New Roman" w:hAnsi="Times New Roman"/>
          <w:sz w:val="24"/>
          <w:szCs w:val="24"/>
        </w:rPr>
      </w:pPr>
    </w:p>
    <w:p w14:paraId="7ED9BE1E" w14:textId="77777777" w:rsidR="00ED5874" w:rsidRDefault="00D86819" w:rsidP="00C70CCF">
      <w:pPr>
        <w:pStyle w:val="ListParagraph"/>
        <w:numPr>
          <w:ilvl w:val="0"/>
          <w:numId w:val="33"/>
        </w:numPr>
        <w:spacing w:line="240" w:lineRule="auto"/>
        <w:jc w:val="both"/>
        <w:rPr>
          <w:rFonts w:ascii="Times New Roman" w:hAnsi="Times New Roman"/>
          <w:sz w:val="24"/>
          <w:szCs w:val="24"/>
        </w:rPr>
      </w:pPr>
      <w:r w:rsidRPr="00C70CCF">
        <w:rPr>
          <w:rFonts w:ascii="Times New Roman" w:hAnsi="Times New Roman"/>
          <w:b/>
          <w:sz w:val="24"/>
          <w:szCs w:val="24"/>
        </w:rPr>
        <w:t>Vietējā tūrisma veicināšana.</w:t>
      </w:r>
      <w:r w:rsidRPr="00C70CCF">
        <w:rPr>
          <w:rFonts w:ascii="Times New Roman" w:hAnsi="Times New Roman"/>
          <w:sz w:val="24"/>
          <w:szCs w:val="24"/>
        </w:rPr>
        <w:t xml:space="preserve"> </w:t>
      </w:r>
    </w:p>
    <w:p w14:paraId="11D1D7CE" w14:textId="2A9CED52" w:rsidR="00C70CCF" w:rsidRDefault="00F46468" w:rsidP="00ED5874">
      <w:pPr>
        <w:pStyle w:val="ListParagraph"/>
        <w:spacing w:line="240" w:lineRule="auto"/>
        <w:jc w:val="both"/>
        <w:rPr>
          <w:rFonts w:ascii="Times New Roman" w:hAnsi="Times New Roman"/>
          <w:sz w:val="24"/>
          <w:szCs w:val="24"/>
        </w:rPr>
      </w:pPr>
      <w:r w:rsidRPr="00C70CCF">
        <w:rPr>
          <w:rFonts w:ascii="Times New Roman" w:hAnsi="Times New Roman"/>
          <w:sz w:val="24"/>
          <w:szCs w:val="24"/>
        </w:rPr>
        <w:t xml:space="preserve">Turpmākajā periodā ir nepieciešams aktīvāk fokusēties uz vietējā tūrism attīstību, jo tieši vietējā tūrisma attīstība un Latviešu interesi par Latvijas tūrisma produktiem rosinoši pasākumi veicinās tūrisma pakalpojumu un produktu kvalitātes celšanos reģionos. </w:t>
      </w:r>
      <w:r w:rsidR="00246FEB" w:rsidRPr="00C70CCF">
        <w:rPr>
          <w:rFonts w:ascii="Times New Roman" w:hAnsi="Times New Roman"/>
          <w:sz w:val="24"/>
          <w:szCs w:val="24"/>
        </w:rPr>
        <w:t xml:space="preserve">Papildus jau LIAA veiktajām mārketinga aktivitātēm vietējā tūrisma veicināšanā akcijā “Atklāj Latviju no jauna”, ir jāatrod veids, ka pašvaldībām un uzņēmējiem, savstarpēji sadarbojoties, radīt jaunus un kvalitatīvus produktus, kas piesaista vietējo tūristu. </w:t>
      </w:r>
      <w:r w:rsidR="00D86819" w:rsidRPr="00C70CCF">
        <w:rPr>
          <w:rFonts w:ascii="Times New Roman" w:hAnsi="Times New Roman"/>
          <w:sz w:val="24"/>
          <w:szCs w:val="24"/>
        </w:rPr>
        <w:t xml:space="preserve">Šeit vērā ņemams ir ne tikai pašvaldību ieguldījums, bet arī plānošanas reģionu loma tūrisma veicināšanā, (piemēram, reģionu uzņēmējdarbības centru īstenotās aktivitātes), tāpēc </w:t>
      </w:r>
      <w:r w:rsidR="006329D5" w:rsidRPr="00C70CCF">
        <w:rPr>
          <w:rFonts w:ascii="Times New Roman" w:hAnsi="Times New Roman"/>
          <w:sz w:val="24"/>
          <w:szCs w:val="24"/>
        </w:rPr>
        <w:t xml:space="preserve">nepieciešama detalizētāka analīze par plānošanas reģionu lomu tūrisma attīstības veicināšanā reģionos, to sadarbību ar pašvaldībām un jaunu tūrisma produktu veicināšanu. </w:t>
      </w:r>
    </w:p>
    <w:p w14:paraId="6149282C" w14:textId="77777777" w:rsidR="00ED5874" w:rsidRDefault="00ED5874" w:rsidP="00ED5874">
      <w:pPr>
        <w:pStyle w:val="ListParagraph"/>
        <w:spacing w:line="240" w:lineRule="auto"/>
        <w:jc w:val="both"/>
        <w:rPr>
          <w:rFonts w:ascii="Times New Roman" w:hAnsi="Times New Roman"/>
          <w:sz w:val="24"/>
          <w:szCs w:val="24"/>
        </w:rPr>
      </w:pPr>
    </w:p>
    <w:p w14:paraId="719BED50" w14:textId="77777777" w:rsidR="004849B1" w:rsidRDefault="004849B1" w:rsidP="004849B1">
      <w:pPr>
        <w:pStyle w:val="ListParagraph"/>
        <w:numPr>
          <w:ilvl w:val="0"/>
          <w:numId w:val="33"/>
        </w:numPr>
        <w:spacing w:line="240" w:lineRule="auto"/>
        <w:jc w:val="both"/>
        <w:rPr>
          <w:rFonts w:ascii="Times New Roman" w:hAnsi="Times New Roman"/>
          <w:sz w:val="24"/>
          <w:szCs w:val="24"/>
        </w:rPr>
      </w:pPr>
      <w:r w:rsidRPr="00C70CCF">
        <w:rPr>
          <w:rFonts w:ascii="Times New Roman" w:hAnsi="Times New Roman"/>
          <w:b/>
          <w:sz w:val="24"/>
          <w:szCs w:val="24"/>
        </w:rPr>
        <w:t>MICE un veselības tūrisms.</w:t>
      </w:r>
      <w:r w:rsidRPr="00C70CCF">
        <w:rPr>
          <w:rFonts w:ascii="Times New Roman" w:hAnsi="Times New Roman"/>
          <w:sz w:val="24"/>
          <w:szCs w:val="24"/>
        </w:rPr>
        <w:t xml:space="preserve"> </w:t>
      </w:r>
    </w:p>
    <w:p w14:paraId="05EBFD05" w14:textId="5E710516" w:rsidR="004849B1" w:rsidRDefault="004849B1" w:rsidP="004849B1">
      <w:pPr>
        <w:pStyle w:val="ListParagraph"/>
        <w:spacing w:line="240" w:lineRule="auto"/>
        <w:jc w:val="both"/>
        <w:rPr>
          <w:rFonts w:ascii="Times New Roman" w:hAnsi="Times New Roman"/>
          <w:sz w:val="24"/>
          <w:szCs w:val="24"/>
        </w:rPr>
      </w:pPr>
      <w:r w:rsidRPr="00C70CCF">
        <w:rPr>
          <w:rFonts w:ascii="Times New Roman" w:hAnsi="Times New Roman"/>
          <w:sz w:val="24"/>
          <w:szCs w:val="24"/>
        </w:rPr>
        <w:t xml:space="preserve">Arī turpmāk nepieciešams fokusēties uz prioritārajiem tūrisma attīstības veidiem, jo īpaši uz MICE un veselības tūrismu. Darījumu un pasākumu (MICE) tūrismā būtiski ir nodrošināt atbalsta sniegšanu starptautisko konferenču organizēšanā, savukārt veselības tūrisma attīstībā izstrādāt veselības tūrisma </w:t>
      </w:r>
      <w:r w:rsidR="00D452CD">
        <w:rPr>
          <w:rFonts w:ascii="Times New Roman" w:hAnsi="Times New Roman"/>
          <w:sz w:val="24"/>
          <w:szCs w:val="24"/>
        </w:rPr>
        <w:t xml:space="preserve">veicināšanas rīcības virzienus. </w:t>
      </w:r>
      <w:r w:rsidR="00D452CD" w:rsidRPr="00D452CD">
        <w:rPr>
          <w:rFonts w:ascii="Times New Roman" w:hAnsi="Times New Roman"/>
          <w:sz w:val="24"/>
          <w:szCs w:val="24"/>
        </w:rPr>
        <w:t xml:space="preserve">Rīgas </w:t>
      </w:r>
      <w:r w:rsidR="00D452CD">
        <w:rPr>
          <w:rFonts w:ascii="Times New Roman" w:hAnsi="Times New Roman"/>
          <w:sz w:val="24"/>
          <w:szCs w:val="24"/>
        </w:rPr>
        <w:t xml:space="preserve">darījumu </w:t>
      </w:r>
      <w:r w:rsidR="00D452CD" w:rsidRPr="00D452CD">
        <w:rPr>
          <w:rFonts w:ascii="Times New Roman" w:hAnsi="Times New Roman"/>
          <w:sz w:val="24"/>
          <w:szCs w:val="24"/>
        </w:rPr>
        <w:t>tūrisma piedāvājumu</w:t>
      </w:r>
      <w:r w:rsidR="00D452CD">
        <w:rPr>
          <w:rFonts w:ascii="Times New Roman" w:hAnsi="Times New Roman"/>
          <w:sz w:val="24"/>
          <w:szCs w:val="24"/>
        </w:rPr>
        <w:t xml:space="preserve"> ir</w:t>
      </w:r>
      <w:r w:rsidR="00D452CD" w:rsidRPr="00D452CD">
        <w:rPr>
          <w:rFonts w:ascii="Times New Roman" w:hAnsi="Times New Roman"/>
          <w:sz w:val="24"/>
          <w:szCs w:val="24"/>
        </w:rPr>
        <w:t xml:space="preserve"> nepieciešams pilnveidot, veicot </w:t>
      </w:r>
      <w:r w:rsidR="00D452CD" w:rsidRPr="00D452CD">
        <w:rPr>
          <w:rFonts w:ascii="Times New Roman" w:hAnsi="Times New Roman"/>
          <w:sz w:val="24"/>
          <w:szCs w:val="24"/>
          <w:u w:val="single"/>
        </w:rPr>
        <w:t>investīcijas gan infrastruktūrā</w:t>
      </w:r>
      <w:r w:rsidR="00D452CD" w:rsidRPr="00D452CD">
        <w:rPr>
          <w:rFonts w:ascii="Times New Roman" w:hAnsi="Times New Roman"/>
          <w:sz w:val="24"/>
          <w:szCs w:val="24"/>
        </w:rPr>
        <w:t xml:space="preserve">, gan tūrisma piedāvājuma dažādošanā, primāri attīstot uz eksportu orientētus tūrisma produktus un pakalpojumus ar augstu pievienoto vērtību, </w:t>
      </w:r>
      <w:r w:rsidR="00D452CD">
        <w:rPr>
          <w:rFonts w:ascii="Times New Roman" w:hAnsi="Times New Roman"/>
          <w:sz w:val="24"/>
          <w:szCs w:val="24"/>
        </w:rPr>
        <w:t>tādus kā</w:t>
      </w:r>
      <w:r w:rsidR="00D452CD" w:rsidRPr="00D452CD">
        <w:rPr>
          <w:rFonts w:ascii="Times New Roman" w:hAnsi="Times New Roman"/>
          <w:sz w:val="24"/>
          <w:szCs w:val="24"/>
        </w:rPr>
        <w:t>, MICE</w:t>
      </w:r>
      <w:r w:rsidR="00174058">
        <w:rPr>
          <w:rFonts w:ascii="Times New Roman" w:hAnsi="Times New Roman"/>
          <w:sz w:val="24"/>
          <w:szCs w:val="24"/>
        </w:rPr>
        <w:t xml:space="preserve"> un veselības tūrismu</w:t>
      </w:r>
      <w:r w:rsidR="00D452CD">
        <w:rPr>
          <w:rFonts w:ascii="Times New Roman" w:hAnsi="Times New Roman"/>
          <w:sz w:val="24"/>
          <w:szCs w:val="24"/>
        </w:rPr>
        <w:t xml:space="preserve">, kā arī veicināt starptautisku viesnīcu ķēžu ienākšanu Rīgā un Latvijā. Tādēļ ļoti būtiska ir </w:t>
      </w:r>
      <w:r w:rsidR="00D452CD" w:rsidRPr="00D452CD">
        <w:rPr>
          <w:rFonts w:ascii="Times New Roman" w:hAnsi="Times New Roman"/>
          <w:sz w:val="24"/>
          <w:szCs w:val="24"/>
          <w:u w:val="single"/>
        </w:rPr>
        <w:t>kongresu un konferenču centra attīstība Rīgā</w:t>
      </w:r>
      <w:r w:rsidR="00D452CD">
        <w:rPr>
          <w:rFonts w:ascii="Times New Roman" w:hAnsi="Times New Roman"/>
          <w:sz w:val="24"/>
          <w:szCs w:val="24"/>
        </w:rPr>
        <w:t xml:space="preserve">, kas spētu nodrošināt kvalitatīvus darījuma tūrisma pasākumus plašam dalībnieku skaitam. </w:t>
      </w:r>
      <w:r w:rsidRPr="00C70CCF">
        <w:rPr>
          <w:rFonts w:ascii="Times New Roman" w:hAnsi="Times New Roman"/>
          <w:sz w:val="24"/>
          <w:szCs w:val="24"/>
        </w:rPr>
        <w:t xml:space="preserve">Vienlaikus būtiski ir izvērtēt liela mēroga sporta pasākumu rīkošanas un to piesaistes </w:t>
      </w:r>
      <w:r w:rsidRPr="00C70CCF">
        <w:rPr>
          <w:rFonts w:ascii="Times New Roman" w:hAnsi="Times New Roman"/>
          <w:sz w:val="24"/>
          <w:szCs w:val="24"/>
        </w:rPr>
        <w:lastRenderedPageBreak/>
        <w:t>Latvijai iespējas šo sporta pasākumu pozitīvās ietekmes uz Latviju palielināšanai un valsts atpazīstamības veicināšanai.</w:t>
      </w:r>
    </w:p>
    <w:p w14:paraId="51BBA66D" w14:textId="77777777" w:rsidR="004849B1" w:rsidRDefault="004849B1" w:rsidP="004849B1">
      <w:pPr>
        <w:pStyle w:val="ListParagraph"/>
        <w:spacing w:line="240" w:lineRule="auto"/>
        <w:jc w:val="both"/>
        <w:rPr>
          <w:rFonts w:ascii="Times New Roman" w:hAnsi="Times New Roman"/>
          <w:sz w:val="24"/>
          <w:szCs w:val="24"/>
        </w:rPr>
      </w:pPr>
    </w:p>
    <w:p w14:paraId="7E07E272" w14:textId="77777777" w:rsidR="00ED5874" w:rsidRPr="00ED5874" w:rsidRDefault="006329D5" w:rsidP="00C70CCF">
      <w:pPr>
        <w:pStyle w:val="ListParagraph"/>
        <w:numPr>
          <w:ilvl w:val="0"/>
          <w:numId w:val="33"/>
        </w:numPr>
        <w:spacing w:line="240" w:lineRule="auto"/>
        <w:jc w:val="both"/>
        <w:rPr>
          <w:rFonts w:ascii="Times New Roman" w:hAnsi="Times New Roman"/>
          <w:sz w:val="24"/>
          <w:szCs w:val="24"/>
        </w:rPr>
      </w:pPr>
      <w:r w:rsidRPr="00C70CCF">
        <w:rPr>
          <w:rFonts w:ascii="Times New Roman" w:hAnsi="Times New Roman"/>
          <w:b/>
          <w:sz w:val="24"/>
          <w:szCs w:val="24"/>
        </w:rPr>
        <w:t xml:space="preserve">Sadarbības ekonomikas ietekmes uz tūrisma industriju analīze. </w:t>
      </w:r>
    </w:p>
    <w:p w14:paraId="573AF39F" w14:textId="3704635C" w:rsidR="00C70CCF" w:rsidRDefault="006329D5" w:rsidP="00ED5874">
      <w:pPr>
        <w:pStyle w:val="ListParagraph"/>
        <w:spacing w:line="240" w:lineRule="auto"/>
        <w:jc w:val="both"/>
        <w:rPr>
          <w:rFonts w:ascii="Times New Roman" w:hAnsi="Times New Roman"/>
          <w:sz w:val="24"/>
          <w:szCs w:val="24"/>
        </w:rPr>
      </w:pPr>
      <w:r w:rsidRPr="00C70CCF">
        <w:rPr>
          <w:rFonts w:ascii="Times New Roman" w:hAnsi="Times New Roman"/>
          <w:sz w:val="24"/>
          <w:szCs w:val="24"/>
        </w:rPr>
        <w:t xml:space="preserve">Sadarbības ekonomikai, t.i., privātās naktsmītnes, dzīvokļi un apartamenti, nākotnē būs aizvien lielāka ietekme ne tikai uz izmitināšanas sektoru, bet arī uz tūristu </w:t>
      </w:r>
      <w:r w:rsidR="00246FEB" w:rsidRPr="00C70CCF">
        <w:rPr>
          <w:rFonts w:ascii="Times New Roman" w:hAnsi="Times New Roman"/>
          <w:sz w:val="24"/>
          <w:szCs w:val="24"/>
        </w:rPr>
        <w:t>(t.sk.</w:t>
      </w:r>
      <w:r w:rsidR="00246FEB" w:rsidRPr="00C70CCF">
        <w:rPr>
          <w:rFonts w:ascii="Times New Roman" w:hAnsi="Times New Roman"/>
          <w:i/>
          <w:sz w:val="24"/>
          <w:szCs w:val="24"/>
        </w:rPr>
        <w:t>Millenials</w:t>
      </w:r>
      <w:r w:rsidR="00246FEB" w:rsidRPr="00C70CCF">
        <w:rPr>
          <w:rFonts w:ascii="Times New Roman" w:hAnsi="Times New Roman"/>
          <w:sz w:val="24"/>
          <w:szCs w:val="24"/>
        </w:rPr>
        <w:t xml:space="preserve">) </w:t>
      </w:r>
      <w:r w:rsidRPr="00C70CCF">
        <w:rPr>
          <w:rFonts w:ascii="Times New Roman" w:hAnsi="Times New Roman"/>
          <w:sz w:val="24"/>
          <w:szCs w:val="24"/>
        </w:rPr>
        <w:t xml:space="preserve">skaita </w:t>
      </w:r>
      <w:r w:rsidR="00246FEB" w:rsidRPr="00C70CCF">
        <w:rPr>
          <w:rFonts w:ascii="Times New Roman" w:hAnsi="Times New Roman"/>
          <w:sz w:val="24"/>
          <w:szCs w:val="24"/>
        </w:rPr>
        <w:t>un to prasību izmaiņām, tādējādi ietekmējot</w:t>
      </w:r>
      <w:r w:rsidRPr="00C70CCF">
        <w:rPr>
          <w:rFonts w:ascii="Times New Roman" w:hAnsi="Times New Roman"/>
          <w:sz w:val="24"/>
          <w:szCs w:val="24"/>
        </w:rPr>
        <w:t xml:space="preserve"> tūrisma nozari kopumā</w:t>
      </w:r>
      <w:r w:rsidR="00246FEB" w:rsidRPr="00C70CCF">
        <w:rPr>
          <w:rFonts w:ascii="Times New Roman" w:hAnsi="Times New Roman"/>
          <w:sz w:val="24"/>
          <w:szCs w:val="24"/>
        </w:rPr>
        <w:t>. T</w:t>
      </w:r>
      <w:r w:rsidRPr="00C70CCF">
        <w:rPr>
          <w:rFonts w:ascii="Times New Roman" w:hAnsi="Times New Roman"/>
          <w:sz w:val="24"/>
          <w:szCs w:val="24"/>
        </w:rPr>
        <w:t xml:space="preserve">āpēc būtiski ir veikt šī sektora analīzi, kā arī izvērtēt nepieciešamību iekļaut jaunus rezultatīvos rādītājus attiecībā uz apartamentu pozīciju naktsmītņu sektorā. </w:t>
      </w:r>
    </w:p>
    <w:p w14:paraId="3E6498D6" w14:textId="77777777" w:rsidR="00ED5874" w:rsidRDefault="00ED5874" w:rsidP="00ED5874">
      <w:pPr>
        <w:pStyle w:val="ListParagraph"/>
        <w:spacing w:line="240" w:lineRule="auto"/>
        <w:jc w:val="both"/>
        <w:rPr>
          <w:rFonts w:ascii="Times New Roman" w:hAnsi="Times New Roman"/>
          <w:sz w:val="24"/>
          <w:szCs w:val="24"/>
        </w:rPr>
      </w:pPr>
    </w:p>
    <w:p w14:paraId="0246D247" w14:textId="77777777" w:rsidR="00ED5874" w:rsidRDefault="00ED5874" w:rsidP="00ED5874">
      <w:pPr>
        <w:pStyle w:val="ListParagraph"/>
        <w:spacing w:line="240" w:lineRule="auto"/>
        <w:jc w:val="both"/>
        <w:rPr>
          <w:rFonts w:ascii="Times New Roman" w:hAnsi="Times New Roman"/>
          <w:sz w:val="24"/>
          <w:szCs w:val="24"/>
        </w:rPr>
      </w:pPr>
    </w:p>
    <w:p w14:paraId="1DF1EFC2" w14:textId="05BFA2DE" w:rsidR="008D2FAA" w:rsidRDefault="007241E6" w:rsidP="00C064FC">
      <w:pPr>
        <w:ind w:firstLine="720"/>
        <w:jc w:val="both"/>
        <w:rPr>
          <w:rFonts w:cs="Times New Roman"/>
          <w:sz w:val="24"/>
          <w:szCs w:val="24"/>
        </w:rPr>
      </w:pPr>
      <w:r>
        <w:rPr>
          <w:rFonts w:cs="Times New Roman"/>
          <w:sz w:val="24"/>
          <w:szCs w:val="24"/>
        </w:rPr>
        <w:t>A</w:t>
      </w:r>
      <w:r w:rsidRPr="007241E6">
        <w:rPr>
          <w:rFonts w:cs="Times New Roman"/>
          <w:sz w:val="24"/>
          <w:szCs w:val="24"/>
        </w:rPr>
        <w:t xml:space="preserve">tbilstoši </w:t>
      </w:r>
      <w:r>
        <w:rPr>
          <w:rFonts w:cs="Times New Roman"/>
          <w:sz w:val="24"/>
          <w:szCs w:val="24"/>
        </w:rPr>
        <w:t xml:space="preserve">informatīvajā ziņojumā ietvertajiem secinājumiem </w:t>
      </w:r>
      <w:r w:rsidR="00166380">
        <w:rPr>
          <w:rFonts w:cs="Times New Roman"/>
          <w:sz w:val="24"/>
          <w:szCs w:val="24"/>
        </w:rPr>
        <w:t>tūrisma nozarē tiek novērotas būtiskas tendenču maiņas</w:t>
      </w:r>
      <w:r w:rsidR="00136F53">
        <w:rPr>
          <w:rFonts w:cs="Times New Roman"/>
          <w:sz w:val="24"/>
          <w:szCs w:val="24"/>
        </w:rPr>
        <w:t>, kā rezultātā</w:t>
      </w:r>
      <w:r w:rsidR="00166380">
        <w:rPr>
          <w:rFonts w:cs="Times New Roman"/>
          <w:sz w:val="24"/>
          <w:szCs w:val="24"/>
        </w:rPr>
        <w:t xml:space="preserve">, tiek izvirzīti vairāki rīcības virzieni, uz kuru pamata ir plānots sastādīt </w:t>
      </w:r>
      <w:r w:rsidR="00136F53">
        <w:rPr>
          <w:rFonts w:cs="Times New Roman"/>
          <w:sz w:val="24"/>
          <w:szCs w:val="24"/>
        </w:rPr>
        <w:t>nākošā perioda (2021-</w:t>
      </w:r>
      <w:r w:rsidR="00166380">
        <w:rPr>
          <w:rFonts w:cs="Times New Roman"/>
          <w:sz w:val="24"/>
          <w:szCs w:val="24"/>
        </w:rPr>
        <w:t xml:space="preserve"> </w:t>
      </w:r>
      <w:r w:rsidR="00136F53">
        <w:rPr>
          <w:rFonts w:cs="Times New Roman"/>
          <w:sz w:val="24"/>
          <w:szCs w:val="24"/>
        </w:rPr>
        <w:t xml:space="preserve">2027) </w:t>
      </w:r>
      <w:r w:rsidR="00C064FC">
        <w:rPr>
          <w:rFonts w:cs="Times New Roman"/>
          <w:sz w:val="24"/>
          <w:szCs w:val="24"/>
        </w:rPr>
        <w:t>plānošanas dokumentu un attīstības plānu</w:t>
      </w:r>
      <w:r w:rsidR="00136F53">
        <w:rPr>
          <w:rFonts w:cs="Times New Roman"/>
          <w:sz w:val="24"/>
          <w:szCs w:val="24"/>
        </w:rPr>
        <w:t>.</w:t>
      </w:r>
      <w:r w:rsidR="00166380">
        <w:rPr>
          <w:rFonts w:cs="Times New Roman"/>
          <w:sz w:val="24"/>
          <w:szCs w:val="24"/>
        </w:rPr>
        <w:t xml:space="preserve"> </w:t>
      </w:r>
      <w:r w:rsidR="00136F53">
        <w:rPr>
          <w:rFonts w:cs="Times New Roman"/>
          <w:sz w:val="24"/>
          <w:szCs w:val="24"/>
        </w:rPr>
        <w:t>Ekonomikas ministrija atbilstoši</w:t>
      </w:r>
      <w:r>
        <w:rPr>
          <w:rFonts w:cs="Times New Roman"/>
          <w:sz w:val="24"/>
          <w:szCs w:val="24"/>
        </w:rPr>
        <w:t xml:space="preserve"> </w:t>
      </w:r>
      <w:r w:rsidR="00463E44">
        <w:rPr>
          <w:rFonts w:cs="Times New Roman"/>
          <w:sz w:val="24"/>
          <w:szCs w:val="24"/>
        </w:rPr>
        <w:t>Ministru kabineta</w:t>
      </w:r>
      <w:r w:rsidRPr="007241E6">
        <w:rPr>
          <w:rFonts w:cs="Times New Roman"/>
          <w:sz w:val="24"/>
          <w:szCs w:val="24"/>
        </w:rPr>
        <w:t xml:space="preserve"> 2014.gada 2.decembra noteikumu Nr.737 “Attīstības plānošanas dokumentu izstrādes un ietekmes izvērtēšanas noteikumi” 40.</w:t>
      </w:r>
      <w:r w:rsidR="00383057">
        <w:rPr>
          <w:rFonts w:cs="Times New Roman"/>
          <w:sz w:val="24"/>
          <w:szCs w:val="24"/>
        </w:rPr>
        <w:t>punkt</w:t>
      </w:r>
      <w:r w:rsidR="00136F53">
        <w:rPr>
          <w:rFonts w:cs="Times New Roman"/>
          <w:sz w:val="24"/>
          <w:szCs w:val="24"/>
        </w:rPr>
        <w:t xml:space="preserve">am ir izvērtējusi iespēju integrēt tūrisma pamatnostādnes </w:t>
      </w:r>
      <w:r w:rsidR="00B74732">
        <w:rPr>
          <w:rFonts w:cs="Times New Roman"/>
          <w:sz w:val="24"/>
          <w:szCs w:val="24"/>
        </w:rPr>
        <w:t>cit</w:t>
      </w:r>
      <w:r w:rsidR="00C064FC">
        <w:rPr>
          <w:rFonts w:cs="Times New Roman"/>
          <w:sz w:val="24"/>
          <w:szCs w:val="24"/>
        </w:rPr>
        <w:t>u nozaru</w:t>
      </w:r>
      <w:r w:rsidR="00B74732">
        <w:rPr>
          <w:rFonts w:cs="Times New Roman"/>
          <w:sz w:val="24"/>
          <w:szCs w:val="24"/>
        </w:rPr>
        <w:t xml:space="preserve"> plānošanas dokumentos, taču ir secinājusi, ka t</w:t>
      </w:r>
      <w:r w:rsidR="0020088E">
        <w:rPr>
          <w:rFonts w:cs="Times New Roman"/>
          <w:sz w:val="24"/>
          <w:szCs w:val="24"/>
        </w:rPr>
        <w:t xml:space="preserve">ūrisma </w:t>
      </w:r>
      <w:r w:rsidR="00B74732">
        <w:rPr>
          <w:rFonts w:cs="Times New Roman"/>
          <w:sz w:val="24"/>
          <w:szCs w:val="24"/>
        </w:rPr>
        <w:t xml:space="preserve">nozare ir pārāk plaša un visaptveroša ar tikai sev specifiskām problēmām un tendencēm, tāpēc tūrisma kā nozares integrēšana citu nozaru plānošanas dokumentos ir neefektīva un </w:t>
      </w:r>
      <w:r w:rsidR="00C064FC">
        <w:rPr>
          <w:rFonts w:cs="Times New Roman"/>
          <w:sz w:val="24"/>
          <w:szCs w:val="24"/>
        </w:rPr>
        <w:t>nelietderīga.</w:t>
      </w:r>
    </w:p>
    <w:p w14:paraId="431F857C" w14:textId="20A0AE82" w:rsidR="00E12972" w:rsidRPr="00E12972" w:rsidRDefault="008C5154" w:rsidP="0020088E">
      <w:pPr>
        <w:ind w:firstLine="720"/>
        <w:jc w:val="both"/>
        <w:rPr>
          <w:rFonts w:cs="Times New Roman"/>
          <w:sz w:val="24"/>
          <w:szCs w:val="24"/>
        </w:rPr>
      </w:pPr>
      <w:r>
        <w:rPr>
          <w:rFonts w:cs="Times New Roman"/>
          <w:sz w:val="24"/>
          <w:szCs w:val="24"/>
        </w:rPr>
        <w:t>Ņemot vēr</w:t>
      </w:r>
      <w:r w:rsidR="00C064FC">
        <w:rPr>
          <w:rFonts w:cs="Times New Roman"/>
          <w:sz w:val="24"/>
          <w:szCs w:val="24"/>
        </w:rPr>
        <w:t xml:space="preserve">ā, ka Ekonomikas </w:t>
      </w:r>
      <w:r>
        <w:rPr>
          <w:rFonts w:cs="Times New Roman"/>
          <w:sz w:val="24"/>
          <w:szCs w:val="24"/>
        </w:rPr>
        <w:t>ministrija ir sagatavojusi un līdz ar šo In</w:t>
      </w:r>
      <w:r w:rsidR="00463E44">
        <w:rPr>
          <w:rFonts w:cs="Times New Roman"/>
          <w:sz w:val="24"/>
          <w:szCs w:val="24"/>
        </w:rPr>
        <w:t>formatīvo ziņojumu iesniegusi Ministru kabineta</w:t>
      </w:r>
      <w:r>
        <w:rPr>
          <w:rFonts w:cs="Times New Roman"/>
          <w:sz w:val="24"/>
          <w:szCs w:val="24"/>
        </w:rPr>
        <w:t xml:space="preserve"> rīkojuma projektu “</w:t>
      </w:r>
      <w:r w:rsidRPr="008C5154">
        <w:rPr>
          <w:rFonts w:cs="Times New Roman"/>
          <w:sz w:val="24"/>
          <w:szCs w:val="24"/>
        </w:rPr>
        <w:t>Gr</w:t>
      </w:r>
      <w:r w:rsidR="00463E44">
        <w:rPr>
          <w:rFonts w:cs="Times New Roman"/>
          <w:sz w:val="24"/>
          <w:szCs w:val="24"/>
        </w:rPr>
        <w:t>ozījums Ministru kabineta 2014.gada 3.jūlija rīkojumā Nr.</w:t>
      </w:r>
      <w:r w:rsidRPr="008C5154">
        <w:rPr>
          <w:rFonts w:cs="Times New Roman"/>
          <w:sz w:val="24"/>
          <w:szCs w:val="24"/>
        </w:rPr>
        <w:t>326 “Par Latvijas tūrisma attīstības pamatnostādnēm 2014.–2020. gadam</w:t>
      </w:r>
      <w:r>
        <w:rPr>
          <w:rFonts w:cs="Times New Roman"/>
          <w:sz w:val="24"/>
          <w:szCs w:val="24"/>
        </w:rPr>
        <w:t xml:space="preserve">””, ar kuru </w:t>
      </w:r>
      <w:r w:rsidR="008A24D9" w:rsidRPr="003D6EAB">
        <w:rPr>
          <w:sz w:val="24"/>
          <w:szCs w:val="24"/>
        </w:rPr>
        <w:t>Ministru kabineta 2014.gada 3.jūlija rīkojum</w:t>
      </w:r>
      <w:r>
        <w:rPr>
          <w:sz w:val="24"/>
          <w:szCs w:val="24"/>
        </w:rPr>
        <w:t>ā</w:t>
      </w:r>
      <w:r w:rsidR="008A24D9" w:rsidRPr="003D6EAB">
        <w:rPr>
          <w:sz w:val="24"/>
          <w:szCs w:val="24"/>
        </w:rPr>
        <w:t xml:space="preserve"> Nr.326 “Par Latvijas tūrisma attīstības pamatnostādnēm 2014.‒2020.gadam”</w:t>
      </w:r>
      <w:r>
        <w:rPr>
          <w:sz w:val="24"/>
          <w:szCs w:val="24"/>
        </w:rPr>
        <w:t xml:space="preserve"> svītro 6.2. apakšpunktu</w:t>
      </w:r>
      <w:r w:rsidR="008A24D9">
        <w:rPr>
          <w:rFonts w:cs="Times New Roman"/>
          <w:sz w:val="24"/>
          <w:szCs w:val="24"/>
        </w:rPr>
        <w:t xml:space="preserve">, </w:t>
      </w:r>
      <w:r w:rsidR="008E598F">
        <w:rPr>
          <w:rFonts w:cs="Times New Roman"/>
          <w:sz w:val="24"/>
          <w:szCs w:val="24"/>
        </w:rPr>
        <w:t xml:space="preserve">plānots, ka </w:t>
      </w:r>
      <w:r w:rsidRPr="008C5154">
        <w:rPr>
          <w:rFonts w:cs="Times New Roman"/>
          <w:sz w:val="24"/>
          <w:szCs w:val="24"/>
        </w:rPr>
        <w:t>Pamatnostādņu starpposma novērtējum</w:t>
      </w:r>
      <w:r>
        <w:rPr>
          <w:rFonts w:cs="Times New Roman"/>
          <w:sz w:val="24"/>
          <w:szCs w:val="24"/>
        </w:rPr>
        <w:t>s</w:t>
      </w:r>
      <w:r w:rsidRPr="008C5154">
        <w:rPr>
          <w:rFonts w:cs="Times New Roman"/>
          <w:sz w:val="24"/>
          <w:szCs w:val="24"/>
        </w:rPr>
        <w:t xml:space="preserve"> par 2017.-2018.gada periodu </w:t>
      </w:r>
      <w:r>
        <w:rPr>
          <w:rFonts w:cs="Times New Roman"/>
          <w:sz w:val="24"/>
          <w:szCs w:val="24"/>
        </w:rPr>
        <w:t xml:space="preserve">netiks veikts. Savukārt, </w:t>
      </w:r>
      <w:r w:rsidR="00E12972" w:rsidRPr="008D2FAA">
        <w:rPr>
          <w:rFonts w:cs="Times New Roman"/>
          <w:b/>
          <w:sz w:val="24"/>
          <w:szCs w:val="24"/>
        </w:rPr>
        <w:t xml:space="preserve">Pamatnostādņu īstenošanas gala novērtējumu </w:t>
      </w:r>
      <w:r w:rsidR="008D2FAA" w:rsidRPr="008D2FAA">
        <w:rPr>
          <w:rFonts w:cs="Times New Roman"/>
          <w:b/>
          <w:sz w:val="24"/>
          <w:szCs w:val="24"/>
        </w:rPr>
        <w:t xml:space="preserve">Ekonomikas ministrija izstrādās un iesniegs Ministru kabinetā </w:t>
      </w:r>
      <w:r w:rsidR="00E12972" w:rsidRPr="008D2FAA">
        <w:rPr>
          <w:rFonts w:cs="Times New Roman"/>
          <w:b/>
          <w:sz w:val="24"/>
          <w:szCs w:val="24"/>
        </w:rPr>
        <w:t>līdz 2021.gada 1.maijam.</w:t>
      </w:r>
      <w:r w:rsidR="00F45380" w:rsidRPr="008D2FAA">
        <w:rPr>
          <w:rFonts w:cs="Times New Roman"/>
          <w:b/>
          <w:sz w:val="24"/>
          <w:szCs w:val="24"/>
        </w:rPr>
        <w:t xml:space="preserve"> </w:t>
      </w:r>
      <w:r w:rsidR="00C064FC">
        <w:rPr>
          <w:rFonts w:cs="Times New Roman"/>
          <w:sz w:val="24"/>
          <w:szCs w:val="24"/>
        </w:rPr>
        <w:t>Gatavojot gala novērtējumu</w:t>
      </w:r>
      <w:r w:rsidR="00F45380" w:rsidRPr="009151F7">
        <w:rPr>
          <w:rFonts w:cs="Times New Roman"/>
          <w:sz w:val="24"/>
          <w:szCs w:val="24"/>
        </w:rPr>
        <w:t xml:space="preserve"> ir jāņem vērā informatīvajā ziņojumā ietvert</w:t>
      </w:r>
      <w:r w:rsidR="00C064FC">
        <w:rPr>
          <w:rFonts w:cs="Times New Roman"/>
          <w:sz w:val="24"/>
          <w:szCs w:val="24"/>
        </w:rPr>
        <w:t xml:space="preserve">ie secinājumi, </w:t>
      </w:r>
      <w:r w:rsidR="009151F7">
        <w:rPr>
          <w:rFonts w:cs="Times New Roman"/>
          <w:sz w:val="24"/>
          <w:szCs w:val="24"/>
        </w:rPr>
        <w:t>prognozēt</w:t>
      </w:r>
      <w:r w:rsidR="00C064FC">
        <w:rPr>
          <w:rFonts w:cs="Times New Roman"/>
          <w:sz w:val="24"/>
          <w:szCs w:val="24"/>
        </w:rPr>
        <w:t>ie</w:t>
      </w:r>
      <w:r w:rsidR="00F45380" w:rsidRPr="009151F7">
        <w:rPr>
          <w:rFonts w:cs="Times New Roman"/>
          <w:sz w:val="24"/>
          <w:szCs w:val="24"/>
        </w:rPr>
        <w:t xml:space="preserve"> rezultatīv</w:t>
      </w:r>
      <w:r w:rsidR="00C064FC">
        <w:rPr>
          <w:rFonts w:cs="Times New Roman"/>
          <w:sz w:val="24"/>
          <w:szCs w:val="24"/>
        </w:rPr>
        <w:t>ie</w:t>
      </w:r>
      <w:r w:rsidR="00F45380" w:rsidRPr="009151F7">
        <w:rPr>
          <w:rFonts w:cs="Times New Roman"/>
          <w:sz w:val="24"/>
          <w:szCs w:val="24"/>
        </w:rPr>
        <w:t xml:space="preserve"> rādītāj</w:t>
      </w:r>
      <w:r w:rsidR="00C064FC">
        <w:rPr>
          <w:rFonts w:cs="Times New Roman"/>
          <w:sz w:val="24"/>
          <w:szCs w:val="24"/>
        </w:rPr>
        <w:t>i un izvirzītie rīcības virzieni</w:t>
      </w:r>
      <w:r w:rsidR="00F45380" w:rsidRPr="009151F7">
        <w:rPr>
          <w:rFonts w:cs="Times New Roman"/>
          <w:sz w:val="24"/>
          <w:szCs w:val="24"/>
        </w:rPr>
        <w:t>.</w:t>
      </w:r>
    </w:p>
    <w:p w14:paraId="11CFA3D6" w14:textId="77777777" w:rsidR="007241E6" w:rsidRDefault="007241E6" w:rsidP="00FC287C">
      <w:pPr>
        <w:jc w:val="both"/>
        <w:rPr>
          <w:sz w:val="24"/>
          <w:szCs w:val="24"/>
        </w:rPr>
      </w:pPr>
    </w:p>
    <w:p w14:paraId="3B4A61D9" w14:textId="77777777" w:rsidR="003B6745" w:rsidRDefault="003B6745" w:rsidP="00FC287C">
      <w:pPr>
        <w:jc w:val="both"/>
        <w:rPr>
          <w:sz w:val="24"/>
          <w:szCs w:val="24"/>
        </w:rPr>
      </w:pPr>
    </w:p>
    <w:p w14:paraId="65CD05F5" w14:textId="2C2AB56A" w:rsidR="00294869" w:rsidRDefault="00294869" w:rsidP="00FC287C">
      <w:pPr>
        <w:jc w:val="both"/>
        <w:rPr>
          <w:sz w:val="24"/>
          <w:szCs w:val="24"/>
        </w:rPr>
      </w:pPr>
      <w:r>
        <w:rPr>
          <w:sz w:val="24"/>
          <w:szCs w:val="24"/>
        </w:rPr>
        <w:t>Ministru prezidenta biedrs,</w:t>
      </w:r>
    </w:p>
    <w:p w14:paraId="056A7135" w14:textId="0BB20B0D" w:rsidR="00294869" w:rsidRPr="002333D4" w:rsidRDefault="00294869" w:rsidP="00294869">
      <w:pPr>
        <w:tabs>
          <w:tab w:val="left" w:pos="7655"/>
        </w:tabs>
        <w:rPr>
          <w:sz w:val="24"/>
          <w:szCs w:val="24"/>
        </w:rPr>
      </w:pPr>
      <w:r>
        <w:rPr>
          <w:sz w:val="24"/>
          <w:szCs w:val="24"/>
        </w:rPr>
        <w:t>e</w:t>
      </w:r>
      <w:r w:rsidRPr="002333D4">
        <w:rPr>
          <w:sz w:val="24"/>
          <w:szCs w:val="24"/>
        </w:rPr>
        <w:t>konomikas ministrs</w:t>
      </w:r>
      <w:r w:rsidRPr="002333D4">
        <w:rPr>
          <w:sz w:val="24"/>
          <w:szCs w:val="24"/>
        </w:rPr>
        <w:tab/>
      </w:r>
      <w:r w:rsidRPr="002333D4">
        <w:rPr>
          <w:color w:val="000000"/>
          <w:sz w:val="24"/>
          <w:szCs w:val="24"/>
        </w:rPr>
        <w:t>A.</w:t>
      </w:r>
      <w:r>
        <w:rPr>
          <w:color w:val="000000"/>
          <w:sz w:val="24"/>
          <w:szCs w:val="24"/>
        </w:rPr>
        <w:t xml:space="preserve"> </w:t>
      </w:r>
      <w:r w:rsidRPr="002333D4">
        <w:rPr>
          <w:color w:val="000000"/>
          <w:sz w:val="24"/>
          <w:szCs w:val="24"/>
        </w:rPr>
        <w:t>Ašeradens</w:t>
      </w:r>
    </w:p>
    <w:p w14:paraId="3ACCE80F" w14:textId="77777777" w:rsidR="00BD2F8E" w:rsidRDefault="00BD2F8E" w:rsidP="00294869">
      <w:pPr>
        <w:rPr>
          <w:bCs/>
          <w:sz w:val="8"/>
          <w:szCs w:val="8"/>
          <w:lang w:eastAsia="lv-LV"/>
        </w:rPr>
      </w:pPr>
    </w:p>
    <w:p w14:paraId="1F9A058E" w14:textId="77777777" w:rsidR="003B6745" w:rsidRDefault="003B6745" w:rsidP="00294869">
      <w:pPr>
        <w:rPr>
          <w:bCs/>
          <w:sz w:val="24"/>
          <w:szCs w:val="24"/>
          <w:lang w:eastAsia="lv-LV"/>
        </w:rPr>
      </w:pPr>
    </w:p>
    <w:p w14:paraId="5462AAD5" w14:textId="77777777" w:rsidR="003B6745" w:rsidRDefault="003B6745" w:rsidP="00294869">
      <w:pPr>
        <w:rPr>
          <w:bCs/>
          <w:sz w:val="24"/>
          <w:szCs w:val="24"/>
          <w:lang w:eastAsia="lv-LV"/>
        </w:rPr>
      </w:pPr>
    </w:p>
    <w:p w14:paraId="76D61E62" w14:textId="6F98CFA4" w:rsidR="00294869" w:rsidRPr="002333D4" w:rsidRDefault="00294869" w:rsidP="00294869">
      <w:pPr>
        <w:rPr>
          <w:bCs/>
          <w:sz w:val="24"/>
          <w:szCs w:val="24"/>
          <w:lang w:eastAsia="lv-LV"/>
        </w:rPr>
      </w:pPr>
      <w:r w:rsidRPr="002333D4">
        <w:rPr>
          <w:bCs/>
          <w:sz w:val="24"/>
          <w:szCs w:val="24"/>
          <w:lang w:eastAsia="lv-LV"/>
        </w:rPr>
        <w:t xml:space="preserve">Vīza: </w:t>
      </w:r>
    </w:p>
    <w:p w14:paraId="0F588EB0" w14:textId="172A368D" w:rsidR="00294869" w:rsidRDefault="00294869" w:rsidP="00294869">
      <w:pPr>
        <w:tabs>
          <w:tab w:val="left" w:pos="8222"/>
        </w:tabs>
        <w:rPr>
          <w:sz w:val="24"/>
          <w:szCs w:val="24"/>
        </w:rPr>
      </w:pPr>
      <w:r w:rsidRPr="002333D4">
        <w:rPr>
          <w:sz w:val="24"/>
          <w:szCs w:val="24"/>
        </w:rPr>
        <w:t>Ekonomik</w:t>
      </w:r>
      <w:r w:rsidR="00463E44">
        <w:rPr>
          <w:sz w:val="24"/>
          <w:szCs w:val="24"/>
        </w:rPr>
        <w:t xml:space="preserve">as ministrijas valsts sekretārs                                                                 </w:t>
      </w:r>
      <w:r w:rsidRPr="002333D4">
        <w:rPr>
          <w:sz w:val="24"/>
          <w:szCs w:val="24"/>
        </w:rPr>
        <w:t>J.</w:t>
      </w:r>
      <w:r w:rsidR="00463E44">
        <w:rPr>
          <w:sz w:val="24"/>
          <w:szCs w:val="24"/>
        </w:rPr>
        <w:t> </w:t>
      </w:r>
      <w:r w:rsidRPr="002333D4">
        <w:rPr>
          <w:sz w:val="24"/>
          <w:szCs w:val="24"/>
        </w:rPr>
        <w:t>Stinka</w:t>
      </w:r>
    </w:p>
    <w:p w14:paraId="5366BDCB" w14:textId="3492F8B5" w:rsidR="00FC287C" w:rsidRDefault="00FC287C" w:rsidP="00294869">
      <w:pPr>
        <w:rPr>
          <w:sz w:val="18"/>
        </w:rPr>
      </w:pPr>
    </w:p>
    <w:p w14:paraId="055BF6EC" w14:textId="3E672C34" w:rsidR="003B6745" w:rsidRDefault="003B6745" w:rsidP="00294869">
      <w:pPr>
        <w:rPr>
          <w:sz w:val="18"/>
        </w:rPr>
      </w:pPr>
    </w:p>
    <w:p w14:paraId="1717AF7E" w14:textId="07102F34" w:rsidR="003B6745" w:rsidRDefault="003B6745" w:rsidP="00294869">
      <w:pPr>
        <w:rPr>
          <w:sz w:val="18"/>
        </w:rPr>
      </w:pPr>
    </w:p>
    <w:p w14:paraId="12EF9710" w14:textId="77777777" w:rsidR="003B6745" w:rsidRDefault="003B6745" w:rsidP="00294869">
      <w:pPr>
        <w:rPr>
          <w:sz w:val="18"/>
        </w:rPr>
      </w:pPr>
    </w:p>
    <w:p w14:paraId="12E7546F" w14:textId="3279766C" w:rsidR="003B6745" w:rsidRDefault="003B6745" w:rsidP="00294869">
      <w:pPr>
        <w:rPr>
          <w:sz w:val="18"/>
        </w:rPr>
      </w:pPr>
    </w:p>
    <w:p w14:paraId="78C0E98B" w14:textId="2BFACD89" w:rsidR="00463E44" w:rsidRDefault="00463E44" w:rsidP="00294869">
      <w:pPr>
        <w:rPr>
          <w:sz w:val="18"/>
        </w:rPr>
      </w:pPr>
    </w:p>
    <w:p w14:paraId="4FABC747" w14:textId="52FD8C55" w:rsidR="00463E44" w:rsidRDefault="00463E44" w:rsidP="00294869">
      <w:pPr>
        <w:rPr>
          <w:sz w:val="18"/>
        </w:rPr>
      </w:pPr>
    </w:p>
    <w:p w14:paraId="63FD7EDB" w14:textId="0FB2FA0C" w:rsidR="00463E44" w:rsidRDefault="00463E44" w:rsidP="00294869">
      <w:pPr>
        <w:rPr>
          <w:sz w:val="18"/>
        </w:rPr>
      </w:pPr>
    </w:p>
    <w:p w14:paraId="602F48D8" w14:textId="1EA56C73" w:rsidR="00463E44" w:rsidRDefault="00463E44" w:rsidP="00294869">
      <w:pPr>
        <w:rPr>
          <w:sz w:val="18"/>
        </w:rPr>
      </w:pPr>
    </w:p>
    <w:p w14:paraId="4B3E4421" w14:textId="59B9DF30" w:rsidR="00463E44" w:rsidRDefault="00463E44" w:rsidP="00294869">
      <w:pPr>
        <w:rPr>
          <w:sz w:val="18"/>
        </w:rPr>
      </w:pPr>
    </w:p>
    <w:p w14:paraId="4AB41445" w14:textId="17370B49" w:rsidR="00463E44" w:rsidRDefault="00463E44" w:rsidP="00294869">
      <w:pPr>
        <w:rPr>
          <w:sz w:val="18"/>
        </w:rPr>
      </w:pPr>
    </w:p>
    <w:p w14:paraId="35B8B521" w14:textId="0C7073A7" w:rsidR="00463E44" w:rsidRDefault="00463E44" w:rsidP="00294869">
      <w:pPr>
        <w:rPr>
          <w:sz w:val="18"/>
        </w:rPr>
      </w:pPr>
    </w:p>
    <w:p w14:paraId="5111912D" w14:textId="07B3B4B8" w:rsidR="00463E44" w:rsidRDefault="00463E44" w:rsidP="00294869">
      <w:pPr>
        <w:rPr>
          <w:sz w:val="18"/>
        </w:rPr>
      </w:pPr>
    </w:p>
    <w:p w14:paraId="1428A9DF" w14:textId="25D4BE10" w:rsidR="00463E44" w:rsidRDefault="00463E44" w:rsidP="00294869">
      <w:pPr>
        <w:rPr>
          <w:sz w:val="18"/>
        </w:rPr>
      </w:pPr>
    </w:p>
    <w:p w14:paraId="6D8C2D4C" w14:textId="1D1B1DD6" w:rsidR="00463E44" w:rsidRDefault="00463E44" w:rsidP="00294869">
      <w:pPr>
        <w:rPr>
          <w:sz w:val="18"/>
        </w:rPr>
      </w:pPr>
    </w:p>
    <w:p w14:paraId="34545C01" w14:textId="2FF02801" w:rsidR="00463E44" w:rsidRDefault="00463E44" w:rsidP="00294869">
      <w:pPr>
        <w:rPr>
          <w:sz w:val="18"/>
        </w:rPr>
      </w:pPr>
    </w:p>
    <w:p w14:paraId="2B3B7E50" w14:textId="518908DF" w:rsidR="00463E44" w:rsidRDefault="00463E44" w:rsidP="00294869">
      <w:pPr>
        <w:rPr>
          <w:sz w:val="18"/>
        </w:rPr>
      </w:pPr>
    </w:p>
    <w:p w14:paraId="11262BF4" w14:textId="0710A96E" w:rsidR="00463E44" w:rsidRDefault="00463E44" w:rsidP="00294869">
      <w:pPr>
        <w:rPr>
          <w:sz w:val="18"/>
        </w:rPr>
      </w:pPr>
    </w:p>
    <w:p w14:paraId="3FC6B707" w14:textId="4C697E30" w:rsidR="00463E44" w:rsidRDefault="00463E44" w:rsidP="00294869">
      <w:pPr>
        <w:rPr>
          <w:sz w:val="18"/>
        </w:rPr>
      </w:pPr>
    </w:p>
    <w:p w14:paraId="1E3EF475" w14:textId="17909A43" w:rsidR="00463E44" w:rsidRDefault="00BF5222" w:rsidP="00294869">
      <w:pPr>
        <w:rPr>
          <w:sz w:val="14"/>
          <w:szCs w:val="14"/>
        </w:rPr>
      </w:pPr>
      <w:r>
        <w:rPr>
          <w:sz w:val="14"/>
          <w:szCs w:val="14"/>
        </w:rPr>
        <w:fldChar w:fldCharType="begin"/>
      </w:r>
      <w:r>
        <w:rPr>
          <w:sz w:val="14"/>
          <w:szCs w:val="14"/>
        </w:rPr>
        <w:instrText xml:space="preserve"> DATE  \@ "dd.MM.yyyy HH:mm"  \* MERGEFORMAT </w:instrText>
      </w:r>
      <w:r>
        <w:rPr>
          <w:sz w:val="14"/>
          <w:szCs w:val="14"/>
        </w:rPr>
        <w:fldChar w:fldCharType="separate"/>
      </w:r>
      <w:r w:rsidR="00A92927">
        <w:rPr>
          <w:noProof/>
          <w:sz w:val="14"/>
          <w:szCs w:val="14"/>
        </w:rPr>
        <w:t>18.12.2017 10:38</w:t>
      </w:r>
      <w:r>
        <w:rPr>
          <w:sz w:val="14"/>
          <w:szCs w:val="14"/>
        </w:rPr>
        <w:fldChar w:fldCharType="end"/>
      </w:r>
    </w:p>
    <w:p w14:paraId="46FC91D3" w14:textId="0873C6A9" w:rsidR="0098537B" w:rsidRPr="0098537B" w:rsidRDefault="00463E44" w:rsidP="00294869">
      <w:pPr>
        <w:rPr>
          <w:sz w:val="14"/>
          <w:szCs w:val="14"/>
        </w:rPr>
      </w:pPr>
      <w:r>
        <w:rPr>
          <w:sz w:val="14"/>
          <w:szCs w:val="14"/>
        </w:rPr>
        <w:fldChar w:fldCharType="begin"/>
      </w:r>
      <w:r>
        <w:rPr>
          <w:sz w:val="14"/>
          <w:szCs w:val="14"/>
        </w:rPr>
        <w:instrText xml:space="preserve"> NUMWORDS   \* MERGEFORMAT </w:instrText>
      </w:r>
      <w:r>
        <w:rPr>
          <w:sz w:val="14"/>
          <w:szCs w:val="14"/>
        </w:rPr>
        <w:fldChar w:fldCharType="separate"/>
      </w:r>
      <w:r w:rsidR="00A92927">
        <w:rPr>
          <w:noProof/>
          <w:sz w:val="14"/>
          <w:szCs w:val="14"/>
        </w:rPr>
        <w:t>7687</w:t>
      </w:r>
      <w:r>
        <w:rPr>
          <w:sz w:val="14"/>
          <w:szCs w:val="14"/>
        </w:rPr>
        <w:fldChar w:fldCharType="end"/>
      </w:r>
      <w:r w:rsidR="0098537B" w:rsidRPr="0098537B">
        <w:rPr>
          <w:sz w:val="14"/>
          <w:szCs w:val="14"/>
        </w:rPr>
        <w:fldChar w:fldCharType="begin"/>
      </w:r>
      <w:r w:rsidR="0098537B" w:rsidRPr="0098537B">
        <w:rPr>
          <w:sz w:val="14"/>
          <w:szCs w:val="14"/>
        </w:rPr>
        <w:instrText xml:space="preserve"> CREATEDATE   \* MERGEFORMAT </w:instrText>
      </w:r>
      <w:r w:rsidR="0098537B" w:rsidRPr="0098537B">
        <w:rPr>
          <w:sz w:val="14"/>
          <w:szCs w:val="14"/>
        </w:rPr>
        <w:fldChar w:fldCharType="end"/>
      </w:r>
    </w:p>
    <w:p w14:paraId="6273189A" w14:textId="2F8BB7C9" w:rsidR="00294869" w:rsidRPr="00F22662" w:rsidRDefault="00E12972" w:rsidP="00294869">
      <w:pPr>
        <w:rPr>
          <w:sz w:val="14"/>
        </w:rPr>
      </w:pPr>
      <w:r>
        <w:rPr>
          <w:sz w:val="14"/>
        </w:rPr>
        <w:t>Lūka</w:t>
      </w:r>
      <w:r w:rsidR="00294869" w:rsidRPr="00F22662">
        <w:rPr>
          <w:sz w:val="14"/>
        </w:rPr>
        <w:t xml:space="preserve"> 67013</w:t>
      </w:r>
      <w:r>
        <w:rPr>
          <w:sz w:val="14"/>
        </w:rPr>
        <w:t>256</w:t>
      </w:r>
    </w:p>
    <w:p w14:paraId="7483BAB0" w14:textId="6B5DA73A" w:rsidR="006D7288" w:rsidRPr="00F22662" w:rsidRDefault="00A92927" w:rsidP="007241E6">
      <w:pPr>
        <w:pStyle w:val="Footer"/>
        <w:rPr>
          <w:sz w:val="20"/>
          <w:szCs w:val="24"/>
        </w:rPr>
      </w:pPr>
      <w:hyperlink r:id="rId28" w:history="1">
        <w:r w:rsidR="00E12972" w:rsidRPr="00151E34">
          <w:rPr>
            <w:rStyle w:val="Hyperlink"/>
            <w:rFonts w:ascii="Times New Roman" w:hAnsi="Times New Roman" w:cs="Times New Roman"/>
            <w:sz w:val="14"/>
          </w:rPr>
          <w:t>Madara.Luka@em.gov.lv</w:t>
        </w:r>
      </w:hyperlink>
      <w:bookmarkEnd w:id="10"/>
    </w:p>
    <w:sectPr w:rsidR="006D7288" w:rsidRPr="00F22662" w:rsidSect="00FA718D">
      <w:headerReference w:type="default" r:id="rId29"/>
      <w:footerReference w:type="default" r:id="rId30"/>
      <w:pgSz w:w="11906" w:h="16838" w:code="9"/>
      <w:pgMar w:top="1134" w:right="707" w:bottom="993" w:left="1418" w:header="426" w:footer="456"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063C3" w14:textId="77777777" w:rsidR="006D07B4" w:rsidRDefault="006D07B4" w:rsidP="0083233C">
      <w:r>
        <w:separator/>
      </w:r>
    </w:p>
  </w:endnote>
  <w:endnote w:type="continuationSeparator" w:id="0">
    <w:p w14:paraId="0C0659C7" w14:textId="77777777" w:rsidR="006D07B4" w:rsidRDefault="006D07B4" w:rsidP="00832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onsolas">
    <w:panose1 w:val="020B0609020204030204"/>
    <w:charset w:val="BA"/>
    <w:family w:val="modern"/>
    <w:pitch w:val="fixed"/>
    <w:sig w:usb0="E10002FF" w:usb1="4000FCFF" w:usb2="00000009" w:usb3="00000000" w:csb0="0000019F" w:csb1="00000000"/>
  </w:font>
  <w:font w:name="Calibri Light">
    <w:panose1 w:val="020F0302020204030204"/>
    <w:charset w:val="BA"/>
    <w:family w:val="swiss"/>
    <w:pitch w:val="variable"/>
    <w:sig w:usb0="A00002EF" w:usb1="4000207B" w:usb2="00000000" w:usb3="00000000" w:csb0="0000019F" w:csb1="00000000"/>
  </w:font>
  <w:font w:name="12">
    <w:altName w:val="Times New Roman"/>
    <w:panose1 w:val="00000000000000000000"/>
    <w:charset w:val="00"/>
    <w:family w:val="roman"/>
    <w:notTrueType/>
    <w:pitch w:val="default"/>
  </w:font>
  <w:font w:name="Candara">
    <w:panose1 w:val="020E0502030303020204"/>
    <w:charset w:val="BA"/>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EADF5" w14:textId="5A9A465E" w:rsidR="001453AE" w:rsidRPr="00A92927" w:rsidRDefault="00A92927" w:rsidP="00A92927">
    <w:pPr>
      <w:pStyle w:val="Footer"/>
    </w:pPr>
    <w:r w:rsidRPr="00A92927">
      <w:rPr>
        <w:rFonts w:ascii="Times New Roman" w:hAnsi="Times New Roman" w:cs="Times New Roman"/>
        <w:sz w:val="20"/>
      </w:rPr>
      <w:t>EMZin_181217_TUR_pamn_novert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F1CF38" w14:textId="77777777" w:rsidR="006D07B4" w:rsidRDefault="006D07B4" w:rsidP="0083233C">
      <w:r>
        <w:separator/>
      </w:r>
    </w:p>
  </w:footnote>
  <w:footnote w:type="continuationSeparator" w:id="0">
    <w:p w14:paraId="67D1163B" w14:textId="77777777" w:rsidR="006D07B4" w:rsidRDefault="006D07B4" w:rsidP="0083233C">
      <w:r>
        <w:continuationSeparator/>
      </w:r>
    </w:p>
  </w:footnote>
  <w:footnote w:id="1">
    <w:p w14:paraId="4B9B7F3D" w14:textId="77777777" w:rsidR="001453AE" w:rsidRDefault="001453AE" w:rsidP="00915D57">
      <w:pPr>
        <w:pStyle w:val="FootnoteText"/>
      </w:pPr>
      <w:r>
        <w:rPr>
          <w:rStyle w:val="FootnoteReference"/>
        </w:rPr>
        <w:footnoteRef/>
      </w:r>
      <w:r>
        <w:t xml:space="preserve"> Novērtējums </w:t>
      </w:r>
      <w:r>
        <w:rPr>
          <w:i/>
        </w:rPr>
        <w:t>italic</w:t>
      </w:r>
    </w:p>
  </w:footnote>
  <w:footnote w:id="2">
    <w:p w14:paraId="276D317C" w14:textId="6B12C742" w:rsidR="001453AE" w:rsidRDefault="001453AE" w:rsidP="00915D57">
      <w:pPr>
        <w:pStyle w:val="FootnoteText"/>
      </w:pPr>
      <w:r>
        <w:rPr>
          <w:rStyle w:val="FootnoteReference"/>
        </w:rPr>
        <w:footnoteRef/>
      </w:r>
      <w:r>
        <w:t xml:space="preserve"> pēc maksājumu bilances datiem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8"/>
        <w:szCs w:val="18"/>
      </w:rPr>
      <w:id w:val="-994487796"/>
      <w:docPartObj>
        <w:docPartGallery w:val="Page Numbers (Top of Page)"/>
        <w:docPartUnique/>
      </w:docPartObj>
    </w:sdtPr>
    <w:sdtEndPr>
      <w:rPr>
        <w:noProof/>
        <w:sz w:val="20"/>
      </w:rPr>
    </w:sdtEndPr>
    <w:sdtContent>
      <w:p w14:paraId="446E2CED" w14:textId="0CF5C25E" w:rsidR="001453AE" w:rsidRPr="00D46FBB" w:rsidRDefault="001453AE" w:rsidP="00DF336B">
        <w:pPr>
          <w:pStyle w:val="Header"/>
          <w:jc w:val="right"/>
          <w:rPr>
            <w:rFonts w:ascii="Times New Roman" w:hAnsi="Times New Roman" w:cs="Times New Roman"/>
            <w:sz w:val="20"/>
            <w:szCs w:val="18"/>
          </w:rPr>
        </w:pPr>
        <w:r w:rsidRPr="00D46FBB">
          <w:rPr>
            <w:rFonts w:ascii="Times New Roman" w:hAnsi="Times New Roman" w:cs="Times New Roman"/>
            <w:sz w:val="20"/>
            <w:szCs w:val="18"/>
          </w:rPr>
          <w:fldChar w:fldCharType="begin"/>
        </w:r>
        <w:r w:rsidRPr="00D46FBB">
          <w:rPr>
            <w:rFonts w:ascii="Times New Roman" w:hAnsi="Times New Roman" w:cs="Times New Roman"/>
            <w:sz w:val="20"/>
            <w:szCs w:val="18"/>
          </w:rPr>
          <w:instrText xml:space="preserve"> PAGE   \* MERGEFORMAT </w:instrText>
        </w:r>
        <w:r w:rsidRPr="00D46FBB">
          <w:rPr>
            <w:rFonts w:ascii="Times New Roman" w:hAnsi="Times New Roman" w:cs="Times New Roman"/>
            <w:sz w:val="20"/>
            <w:szCs w:val="18"/>
          </w:rPr>
          <w:fldChar w:fldCharType="separate"/>
        </w:r>
        <w:r w:rsidR="00A92927">
          <w:rPr>
            <w:rFonts w:ascii="Times New Roman" w:hAnsi="Times New Roman" w:cs="Times New Roman"/>
            <w:noProof/>
            <w:sz w:val="20"/>
            <w:szCs w:val="18"/>
          </w:rPr>
          <w:t>26</w:t>
        </w:r>
        <w:r w:rsidRPr="00D46FBB">
          <w:rPr>
            <w:rFonts w:ascii="Times New Roman" w:hAnsi="Times New Roman" w:cs="Times New Roman"/>
            <w:noProof/>
            <w:sz w:val="20"/>
            <w:szCs w:val="1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648A"/>
    <w:multiLevelType w:val="hybridMultilevel"/>
    <w:tmpl w:val="82208096"/>
    <w:lvl w:ilvl="0" w:tplc="1D9C310E">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36C7B08"/>
    <w:multiLevelType w:val="multilevel"/>
    <w:tmpl w:val="53541F1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51B1E4E"/>
    <w:multiLevelType w:val="hybridMultilevel"/>
    <w:tmpl w:val="FBC41EC4"/>
    <w:lvl w:ilvl="0" w:tplc="926EF072">
      <w:start w:val="1"/>
      <w:numFmt w:val="decimal"/>
      <w:lvlText w:val="%1."/>
      <w:lvlJc w:val="left"/>
      <w:pPr>
        <w:ind w:left="1146"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3" w15:restartNumberingAfterBreak="0">
    <w:nsid w:val="0BD75F09"/>
    <w:multiLevelType w:val="hybridMultilevel"/>
    <w:tmpl w:val="F0B0330E"/>
    <w:lvl w:ilvl="0" w:tplc="E03CEAA8">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0DB61EFB"/>
    <w:multiLevelType w:val="hybridMultilevel"/>
    <w:tmpl w:val="BD4C9892"/>
    <w:lvl w:ilvl="0" w:tplc="DA48AB0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0CC2362"/>
    <w:multiLevelType w:val="hybridMultilevel"/>
    <w:tmpl w:val="1F78A5D0"/>
    <w:lvl w:ilvl="0" w:tplc="9650F52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6" w15:restartNumberingAfterBreak="0">
    <w:nsid w:val="12C41B57"/>
    <w:multiLevelType w:val="hybridMultilevel"/>
    <w:tmpl w:val="FF6430A2"/>
    <w:lvl w:ilvl="0" w:tplc="0426000F">
      <w:start w:val="1"/>
      <w:numFmt w:val="decimal"/>
      <w:lvlText w:val="%1."/>
      <w:lvlJc w:val="left"/>
      <w:pPr>
        <w:ind w:left="1996" w:hanging="360"/>
      </w:pPr>
    </w:lvl>
    <w:lvl w:ilvl="1" w:tplc="04260019" w:tentative="1">
      <w:start w:val="1"/>
      <w:numFmt w:val="lowerLetter"/>
      <w:lvlText w:val="%2."/>
      <w:lvlJc w:val="left"/>
      <w:pPr>
        <w:ind w:left="2716" w:hanging="360"/>
      </w:pPr>
    </w:lvl>
    <w:lvl w:ilvl="2" w:tplc="0426001B" w:tentative="1">
      <w:start w:val="1"/>
      <w:numFmt w:val="lowerRoman"/>
      <w:lvlText w:val="%3."/>
      <w:lvlJc w:val="right"/>
      <w:pPr>
        <w:ind w:left="3436" w:hanging="180"/>
      </w:pPr>
    </w:lvl>
    <w:lvl w:ilvl="3" w:tplc="0426000F" w:tentative="1">
      <w:start w:val="1"/>
      <w:numFmt w:val="decimal"/>
      <w:lvlText w:val="%4."/>
      <w:lvlJc w:val="left"/>
      <w:pPr>
        <w:ind w:left="4156" w:hanging="360"/>
      </w:pPr>
    </w:lvl>
    <w:lvl w:ilvl="4" w:tplc="04260019" w:tentative="1">
      <w:start w:val="1"/>
      <w:numFmt w:val="lowerLetter"/>
      <w:lvlText w:val="%5."/>
      <w:lvlJc w:val="left"/>
      <w:pPr>
        <w:ind w:left="4876" w:hanging="360"/>
      </w:pPr>
    </w:lvl>
    <w:lvl w:ilvl="5" w:tplc="0426001B" w:tentative="1">
      <w:start w:val="1"/>
      <w:numFmt w:val="lowerRoman"/>
      <w:lvlText w:val="%6."/>
      <w:lvlJc w:val="right"/>
      <w:pPr>
        <w:ind w:left="5596" w:hanging="180"/>
      </w:pPr>
    </w:lvl>
    <w:lvl w:ilvl="6" w:tplc="0426000F" w:tentative="1">
      <w:start w:val="1"/>
      <w:numFmt w:val="decimal"/>
      <w:lvlText w:val="%7."/>
      <w:lvlJc w:val="left"/>
      <w:pPr>
        <w:ind w:left="6316" w:hanging="360"/>
      </w:pPr>
    </w:lvl>
    <w:lvl w:ilvl="7" w:tplc="04260019" w:tentative="1">
      <w:start w:val="1"/>
      <w:numFmt w:val="lowerLetter"/>
      <w:lvlText w:val="%8."/>
      <w:lvlJc w:val="left"/>
      <w:pPr>
        <w:ind w:left="7036" w:hanging="360"/>
      </w:pPr>
    </w:lvl>
    <w:lvl w:ilvl="8" w:tplc="0426001B" w:tentative="1">
      <w:start w:val="1"/>
      <w:numFmt w:val="lowerRoman"/>
      <w:lvlText w:val="%9."/>
      <w:lvlJc w:val="right"/>
      <w:pPr>
        <w:ind w:left="7756" w:hanging="180"/>
      </w:pPr>
    </w:lvl>
  </w:abstractNum>
  <w:abstractNum w:abstractNumId="7" w15:restartNumberingAfterBreak="0">
    <w:nsid w:val="12FE3D75"/>
    <w:multiLevelType w:val="hybridMultilevel"/>
    <w:tmpl w:val="C652DD02"/>
    <w:lvl w:ilvl="0" w:tplc="0426000B">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15:restartNumberingAfterBreak="0">
    <w:nsid w:val="16416676"/>
    <w:multiLevelType w:val="hybridMultilevel"/>
    <w:tmpl w:val="17DCD07C"/>
    <w:lvl w:ilvl="0" w:tplc="2EF6EFD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83B5459"/>
    <w:multiLevelType w:val="multilevel"/>
    <w:tmpl w:val="5B7282CE"/>
    <w:lvl w:ilvl="0">
      <w:start w:val="1"/>
      <w:numFmt w:val="decimal"/>
      <w:lvlText w:val="%1."/>
      <w:lvlJc w:val="left"/>
      <w:pPr>
        <w:ind w:left="1080" w:hanging="360"/>
      </w:pPr>
      <w:rPr>
        <w:rFonts w:hint="default"/>
      </w:rPr>
    </w:lvl>
    <w:lvl w:ilvl="1">
      <w:start w:val="1"/>
      <w:numFmt w:val="decimal"/>
      <w:isLgl/>
      <w:lvlText w:val="%1.%2."/>
      <w:lvlJc w:val="left"/>
      <w:pPr>
        <w:ind w:left="1136" w:hanging="360"/>
      </w:pPr>
      <w:rPr>
        <w:rFonts w:hint="default"/>
      </w:rPr>
    </w:lvl>
    <w:lvl w:ilvl="2">
      <w:start w:val="1"/>
      <w:numFmt w:val="decimal"/>
      <w:isLgl/>
      <w:lvlText w:val="%1.%2.%3."/>
      <w:lvlJc w:val="left"/>
      <w:pPr>
        <w:ind w:left="1552" w:hanging="720"/>
      </w:pPr>
      <w:rPr>
        <w:rFonts w:hint="default"/>
      </w:rPr>
    </w:lvl>
    <w:lvl w:ilvl="3">
      <w:start w:val="1"/>
      <w:numFmt w:val="decimal"/>
      <w:isLgl/>
      <w:lvlText w:val="%1.%2.%3.%4."/>
      <w:lvlJc w:val="left"/>
      <w:pPr>
        <w:ind w:left="1608" w:hanging="720"/>
      </w:pPr>
      <w:rPr>
        <w:rFonts w:hint="default"/>
      </w:rPr>
    </w:lvl>
    <w:lvl w:ilvl="4">
      <w:start w:val="1"/>
      <w:numFmt w:val="decimal"/>
      <w:isLgl/>
      <w:lvlText w:val="%1.%2.%3.%4.%5."/>
      <w:lvlJc w:val="left"/>
      <w:pPr>
        <w:ind w:left="2024" w:hanging="1080"/>
      </w:pPr>
      <w:rPr>
        <w:rFonts w:hint="default"/>
      </w:rPr>
    </w:lvl>
    <w:lvl w:ilvl="5">
      <w:start w:val="1"/>
      <w:numFmt w:val="decimal"/>
      <w:isLgl/>
      <w:lvlText w:val="%1.%2.%3.%4.%5.%6."/>
      <w:lvlJc w:val="left"/>
      <w:pPr>
        <w:ind w:left="2080" w:hanging="1080"/>
      </w:pPr>
      <w:rPr>
        <w:rFonts w:hint="default"/>
      </w:rPr>
    </w:lvl>
    <w:lvl w:ilvl="6">
      <w:start w:val="1"/>
      <w:numFmt w:val="decimal"/>
      <w:isLgl/>
      <w:lvlText w:val="%1.%2.%3.%4.%5.%6.%7."/>
      <w:lvlJc w:val="left"/>
      <w:pPr>
        <w:ind w:left="2496" w:hanging="1440"/>
      </w:pPr>
      <w:rPr>
        <w:rFonts w:hint="default"/>
      </w:rPr>
    </w:lvl>
    <w:lvl w:ilvl="7">
      <w:start w:val="1"/>
      <w:numFmt w:val="decimal"/>
      <w:isLgl/>
      <w:lvlText w:val="%1.%2.%3.%4.%5.%6.%7.%8."/>
      <w:lvlJc w:val="left"/>
      <w:pPr>
        <w:ind w:left="2552" w:hanging="1440"/>
      </w:pPr>
      <w:rPr>
        <w:rFonts w:hint="default"/>
      </w:rPr>
    </w:lvl>
    <w:lvl w:ilvl="8">
      <w:start w:val="1"/>
      <w:numFmt w:val="decimal"/>
      <w:isLgl/>
      <w:lvlText w:val="%1.%2.%3.%4.%5.%6.%7.%8.%9."/>
      <w:lvlJc w:val="left"/>
      <w:pPr>
        <w:ind w:left="2968" w:hanging="1800"/>
      </w:pPr>
      <w:rPr>
        <w:rFonts w:hint="default"/>
      </w:rPr>
    </w:lvl>
  </w:abstractNum>
  <w:abstractNum w:abstractNumId="10" w15:restartNumberingAfterBreak="0">
    <w:nsid w:val="19AF7E5D"/>
    <w:multiLevelType w:val="hybridMultilevel"/>
    <w:tmpl w:val="843A38E2"/>
    <w:lvl w:ilvl="0" w:tplc="54BE58C2">
      <w:start w:val="1"/>
      <w:numFmt w:val="decimal"/>
      <w:lvlText w:val="%1."/>
      <w:lvlJc w:val="left"/>
      <w:pPr>
        <w:ind w:left="1146"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1" w15:restartNumberingAfterBreak="0">
    <w:nsid w:val="19EA4F4B"/>
    <w:multiLevelType w:val="multilevel"/>
    <w:tmpl w:val="65CA908C"/>
    <w:lvl w:ilvl="0">
      <w:start w:val="5"/>
      <w:numFmt w:val="decimal"/>
      <w:lvlText w:val="%1."/>
      <w:lvlJc w:val="left"/>
      <w:pPr>
        <w:ind w:left="360" w:hanging="360"/>
      </w:pPr>
      <w:rPr>
        <w:rFonts w:hint="default"/>
      </w:rPr>
    </w:lvl>
    <w:lvl w:ilvl="1">
      <w:start w:val="1"/>
      <w:numFmt w:val="decimal"/>
      <w:lvlText w:val="%1.%2."/>
      <w:lvlJc w:val="left"/>
      <w:pPr>
        <w:ind w:left="1496" w:hanging="360"/>
      </w:pPr>
      <w:rPr>
        <w:rFonts w:hint="default"/>
      </w:rPr>
    </w:lvl>
    <w:lvl w:ilvl="2">
      <w:start w:val="1"/>
      <w:numFmt w:val="decimal"/>
      <w:lvlText w:val="%1.%2.%3."/>
      <w:lvlJc w:val="left"/>
      <w:pPr>
        <w:ind w:left="2992" w:hanging="720"/>
      </w:pPr>
      <w:rPr>
        <w:rFonts w:hint="default"/>
      </w:rPr>
    </w:lvl>
    <w:lvl w:ilvl="3">
      <w:start w:val="1"/>
      <w:numFmt w:val="decimal"/>
      <w:lvlText w:val="%1.%2.%3.%4."/>
      <w:lvlJc w:val="left"/>
      <w:pPr>
        <w:ind w:left="4128" w:hanging="720"/>
      </w:pPr>
      <w:rPr>
        <w:rFonts w:hint="default"/>
      </w:rPr>
    </w:lvl>
    <w:lvl w:ilvl="4">
      <w:start w:val="1"/>
      <w:numFmt w:val="decimal"/>
      <w:lvlText w:val="%1.%2.%3.%4.%5."/>
      <w:lvlJc w:val="left"/>
      <w:pPr>
        <w:ind w:left="5624" w:hanging="1080"/>
      </w:pPr>
      <w:rPr>
        <w:rFonts w:hint="default"/>
      </w:rPr>
    </w:lvl>
    <w:lvl w:ilvl="5">
      <w:start w:val="1"/>
      <w:numFmt w:val="decimal"/>
      <w:lvlText w:val="%1.%2.%3.%4.%5.%6."/>
      <w:lvlJc w:val="left"/>
      <w:pPr>
        <w:ind w:left="6760" w:hanging="1080"/>
      </w:pPr>
      <w:rPr>
        <w:rFonts w:hint="default"/>
      </w:rPr>
    </w:lvl>
    <w:lvl w:ilvl="6">
      <w:start w:val="1"/>
      <w:numFmt w:val="decimal"/>
      <w:lvlText w:val="%1.%2.%3.%4.%5.%6.%7."/>
      <w:lvlJc w:val="left"/>
      <w:pPr>
        <w:ind w:left="8256" w:hanging="1440"/>
      </w:pPr>
      <w:rPr>
        <w:rFonts w:hint="default"/>
      </w:rPr>
    </w:lvl>
    <w:lvl w:ilvl="7">
      <w:start w:val="1"/>
      <w:numFmt w:val="decimal"/>
      <w:lvlText w:val="%1.%2.%3.%4.%5.%6.%7.%8."/>
      <w:lvlJc w:val="left"/>
      <w:pPr>
        <w:ind w:left="9392" w:hanging="1440"/>
      </w:pPr>
      <w:rPr>
        <w:rFonts w:hint="default"/>
      </w:rPr>
    </w:lvl>
    <w:lvl w:ilvl="8">
      <w:start w:val="1"/>
      <w:numFmt w:val="decimal"/>
      <w:lvlText w:val="%1.%2.%3.%4.%5.%6.%7.%8.%9."/>
      <w:lvlJc w:val="left"/>
      <w:pPr>
        <w:ind w:left="10888" w:hanging="1800"/>
      </w:pPr>
      <w:rPr>
        <w:rFonts w:hint="default"/>
      </w:rPr>
    </w:lvl>
  </w:abstractNum>
  <w:abstractNum w:abstractNumId="12" w15:restartNumberingAfterBreak="0">
    <w:nsid w:val="25A15174"/>
    <w:multiLevelType w:val="hybridMultilevel"/>
    <w:tmpl w:val="8FFAF46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268856FB"/>
    <w:multiLevelType w:val="hybridMultilevel"/>
    <w:tmpl w:val="4474AB74"/>
    <w:lvl w:ilvl="0" w:tplc="B3BA5C88">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4" w15:restartNumberingAfterBreak="0">
    <w:nsid w:val="29C40A9D"/>
    <w:multiLevelType w:val="hybridMultilevel"/>
    <w:tmpl w:val="B61AB8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1A83E72"/>
    <w:multiLevelType w:val="hybridMultilevel"/>
    <w:tmpl w:val="9E187D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6493DFF"/>
    <w:multiLevelType w:val="hybridMultilevel"/>
    <w:tmpl w:val="38D222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7D34FD4"/>
    <w:multiLevelType w:val="hybridMultilevel"/>
    <w:tmpl w:val="79AAD4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4EA145D"/>
    <w:multiLevelType w:val="multilevel"/>
    <w:tmpl w:val="D2B4F3A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4F76A0A"/>
    <w:multiLevelType w:val="hybridMultilevel"/>
    <w:tmpl w:val="577A52E6"/>
    <w:lvl w:ilvl="0" w:tplc="32E87192">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0" w15:restartNumberingAfterBreak="0">
    <w:nsid w:val="47ED16EC"/>
    <w:multiLevelType w:val="hybridMultilevel"/>
    <w:tmpl w:val="35A43B42"/>
    <w:lvl w:ilvl="0" w:tplc="04260001">
      <w:start w:val="1"/>
      <w:numFmt w:val="bullet"/>
      <w:lvlText w:val=""/>
      <w:lvlJc w:val="left"/>
      <w:pPr>
        <w:ind w:left="1136" w:hanging="360"/>
      </w:pPr>
      <w:rPr>
        <w:rFonts w:ascii="Symbol" w:hAnsi="Symbol" w:hint="default"/>
      </w:rPr>
    </w:lvl>
    <w:lvl w:ilvl="1" w:tplc="04260003" w:tentative="1">
      <w:start w:val="1"/>
      <w:numFmt w:val="bullet"/>
      <w:lvlText w:val="o"/>
      <w:lvlJc w:val="left"/>
      <w:pPr>
        <w:ind w:left="1856" w:hanging="360"/>
      </w:pPr>
      <w:rPr>
        <w:rFonts w:ascii="Courier New" w:hAnsi="Courier New" w:cs="Courier New" w:hint="default"/>
      </w:rPr>
    </w:lvl>
    <w:lvl w:ilvl="2" w:tplc="04260005" w:tentative="1">
      <w:start w:val="1"/>
      <w:numFmt w:val="bullet"/>
      <w:lvlText w:val=""/>
      <w:lvlJc w:val="left"/>
      <w:pPr>
        <w:ind w:left="2576" w:hanging="360"/>
      </w:pPr>
      <w:rPr>
        <w:rFonts w:ascii="Wingdings" w:hAnsi="Wingdings" w:hint="default"/>
      </w:rPr>
    </w:lvl>
    <w:lvl w:ilvl="3" w:tplc="04260001" w:tentative="1">
      <w:start w:val="1"/>
      <w:numFmt w:val="bullet"/>
      <w:lvlText w:val=""/>
      <w:lvlJc w:val="left"/>
      <w:pPr>
        <w:ind w:left="3296" w:hanging="360"/>
      </w:pPr>
      <w:rPr>
        <w:rFonts w:ascii="Symbol" w:hAnsi="Symbol" w:hint="default"/>
      </w:rPr>
    </w:lvl>
    <w:lvl w:ilvl="4" w:tplc="04260003" w:tentative="1">
      <w:start w:val="1"/>
      <w:numFmt w:val="bullet"/>
      <w:lvlText w:val="o"/>
      <w:lvlJc w:val="left"/>
      <w:pPr>
        <w:ind w:left="4016" w:hanging="360"/>
      </w:pPr>
      <w:rPr>
        <w:rFonts w:ascii="Courier New" w:hAnsi="Courier New" w:cs="Courier New" w:hint="default"/>
      </w:rPr>
    </w:lvl>
    <w:lvl w:ilvl="5" w:tplc="04260005" w:tentative="1">
      <w:start w:val="1"/>
      <w:numFmt w:val="bullet"/>
      <w:lvlText w:val=""/>
      <w:lvlJc w:val="left"/>
      <w:pPr>
        <w:ind w:left="4736" w:hanging="360"/>
      </w:pPr>
      <w:rPr>
        <w:rFonts w:ascii="Wingdings" w:hAnsi="Wingdings" w:hint="default"/>
      </w:rPr>
    </w:lvl>
    <w:lvl w:ilvl="6" w:tplc="04260001" w:tentative="1">
      <w:start w:val="1"/>
      <w:numFmt w:val="bullet"/>
      <w:lvlText w:val=""/>
      <w:lvlJc w:val="left"/>
      <w:pPr>
        <w:ind w:left="5456" w:hanging="360"/>
      </w:pPr>
      <w:rPr>
        <w:rFonts w:ascii="Symbol" w:hAnsi="Symbol" w:hint="default"/>
      </w:rPr>
    </w:lvl>
    <w:lvl w:ilvl="7" w:tplc="04260003" w:tentative="1">
      <w:start w:val="1"/>
      <w:numFmt w:val="bullet"/>
      <w:lvlText w:val="o"/>
      <w:lvlJc w:val="left"/>
      <w:pPr>
        <w:ind w:left="6176" w:hanging="360"/>
      </w:pPr>
      <w:rPr>
        <w:rFonts w:ascii="Courier New" w:hAnsi="Courier New" w:cs="Courier New" w:hint="default"/>
      </w:rPr>
    </w:lvl>
    <w:lvl w:ilvl="8" w:tplc="04260005" w:tentative="1">
      <w:start w:val="1"/>
      <w:numFmt w:val="bullet"/>
      <w:lvlText w:val=""/>
      <w:lvlJc w:val="left"/>
      <w:pPr>
        <w:ind w:left="6896" w:hanging="360"/>
      </w:pPr>
      <w:rPr>
        <w:rFonts w:ascii="Wingdings" w:hAnsi="Wingdings" w:hint="default"/>
      </w:rPr>
    </w:lvl>
  </w:abstractNum>
  <w:abstractNum w:abstractNumId="21" w15:restartNumberingAfterBreak="0">
    <w:nsid w:val="483A2EC9"/>
    <w:multiLevelType w:val="hybridMultilevel"/>
    <w:tmpl w:val="2C1A36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C441BF9"/>
    <w:multiLevelType w:val="hybridMultilevel"/>
    <w:tmpl w:val="F1329876"/>
    <w:lvl w:ilvl="0" w:tplc="A4FE0DA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4EA30058"/>
    <w:multiLevelType w:val="hybridMultilevel"/>
    <w:tmpl w:val="1EE2482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5043AE8"/>
    <w:multiLevelType w:val="hybridMultilevel"/>
    <w:tmpl w:val="6B96B7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DB70E49"/>
    <w:multiLevelType w:val="hybridMultilevel"/>
    <w:tmpl w:val="5BDA4A34"/>
    <w:lvl w:ilvl="0" w:tplc="04260001">
      <w:start w:val="1"/>
      <w:numFmt w:val="bullet"/>
      <w:lvlText w:val=""/>
      <w:lvlJc w:val="left"/>
      <w:pPr>
        <w:ind w:left="776" w:hanging="360"/>
      </w:pPr>
      <w:rPr>
        <w:rFonts w:ascii="Symbol" w:hAnsi="Symbol" w:hint="default"/>
      </w:rPr>
    </w:lvl>
    <w:lvl w:ilvl="1" w:tplc="04260003" w:tentative="1">
      <w:start w:val="1"/>
      <w:numFmt w:val="bullet"/>
      <w:lvlText w:val="o"/>
      <w:lvlJc w:val="left"/>
      <w:pPr>
        <w:ind w:left="1496" w:hanging="360"/>
      </w:pPr>
      <w:rPr>
        <w:rFonts w:ascii="Courier New" w:hAnsi="Courier New" w:cs="Courier New" w:hint="default"/>
      </w:rPr>
    </w:lvl>
    <w:lvl w:ilvl="2" w:tplc="04260005" w:tentative="1">
      <w:start w:val="1"/>
      <w:numFmt w:val="bullet"/>
      <w:lvlText w:val=""/>
      <w:lvlJc w:val="left"/>
      <w:pPr>
        <w:ind w:left="2216" w:hanging="360"/>
      </w:pPr>
      <w:rPr>
        <w:rFonts w:ascii="Wingdings" w:hAnsi="Wingdings" w:hint="default"/>
      </w:rPr>
    </w:lvl>
    <w:lvl w:ilvl="3" w:tplc="04260001" w:tentative="1">
      <w:start w:val="1"/>
      <w:numFmt w:val="bullet"/>
      <w:lvlText w:val=""/>
      <w:lvlJc w:val="left"/>
      <w:pPr>
        <w:ind w:left="2936" w:hanging="360"/>
      </w:pPr>
      <w:rPr>
        <w:rFonts w:ascii="Symbol" w:hAnsi="Symbol" w:hint="default"/>
      </w:rPr>
    </w:lvl>
    <w:lvl w:ilvl="4" w:tplc="04260003" w:tentative="1">
      <w:start w:val="1"/>
      <w:numFmt w:val="bullet"/>
      <w:lvlText w:val="o"/>
      <w:lvlJc w:val="left"/>
      <w:pPr>
        <w:ind w:left="3656" w:hanging="360"/>
      </w:pPr>
      <w:rPr>
        <w:rFonts w:ascii="Courier New" w:hAnsi="Courier New" w:cs="Courier New" w:hint="default"/>
      </w:rPr>
    </w:lvl>
    <w:lvl w:ilvl="5" w:tplc="04260005" w:tentative="1">
      <w:start w:val="1"/>
      <w:numFmt w:val="bullet"/>
      <w:lvlText w:val=""/>
      <w:lvlJc w:val="left"/>
      <w:pPr>
        <w:ind w:left="4376" w:hanging="360"/>
      </w:pPr>
      <w:rPr>
        <w:rFonts w:ascii="Wingdings" w:hAnsi="Wingdings" w:hint="default"/>
      </w:rPr>
    </w:lvl>
    <w:lvl w:ilvl="6" w:tplc="04260001" w:tentative="1">
      <w:start w:val="1"/>
      <w:numFmt w:val="bullet"/>
      <w:lvlText w:val=""/>
      <w:lvlJc w:val="left"/>
      <w:pPr>
        <w:ind w:left="5096" w:hanging="360"/>
      </w:pPr>
      <w:rPr>
        <w:rFonts w:ascii="Symbol" w:hAnsi="Symbol" w:hint="default"/>
      </w:rPr>
    </w:lvl>
    <w:lvl w:ilvl="7" w:tplc="04260003" w:tentative="1">
      <w:start w:val="1"/>
      <w:numFmt w:val="bullet"/>
      <w:lvlText w:val="o"/>
      <w:lvlJc w:val="left"/>
      <w:pPr>
        <w:ind w:left="5816" w:hanging="360"/>
      </w:pPr>
      <w:rPr>
        <w:rFonts w:ascii="Courier New" w:hAnsi="Courier New" w:cs="Courier New" w:hint="default"/>
      </w:rPr>
    </w:lvl>
    <w:lvl w:ilvl="8" w:tplc="04260005" w:tentative="1">
      <w:start w:val="1"/>
      <w:numFmt w:val="bullet"/>
      <w:lvlText w:val=""/>
      <w:lvlJc w:val="left"/>
      <w:pPr>
        <w:ind w:left="6536" w:hanging="360"/>
      </w:pPr>
      <w:rPr>
        <w:rFonts w:ascii="Wingdings" w:hAnsi="Wingdings" w:hint="default"/>
      </w:rPr>
    </w:lvl>
  </w:abstractNum>
  <w:abstractNum w:abstractNumId="26" w15:restartNumberingAfterBreak="0">
    <w:nsid w:val="62F9302B"/>
    <w:multiLevelType w:val="hybridMultilevel"/>
    <w:tmpl w:val="41BAC6FA"/>
    <w:lvl w:ilvl="0" w:tplc="04260001">
      <w:start w:val="1"/>
      <w:numFmt w:val="bullet"/>
      <w:lvlText w:val=""/>
      <w:lvlJc w:val="left"/>
      <w:pPr>
        <w:ind w:left="720" w:hanging="360"/>
      </w:pPr>
      <w:rPr>
        <w:rFonts w:ascii="Symbol" w:hAnsi="Symbol" w:hint="default"/>
        <w:i w:val="0"/>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70B4BBB"/>
    <w:multiLevelType w:val="hybridMultilevel"/>
    <w:tmpl w:val="EA74EA22"/>
    <w:lvl w:ilvl="0" w:tplc="8D2C450A">
      <w:start w:val="1"/>
      <w:numFmt w:val="decimal"/>
      <w:lvlText w:val="%1."/>
      <w:lvlJc w:val="left"/>
      <w:pPr>
        <w:ind w:left="1146" w:hanging="360"/>
      </w:pPr>
      <w:rPr>
        <w:rFonts w:hint="default"/>
        <w:b/>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8" w15:restartNumberingAfterBreak="0">
    <w:nsid w:val="6EA635A3"/>
    <w:multiLevelType w:val="hybridMultilevel"/>
    <w:tmpl w:val="F1921D20"/>
    <w:lvl w:ilvl="0" w:tplc="0426000B">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9" w15:restartNumberingAfterBreak="0">
    <w:nsid w:val="6ED830B0"/>
    <w:multiLevelType w:val="hybridMultilevel"/>
    <w:tmpl w:val="4A7AC34A"/>
    <w:lvl w:ilvl="0" w:tplc="984C155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F0A1675"/>
    <w:multiLevelType w:val="hybridMultilevel"/>
    <w:tmpl w:val="753025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1034E59"/>
    <w:multiLevelType w:val="hybridMultilevel"/>
    <w:tmpl w:val="1756A0C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8273423"/>
    <w:multiLevelType w:val="multilevel"/>
    <w:tmpl w:val="267E3676"/>
    <w:lvl w:ilvl="0">
      <w:start w:val="1"/>
      <w:numFmt w:val="decimal"/>
      <w:lvlText w:val="%1."/>
      <w:lvlJc w:val="left"/>
      <w:pPr>
        <w:ind w:left="1440" w:hanging="360"/>
      </w:pPr>
    </w:lvl>
    <w:lvl w:ilvl="1">
      <w:start w:val="3"/>
      <w:numFmt w:val="decimal"/>
      <w:isLgl/>
      <w:lvlText w:val="%1.%2."/>
      <w:lvlJc w:val="left"/>
      <w:pPr>
        <w:ind w:left="1875" w:hanging="795"/>
      </w:pPr>
      <w:rPr>
        <w:rFonts w:hint="default"/>
      </w:rPr>
    </w:lvl>
    <w:lvl w:ilvl="2">
      <w:start w:val="1"/>
      <w:numFmt w:val="decimal"/>
      <w:isLgl/>
      <w:lvlText w:val="%1.%2.%3."/>
      <w:lvlJc w:val="left"/>
      <w:pPr>
        <w:ind w:left="1875" w:hanging="795"/>
      </w:pPr>
      <w:rPr>
        <w:rFonts w:hint="default"/>
      </w:rPr>
    </w:lvl>
    <w:lvl w:ilvl="3">
      <w:start w:val="1"/>
      <w:numFmt w:val="decimal"/>
      <w:isLgl/>
      <w:lvlText w:val="%1.%2.%3.%4."/>
      <w:lvlJc w:val="left"/>
      <w:pPr>
        <w:ind w:left="1875" w:hanging="795"/>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3" w15:restartNumberingAfterBreak="0">
    <w:nsid w:val="7D504C63"/>
    <w:multiLevelType w:val="hybridMultilevel"/>
    <w:tmpl w:val="3CF85672"/>
    <w:lvl w:ilvl="0" w:tplc="EEBE9A98">
      <w:start w:val="1"/>
      <w:numFmt w:val="decimal"/>
      <w:lvlText w:val="%1."/>
      <w:lvlJc w:val="left"/>
      <w:pPr>
        <w:ind w:left="786" w:hanging="360"/>
      </w:pPr>
      <w:rPr>
        <w:rFonts w:hint="default"/>
      </w:rPr>
    </w:lvl>
    <w:lvl w:ilvl="1" w:tplc="04260019">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num w:numId="1">
    <w:abstractNumId w:val="26"/>
  </w:num>
  <w:num w:numId="2">
    <w:abstractNumId w:val="15"/>
  </w:num>
  <w:num w:numId="3">
    <w:abstractNumId w:val="21"/>
  </w:num>
  <w:num w:numId="4">
    <w:abstractNumId w:val="6"/>
  </w:num>
  <w:num w:numId="5">
    <w:abstractNumId w:val="31"/>
  </w:num>
  <w:num w:numId="6">
    <w:abstractNumId w:val="24"/>
  </w:num>
  <w:num w:numId="7">
    <w:abstractNumId w:val="17"/>
  </w:num>
  <w:num w:numId="8">
    <w:abstractNumId w:val="8"/>
  </w:num>
  <w:num w:numId="9">
    <w:abstractNumId w:val="0"/>
  </w:num>
  <w:num w:numId="10">
    <w:abstractNumId w:val="12"/>
  </w:num>
  <w:num w:numId="11">
    <w:abstractNumId w:val="9"/>
  </w:num>
  <w:num w:numId="12">
    <w:abstractNumId w:val="22"/>
  </w:num>
  <w:num w:numId="13">
    <w:abstractNumId w:val="13"/>
  </w:num>
  <w:num w:numId="14">
    <w:abstractNumId w:val="4"/>
  </w:num>
  <w:num w:numId="15">
    <w:abstractNumId w:val="14"/>
  </w:num>
  <w:num w:numId="16">
    <w:abstractNumId w:val="30"/>
  </w:num>
  <w:num w:numId="17">
    <w:abstractNumId w:val="25"/>
  </w:num>
  <w:num w:numId="18">
    <w:abstractNumId w:val="1"/>
  </w:num>
  <w:num w:numId="19">
    <w:abstractNumId w:val="18"/>
  </w:num>
  <w:num w:numId="20">
    <w:abstractNumId w:val="20"/>
  </w:num>
  <w:num w:numId="21">
    <w:abstractNumId w:val="11"/>
  </w:num>
  <w:num w:numId="22">
    <w:abstractNumId w:val="23"/>
  </w:num>
  <w:num w:numId="23">
    <w:abstractNumId w:val="28"/>
  </w:num>
  <w:num w:numId="24">
    <w:abstractNumId w:val="32"/>
  </w:num>
  <w:num w:numId="25">
    <w:abstractNumId w:val="16"/>
  </w:num>
  <w:num w:numId="26">
    <w:abstractNumId w:val="7"/>
  </w:num>
  <w:num w:numId="27">
    <w:abstractNumId w:val="5"/>
  </w:num>
  <w:num w:numId="28">
    <w:abstractNumId w:val="19"/>
  </w:num>
  <w:num w:numId="29">
    <w:abstractNumId w:val="33"/>
  </w:num>
  <w:num w:numId="30">
    <w:abstractNumId w:val="27"/>
  </w:num>
  <w:num w:numId="31">
    <w:abstractNumId w:val="10"/>
  </w:num>
  <w:num w:numId="32">
    <w:abstractNumId w:val="2"/>
  </w:num>
  <w:num w:numId="33">
    <w:abstractNumId w:val="29"/>
  </w:num>
  <w:num w:numId="34">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350"/>
    <w:rsid w:val="00003349"/>
    <w:rsid w:val="000035DB"/>
    <w:rsid w:val="000045C2"/>
    <w:rsid w:val="00010C53"/>
    <w:rsid w:val="00012D39"/>
    <w:rsid w:val="000137D4"/>
    <w:rsid w:val="000144E5"/>
    <w:rsid w:val="00014BE8"/>
    <w:rsid w:val="00016CA5"/>
    <w:rsid w:val="00017A90"/>
    <w:rsid w:val="00017F8C"/>
    <w:rsid w:val="00021B5B"/>
    <w:rsid w:val="00021F48"/>
    <w:rsid w:val="0002298B"/>
    <w:rsid w:val="00022CDC"/>
    <w:rsid w:val="00023FF4"/>
    <w:rsid w:val="000246B6"/>
    <w:rsid w:val="000251F7"/>
    <w:rsid w:val="00026D6E"/>
    <w:rsid w:val="00032706"/>
    <w:rsid w:val="00033948"/>
    <w:rsid w:val="00034C53"/>
    <w:rsid w:val="000360B7"/>
    <w:rsid w:val="00036775"/>
    <w:rsid w:val="0004035C"/>
    <w:rsid w:val="0004420C"/>
    <w:rsid w:val="00045576"/>
    <w:rsid w:val="000469CE"/>
    <w:rsid w:val="000500E0"/>
    <w:rsid w:val="00051C12"/>
    <w:rsid w:val="0005335C"/>
    <w:rsid w:val="00053852"/>
    <w:rsid w:val="0005410D"/>
    <w:rsid w:val="00054FD0"/>
    <w:rsid w:val="00055EB6"/>
    <w:rsid w:val="000577B5"/>
    <w:rsid w:val="00060590"/>
    <w:rsid w:val="00067C0A"/>
    <w:rsid w:val="00070054"/>
    <w:rsid w:val="00070698"/>
    <w:rsid w:val="00070870"/>
    <w:rsid w:val="0007190B"/>
    <w:rsid w:val="00071A65"/>
    <w:rsid w:val="00072026"/>
    <w:rsid w:val="0007420B"/>
    <w:rsid w:val="000747C7"/>
    <w:rsid w:val="00075654"/>
    <w:rsid w:val="00076BC4"/>
    <w:rsid w:val="000805C5"/>
    <w:rsid w:val="00080A18"/>
    <w:rsid w:val="000829BC"/>
    <w:rsid w:val="00082E16"/>
    <w:rsid w:val="00083182"/>
    <w:rsid w:val="000848F1"/>
    <w:rsid w:val="00087D25"/>
    <w:rsid w:val="000905FA"/>
    <w:rsid w:val="00095C43"/>
    <w:rsid w:val="00096EFF"/>
    <w:rsid w:val="00097E5C"/>
    <w:rsid w:val="000A04B0"/>
    <w:rsid w:val="000A0746"/>
    <w:rsid w:val="000A0BBA"/>
    <w:rsid w:val="000A11B4"/>
    <w:rsid w:val="000A27E2"/>
    <w:rsid w:val="000A28B2"/>
    <w:rsid w:val="000A3070"/>
    <w:rsid w:val="000A7938"/>
    <w:rsid w:val="000B009E"/>
    <w:rsid w:val="000B6B3A"/>
    <w:rsid w:val="000C00B2"/>
    <w:rsid w:val="000C0A72"/>
    <w:rsid w:val="000C0DE7"/>
    <w:rsid w:val="000C0F1E"/>
    <w:rsid w:val="000C12E6"/>
    <w:rsid w:val="000C37F2"/>
    <w:rsid w:val="000C52D8"/>
    <w:rsid w:val="000C5FDB"/>
    <w:rsid w:val="000C76C4"/>
    <w:rsid w:val="000D3B0D"/>
    <w:rsid w:val="000D446E"/>
    <w:rsid w:val="000D757A"/>
    <w:rsid w:val="000E4B3B"/>
    <w:rsid w:val="000E5EEC"/>
    <w:rsid w:val="000E780F"/>
    <w:rsid w:val="000F0171"/>
    <w:rsid w:val="000F070B"/>
    <w:rsid w:val="000F1671"/>
    <w:rsid w:val="000F1BB1"/>
    <w:rsid w:val="000F34DD"/>
    <w:rsid w:val="000F5040"/>
    <w:rsid w:val="00100039"/>
    <w:rsid w:val="00103D1E"/>
    <w:rsid w:val="00106849"/>
    <w:rsid w:val="001112A0"/>
    <w:rsid w:val="001115CB"/>
    <w:rsid w:val="001123BA"/>
    <w:rsid w:val="001137DE"/>
    <w:rsid w:val="00114E69"/>
    <w:rsid w:val="001170F0"/>
    <w:rsid w:val="00117B1D"/>
    <w:rsid w:val="00120FF1"/>
    <w:rsid w:val="00123297"/>
    <w:rsid w:val="00124949"/>
    <w:rsid w:val="001250E0"/>
    <w:rsid w:val="001312D5"/>
    <w:rsid w:val="0013146E"/>
    <w:rsid w:val="0013225B"/>
    <w:rsid w:val="00133F69"/>
    <w:rsid w:val="00135C7A"/>
    <w:rsid w:val="00136F53"/>
    <w:rsid w:val="001400E8"/>
    <w:rsid w:val="00143023"/>
    <w:rsid w:val="00143FFA"/>
    <w:rsid w:val="00144504"/>
    <w:rsid w:val="001453AE"/>
    <w:rsid w:val="00150CA6"/>
    <w:rsid w:val="0015108A"/>
    <w:rsid w:val="001519CB"/>
    <w:rsid w:val="001548C2"/>
    <w:rsid w:val="0015554D"/>
    <w:rsid w:val="00155E78"/>
    <w:rsid w:val="001567C8"/>
    <w:rsid w:val="00160E8F"/>
    <w:rsid w:val="00163F68"/>
    <w:rsid w:val="00164CC8"/>
    <w:rsid w:val="00166380"/>
    <w:rsid w:val="00167138"/>
    <w:rsid w:val="00170296"/>
    <w:rsid w:val="00170A3B"/>
    <w:rsid w:val="00172631"/>
    <w:rsid w:val="0017329C"/>
    <w:rsid w:val="0017382B"/>
    <w:rsid w:val="00174031"/>
    <w:rsid w:val="00174058"/>
    <w:rsid w:val="00175611"/>
    <w:rsid w:val="00175637"/>
    <w:rsid w:val="001815D9"/>
    <w:rsid w:val="00186F8B"/>
    <w:rsid w:val="0019065C"/>
    <w:rsid w:val="0019085B"/>
    <w:rsid w:val="00191437"/>
    <w:rsid w:val="00191CD0"/>
    <w:rsid w:val="0019716D"/>
    <w:rsid w:val="001A05F0"/>
    <w:rsid w:val="001A0880"/>
    <w:rsid w:val="001A78E4"/>
    <w:rsid w:val="001B190E"/>
    <w:rsid w:val="001B35D6"/>
    <w:rsid w:val="001B3920"/>
    <w:rsid w:val="001B5348"/>
    <w:rsid w:val="001B7D0E"/>
    <w:rsid w:val="001B7FDA"/>
    <w:rsid w:val="001C440D"/>
    <w:rsid w:val="001C466B"/>
    <w:rsid w:val="001C6589"/>
    <w:rsid w:val="001C710D"/>
    <w:rsid w:val="001C74B9"/>
    <w:rsid w:val="001D1CEA"/>
    <w:rsid w:val="001D24E9"/>
    <w:rsid w:val="001D54A6"/>
    <w:rsid w:val="001E23A1"/>
    <w:rsid w:val="001E28CB"/>
    <w:rsid w:val="001E6669"/>
    <w:rsid w:val="001E6A57"/>
    <w:rsid w:val="001F4214"/>
    <w:rsid w:val="0020088E"/>
    <w:rsid w:val="00200A74"/>
    <w:rsid w:val="00200ED4"/>
    <w:rsid w:val="00205A75"/>
    <w:rsid w:val="0020625E"/>
    <w:rsid w:val="0020660A"/>
    <w:rsid w:val="002075B5"/>
    <w:rsid w:val="00212827"/>
    <w:rsid w:val="002144CE"/>
    <w:rsid w:val="0021584A"/>
    <w:rsid w:val="00215E49"/>
    <w:rsid w:val="00216BD2"/>
    <w:rsid w:val="002170A5"/>
    <w:rsid w:val="0021744B"/>
    <w:rsid w:val="00222257"/>
    <w:rsid w:val="00222E46"/>
    <w:rsid w:val="002232EF"/>
    <w:rsid w:val="00223A6D"/>
    <w:rsid w:val="00223D81"/>
    <w:rsid w:val="00224C1E"/>
    <w:rsid w:val="00225843"/>
    <w:rsid w:val="0022668A"/>
    <w:rsid w:val="002270AD"/>
    <w:rsid w:val="002340ED"/>
    <w:rsid w:val="002359AF"/>
    <w:rsid w:val="00235CF7"/>
    <w:rsid w:val="0023663A"/>
    <w:rsid w:val="00237CF4"/>
    <w:rsid w:val="00241D38"/>
    <w:rsid w:val="00242557"/>
    <w:rsid w:val="002429DA"/>
    <w:rsid w:val="00244266"/>
    <w:rsid w:val="0024514E"/>
    <w:rsid w:val="002455CA"/>
    <w:rsid w:val="00245E5D"/>
    <w:rsid w:val="00246894"/>
    <w:rsid w:val="00246FEB"/>
    <w:rsid w:val="00247A2A"/>
    <w:rsid w:val="00251CCF"/>
    <w:rsid w:val="0025356B"/>
    <w:rsid w:val="0025408F"/>
    <w:rsid w:val="00255D86"/>
    <w:rsid w:val="00256E66"/>
    <w:rsid w:val="002601EE"/>
    <w:rsid w:val="002606EE"/>
    <w:rsid w:val="00260EF2"/>
    <w:rsid w:val="00262C70"/>
    <w:rsid w:val="00265643"/>
    <w:rsid w:val="00265A56"/>
    <w:rsid w:val="00266E54"/>
    <w:rsid w:val="00270D8A"/>
    <w:rsid w:val="00277B8E"/>
    <w:rsid w:val="00280741"/>
    <w:rsid w:val="00280CE6"/>
    <w:rsid w:val="0028237F"/>
    <w:rsid w:val="0028312F"/>
    <w:rsid w:val="00284000"/>
    <w:rsid w:val="00284C24"/>
    <w:rsid w:val="00284C6A"/>
    <w:rsid w:val="0028699D"/>
    <w:rsid w:val="00291E09"/>
    <w:rsid w:val="00292C3A"/>
    <w:rsid w:val="00293FF6"/>
    <w:rsid w:val="00294869"/>
    <w:rsid w:val="00294A50"/>
    <w:rsid w:val="0029586D"/>
    <w:rsid w:val="002A01E3"/>
    <w:rsid w:val="002A1F94"/>
    <w:rsid w:val="002B0C71"/>
    <w:rsid w:val="002B167C"/>
    <w:rsid w:val="002B1E7A"/>
    <w:rsid w:val="002B323E"/>
    <w:rsid w:val="002C08B6"/>
    <w:rsid w:val="002C2F46"/>
    <w:rsid w:val="002C4D80"/>
    <w:rsid w:val="002D0C55"/>
    <w:rsid w:val="002D4892"/>
    <w:rsid w:val="002D4C5F"/>
    <w:rsid w:val="002D4E26"/>
    <w:rsid w:val="002E1112"/>
    <w:rsid w:val="002E1E19"/>
    <w:rsid w:val="002E2C0F"/>
    <w:rsid w:val="002E4777"/>
    <w:rsid w:val="002E4A60"/>
    <w:rsid w:val="002E4B1F"/>
    <w:rsid w:val="002E5477"/>
    <w:rsid w:val="002F2DD4"/>
    <w:rsid w:val="002F2F6C"/>
    <w:rsid w:val="002F621E"/>
    <w:rsid w:val="002F6E74"/>
    <w:rsid w:val="003018B2"/>
    <w:rsid w:val="00303649"/>
    <w:rsid w:val="003059E4"/>
    <w:rsid w:val="003064A4"/>
    <w:rsid w:val="00310025"/>
    <w:rsid w:val="00311029"/>
    <w:rsid w:val="003140E4"/>
    <w:rsid w:val="00315ECC"/>
    <w:rsid w:val="003179D8"/>
    <w:rsid w:val="00320988"/>
    <w:rsid w:val="00322149"/>
    <w:rsid w:val="0032229B"/>
    <w:rsid w:val="003232C4"/>
    <w:rsid w:val="003258D9"/>
    <w:rsid w:val="00326A7E"/>
    <w:rsid w:val="00327A7C"/>
    <w:rsid w:val="00330D80"/>
    <w:rsid w:val="00332ADA"/>
    <w:rsid w:val="00335EA5"/>
    <w:rsid w:val="003362AD"/>
    <w:rsid w:val="00336CE7"/>
    <w:rsid w:val="00337BA6"/>
    <w:rsid w:val="00340A78"/>
    <w:rsid w:val="00340B8C"/>
    <w:rsid w:val="003412BF"/>
    <w:rsid w:val="0034338A"/>
    <w:rsid w:val="00344454"/>
    <w:rsid w:val="0035198E"/>
    <w:rsid w:val="00353F1C"/>
    <w:rsid w:val="00354974"/>
    <w:rsid w:val="00357147"/>
    <w:rsid w:val="00360F54"/>
    <w:rsid w:val="00362CBD"/>
    <w:rsid w:val="00362FE5"/>
    <w:rsid w:val="0036517D"/>
    <w:rsid w:val="003703DF"/>
    <w:rsid w:val="00373625"/>
    <w:rsid w:val="00374832"/>
    <w:rsid w:val="00375025"/>
    <w:rsid w:val="00375D9C"/>
    <w:rsid w:val="0037644B"/>
    <w:rsid w:val="0037709B"/>
    <w:rsid w:val="0038087A"/>
    <w:rsid w:val="00380ACB"/>
    <w:rsid w:val="00383057"/>
    <w:rsid w:val="003833CB"/>
    <w:rsid w:val="00383A5A"/>
    <w:rsid w:val="00384E6C"/>
    <w:rsid w:val="00386FBB"/>
    <w:rsid w:val="00391072"/>
    <w:rsid w:val="0039206C"/>
    <w:rsid w:val="0039242B"/>
    <w:rsid w:val="003949FA"/>
    <w:rsid w:val="00395A65"/>
    <w:rsid w:val="00396665"/>
    <w:rsid w:val="00397043"/>
    <w:rsid w:val="00397AA3"/>
    <w:rsid w:val="00397E04"/>
    <w:rsid w:val="003A1287"/>
    <w:rsid w:val="003A19C1"/>
    <w:rsid w:val="003A1BE9"/>
    <w:rsid w:val="003A5D28"/>
    <w:rsid w:val="003B02BC"/>
    <w:rsid w:val="003B2789"/>
    <w:rsid w:val="003B2D93"/>
    <w:rsid w:val="003B50BE"/>
    <w:rsid w:val="003B5608"/>
    <w:rsid w:val="003B6745"/>
    <w:rsid w:val="003B7CE2"/>
    <w:rsid w:val="003C000C"/>
    <w:rsid w:val="003C0D9F"/>
    <w:rsid w:val="003C3E9C"/>
    <w:rsid w:val="003C3FBD"/>
    <w:rsid w:val="003C4D12"/>
    <w:rsid w:val="003C5618"/>
    <w:rsid w:val="003D0090"/>
    <w:rsid w:val="003D529F"/>
    <w:rsid w:val="003D6671"/>
    <w:rsid w:val="003D6EAB"/>
    <w:rsid w:val="003E3484"/>
    <w:rsid w:val="003E5761"/>
    <w:rsid w:val="003E65E3"/>
    <w:rsid w:val="003E7833"/>
    <w:rsid w:val="003F1430"/>
    <w:rsid w:val="004007B1"/>
    <w:rsid w:val="00402A0F"/>
    <w:rsid w:val="004031A3"/>
    <w:rsid w:val="00405646"/>
    <w:rsid w:val="0040569D"/>
    <w:rsid w:val="00415D1D"/>
    <w:rsid w:val="00416F5E"/>
    <w:rsid w:val="00422AC2"/>
    <w:rsid w:val="0042319E"/>
    <w:rsid w:val="004232FF"/>
    <w:rsid w:val="0042488E"/>
    <w:rsid w:val="00425C85"/>
    <w:rsid w:val="004263AD"/>
    <w:rsid w:val="00426DF4"/>
    <w:rsid w:val="00426F88"/>
    <w:rsid w:val="00430045"/>
    <w:rsid w:val="00430A37"/>
    <w:rsid w:val="004310F8"/>
    <w:rsid w:val="00433E3D"/>
    <w:rsid w:val="00435DD6"/>
    <w:rsid w:val="004361D1"/>
    <w:rsid w:val="00442937"/>
    <w:rsid w:val="0044311E"/>
    <w:rsid w:val="00450473"/>
    <w:rsid w:val="00450725"/>
    <w:rsid w:val="00450B48"/>
    <w:rsid w:val="00450FC7"/>
    <w:rsid w:val="00451398"/>
    <w:rsid w:val="00456348"/>
    <w:rsid w:val="004570F1"/>
    <w:rsid w:val="00457B10"/>
    <w:rsid w:val="00460BE5"/>
    <w:rsid w:val="00463E44"/>
    <w:rsid w:val="00465368"/>
    <w:rsid w:val="00466964"/>
    <w:rsid w:val="00471502"/>
    <w:rsid w:val="00472C8B"/>
    <w:rsid w:val="004738C7"/>
    <w:rsid w:val="0047485F"/>
    <w:rsid w:val="00476C41"/>
    <w:rsid w:val="00480765"/>
    <w:rsid w:val="00480C04"/>
    <w:rsid w:val="004849B1"/>
    <w:rsid w:val="004856A9"/>
    <w:rsid w:val="00485804"/>
    <w:rsid w:val="0048607D"/>
    <w:rsid w:val="004879E6"/>
    <w:rsid w:val="0049066F"/>
    <w:rsid w:val="00491BE5"/>
    <w:rsid w:val="00492012"/>
    <w:rsid w:val="004920FF"/>
    <w:rsid w:val="0049513A"/>
    <w:rsid w:val="00495984"/>
    <w:rsid w:val="004A28D5"/>
    <w:rsid w:val="004A68E1"/>
    <w:rsid w:val="004A6BD0"/>
    <w:rsid w:val="004B51C7"/>
    <w:rsid w:val="004C0913"/>
    <w:rsid w:val="004C0F54"/>
    <w:rsid w:val="004C136D"/>
    <w:rsid w:val="004C47C6"/>
    <w:rsid w:val="004C51D1"/>
    <w:rsid w:val="004C5BDF"/>
    <w:rsid w:val="004C719C"/>
    <w:rsid w:val="004D19E8"/>
    <w:rsid w:val="004D23ED"/>
    <w:rsid w:val="004D27B3"/>
    <w:rsid w:val="004D3413"/>
    <w:rsid w:val="004D4490"/>
    <w:rsid w:val="004D6948"/>
    <w:rsid w:val="004D6D7A"/>
    <w:rsid w:val="004E29C6"/>
    <w:rsid w:val="004E3C92"/>
    <w:rsid w:val="004E5815"/>
    <w:rsid w:val="004E58AF"/>
    <w:rsid w:val="004E5EDA"/>
    <w:rsid w:val="004F4AFE"/>
    <w:rsid w:val="004F5CA6"/>
    <w:rsid w:val="00500FE9"/>
    <w:rsid w:val="00503E53"/>
    <w:rsid w:val="00504E6B"/>
    <w:rsid w:val="00505348"/>
    <w:rsid w:val="005057F9"/>
    <w:rsid w:val="00507230"/>
    <w:rsid w:val="00507B5E"/>
    <w:rsid w:val="005115C1"/>
    <w:rsid w:val="00511655"/>
    <w:rsid w:val="00512F65"/>
    <w:rsid w:val="005165F3"/>
    <w:rsid w:val="00517F4C"/>
    <w:rsid w:val="00520614"/>
    <w:rsid w:val="005248EE"/>
    <w:rsid w:val="00524E60"/>
    <w:rsid w:val="0052532E"/>
    <w:rsid w:val="0052712B"/>
    <w:rsid w:val="005278B7"/>
    <w:rsid w:val="00530579"/>
    <w:rsid w:val="00530B42"/>
    <w:rsid w:val="00532192"/>
    <w:rsid w:val="005329C0"/>
    <w:rsid w:val="00535CB7"/>
    <w:rsid w:val="0054196B"/>
    <w:rsid w:val="00542DF0"/>
    <w:rsid w:val="00550F56"/>
    <w:rsid w:val="00555123"/>
    <w:rsid w:val="00556EE6"/>
    <w:rsid w:val="0056469E"/>
    <w:rsid w:val="005654D9"/>
    <w:rsid w:val="00566B31"/>
    <w:rsid w:val="00567C06"/>
    <w:rsid w:val="005703AA"/>
    <w:rsid w:val="00571853"/>
    <w:rsid w:val="005733EF"/>
    <w:rsid w:val="00573640"/>
    <w:rsid w:val="0057596E"/>
    <w:rsid w:val="005770E9"/>
    <w:rsid w:val="00580D73"/>
    <w:rsid w:val="00581F66"/>
    <w:rsid w:val="00586A2D"/>
    <w:rsid w:val="00586D70"/>
    <w:rsid w:val="0059312F"/>
    <w:rsid w:val="0059434C"/>
    <w:rsid w:val="005A0150"/>
    <w:rsid w:val="005A16DE"/>
    <w:rsid w:val="005A29B5"/>
    <w:rsid w:val="005A3CAF"/>
    <w:rsid w:val="005A3FB4"/>
    <w:rsid w:val="005A61E1"/>
    <w:rsid w:val="005A7868"/>
    <w:rsid w:val="005B2225"/>
    <w:rsid w:val="005B2DE9"/>
    <w:rsid w:val="005B46A5"/>
    <w:rsid w:val="005B4849"/>
    <w:rsid w:val="005B6758"/>
    <w:rsid w:val="005B677E"/>
    <w:rsid w:val="005C0146"/>
    <w:rsid w:val="005C04CC"/>
    <w:rsid w:val="005C0614"/>
    <w:rsid w:val="005C3415"/>
    <w:rsid w:val="005C5B40"/>
    <w:rsid w:val="005C69D7"/>
    <w:rsid w:val="005C7F16"/>
    <w:rsid w:val="005D26D0"/>
    <w:rsid w:val="005D3716"/>
    <w:rsid w:val="005D63B1"/>
    <w:rsid w:val="005D71DA"/>
    <w:rsid w:val="005E09F7"/>
    <w:rsid w:val="005E1235"/>
    <w:rsid w:val="005E2E84"/>
    <w:rsid w:val="005E6478"/>
    <w:rsid w:val="005E67C8"/>
    <w:rsid w:val="005F17E4"/>
    <w:rsid w:val="005F2730"/>
    <w:rsid w:val="005F5F67"/>
    <w:rsid w:val="005F64B3"/>
    <w:rsid w:val="005F7B3C"/>
    <w:rsid w:val="006027A2"/>
    <w:rsid w:val="00610F08"/>
    <w:rsid w:val="0061177A"/>
    <w:rsid w:val="00611C65"/>
    <w:rsid w:val="006157F8"/>
    <w:rsid w:val="00615AE9"/>
    <w:rsid w:val="00617DFE"/>
    <w:rsid w:val="0062269F"/>
    <w:rsid w:val="00623D8E"/>
    <w:rsid w:val="006247B3"/>
    <w:rsid w:val="00626644"/>
    <w:rsid w:val="00627C87"/>
    <w:rsid w:val="00632749"/>
    <w:rsid w:val="006329D5"/>
    <w:rsid w:val="006344BA"/>
    <w:rsid w:val="00634501"/>
    <w:rsid w:val="00634809"/>
    <w:rsid w:val="00637988"/>
    <w:rsid w:val="0064037A"/>
    <w:rsid w:val="006442A8"/>
    <w:rsid w:val="00644D31"/>
    <w:rsid w:val="0064627C"/>
    <w:rsid w:val="0064734F"/>
    <w:rsid w:val="0065070A"/>
    <w:rsid w:val="00654345"/>
    <w:rsid w:val="00654759"/>
    <w:rsid w:val="00654C2D"/>
    <w:rsid w:val="00654D6F"/>
    <w:rsid w:val="00654D88"/>
    <w:rsid w:val="0065719C"/>
    <w:rsid w:val="0065780C"/>
    <w:rsid w:val="00661F5A"/>
    <w:rsid w:val="00662885"/>
    <w:rsid w:val="006641B7"/>
    <w:rsid w:val="00664358"/>
    <w:rsid w:val="006654F7"/>
    <w:rsid w:val="00666A91"/>
    <w:rsid w:val="00680F39"/>
    <w:rsid w:val="006819B1"/>
    <w:rsid w:val="00686AC2"/>
    <w:rsid w:val="00691589"/>
    <w:rsid w:val="00693A2B"/>
    <w:rsid w:val="00694F03"/>
    <w:rsid w:val="00697060"/>
    <w:rsid w:val="006A1527"/>
    <w:rsid w:val="006A5CE4"/>
    <w:rsid w:val="006A7EF9"/>
    <w:rsid w:val="006B0031"/>
    <w:rsid w:val="006B15D4"/>
    <w:rsid w:val="006B1A1F"/>
    <w:rsid w:val="006B695A"/>
    <w:rsid w:val="006B6DE8"/>
    <w:rsid w:val="006B7695"/>
    <w:rsid w:val="006C129E"/>
    <w:rsid w:val="006C3BCB"/>
    <w:rsid w:val="006C6BED"/>
    <w:rsid w:val="006C6D7D"/>
    <w:rsid w:val="006C7BCD"/>
    <w:rsid w:val="006D07B4"/>
    <w:rsid w:val="006D1D8C"/>
    <w:rsid w:val="006D24CD"/>
    <w:rsid w:val="006D409F"/>
    <w:rsid w:val="006D521A"/>
    <w:rsid w:val="006D7288"/>
    <w:rsid w:val="006E031A"/>
    <w:rsid w:val="006E4988"/>
    <w:rsid w:val="006E6CF8"/>
    <w:rsid w:val="006E771E"/>
    <w:rsid w:val="006F2AD9"/>
    <w:rsid w:val="006F2F38"/>
    <w:rsid w:val="006F5011"/>
    <w:rsid w:val="006F7A3F"/>
    <w:rsid w:val="00700F77"/>
    <w:rsid w:val="00701B84"/>
    <w:rsid w:val="007111B1"/>
    <w:rsid w:val="007142EF"/>
    <w:rsid w:val="00716AFA"/>
    <w:rsid w:val="007241E6"/>
    <w:rsid w:val="00724412"/>
    <w:rsid w:val="00733EF0"/>
    <w:rsid w:val="00735CF1"/>
    <w:rsid w:val="007365AA"/>
    <w:rsid w:val="00737712"/>
    <w:rsid w:val="007410FB"/>
    <w:rsid w:val="007426BE"/>
    <w:rsid w:val="00743682"/>
    <w:rsid w:val="00747673"/>
    <w:rsid w:val="0075021F"/>
    <w:rsid w:val="0075038B"/>
    <w:rsid w:val="00753665"/>
    <w:rsid w:val="007545AF"/>
    <w:rsid w:val="0075502C"/>
    <w:rsid w:val="00757DAE"/>
    <w:rsid w:val="00763CD4"/>
    <w:rsid w:val="00764AD6"/>
    <w:rsid w:val="0077048B"/>
    <w:rsid w:val="0077117E"/>
    <w:rsid w:val="0077432B"/>
    <w:rsid w:val="0077647D"/>
    <w:rsid w:val="007776F5"/>
    <w:rsid w:val="00781064"/>
    <w:rsid w:val="007909D6"/>
    <w:rsid w:val="007914D3"/>
    <w:rsid w:val="00792C51"/>
    <w:rsid w:val="00793CCA"/>
    <w:rsid w:val="007950A1"/>
    <w:rsid w:val="00795552"/>
    <w:rsid w:val="007A00FC"/>
    <w:rsid w:val="007A1A1E"/>
    <w:rsid w:val="007A1B12"/>
    <w:rsid w:val="007A30C4"/>
    <w:rsid w:val="007A48FD"/>
    <w:rsid w:val="007A52B8"/>
    <w:rsid w:val="007A605B"/>
    <w:rsid w:val="007B0B94"/>
    <w:rsid w:val="007B19F1"/>
    <w:rsid w:val="007B2E10"/>
    <w:rsid w:val="007B487D"/>
    <w:rsid w:val="007B4CDB"/>
    <w:rsid w:val="007B6623"/>
    <w:rsid w:val="007C1C4D"/>
    <w:rsid w:val="007C35AB"/>
    <w:rsid w:val="007C3C6E"/>
    <w:rsid w:val="007C74BA"/>
    <w:rsid w:val="007D1B4C"/>
    <w:rsid w:val="007D1B64"/>
    <w:rsid w:val="007D1EE6"/>
    <w:rsid w:val="007D4906"/>
    <w:rsid w:val="007D588E"/>
    <w:rsid w:val="007D7BB6"/>
    <w:rsid w:val="007E0FA6"/>
    <w:rsid w:val="007E25DF"/>
    <w:rsid w:val="007E27C0"/>
    <w:rsid w:val="007E5AD3"/>
    <w:rsid w:val="007F19EC"/>
    <w:rsid w:val="007F650A"/>
    <w:rsid w:val="007F69DF"/>
    <w:rsid w:val="008003AC"/>
    <w:rsid w:val="0081025F"/>
    <w:rsid w:val="00810941"/>
    <w:rsid w:val="00811133"/>
    <w:rsid w:val="008121AD"/>
    <w:rsid w:val="008121E4"/>
    <w:rsid w:val="0081417B"/>
    <w:rsid w:val="00817220"/>
    <w:rsid w:val="00821068"/>
    <w:rsid w:val="00821820"/>
    <w:rsid w:val="00821DA2"/>
    <w:rsid w:val="00822A9B"/>
    <w:rsid w:val="00822B35"/>
    <w:rsid w:val="00823BDF"/>
    <w:rsid w:val="008261AA"/>
    <w:rsid w:val="0082666E"/>
    <w:rsid w:val="00826882"/>
    <w:rsid w:val="0082770E"/>
    <w:rsid w:val="00830254"/>
    <w:rsid w:val="008321DC"/>
    <w:rsid w:val="0083233C"/>
    <w:rsid w:val="008328DC"/>
    <w:rsid w:val="00833EDE"/>
    <w:rsid w:val="00834D8D"/>
    <w:rsid w:val="00835279"/>
    <w:rsid w:val="0083529A"/>
    <w:rsid w:val="00840664"/>
    <w:rsid w:val="0084141C"/>
    <w:rsid w:val="00841E52"/>
    <w:rsid w:val="00843547"/>
    <w:rsid w:val="008443A0"/>
    <w:rsid w:val="00845712"/>
    <w:rsid w:val="00850427"/>
    <w:rsid w:val="00855B5B"/>
    <w:rsid w:val="008566BA"/>
    <w:rsid w:val="00856A6C"/>
    <w:rsid w:val="008609F9"/>
    <w:rsid w:val="00861248"/>
    <w:rsid w:val="00861E72"/>
    <w:rsid w:val="008624C8"/>
    <w:rsid w:val="00863308"/>
    <w:rsid w:val="00867ECA"/>
    <w:rsid w:val="00872AD9"/>
    <w:rsid w:val="00873315"/>
    <w:rsid w:val="00874497"/>
    <w:rsid w:val="00874797"/>
    <w:rsid w:val="00874AFD"/>
    <w:rsid w:val="0087570D"/>
    <w:rsid w:val="00876385"/>
    <w:rsid w:val="00880FEF"/>
    <w:rsid w:val="00881D99"/>
    <w:rsid w:val="00887C7F"/>
    <w:rsid w:val="00890722"/>
    <w:rsid w:val="00895686"/>
    <w:rsid w:val="00896F98"/>
    <w:rsid w:val="008A24D9"/>
    <w:rsid w:val="008A38CA"/>
    <w:rsid w:val="008A6271"/>
    <w:rsid w:val="008A628B"/>
    <w:rsid w:val="008B1975"/>
    <w:rsid w:val="008B3145"/>
    <w:rsid w:val="008B6AD4"/>
    <w:rsid w:val="008B71CF"/>
    <w:rsid w:val="008C002A"/>
    <w:rsid w:val="008C0E9C"/>
    <w:rsid w:val="008C2EBC"/>
    <w:rsid w:val="008C3657"/>
    <w:rsid w:val="008C4C12"/>
    <w:rsid w:val="008C4E02"/>
    <w:rsid w:val="008C5154"/>
    <w:rsid w:val="008C684D"/>
    <w:rsid w:val="008D1235"/>
    <w:rsid w:val="008D27FA"/>
    <w:rsid w:val="008D2FAA"/>
    <w:rsid w:val="008D4163"/>
    <w:rsid w:val="008D5DCD"/>
    <w:rsid w:val="008E05AA"/>
    <w:rsid w:val="008E2A74"/>
    <w:rsid w:val="008E598F"/>
    <w:rsid w:val="008F0D50"/>
    <w:rsid w:val="008F1B7E"/>
    <w:rsid w:val="00902910"/>
    <w:rsid w:val="00906B8A"/>
    <w:rsid w:val="00907098"/>
    <w:rsid w:val="009120C5"/>
    <w:rsid w:val="00913C2A"/>
    <w:rsid w:val="009151F7"/>
    <w:rsid w:val="00915D57"/>
    <w:rsid w:val="00916A2D"/>
    <w:rsid w:val="009207C2"/>
    <w:rsid w:val="00920EAC"/>
    <w:rsid w:val="00923594"/>
    <w:rsid w:val="0092374C"/>
    <w:rsid w:val="00924FB8"/>
    <w:rsid w:val="00927BCE"/>
    <w:rsid w:val="009325E7"/>
    <w:rsid w:val="00933427"/>
    <w:rsid w:val="00934CE3"/>
    <w:rsid w:val="00937045"/>
    <w:rsid w:val="00940EF3"/>
    <w:rsid w:val="0094625B"/>
    <w:rsid w:val="00946CE1"/>
    <w:rsid w:val="009471F3"/>
    <w:rsid w:val="009519D9"/>
    <w:rsid w:val="0095397B"/>
    <w:rsid w:val="00953F4A"/>
    <w:rsid w:val="0095408B"/>
    <w:rsid w:val="00956366"/>
    <w:rsid w:val="009571CE"/>
    <w:rsid w:val="00961016"/>
    <w:rsid w:val="009613B9"/>
    <w:rsid w:val="009629C8"/>
    <w:rsid w:val="00973196"/>
    <w:rsid w:val="00973F32"/>
    <w:rsid w:val="009742FA"/>
    <w:rsid w:val="00975DB9"/>
    <w:rsid w:val="009764F9"/>
    <w:rsid w:val="00982E20"/>
    <w:rsid w:val="00983104"/>
    <w:rsid w:val="00983CF3"/>
    <w:rsid w:val="00985042"/>
    <w:rsid w:val="0098537B"/>
    <w:rsid w:val="0098615D"/>
    <w:rsid w:val="00986F8E"/>
    <w:rsid w:val="00987A04"/>
    <w:rsid w:val="00987EFA"/>
    <w:rsid w:val="00990464"/>
    <w:rsid w:val="009A0C4F"/>
    <w:rsid w:val="009A1753"/>
    <w:rsid w:val="009A2D04"/>
    <w:rsid w:val="009A6948"/>
    <w:rsid w:val="009A711B"/>
    <w:rsid w:val="009B01F0"/>
    <w:rsid w:val="009B0723"/>
    <w:rsid w:val="009B18AA"/>
    <w:rsid w:val="009B580B"/>
    <w:rsid w:val="009B585C"/>
    <w:rsid w:val="009B6AB6"/>
    <w:rsid w:val="009B7ED5"/>
    <w:rsid w:val="009C021E"/>
    <w:rsid w:val="009C3B42"/>
    <w:rsid w:val="009C439F"/>
    <w:rsid w:val="009C5935"/>
    <w:rsid w:val="009D0523"/>
    <w:rsid w:val="009D2C4A"/>
    <w:rsid w:val="009D649D"/>
    <w:rsid w:val="009D6EBB"/>
    <w:rsid w:val="009D7B0F"/>
    <w:rsid w:val="009D7CC4"/>
    <w:rsid w:val="009E1486"/>
    <w:rsid w:val="009E20AF"/>
    <w:rsid w:val="009E5155"/>
    <w:rsid w:val="009E5352"/>
    <w:rsid w:val="009E53C0"/>
    <w:rsid w:val="009E69DC"/>
    <w:rsid w:val="009E7619"/>
    <w:rsid w:val="009F087B"/>
    <w:rsid w:val="009F4E96"/>
    <w:rsid w:val="009F50B3"/>
    <w:rsid w:val="009F69B7"/>
    <w:rsid w:val="009F76A1"/>
    <w:rsid w:val="00A003E6"/>
    <w:rsid w:val="00A024E5"/>
    <w:rsid w:val="00A04150"/>
    <w:rsid w:val="00A044E4"/>
    <w:rsid w:val="00A05610"/>
    <w:rsid w:val="00A0664A"/>
    <w:rsid w:val="00A075A5"/>
    <w:rsid w:val="00A07AC0"/>
    <w:rsid w:val="00A12816"/>
    <w:rsid w:val="00A14031"/>
    <w:rsid w:val="00A15BD0"/>
    <w:rsid w:val="00A26C78"/>
    <w:rsid w:val="00A27BE5"/>
    <w:rsid w:val="00A32A6A"/>
    <w:rsid w:val="00A34A8C"/>
    <w:rsid w:val="00A376FA"/>
    <w:rsid w:val="00A5045F"/>
    <w:rsid w:val="00A50C07"/>
    <w:rsid w:val="00A561BD"/>
    <w:rsid w:val="00A620A5"/>
    <w:rsid w:val="00A62BB7"/>
    <w:rsid w:val="00A64955"/>
    <w:rsid w:val="00A65E48"/>
    <w:rsid w:val="00A73569"/>
    <w:rsid w:val="00A73D98"/>
    <w:rsid w:val="00A7714E"/>
    <w:rsid w:val="00A810F0"/>
    <w:rsid w:val="00A82A0F"/>
    <w:rsid w:val="00A83DD2"/>
    <w:rsid w:val="00A844CD"/>
    <w:rsid w:val="00A8636E"/>
    <w:rsid w:val="00A91FCA"/>
    <w:rsid w:val="00A92927"/>
    <w:rsid w:val="00A92AC1"/>
    <w:rsid w:val="00AA0D58"/>
    <w:rsid w:val="00AA10EF"/>
    <w:rsid w:val="00AA2E0F"/>
    <w:rsid w:val="00AA3F2E"/>
    <w:rsid w:val="00AA58C3"/>
    <w:rsid w:val="00AA7582"/>
    <w:rsid w:val="00AB0133"/>
    <w:rsid w:val="00AB0690"/>
    <w:rsid w:val="00AB08EF"/>
    <w:rsid w:val="00AB390B"/>
    <w:rsid w:val="00AC7696"/>
    <w:rsid w:val="00AC7DF2"/>
    <w:rsid w:val="00AD0660"/>
    <w:rsid w:val="00AD23D6"/>
    <w:rsid w:val="00AD2F50"/>
    <w:rsid w:val="00AD6D81"/>
    <w:rsid w:val="00AD7CAE"/>
    <w:rsid w:val="00AE0F54"/>
    <w:rsid w:val="00AE133C"/>
    <w:rsid w:val="00AE1590"/>
    <w:rsid w:val="00AE2E24"/>
    <w:rsid w:val="00AE2E80"/>
    <w:rsid w:val="00AE34F4"/>
    <w:rsid w:val="00AE369E"/>
    <w:rsid w:val="00AE505F"/>
    <w:rsid w:val="00AE7241"/>
    <w:rsid w:val="00AE7CBA"/>
    <w:rsid w:val="00AE7F81"/>
    <w:rsid w:val="00AF3C82"/>
    <w:rsid w:val="00AF414C"/>
    <w:rsid w:val="00B0100A"/>
    <w:rsid w:val="00B018D1"/>
    <w:rsid w:val="00B01C58"/>
    <w:rsid w:val="00B06A70"/>
    <w:rsid w:val="00B07532"/>
    <w:rsid w:val="00B07B25"/>
    <w:rsid w:val="00B1038F"/>
    <w:rsid w:val="00B117DE"/>
    <w:rsid w:val="00B12741"/>
    <w:rsid w:val="00B12D1A"/>
    <w:rsid w:val="00B13705"/>
    <w:rsid w:val="00B13711"/>
    <w:rsid w:val="00B141DE"/>
    <w:rsid w:val="00B17A7B"/>
    <w:rsid w:val="00B20E16"/>
    <w:rsid w:val="00B2102B"/>
    <w:rsid w:val="00B22A3A"/>
    <w:rsid w:val="00B272E4"/>
    <w:rsid w:val="00B27B22"/>
    <w:rsid w:val="00B27D81"/>
    <w:rsid w:val="00B3162E"/>
    <w:rsid w:val="00B31B71"/>
    <w:rsid w:val="00B3235F"/>
    <w:rsid w:val="00B328FC"/>
    <w:rsid w:val="00B336F0"/>
    <w:rsid w:val="00B33CFE"/>
    <w:rsid w:val="00B3792F"/>
    <w:rsid w:val="00B4405A"/>
    <w:rsid w:val="00B440AE"/>
    <w:rsid w:val="00B44EF8"/>
    <w:rsid w:val="00B4746A"/>
    <w:rsid w:val="00B47B3F"/>
    <w:rsid w:val="00B5046C"/>
    <w:rsid w:val="00B50B38"/>
    <w:rsid w:val="00B50C66"/>
    <w:rsid w:val="00B527A8"/>
    <w:rsid w:val="00B5354F"/>
    <w:rsid w:val="00B53D3E"/>
    <w:rsid w:val="00B5498F"/>
    <w:rsid w:val="00B549C9"/>
    <w:rsid w:val="00B56DF1"/>
    <w:rsid w:val="00B5772F"/>
    <w:rsid w:val="00B612A9"/>
    <w:rsid w:val="00B62046"/>
    <w:rsid w:val="00B62C69"/>
    <w:rsid w:val="00B66A37"/>
    <w:rsid w:val="00B70591"/>
    <w:rsid w:val="00B71C5A"/>
    <w:rsid w:val="00B71D06"/>
    <w:rsid w:val="00B71F42"/>
    <w:rsid w:val="00B72CEC"/>
    <w:rsid w:val="00B741E3"/>
    <w:rsid w:val="00B74732"/>
    <w:rsid w:val="00B749EF"/>
    <w:rsid w:val="00B75BC8"/>
    <w:rsid w:val="00B76768"/>
    <w:rsid w:val="00B80053"/>
    <w:rsid w:val="00B80378"/>
    <w:rsid w:val="00B810DA"/>
    <w:rsid w:val="00B81885"/>
    <w:rsid w:val="00B828F6"/>
    <w:rsid w:val="00B83184"/>
    <w:rsid w:val="00B83FFE"/>
    <w:rsid w:val="00B85703"/>
    <w:rsid w:val="00B85B9A"/>
    <w:rsid w:val="00B865DB"/>
    <w:rsid w:val="00B87215"/>
    <w:rsid w:val="00B87835"/>
    <w:rsid w:val="00B9090B"/>
    <w:rsid w:val="00B9375F"/>
    <w:rsid w:val="00B93CF6"/>
    <w:rsid w:val="00B951FB"/>
    <w:rsid w:val="00BA0A39"/>
    <w:rsid w:val="00BA2E10"/>
    <w:rsid w:val="00BA2E5C"/>
    <w:rsid w:val="00BA30B6"/>
    <w:rsid w:val="00BA68C7"/>
    <w:rsid w:val="00BA7F4F"/>
    <w:rsid w:val="00BB2D7C"/>
    <w:rsid w:val="00BC2730"/>
    <w:rsid w:val="00BC4F90"/>
    <w:rsid w:val="00BC553E"/>
    <w:rsid w:val="00BD2F8E"/>
    <w:rsid w:val="00BD3D18"/>
    <w:rsid w:val="00BD72F7"/>
    <w:rsid w:val="00BE0A5D"/>
    <w:rsid w:val="00BE0C3D"/>
    <w:rsid w:val="00BE3ED7"/>
    <w:rsid w:val="00BE4AD8"/>
    <w:rsid w:val="00BE5C03"/>
    <w:rsid w:val="00BE654B"/>
    <w:rsid w:val="00BF1639"/>
    <w:rsid w:val="00BF327D"/>
    <w:rsid w:val="00BF3DC4"/>
    <w:rsid w:val="00BF4361"/>
    <w:rsid w:val="00BF5183"/>
    <w:rsid w:val="00BF5222"/>
    <w:rsid w:val="00BF53B4"/>
    <w:rsid w:val="00BF58DA"/>
    <w:rsid w:val="00BF5EF8"/>
    <w:rsid w:val="00C02DC7"/>
    <w:rsid w:val="00C031B0"/>
    <w:rsid w:val="00C043C9"/>
    <w:rsid w:val="00C05367"/>
    <w:rsid w:val="00C064FC"/>
    <w:rsid w:val="00C10745"/>
    <w:rsid w:val="00C111C3"/>
    <w:rsid w:val="00C124A3"/>
    <w:rsid w:val="00C139C0"/>
    <w:rsid w:val="00C15182"/>
    <w:rsid w:val="00C1722D"/>
    <w:rsid w:val="00C2190E"/>
    <w:rsid w:val="00C25E12"/>
    <w:rsid w:val="00C303CC"/>
    <w:rsid w:val="00C3192B"/>
    <w:rsid w:val="00C31BCE"/>
    <w:rsid w:val="00C326DC"/>
    <w:rsid w:val="00C32F2A"/>
    <w:rsid w:val="00C33384"/>
    <w:rsid w:val="00C33F75"/>
    <w:rsid w:val="00C35695"/>
    <w:rsid w:val="00C3760A"/>
    <w:rsid w:val="00C4308E"/>
    <w:rsid w:val="00C4362B"/>
    <w:rsid w:val="00C4495B"/>
    <w:rsid w:val="00C45E26"/>
    <w:rsid w:val="00C46ED9"/>
    <w:rsid w:val="00C475B3"/>
    <w:rsid w:val="00C479E3"/>
    <w:rsid w:val="00C47E79"/>
    <w:rsid w:val="00C53876"/>
    <w:rsid w:val="00C53CF3"/>
    <w:rsid w:val="00C56558"/>
    <w:rsid w:val="00C57843"/>
    <w:rsid w:val="00C616E9"/>
    <w:rsid w:val="00C61BBC"/>
    <w:rsid w:val="00C61F68"/>
    <w:rsid w:val="00C62654"/>
    <w:rsid w:val="00C64188"/>
    <w:rsid w:val="00C6785C"/>
    <w:rsid w:val="00C7002B"/>
    <w:rsid w:val="00C70CCF"/>
    <w:rsid w:val="00C71445"/>
    <w:rsid w:val="00C732CD"/>
    <w:rsid w:val="00C7377C"/>
    <w:rsid w:val="00C7430C"/>
    <w:rsid w:val="00C76B5D"/>
    <w:rsid w:val="00C76FE9"/>
    <w:rsid w:val="00C80B20"/>
    <w:rsid w:val="00C81524"/>
    <w:rsid w:val="00C82525"/>
    <w:rsid w:val="00C82F5B"/>
    <w:rsid w:val="00C859B0"/>
    <w:rsid w:val="00C864A0"/>
    <w:rsid w:val="00C8779F"/>
    <w:rsid w:val="00C910ED"/>
    <w:rsid w:val="00C9159F"/>
    <w:rsid w:val="00C93ECE"/>
    <w:rsid w:val="00C9565D"/>
    <w:rsid w:val="00C96977"/>
    <w:rsid w:val="00CA1879"/>
    <w:rsid w:val="00CA19FA"/>
    <w:rsid w:val="00CA22C9"/>
    <w:rsid w:val="00CA4322"/>
    <w:rsid w:val="00CA5C43"/>
    <w:rsid w:val="00CA6860"/>
    <w:rsid w:val="00CA6F57"/>
    <w:rsid w:val="00CA7E3F"/>
    <w:rsid w:val="00CB1507"/>
    <w:rsid w:val="00CB2EBA"/>
    <w:rsid w:val="00CB511B"/>
    <w:rsid w:val="00CB5B5B"/>
    <w:rsid w:val="00CB74D4"/>
    <w:rsid w:val="00CB7A6E"/>
    <w:rsid w:val="00CC1E95"/>
    <w:rsid w:val="00CC25BE"/>
    <w:rsid w:val="00CC3C40"/>
    <w:rsid w:val="00CC4E42"/>
    <w:rsid w:val="00CC6E8A"/>
    <w:rsid w:val="00CD24BE"/>
    <w:rsid w:val="00CD2E57"/>
    <w:rsid w:val="00CE0218"/>
    <w:rsid w:val="00CE64C9"/>
    <w:rsid w:val="00CE67AB"/>
    <w:rsid w:val="00CE7C7D"/>
    <w:rsid w:val="00CF1DFC"/>
    <w:rsid w:val="00CF2154"/>
    <w:rsid w:val="00CF3350"/>
    <w:rsid w:val="00CF44F1"/>
    <w:rsid w:val="00CF5D3D"/>
    <w:rsid w:val="00CF616D"/>
    <w:rsid w:val="00D00DFA"/>
    <w:rsid w:val="00D023AB"/>
    <w:rsid w:val="00D024B4"/>
    <w:rsid w:val="00D026C7"/>
    <w:rsid w:val="00D04748"/>
    <w:rsid w:val="00D0554D"/>
    <w:rsid w:val="00D058F2"/>
    <w:rsid w:val="00D06054"/>
    <w:rsid w:val="00D06224"/>
    <w:rsid w:val="00D12281"/>
    <w:rsid w:val="00D13336"/>
    <w:rsid w:val="00D138D4"/>
    <w:rsid w:val="00D13CD4"/>
    <w:rsid w:val="00D1501B"/>
    <w:rsid w:val="00D16AFA"/>
    <w:rsid w:val="00D209CC"/>
    <w:rsid w:val="00D22BCF"/>
    <w:rsid w:val="00D23160"/>
    <w:rsid w:val="00D24790"/>
    <w:rsid w:val="00D27993"/>
    <w:rsid w:val="00D30B7B"/>
    <w:rsid w:val="00D31F08"/>
    <w:rsid w:val="00D3213A"/>
    <w:rsid w:val="00D3355B"/>
    <w:rsid w:val="00D33B91"/>
    <w:rsid w:val="00D34E61"/>
    <w:rsid w:val="00D34F65"/>
    <w:rsid w:val="00D40879"/>
    <w:rsid w:val="00D40D95"/>
    <w:rsid w:val="00D42CD9"/>
    <w:rsid w:val="00D447B0"/>
    <w:rsid w:val="00D44AAA"/>
    <w:rsid w:val="00D452CD"/>
    <w:rsid w:val="00D46FBB"/>
    <w:rsid w:val="00D51B9F"/>
    <w:rsid w:val="00D51F08"/>
    <w:rsid w:val="00D532FE"/>
    <w:rsid w:val="00D5654A"/>
    <w:rsid w:val="00D56710"/>
    <w:rsid w:val="00D577ED"/>
    <w:rsid w:val="00D62462"/>
    <w:rsid w:val="00D626C9"/>
    <w:rsid w:val="00D646B5"/>
    <w:rsid w:val="00D65E3E"/>
    <w:rsid w:val="00D661F0"/>
    <w:rsid w:val="00D66C7D"/>
    <w:rsid w:val="00D67B43"/>
    <w:rsid w:val="00D67D45"/>
    <w:rsid w:val="00D7089C"/>
    <w:rsid w:val="00D715D4"/>
    <w:rsid w:val="00D71BE3"/>
    <w:rsid w:val="00D71DE0"/>
    <w:rsid w:val="00D74AB7"/>
    <w:rsid w:val="00D75C78"/>
    <w:rsid w:val="00D76FD4"/>
    <w:rsid w:val="00D7769D"/>
    <w:rsid w:val="00D845F7"/>
    <w:rsid w:val="00D847C3"/>
    <w:rsid w:val="00D84A26"/>
    <w:rsid w:val="00D86819"/>
    <w:rsid w:val="00D87ABD"/>
    <w:rsid w:val="00D9050F"/>
    <w:rsid w:val="00D913F0"/>
    <w:rsid w:val="00D91F1B"/>
    <w:rsid w:val="00D934A2"/>
    <w:rsid w:val="00D95620"/>
    <w:rsid w:val="00D97009"/>
    <w:rsid w:val="00D970F8"/>
    <w:rsid w:val="00DA2296"/>
    <w:rsid w:val="00DA241C"/>
    <w:rsid w:val="00DB4003"/>
    <w:rsid w:val="00DB452D"/>
    <w:rsid w:val="00DC13D1"/>
    <w:rsid w:val="00DC2680"/>
    <w:rsid w:val="00DD12DF"/>
    <w:rsid w:val="00DE0F41"/>
    <w:rsid w:val="00DE303E"/>
    <w:rsid w:val="00DE3CF6"/>
    <w:rsid w:val="00DE5144"/>
    <w:rsid w:val="00DF0D9D"/>
    <w:rsid w:val="00DF2861"/>
    <w:rsid w:val="00DF336B"/>
    <w:rsid w:val="00E0105D"/>
    <w:rsid w:val="00E0431D"/>
    <w:rsid w:val="00E05BEF"/>
    <w:rsid w:val="00E12972"/>
    <w:rsid w:val="00E131F0"/>
    <w:rsid w:val="00E14513"/>
    <w:rsid w:val="00E14D97"/>
    <w:rsid w:val="00E170D0"/>
    <w:rsid w:val="00E21788"/>
    <w:rsid w:val="00E246DA"/>
    <w:rsid w:val="00E25257"/>
    <w:rsid w:val="00E2647C"/>
    <w:rsid w:val="00E26AB7"/>
    <w:rsid w:val="00E27ABE"/>
    <w:rsid w:val="00E30F95"/>
    <w:rsid w:val="00E33427"/>
    <w:rsid w:val="00E34E63"/>
    <w:rsid w:val="00E413C2"/>
    <w:rsid w:val="00E424D1"/>
    <w:rsid w:val="00E43174"/>
    <w:rsid w:val="00E45CD5"/>
    <w:rsid w:val="00E45D31"/>
    <w:rsid w:val="00E47D34"/>
    <w:rsid w:val="00E505A8"/>
    <w:rsid w:val="00E50DA8"/>
    <w:rsid w:val="00E53C0C"/>
    <w:rsid w:val="00E5451E"/>
    <w:rsid w:val="00E55EA1"/>
    <w:rsid w:val="00E565F5"/>
    <w:rsid w:val="00E60115"/>
    <w:rsid w:val="00E72BFB"/>
    <w:rsid w:val="00E72E68"/>
    <w:rsid w:val="00E7380F"/>
    <w:rsid w:val="00E7454F"/>
    <w:rsid w:val="00E76EB8"/>
    <w:rsid w:val="00E77098"/>
    <w:rsid w:val="00E85906"/>
    <w:rsid w:val="00E876F5"/>
    <w:rsid w:val="00E878CD"/>
    <w:rsid w:val="00E9146D"/>
    <w:rsid w:val="00E923AD"/>
    <w:rsid w:val="00E92A1C"/>
    <w:rsid w:val="00E95553"/>
    <w:rsid w:val="00E96D38"/>
    <w:rsid w:val="00EA1C31"/>
    <w:rsid w:val="00EA47B8"/>
    <w:rsid w:val="00EA5EC4"/>
    <w:rsid w:val="00EB232A"/>
    <w:rsid w:val="00EB2B30"/>
    <w:rsid w:val="00EB38E4"/>
    <w:rsid w:val="00EB4F0A"/>
    <w:rsid w:val="00EB67A0"/>
    <w:rsid w:val="00EC02DC"/>
    <w:rsid w:val="00EC0CE6"/>
    <w:rsid w:val="00EC1F9C"/>
    <w:rsid w:val="00EC551E"/>
    <w:rsid w:val="00EC567F"/>
    <w:rsid w:val="00EC5767"/>
    <w:rsid w:val="00EC59D2"/>
    <w:rsid w:val="00EC6DF9"/>
    <w:rsid w:val="00EC74BC"/>
    <w:rsid w:val="00ED1DCC"/>
    <w:rsid w:val="00ED23D9"/>
    <w:rsid w:val="00ED4507"/>
    <w:rsid w:val="00ED5874"/>
    <w:rsid w:val="00ED5B12"/>
    <w:rsid w:val="00EE043E"/>
    <w:rsid w:val="00EE0505"/>
    <w:rsid w:val="00EE22CB"/>
    <w:rsid w:val="00EE3C8E"/>
    <w:rsid w:val="00EE4E28"/>
    <w:rsid w:val="00EE5118"/>
    <w:rsid w:val="00EE646C"/>
    <w:rsid w:val="00EE6DB1"/>
    <w:rsid w:val="00EF043F"/>
    <w:rsid w:val="00EF077A"/>
    <w:rsid w:val="00EF0BBA"/>
    <w:rsid w:val="00EF31C3"/>
    <w:rsid w:val="00F0253F"/>
    <w:rsid w:val="00F05532"/>
    <w:rsid w:val="00F124E4"/>
    <w:rsid w:val="00F125F3"/>
    <w:rsid w:val="00F1454F"/>
    <w:rsid w:val="00F16E9C"/>
    <w:rsid w:val="00F17400"/>
    <w:rsid w:val="00F21389"/>
    <w:rsid w:val="00F22662"/>
    <w:rsid w:val="00F22ABD"/>
    <w:rsid w:val="00F249DD"/>
    <w:rsid w:val="00F277DB"/>
    <w:rsid w:val="00F305D5"/>
    <w:rsid w:val="00F3124A"/>
    <w:rsid w:val="00F32433"/>
    <w:rsid w:val="00F33FB7"/>
    <w:rsid w:val="00F36893"/>
    <w:rsid w:val="00F4156A"/>
    <w:rsid w:val="00F446D6"/>
    <w:rsid w:val="00F45380"/>
    <w:rsid w:val="00F46468"/>
    <w:rsid w:val="00F47D6E"/>
    <w:rsid w:val="00F518F8"/>
    <w:rsid w:val="00F51AA3"/>
    <w:rsid w:val="00F53B5F"/>
    <w:rsid w:val="00F545FD"/>
    <w:rsid w:val="00F55514"/>
    <w:rsid w:val="00F55CD7"/>
    <w:rsid w:val="00F55FA9"/>
    <w:rsid w:val="00F566DF"/>
    <w:rsid w:val="00F57A6A"/>
    <w:rsid w:val="00F60D07"/>
    <w:rsid w:val="00F644A0"/>
    <w:rsid w:val="00F64C53"/>
    <w:rsid w:val="00F64F61"/>
    <w:rsid w:val="00F66EC5"/>
    <w:rsid w:val="00F6719C"/>
    <w:rsid w:val="00F702EA"/>
    <w:rsid w:val="00F73128"/>
    <w:rsid w:val="00F76F7C"/>
    <w:rsid w:val="00F77CC3"/>
    <w:rsid w:val="00F800D6"/>
    <w:rsid w:val="00F80EB7"/>
    <w:rsid w:val="00F8322E"/>
    <w:rsid w:val="00F83F4C"/>
    <w:rsid w:val="00F83F81"/>
    <w:rsid w:val="00F84B0F"/>
    <w:rsid w:val="00F8537E"/>
    <w:rsid w:val="00F86A2C"/>
    <w:rsid w:val="00F87828"/>
    <w:rsid w:val="00F87F6B"/>
    <w:rsid w:val="00F928CD"/>
    <w:rsid w:val="00F92AF4"/>
    <w:rsid w:val="00F95B16"/>
    <w:rsid w:val="00F96F10"/>
    <w:rsid w:val="00F97D0F"/>
    <w:rsid w:val="00FA0858"/>
    <w:rsid w:val="00FA0EF2"/>
    <w:rsid w:val="00FA10DA"/>
    <w:rsid w:val="00FA30F5"/>
    <w:rsid w:val="00FA718D"/>
    <w:rsid w:val="00FA7B12"/>
    <w:rsid w:val="00FB291A"/>
    <w:rsid w:val="00FB578A"/>
    <w:rsid w:val="00FB5F7D"/>
    <w:rsid w:val="00FB793F"/>
    <w:rsid w:val="00FC287C"/>
    <w:rsid w:val="00FC5BEB"/>
    <w:rsid w:val="00FD2AA0"/>
    <w:rsid w:val="00FD2FBA"/>
    <w:rsid w:val="00FD6C41"/>
    <w:rsid w:val="00FE0830"/>
    <w:rsid w:val="00FE39AE"/>
    <w:rsid w:val="00FE40E4"/>
    <w:rsid w:val="00FE491D"/>
    <w:rsid w:val="00FF1DE2"/>
    <w:rsid w:val="00FF28F2"/>
    <w:rsid w:val="00FF2D8D"/>
    <w:rsid w:val="00FF54AB"/>
    <w:rsid w:val="00FF5A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9B88257"/>
  <w15:docId w15:val="{C555D5A3-04FE-4E4A-9812-A73B1A07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0D9D"/>
    <w:pPr>
      <w:keepNext/>
      <w:keepLines/>
      <w:spacing w:before="480" w:line="276" w:lineRule="auto"/>
      <w:outlineLvl w:val="0"/>
    </w:pPr>
    <w:rPr>
      <w:rFonts w:eastAsia="Times New Roman" w:cs="Times New Roman"/>
      <w:b/>
      <w:bCs/>
      <w:sz w:val="24"/>
      <w:szCs w:val="28"/>
      <w:lang w:val="x-none" w:eastAsia="x-none"/>
    </w:rPr>
  </w:style>
  <w:style w:type="paragraph" w:styleId="Heading2">
    <w:name w:val="heading 2"/>
    <w:basedOn w:val="Normal"/>
    <w:next w:val="Normal"/>
    <w:link w:val="Heading2Char"/>
    <w:uiPriority w:val="9"/>
    <w:unhideWhenUsed/>
    <w:qFormat/>
    <w:rsid w:val="00033948"/>
    <w:pPr>
      <w:keepNext/>
      <w:keepLines/>
      <w:spacing w:before="40"/>
      <w:outlineLvl w:val="1"/>
    </w:pPr>
    <w:rPr>
      <w:rFonts w:eastAsiaTheme="majorEastAsia" w:cstheme="majorBidi"/>
      <w:sz w:val="24"/>
      <w:szCs w:val="26"/>
    </w:rPr>
  </w:style>
  <w:style w:type="paragraph" w:styleId="Heading3">
    <w:name w:val="heading 3"/>
    <w:basedOn w:val="Normal"/>
    <w:next w:val="Normal"/>
    <w:link w:val="Heading3Char"/>
    <w:uiPriority w:val="9"/>
    <w:unhideWhenUsed/>
    <w:qFormat/>
    <w:rsid w:val="0095397B"/>
    <w:pPr>
      <w:keepNext/>
      <w:keepLines/>
      <w:spacing w:before="40"/>
      <w:outlineLvl w:val="2"/>
    </w:pPr>
    <w:rPr>
      <w:rFonts w:eastAsiaTheme="majorEastAsia"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ußnote,Schriftart: 9 pt,Schriftart: 10 pt,Schriftart: 8 pt,WB-Fußnotentext,WB-Fußnotentext Char Char,WB-Fußnotentext Char,stile 1,Footnote1,Footnote2,Footnote3,Footnote4,Footnote5,Footnote6,Footnote7,Footnote8,Footnote9,fn,FT,f"/>
    <w:basedOn w:val="Normal"/>
    <w:link w:val="FootnoteTextChar"/>
    <w:uiPriority w:val="99"/>
    <w:unhideWhenUsed/>
    <w:rsid w:val="0083233C"/>
    <w:rPr>
      <w:sz w:val="20"/>
      <w:szCs w:val="20"/>
    </w:rPr>
  </w:style>
  <w:style w:type="character" w:customStyle="1" w:styleId="FootnoteTextChar">
    <w:name w:val="Footnote Text Char"/>
    <w:aliases w:val="Footnote Char,Fußnote Char,Schriftart: 9 pt Char,Schriftart: 10 pt Char,Schriftart: 8 pt Char,WB-Fußnotentext Char1,WB-Fußnotentext Char Char Char,WB-Fußnotentext Char Char1,stile 1 Char,Footnote1 Char,Footnote2 Char,Footnote3 Char"/>
    <w:basedOn w:val="DefaultParagraphFont"/>
    <w:link w:val="FootnoteText"/>
    <w:uiPriority w:val="99"/>
    <w:rsid w:val="0083233C"/>
    <w:rPr>
      <w:sz w:val="20"/>
      <w:szCs w:val="20"/>
    </w:rPr>
  </w:style>
  <w:style w:type="character" w:styleId="FootnoteReference">
    <w:name w:val="footnote reference"/>
    <w:aliases w:val="Footnote Reference Number,Footnote Reference Superscript,Footnote symbol,fr,Footnote Refernece,ftref,Odwołanie przypisu,BVI fnr,Footnotes refss,SUPERS,Ref,de nota al pie,-E Fußnotenzeichen,Footnote reference number,Times 10 Point,E"/>
    <w:basedOn w:val="DefaultParagraphFont"/>
    <w:uiPriority w:val="99"/>
    <w:unhideWhenUsed/>
    <w:rsid w:val="0083233C"/>
    <w:rPr>
      <w:vertAlign w:val="superscript"/>
    </w:rPr>
  </w:style>
  <w:style w:type="character" w:styleId="CommentReference">
    <w:name w:val="annotation reference"/>
    <w:basedOn w:val="DefaultParagraphFont"/>
    <w:uiPriority w:val="99"/>
    <w:semiHidden/>
    <w:unhideWhenUsed/>
    <w:rsid w:val="00191437"/>
    <w:rPr>
      <w:sz w:val="16"/>
      <w:szCs w:val="16"/>
    </w:rPr>
  </w:style>
  <w:style w:type="paragraph" w:styleId="CommentText">
    <w:name w:val="annotation text"/>
    <w:basedOn w:val="Normal"/>
    <w:link w:val="CommentTextChar"/>
    <w:uiPriority w:val="99"/>
    <w:semiHidden/>
    <w:unhideWhenUsed/>
    <w:rsid w:val="00191437"/>
    <w:rPr>
      <w:sz w:val="20"/>
      <w:szCs w:val="20"/>
    </w:rPr>
  </w:style>
  <w:style w:type="character" w:customStyle="1" w:styleId="CommentTextChar">
    <w:name w:val="Comment Text Char"/>
    <w:basedOn w:val="DefaultParagraphFont"/>
    <w:link w:val="CommentText"/>
    <w:uiPriority w:val="99"/>
    <w:semiHidden/>
    <w:rsid w:val="00191437"/>
    <w:rPr>
      <w:sz w:val="20"/>
      <w:szCs w:val="20"/>
    </w:rPr>
  </w:style>
  <w:style w:type="paragraph" w:styleId="CommentSubject">
    <w:name w:val="annotation subject"/>
    <w:basedOn w:val="CommentText"/>
    <w:next w:val="CommentText"/>
    <w:link w:val="CommentSubjectChar"/>
    <w:uiPriority w:val="99"/>
    <w:semiHidden/>
    <w:unhideWhenUsed/>
    <w:rsid w:val="00191437"/>
    <w:rPr>
      <w:b/>
      <w:bCs/>
    </w:rPr>
  </w:style>
  <w:style w:type="character" w:customStyle="1" w:styleId="CommentSubjectChar">
    <w:name w:val="Comment Subject Char"/>
    <w:basedOn w:val="CommentTextChar"/>
    <w:link w:val="CommentSubject"/>
    <w:uiPriority w:val="99"/>
    <w:semiHidden/>
    <w:rsid w:val="00191437"/>
    <w:rPr>
      <w:b/>
      <w:bCs/>
      <w:sz w:val="20"/>
      <w:szCs w:val="20"/>
    </w:rPr>
  </w:style>
  <w:style w:type="paragraph" w:styleId="BalloonText">
    <w:name w:val="Balloon Text"/>
    <w:basedOn w:val="Normal"/>
    <w:link w:val="BalloonTextChar"/>
    <w:uiPriority w:val="99"/>
    <w:semiHidden/>
    <w:unhideWhenUsed/>
    <w:rsid w:val="001914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437"/>
    <w:rPr>
      <w:rFonts w:ascii="Segoe UI" w:hAnsi="Segoe UI" w:cs="Segoe UI"/>
      <w:sz w:val="18"/>
      <w:szCs w:val="18"/>
    </w:rPr>
  </w:style>
  <w:style w:type="character" w:styleId="Hyperlink">
    <w:name w:val="Hyperlink"/>
    <w:basedOn w:val="DefaultParagraphFont"/>
    <w:uiPriority w:val="99"/>
    <w:unhideWhenUsed/>
    <w:rsid w:val="003703DF"/>
    <w:rPr>
      <w:color w:val="0563C1" w:themeColor="hyperlink"/>
      <w:u w:val="single"/>
    </w:rPr>
  </w:style>
  <w:style w:type="character" w:customStyle="1" w:styleId="Heading1Char">
    <w:name w:val="Heading 1 Char"/>
    <w:basedOn w:val="DefaultParagraphFont"/>
    <w:link w:val="Heading1"/>
    <w:uiPriority w:val="9"/>
    <w:rsid w:val="00DF0D9D"/>
    <w:rPr>
      <w:rFonts w:eastAsia="Times New Roman" w:cs="Times New Roman"/>
      <w:b/>
      <w:bCs/>
      <w:sz w:val="24"/>
      <w:szCs w:val="28"/>
      <w:lang w:val="x-none" w:eastAsia="x-none"/>
    </w:rPr>
  </w:style>
  <w:style w:type="table" w:styleId="TableGrid">
    <w:name w:val="Table Grid"/>
    <w:basedOn w:val="TableNormal"/>
    <w:uiPriority w:val="39"/>
    <w:rsid w:val="00E21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7C35AB"/>
    <w:pPr>
      <w:spacing w:after="120" w:line="480" w:lineRule="auto"/>
    </w:pPr>
    <w:rPr>
      <w:rFonts w:eastAsia="Times New Roman" w:cs="Times New Roman"/>
      <w:sz w:val="24"/>
      <w:szCs w:val="24"/>
      <w:lang w:val="en-GB"/>
    </w:rPr>
  </w:style>
  <w:style w:type="character" w:customStyle="1" w:styleId="BodyText2Char">
    <w:name w:val="Body Text 2 Char"/>
    <w:basedOn w:val="DefaultParagraphFont"/>
    <w:link w:val="BodyText2"/>
    <w:uiPriority w:val="99"/>
    <w:rsid w:val="007C35AB"/>
    <w:rPr>
      <w:rFonts w:eastAsia="Times New Roman" w:cs="Times New Roman"/>
      <w:sz w:val="24"/>
      <w:szCs w:val="24"/>
      <w:lang w:val="en-GB"/>
    </w:rPr>
  </w:style>
  <w:style w:type="character" w:customStyle="1" w:styleId="highlight">
    <w:name w:val="highlight"/>
    <w:basedOn w:val="DefaultParagraphFont"/>
    <w:rsid w:val="00E7454F"/>
  </w:style>
  <w:style w:type="paragraph" w:styleId="NormalWeb">
    <w:name w:val="Normal (Web)"/>
    <w:aliases w:val="sākums"/>
    <w:basedOn w:val="Normal"/>
    <w:link w:val="NormalWebChar"/>
    <w:uiPriority w:val="99"/>
    <w:unhideWhenUsed/>
    <w:qFormat/>
    <w:rsid w:val="00D209CC"/>
    <w:pPr>
      <w:spacing w:before="100" w:beforeAutospacing="1" w:after="100" w:afterAutospacing="1"/>
    </w:pPr>
    <w:rPr>
      <w:rFonts w:eastAsia="Calibri" w:cs="Times New Roman"/>
      <w:sz w:val="24"/>
      <w:szCs w:val="24"/>
      <w:lang w:eastAsia="lv-LV"/>
    </w:rPr>
  </w:style>
  <w:style w:type="character" w:customStyle="1" w:styleId="NormalWebChar">
    <w:name w:val="Normal (Web) Char"/>
    <w:aliases w:val="sākums Char"/>
    <w:link w:val="NormalWeb"/>
    <w:uiPriority w:val="99"/>
    <w:locked/>
    <w:rsid w:val="00D209CC"/>
    <w:rPr>
      <w:rFonts w:eastAsia="Calibri" w:cs="Times New Roman"/>
      <w:sz w:val="24"/>
      <w:szCs w:val="24"/>
      <w:lang w:eastAsia="lv-LV"/>
    </w:rPr>
  </w:style>
  <w:style w:type="table" w:styleId="LightShading-Accent1">
    <w:name w:val="Light Shading Accent 1"/>
    <w:basedOn w:val="TableNormal"/>
    <w:uiPriority w:val="60"/>
    <w:rsid w:val="00D209CC"/>
    <w:rPr>
      <w:rFonts w:asciiTheme="minorHAnsi" w:eastAsiaTheme="minorEastAsia" w:hAnsiTheme="minorHAnsi"/>
      <w:color w:val="2E74B5" w:themeColor="accent1" w:themeShade="BF"/>
      <w:sz w:val="22"/>
      <w:lang w:eastAsia="lv-LV"/>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Header">
    <w:name w:val="header"/>
    <w:basedOn w:val="Normal"/>
    <w:link w:val="HeaderChar"/>
    <w:uiPriority w:val="99"/>
    <w:unhideWhenUsed/>
    <w:rsid w:val="00D209CC"/>
    <w:pPr>
      <w:tabs>
        <w:tab w:val="center" w:pos="4153"/>
        <w:tab w:val="right" w:pos="8306"/>
      </w:tabs>
    </w:pPr>
    <w:rPr>
      <w:rFonts w:asciiTheme="minorHAnsi" w:eastAsiaTheme="minorEastAsia" w:hAnsiTheme="minorHAnsi"/>
      <w:sz w:val="22"/>
      <w:lang w:eastAsia="lv-LV"/>
    </w:rPr>
  </w:style>
  <w:style w:type="character" w:customStyle="1" w:styleId="HeaderChar">
    <w:name w:val="Header Char"/>
    <w:basedOn w:val="DefaultParagraphFont"/>
    <w:link w:val="Header"/>
    <w:uiPriority w:val="99"/>
    <w:rsid w:val="00D209CC"/>
    <w:rPr>
      <w:rFonts w:asciiTheme="minorHAnsi" w:eastAsiaTheme="minorEastAsia" w:hAnsiTheme="minorHAnsi"/>
      <w:sz w:val="22"/>
      <w:lang w:eastAsia="lv-LV"/>
    </w:rPr>
  </w:style>
  <w:style w:type="paragraph" w:styleId="Footer">
    <w:name w:val="footer"/>
    <w:basedOn w:val="Normal"/>
    <w:link w:val="FooterChar"/>
    <w:uiPriority w:val="99"/>
    <w:unhideWhenUsed/>
    <w:rsid w:val="00D209CC"/>
    <w:pPr>
      <w:tabs>
        <w:tab w:val="center" w:pos="4153"/>
        <w:tab w:val="right" w:pos="8306"/>
      </w:tabs>
    </w:pPr>
    <w:rPr>
      <w:rFonts w:asciiTheme="minorHAnsi" w:eastAsiaTheme="minorEastAsia" w:hAnsiTheme="minorHAnsi"/>
      <w:sz w:val="22"/>
      <w:lang w:eastAsia="lv-LV"/>
    </w:rPr>
  </w:style>
  <w:style w:type="character" w:customStyle="1" w:styleId="FooterChar">
    <w:name w:val="Footer Char"/>
    <w:basedOn w:val="DefaultParagraphFont"/>
    <w:link w:val="Footer"/>
    <w:uiPriority w:val="99"/>
    <w:rsid w:val="00D209CC"/>
    <w:rPr>
      <w:rFonts w:asciiTheme="minorHAnsi" w:eastAsiaTheme="minorEastAsia" w:hAnsiTheme="minorHAnsi"/>
      <w:sz w:val="22"/>
      <w:lang w:eastAsia="lv-LV"/>
    </w:rPr>
  </w:style>
  <w:style w:type="paragraph" w:styleId="Quote">
    <w:name w:val="Quote"/>
    <w:basedOn w:val="Normal"/>
    <w:next w:val="Normal"/>
    <w:link w:val="QuoteChar"/>
    <w:uiPriority w:val="29"/>
    <w:qFormat/>
    <w:rsid w:val="00D209CC"/>
    <w:pPr>
      <w:spacing w:before="200" w:after="160" w:line="276" w:lineRule="auto"/>
      <w:ind w:left="864" w:right="864"/>
      <w:jc w:val="center"/>
    </w:pPr>
    <w:rPr>
      <w:rFonts w:asciiTheme="minorHAnsi" w:eastAsiaTheme="minorEastAsia" w:hAnsiTheme="minorHAnsi"/>
      <w:i/>
      <w:iCs/>
      <w:color w:val="404040" w:themeColor="text1" w:themeTint="BF"/>
      <w:sz w:val="22"/>
      <w:lang w:eastAsia="lv-LV"/>
    </w:rPr>
  </w:style>
  <w:style w:type="character" w:customStyle="1" w:styleId="QuoteChar">
    <w:name w:val="Quote Char"/>
    <w:basedOn w:val="DefaultParagraphFont"/>
    <w:link w:val="Quote"/>
    <w:uiPriority w:val="29"/>
    <w:rsid w:val="00D209CC"/>
    <w:rPr>
      <w:rFonts w:asciiTheme="minorHAnsi" w:eastAsiaTheme="minorEastAsia" w:hAnsiTheme="minorHAnsi"/>
      <w:i/>
      <w:iCs/>
      <w:color w:val="404040" w:themeColor="text1" w:themeTint="BF"/>
      <w:sz w:val="22"/>
      <w:lang w:eastAsia="lv-LV"/>
    </w:rPr>
  </w:style>
  <w:style w:type="character" w:customStyle="1" w:styleId="Heading2Char">
    <w:name w:val="Heading 2 Char"/>
    <w:basedOn w:val="DefaultParagraphFont"/>
    <w:link w:val="Heading2"/>
    <w:uiPriority w:val="9"/>
    <w:rsid w:val="00033948"/>
    <w:rPr>
      <w:rFonts w:eastAsiaTheme="majorEastAsia" w:cstheme="majorBidi"/>
      <w:sz w:val="24"/>
      <w:szCs w:val="26"/>
    </w:rPr>
  </w:style>
  <w:style w:type="character" w:styleId="FollowedHyperlink">
    <w:name w:val="FollowedHyperlink"/>
    <w:basedOn w:val="DefaultParagraphFont"/>
    <w:uiPriority w:val="99"/>
    <w:semiHidden/>
    <w:unhideWhenUsed/>
    <w:rsid w:val="0007420B"/>
    <w:rPr>
      <w:color w:val="954F72" w:themeColor="followedHyperlink"/>
      <w:u w:val="single"/>
    </w:rPr>
  </w:style>
  <w:style w:type="paragraph" w:styleId="BodyText">
    <w:name w:val="Body Text"/>
    <w:aliases w:val="OT Body Text,Body,Tekst,Body Text Char Char,Body Text Char Char Char"/>
    <w:basedOn w:val="Normal"/>
    <w:link w:val="BodyTextChar1"/>
    <w:rsid w:val="004738C7"/>
    <w:pPr>
      <w:spacing w:after="120"/>
    </w:pPr>
    <w:rPr>
      <w:rFonts w:eastAsia="Times New Roman" w:cs="Times New Roman"/>
      <w:sz w:val="24"/>
      <w:szCs w:val="24"/>
      <w:lang w:eastAsia="zh-CN"/>
    </w:rPr>
  </w:style>
  <w:style w:type="character" w:customStyle="1" w:styleId="BodyTextChar">
    <w:name w:val="Body Text Char"/>
    <w:basedOn w:val="DefaultParagraphFont"/>
    <w:uiPriority w:val="99"/>
    <w:semiHidden/>
    <w:rsid w:val="004738C7"/>
  </w:style>
  <w:style w:type="character" w:customStyle="1" w:styleId="BodyTextChar1">
    <w:name w:val="Body Text Char1"/>
    <w:aliases w:val="OT Body Text Char,Body Char,Tekst Char,Body Text Char Char Char1,Body Text Char Char Char Char"/>
    <w:link w:val="BodyText"/>
    <w:locked/>
    <w:rsid w:val="004738C7"/>
    <w:rPr>
      <w:rFonts w:eastAsia="Times New Roman" w:cs="Times New Roman"/>
      <w:sz w:val="24"/>
      <w:szCs w:val="24"/>
      <w:lang w:eastAsia="zh-CN"/>
    </w:rPr>
  </w:style>
  <w:style w:type="paragraph" w:customStyle="1" w:styleId="Default">
    <w:name w:val="Default"/>
    <w:link w:val="DefaultChar"/>
    <w:rsid w:val="004738C7"/>
    <w:pPr>
      <w:autoSpaceDE w:val="0"/>
      <w:autoSpaceDN w:val="0"/>
      <w:adjustRightInd w:val="0"/>
    </w:pPr>
    <w:rPr>
      <w:rFonts w:eastAsia="Times New Roman" w:cs="Times New Roman"/>
      <w:color w:val="000000"/>
      <w:sz w:val="24"/>
      <w:szCs w:val="24"/>
      <w:lang w:eastAsia="zh-CN"/>
    </w:rPr>
  </w:style>
  <w:style w:type="character" w:customStyle="1" w:styleId="DefaultChar">
    <w:name w:val="Default Char"/>
    <w:link w:val="Default"/>
    <w:uiPriority w:val="99"/>
    <w:locked/>
    <w:rsid w:val="004738C7"/>
    <w:rPr>
      <w:rFonts w:eastAsia="Times New Roman" w:cs="Times New Roman"/>
      <w:color w:val="000000"/>
      <w:sz w:val="24"/>
      <w:szCs w:val="24"/>
      <w:lang w:eastAsia="zh-CN"/>
    </w:rPr>
  </w:style>
  <w:style w:type="paragraph" w:styleId="ListParagraph">
    <w:name w:val="List Paragraph"/>
    <w:aliases w:val="2,H&amp;P List Paragraph,Strip,Saraksta rindkopa,Saraksta rindkopa1"/>
    <w:basedOn w:val="Normal"/>
    <w:link w:val="ListParagraphChar"/>
    <w:uiPriority w:val="34"/>
    <w:qFormat/>
    <w:rsid w:val="004738C7"/>
    <w:pPr>
      <w:spacing w:line="276" w:lineRule="auto"/>
      <w:ind w:left="720"/>
      <w:contextualSpacing/>
    </w:pPr>
    <w:rPr>
      <w:rFonts w:ascii="Calibri" w:eastAsia="Calibri" w:hAnsi="Calibri" w:cs="Times New Roman"/>
      <w:sz w:val="22"/>
    </w:rPr>
  </w:style>
  <w:style w:type="character" w:customStyle="1" w:styleId="ListParagraphChar">
    <w:name w:val="List Paragraph Char"/>
    <w:aliases w:val="2 Char,H&amp;P List Paragraph Char,Strip Char,Saraksta rindkopa Char,Saraksta rindkopa1 Char"/>
    <w:link w:val="ListParagraph"/>
    <w:uiPriority w:val="34"/>
    <w:locked/>
    <w:rsid w:val="004738C7"/>
    <w:rPr>
      <w:rFonts w:ascii="Calibri" w:eastAsia="Calibri" w:hAnsi="Calibri" w:cs="Times New Roman"/>
      <w:sz w:val="22"/>
    </w:rPr>
  </w:style>
  <w:style w:type="table" w:customStyle="1" w:styleId="GridTable2-Accent31">
    <w:name w:val="Grid Table 2 - Accent 31"/>
    <w:basedOn w:val="TableNormal"/>
    <w:uiPriority w:val="47"/>
    <w:rsid w:val="00735CF1"/>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Accent31">
    <w:name w:val="Grid Table 5 Dark - Accent 31"/>
    <w:basedOn w:val="TableNormal"/>
    <w:uiPriority w:val="50"/>
    <w:rsid w:val="00735CF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31">
    <w:name w:val="Grid Table 31"/>
    <w:basedOn w:val="TableNormal"/>
    <w:uiPriority w:val="48"/>
    <w:rsid w:val="00735CF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6Colorful1">
    <w:name w:val="Grid Table 6 Colorful1"/>
    <w:basedOn w:val="TableNormal"/>
    <w:uiPriority w:val="51"/>
    <w:rsid w:val="00735CF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Accent31">
    <w:name w:val="List Table 3 - Accent 31"/>
    <w:basedOn w:val="TableNormal"/>
    <w:uiPriority w:val="48"/>
    <w:rsid w:val="006247B3"/>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GridTable5Dark-Accent11">
    <w:name w:val="Grid Table 5 Dark - Accent 11"/>
    <w:basedOn w:val="TableNormal"/>
    <w:uiPriority w:val="50"/>
    <w:rsid w:val="006247B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ListTable3-Accent11">
    <w:name w:val="List Table 3 - Accent 11"/>
    <w:basedOn w:val="TableNormal"/>
    <w:uiPriority w:val="48"/>
    <w:rsid w:val="006247B3"/>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4-Accent51">
    <w:name w:val="List Table 4 - Accent 51"/>
    <w:basedOn w:val="TableNormal"/>
    <w:uiPriority w:val="49"/>
    <w:rsid w:val="006247B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itle">
    <w:name w:val="Title"/>
    <w:basedOn w:val="Normal"/>
    <w:link w:val="TitleChar"/>
    <w:uiPriority w:val="10"/>
    <w:qFormat/>
    <w:rsid w:val="00034C53"/>
    <w:pPr>
      <w:spacing w:before="120" w:after="120" w:line="276" w:lineRule="auto"/>
      <w:jc w:val="center"/>
    </w:pPr>
    <w:rPr>
      <w:rFonts w:eastAsia="Times New Roman" w:cs="Times New Roman"/>
      <w:b/>
      <w:szCs w:val="28"/>
    </w:rPr>
  </w:style>
  <w:style w:type="character" w:customStyle="1" w:styleId="TitleChar">
    <w:name w:val="Title Char"/>
    <w:basedOn w:val="DefaultParagraphFont"/>
    <w:link w:val="Title"/>
    <w:uiPriority w:val="10"/>
    <w:rsid w:val="00034C53"/>
    <w:rPr>
      <w:rFonts w:eastAsia="Times New Roman" w:cs="Times New Roman"/>
      <w:b/>
      <w:szCs w:val="28"/>
    </w:rPr>
  </w:style>
  <w:style w:type="character" w:styleId="Emphasis">
    <w:name w:val="Emphasis"/>
    <w:basedOn w:val="DefaultParagraphFont"/>
    <w:uiPriority w:val="20"/>
    <w:qFormat/>
    <w:rsid w:val="005D26D0"/>
    <w:rPr>
      <w:i/>
      <w:iCs/>
    </w:rPr>
  </w:style>
  <w:style w:type="character" w:customStyle="1" w:styleId="apple-converted-space">
    <w:name w:val="apple-converted-space"/>
    <w:basedOn w:val="DefaultParagraphFont"/>
    <w:rsid w:val="00072026"/>
  </w:style>
  <w:style w:type="character" w:customStyle="1" w:styleId="cspklasifikatorscodename">
    <w:name w:val="csp_klasifikators_code_name"/>
    <w:basedOn w:val="DefaultParagraphFont"/>
    <w:rsid w:val="00072026"/>
  </w:style>
  <w:style w:type="character" w:customStyle="1" w:styleId="cspklasifikatorscode">
    <w:name w:val="csp_klasifikators_code"/>
    <w:basedOn w:val="DefaultParagraphFont"/>
    <w:rsid w:val="00C4308E"/>
  </w:style>
  <w:style w:type="table" w:customStyle="1" w:styleId="ListTable3-Accent51">
    <w:name w:val="List Table 3 - Accent 51"/>
    <w:basedOn w:val="TableNormal"/>
    <w:uiPriority w:val="48"/>
    <w:rsid w:val="00284C24"/>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1Light-Accent51">
    <w:name w:val="List Table 1 Light - Accent 51"/>
    <w:basedOn w:val="TableNormal"/>
    <w:uiPriority w:val="46"/>
    <w:rsid w:val="00284C24"/>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51">
    <w:name w:val="Grid Table 5 Dark - Accent 51"/>
    <w:basedOn w:val="TableNormal"/>
    <w:uiPriority w:val="50"/>
    <w:rsid w:val="00284C2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4-Accent51">
    <w:name w:val="Grid Table 4 - Accent 51"/>
    <w:basedOn w:val="TableNormal"/>
    <w:uiPriority w:val="49"/>
    <w:rsid w:val="00284C24"/>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11">
    <w:name w:val="Grid Table 4 - Accent 11"/>
    <w:basedOn w:val="TableNormal"/>
    <w:uiPriority w:val="49"/>
    <w:rsid w:val="00B71F4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4-Accent61">
    <w:name w:val="List Table 4 - Accent 61"/>
    <w:basedOn w:val="TableNormal"/>
    <w:uiPriority w:val="49"/>
    <w:rsid w:val="007F19EC"/>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4-Accent11">
    <w:name w:val="List Table 4 - Accent 11"/>
    <w:basedOn w:val="TableNormal"/>
    <w:uiPriority w:val="49"/>
    <w:rsid w:val="007F19EC"/>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1Light1">
    <w:name w:val="Grid Table 1 Light1"/>
    <w:basedOn w:val="TableNormal"/>
    <w:uiPriority w:val="46"/>
    <w:rsid w:val="0066435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vad">
    <w:name w:val="vad"/>
    <w:basedOn w:val="PlainText"/>
    <w:qFormat/>
    <w:rsid w:val="008D1235"/>
    <w:pPr>
      <w:jc w:val="both"/>
    </w:pPr>
    <w:rPr>
      <w:rFonts w:ascii="Times New Roman" w:eastAsia="Calibri" w:hAnsi="Times New Roman" w:cs="Times New Roman"/>
      <w:iCs/>
      <w:sz w:val="24"/>
      <w:szCs w:val="20"/>
      <w:lang w:eastAsia="pl-PL"/>
    </w:rPr>
  </w:style>
  <w:style w:type="paragraph" w:styleId="PlainText">
    <w:name w:val="Plain Text"/>
    <w:basedOn w:val="Normal"/>
    <w:link w:val="PlainTextChar"/>
    <w:uiPriority w:val="99"/>
    <w:unhideWhenUsed/>
    <w:rsid w:val="008D1235"/>
    <w:rPr>
      <w:rFonts w:ascii="Consolas" w:hAnsi="Consolas" w:cs="Consolas"/>
      <w:sz w:val="21"/>
      <w:szCs w:val="21"/>
    </w:rPr>
  </w:style>
  <w:style w:type="character" w:customStyle="1" w:styleId="PlainTextChar">
    <w:name w:val="Plain Text Char"/>
    <w:basedOn w:val="DefaultParagraphFont"/>
    <w:link w:val="PlainText"/>
    <w:uiPriority w:val="99"/>
    <w:rsid w:val="008D1235"/>
    <w:rPr>
      <w:rFonts w:ascii="Consolas" w:hAnsi="Consolas" w:cs="Consolas"/>
      <w:sz w:val="21"/>
      <w:szCs w:val="21"/>
    </w:rPr>
  </w:style>
  <w:style w:type="paragraph" w:styleId="BodyTextIndent">
    <w:name w:val="Body Text Indent"/>
    <w:basedOn w:val="Normal"/>
    <w:link w:val="BodyTextIndentChar"/>
    <w:uiPriority w:val="99"/>
    <w:semiHidden/>
    <w:unhideWhenUsed/>
    <w:rsid w:val="0077432B"/>
    <w:pPr>
      <w:spacing w:after="120"/>
      <w:ind w:left="283"/>
    </w:pPr>
  </w:style>
  <w:style w:type="character" w:customStyle="1" w:styleId="BodyTextIndentChar">
    <w:name w:val="Body Text Indent Char"/>
    <w:basedOn w:val="DefaultParagraphFont"/>
    <w:link w:val="BodyTextIndent"/>
    <w:uiPriority w:val="99"/>
    <w:semiHidden/>
    <w:rsid w:val="0077432B"/>
  </w:style>
  <w:style w:type="paragraph" w:customStyle="1" w:styleId="Proj">
    <w:name w:val="Proj"/>
    <w:basedOn w:val="Normal"/>
    <w:link w:val="ProjChar"/>
    <w:qFormat/>
    <w:rsid w:val="0077432B"/>
    <w:pPr>
      <w:spacing w:line="259" w:lineRule="auto"/>
      <w:ind w:firstLine="720"/>
      <w:jc w:val="both"/>
    </w:pPr>
    <w:rPr>
      <w:rFonts w:cs="Times New Roman"/>
      <w:sz w:val="24"/>
      <w:szCs w:val="24"/>
    </w:rPr>
  </w:style>
  <w:style w:type="character" w:customStyle="1" w:styleId="ProjChar">
    <w:name w:val="Proj Char"/>
    <w:basedOn w:val="DefaultParagraphFont"/>
    <w:link w:val="Proj"/>
    <w:rsid w:val="0077432B"/>
    <w:rPr>
      <w:rFonts w:cs="Times New Roman"/>
      <w:sz w:val="24"/>
      <w:szCs w:val="24"/>
    </w:rPr>
  </w:style>
  <w:style w:type="table" w:customStyle="1" w:styleId="TableGridLight1">
    <w:name w:val="Table Grid Light1"/>
    <w:basedOn w:val="TableNormal"/>
    <w:uiPriority w:val="40"/>
    <w:rsid w:val="004D23E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v213">
    <w:name w:val="tv213"/>
    <w:basedOn w:val="Normal"/>
    <w:rsid w:val="00340B8C"/>
    <w:pPr>
      <w:spacing w:before="100" w:beforeAutospacing="1" w:after="100" w:afterAutospacing="1"/>
    </w:pPr>
    <w:rPr>
      <w:rFonts w:eastAsia="Times New Roman" w:cs="Times New Roman"/>
      <w:sz w:val="24"/>
      <w:szCs w:val="24"/>
      <w:lang w:eastAsia="lv-LV"/>
    </w:rPr>
  </w:style>
  <w:style w:type="paragraph" w:styleId="Revision">
    <w:name w:val="Revision"/>
    <w:hidden/>
    <w:uiPriority w:val="99"/>
    <w:semiHidden/>
    <w:rsid w:val="009B585C"/>
  </w:style>
  <w:style w:type="paragraph" w:customStyle="1" w:styleId="naisf">
    <w:name w:val="naisf"/>
    <w:basedOn w:val="Normal"/>
    <w:uiPriority w:val="99"/>
    <w:rsid w:val="004E5EDA"/>
    <w:pPr>
      <w:spacing w:before="94" w:after="94"/>
      <w:ind w:firstLine="468"/>
      <w:jc w:val="both"/>
    </w:pPr>
    <w:rPr>
      <w:rFonts w:eastAsia="Times New Roman" w:cs="Times New Roman"/>
      <w:sz w:val="24"/>
      <w:szCs w:val="24"/>
      <w:lang w:eastAsia="zh-CN"/>
    </w:rPr>
  </w:style>
  <w:style w:type="paragraph" w:customStyle="1" w:styleId="naisc">
    <w:name w:val="naisc"/>
    <w:basedOn w:val="Normal"/>
    <w:rsid w:val="004E5EDA"/>
    <w:pPr>
      <w:spacing w:before="100" w:beforeAutospacing="1" w:after="100" w:afterAutospacing="1"/>
    </w:pPr>
    <w:rPr>
      <w:rFonts w:eastAsia="Times New Roman" w:cs="Times New Roman"/>
      <w:sz w:val="24"/>
      <w:szCs w:val="24"/>
      <w:lang w:eastAsia="zh-CN"/>
    </w:rPr>
  </w:style>
  <w:style w:type="character" w:customStyle="1" w:styleId="Heading3Char">
    <w:name w:val="Heading 3 Char"/>
    <w:basedOn w:val="DefaultParagraphFont"/>
    <w:link w:val="Heading3"/>
    <w:uiPriority w:val="9"/>
    <w:rsid w:val="0095397B"/>
    <w:rPr>
      <w:rFonts w:eastAsiaTheme="majorEastAsia" w:cstheme="majorBidi"/>
      <w:sz w:val="24"/>
      <w:szCs w:val="24"/>
    </w:rPr>
  </w:style>
  <w:style w:type="paragraph" w:styleId="TOCHeading">
    <w:name w:val="TOC Heading"/>
    <w:basedOn w:val="Heading1"/>
    <w:next w:val="Normal"/>
    <w:uiPriority w:val="39"/>
    <w:unhideWhenUsed/>
    <w:qFormat/>
    <w:rsid w:val="0095397B"/>
    <w:pPr>
      <w:spacing w:before="240" w:line="259" w:lineRule="auto"/>
      <w:outlineLvl w:val="9"/>
    </w:pPr>
    <w:rPr>
      <w:rFonts w:asciiTheme="majorHAnsi" w:eastAsiaTheme="majorEastAsia" w:hAnsiTheme="majorHAnsi" w:cstheme="majorBidi"/>
      <w:b w:val="0"/>
      <w:bCs w:val="0"/>
      <w:color w:val="2E74B5" w:themeColor="accent1" w:themeShade="BF"/>
      <w:sz w:val="32"/>
      <w:szCs w:val="32"/>
      <w:lang w:val="en-US" w:eastAsia="en-US"/>
    </w:rPr>
  </w:style>
  <w:style w:type="paragraph" w:styleId="TOC1">
    <w:name w:val="toc 1"/>
    <w:basedOn w:val="Normal"/>
    <w:next w:val="Normal"/>
    <w:autoRedefine/>
    <w:uiPriority w:val="39"/>
    <w:unhideWhenUsed/>
    <w:rsid w:val="0024514E"/>
    <w:pPr>
      <w:spacing w:after="100"/>
    </w:pPr>
    <w:rPr>
      <w:sz w:val="24"/>
    </w:rPr>
  </w:style>
  <w:style w:type="paragraph" w:styleId="TOC2">
    <w:name w:val="toc 2"/>
    <w:basedOn w:val="Normal"/>
    <w:next w:val="Normal"/>
    <w:autoRedefine/>
    <w:uiPriority w:val="39"/>
    <w:unhideWhenUsed/>
    <w:rsid w:val="0024514E"/>
    <w:pPr>
      <w:spacing w:after="100"/>
      <w:ind w:left="280"/>
    </w:pPr>
    <w:rPr>
      <w:sz w:val="24"/>
    </w:rPr>
  </w:style>
  <w:style w:type="paragraph" w:styleId="TOC3">
    <w:name w:val="toc 3"/>
    <w:basedOn w:val="Normal"/>
    <w:next w:val="Normal"/>
    <w:autoRedefine/>
    <w:uiPriority w:val="39"/>
    <w:unhideWhenUsed/>
    <w:rsid w:val="0095397B"/>
    <w:pPr>
      <w:spacing w:after="100"/>
      <w:ind w:left="560"/>
    </w:pPr>
  </w:style>
  <w:style w:type="character" w:customStyle="1" w:styleId="longtext1">
    <w:name w:val="long_text1"/>
    <w:basedOn w:val="DefaultParagraphFont"/>
    <w:rsid w:val="00241D38"/>
    <w:rPr>
      <w:sz w:val="12"/>
      <w:szCs w:val="12"/>
    </w:rPr>
  </w:style>
  <w:style w:type="table" w:customStyle="1" w:styleId="MediumGrid3-Accent41">
    <w:name w:val="Medium Grid 3 - Accent 41"/>
    <w:basedOn w:val="TableNormal"/>
    <w:uiPriority w:val="69"/>
    <w:rsid w:val="00241D38"/>
    <w:rPr>
      <w:rFonts w:asciiTheme="minorHAnsi" w:hAnsiTheme="minorHAnsi"/>
      <w:sz w:val="22"/>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411">
    <w:name w:val="Medium Grid 3 - Accent 411"/>
    <w:basedOn w:val="TableNormal"/>
    <w:uiPriority w:val="69"/>
    <w:rsid w:val="00241D38"/>
    <w:rPr>
      <w:rFonts w:asciiTheme="minorHAnsi" w:hAnsiTheme="minorHAnsi"/>
      <w:sz w:val="22"/>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412">
    <w:name w:val="Medium Grid 3 - Accent 412"/>
    <w:basedOn w:val="TableNormal"/>
    <w:uiPriority w:val="69"/>
    <w:rsid w:val="00241D38"/>
    <w:rPr>
      <w:rFonts w:asciiTheme="minorHAnsi" w:hAnsiTheme="minorHAnsi"/>
      <w:sz w:val="22"/>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ListTable5Dark-Accent11">
    <w:name w:val="List Table 5 Dark - Accent 11"/>
    <w:basedOn w:val="TableNormal"/>
    <w:uiPriority w:val="50"/>
    <w:rsid w:val="005C5B40"/>
    <w:rPr>
      <w:rFonts w:asciiTheme="minorHAnsi" w:hAnsiTheme="minorHAnsi"/>
      <w:color w:val="FFFFFF" w:themeColor="background1"/>
      <w:sz w:val="22"/>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eGrid1">
    <w:name w:val="Table Grid1"/>
    <w:basedOn w:val="TableNormal"/>
    <w:next w:val="TableGrid"/>
    <w:uiPriority w:val="39"/>
    <w:rsid w:val="00237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237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5Dark-Accent111">
    <w:name w:val="List Table 5 Dark - Accent 111"/>
    <w:basedOn w:val="TableNormal"/>
    <w:uiPriority w:val="50"/>
    <w:rsid w:val="00237CF4"/>
    <w:rPr>
      <w:rFonts w:ascii="Calibri" w:hAnsi="Calibri"/>
      <w:color w:val="FFFFFF"/>
      <w:sz w:val="22"/>
    </w:rPr>
    <w:tblPr>
      <w:tblStyleRowBandSize w:val="1"/>
      <w:tblStyleColBandSize w:val="1"/>
      <w:tblBorders>
        <w:top w:val="single" w:sz="24" w:space="0" w:color="4F81BD"/>
        <w:left w:val="single" w:sz="24" w:space="0" w:color="4F81BD"/>
        <w:bottom w:val="single" w:sz="24" w:space="0" w:color="4F81BD"/>
        <w:right w:val="single" w:sz="24" w:space="0" w:color="4F81BD"/>
      </w:tblBorders>
    </w:tblPr>
    <w:tcPr>
      <w:shd w:val="clear" w:color="auto" w:fill="4F81BD"/>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PlainTable41">
    <w:name w:val="Plain Table 41"/>
    <w:basedOn w:val="TableNormal"/>
    <w:uiPriority w:val="44"/>
    <w:rsid w:val="0023663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2">
    <w:name w:val="Table Grid2"/>
    <w:basedOn w:val="TableNormal"/>
    <w:next w:val="TableGrid"/>
    <w:uiPriority w:val="39"/>
    <w:rsid w:val="00F3243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Return">
    <w:name w:val="envelope return"/>
    <w:basedOn w:val="Normal"/>
    <w:uiPriority w:val="99"/>
    <w:semiHidden/>
    <w:unhideWhenUsed/>
    <w:rsid w:val="006C6BED"/>
    <w:rPr>
      <w:rFonts w:asciiTheme="majorHAnsi" w:eastAsiaTheme="majorEastAsia" w:hAnsiTheme="majorHAnsi" w:cstheme="majorBidi"/>
      <w:sz w:val="20"/>
      <w:szCs w:val="20"/>
    </w:rPr>
  </w:style>
  <w:style w:type="table" w:styleId="GridTable1Light">
    <w:name w:val="Grid Table 1 Light"/>
    <w:basedOn w:val="TableNormal"/>
    <w:uiPriority w:val="46"/>
    <w:rsid w:val="0004557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7Colorful-Accent1">
    <w:name w:val="List Table 7 Colorful Accent 1"/>
    <w:basedOn w:val="TableNormal"/>
    <w:uiPriority w:val="52"/>
    <w:rsid w:val="00691589"/>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5">
    <w:name w:val="Plain Table 5"/>
    <w:basedOn w:val="TableNormal"/>
    <w:uiPriority w:val="45"/>
    <w:rsid w:val="0069158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9474">
      <w:bodyDiv w:val="1"/>
      <w:marLeft w:val="0"/>
      <w:marRight w:val="0"/>
      <w:marTop w:val="0"/>
      <w:marBottom w:val="0"/>
      <w:divBdr>
        <w:top w:val="none" w:sz="0" w:space="0" w:color="auto"/>
        <w:left w:val="none" w:sz="0" w:space="0" w:color="auto"/>
        <w:bottom w:val="none" w:sz="0" w:space="0" w:color="auto"/>
        <w:right w:val="none" w:sz="0" w:space="0" w:color="auto"/>
      </w:divBdr>
    </w:div>
    <w:div w:id="74523754">
      <w:bodyDiv w:val="1"/>
      <w:marLeft w:val="0"/>
      <w:marRight w:val="0"/>
      <w:marTop w:val="0"/>
      <w:marBottom w:val="0"/>
      <w:divBdr>
        <w:top w:val="none" w:sz="0" w:space="0" w:color="auto"/>
        <w:left w:val="none" w:sz="0" w:space="0" w:color="auto"/>
        <w:bottom w:val="none" w:sz="0" w:space="0" w:color="auto"/>
        <w:right w:val="none" w:sz="0" w:space="0" w:color="auto"/>
      </w:divBdr>
    </w:div>
    <w:div w:id="173347550">
      <w:bodyDiv w:val="1"/>
      <w:marLeft w:val="0"/>
      <w:marRight w:val="0"/>
      <w:marTop w:val="0"/>
      <w:marBottom w:val="0"/>
      <w:divBdr>
        <w:top w:val="none" w:sz="0" w:space="0" w:color="auto"/>
        <w:left w:val="none" w:sz="0" w:space="0" w:color="auto"/>
        <w:bottom w:val="none" w:sz="0" w:space="0" w:color="auto"/>
        <w:right w:val="none" w:sz="0" w:space="0" w:color="auto"/>
      </w:divBdr>
    </w:div>
    <w:div w:id="196353162">
      <w:bodyDiv w:val="1"/>
      <w:marLeft w:val="0"/>
      <w:marRight w:val="0"/>
      <w:marTop w:val="0"/>
      <w:marBottom w:val="0"/>
      <w:divBdr>
        <w:top w:val="none" w:sz="0" w:space="0" w:color="auto"/>
        <w:left w:val="none" w:sz="0" w:space="0" w:color="auto"/>
        <w:bottom w:val="none" w:sz="0" w:space="0" w:color="auto"/>
        <w:right w:val="none" w:sz="0" w:space="0" w:color="auto"/>
      </w:divBdr>
      <w:divsChild>
        <w:div w:id="269171026">
          <w:marLeft w:val="0"/>
          <w:marRight w:val="0"/>
          <w:marTop w:val="0"/>
          <w:marBottom w:val="0"/>
          <w:divBdr>
            <w:top w:val="none" w:sz="0" w:space="0" w:color="auto"/>
            <w:left w:val="none" w:sz="0" w:space="0" w:color="auto"/>
            <w:bottom w:val="none" w:sz="0" w:space="0" w:color="auto"/>
            <w:right w:val="none" w:sz="0" w:space="0" w:color="auto"/>
          </w:divBdr>
          <w:divsChild>
            <w:div w:id="1014838586">
              <w:marLeft w:val="0"/>
              <w:marRight w:val="0"/>
              <w:marTop w:val="0"/>
              <w:marBottom w:val="0"/>
              <w:divBdr>
                <w:top w:val="none" w:sz="0" w:space="0" w:color="auto"/>
                <w:left w:val="none" w:sz="0" w:space="0" w:color="auto"/>
                <w:bottom w:val="none" w:sz="0" w:space="0" w:color="auto"/>
                <w:right w:val="none" w:sz="0" w:space="0" w:color="auto"/>
              </w:divBdr>
              <w:divsChild>
                <w:div w:id="452092122">
                  <w:marLeft w:val="-3735"/>
                  <w:marRight w:val="0"/>
                  <w:marTop w:val="0"/>
                  <w:marBottom w:val="0"/>
                  <w:divBdr>
                    <w:top w:val="none" w:sz="0" w:space="0" w:color="auto"/>
                    <w:left w:val="none" w:sz="0" w:space="0" w:color="auto"/>
                    <w:bottom w:val="none" w:sz="0" w:space="0" w:color="auto"/>
                    <w:right w:val="none" w:sz="0" w:space="0" w:color="auto"/>
                  </w:divBdr>
                  <w:divsChild>
                    <w:div w:id="1122114446">
                      <w:marLeft w:val="3735"/>
                      <w:marRight w:val="0"/>
                      <w:marTop w:val="0"/>
                      <w:marBottom w:val="0"/>
                      <w:divBdr>
                        <w:top w:val="none" w:sz="0" w:space="0" w:color="auto"/>
                        <w:left w:val="none" w:sz="0" w:space="0" w:color="auto"/>
                        <w:bottom w:val="none" w:sz="0" w:space="0" w:color="auto"/>
                        <w:right w:val="none" w:sz="0" w:space="0" w:color="auto"/>
                      </w:divBdr>
                      <w:divsChild>
                        <w:div w:id="1156266226">
                          <w:marLeft w:val="0"/>
                          <w:marRight w:val="0"/>
                          <w:marTop w:val="0"/>
                          <w:marBottom w:val="0"/>
                          <w:divBdr>
                            <w:top w:val="single" w:sz="6" w:space="0" w:color="E3E3E3"/>
                            <w:left w:val="none" w:sz="0" w:space="0" w:color="auto"/>
                            <w:bottom w:val="none" w:sz="0" w:space="0" w:color="auto"/>
                            <w:right w:val="none" w:sz="0" w:space="0" w:color="auto"/>
                          </w:divBdr>
                          <w:divsChild>
                            <w:div w:id="1524661982">
                              <w:marLeft w:val="0"/>
                              <w:marRight w:val="0"/>
                              <w:marTop w:val="0"/>
                              <w:marBottom w:val="0"/>
                              <w:divBdr>
                                <w:top w:val="none" w:sz="0" w:space="0" w:color="auto"/>
                                <w:left w:val="none" w:sz="0" w:space="0" w:color="auto"/>
                                <w:bottom w:val="none" w:sz="0" w:space="0" w:color="auto"/>
                                <w:right w:val="none" w:sz="0" w:space="0" w:color="auto"/>
                              </w:divBdr>
                              <w:divsChild>
                                <w:div w:id="1247765016">
                                  <w:marLeft w:val="0"/>
                                  <w:marRight w:val="0"/>
                                  <w:marTop w:val="0"/>
                                  <w:marBottom w:val="0"/>
                                  <w:divBdr>
                                    <w:top w:val="none" w:sz="0" w:space="0" w:color="auto"/>
                                    <w:left w:val="none" w:sz="0" w:space="0" w:color="auto"/>
                                    <w:bottom w:val="none" w:sz="0" w:space="0" w:color="auto"/>
                                    <w:right w:val="none" w:sz="0" w:space="0" w:color="auto"/>
                                  </w:divBdr>
                                  <w:divsChild>
                                    <w:div w:id="669064876">
                                      <w:marLeft w:val="0"/>
                                      <w:marRight w:val="0"/>
                                      <w:marTop w:val="0"/>
                                      <w:marBottom w:val="0"/>
                                      <w:divBdr>
                                        <w:top w:val="none" w:sz="0" w:space="0" w:color="auto"/>
                                        <w:left w:val="none" w:sz="0" w:space="0" w:color="auto"/>
                                        <w:bottom w:val="none" w:sz="0" w:space="0" w:color="auto"/>
                                        <w:right w:val="none" w:sz="0" w:space="0" w:color="auto"/>
                                      </w:divBdr>
                                      <w:divsChild>
                                        <w:div w:id="211782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4360710">
      <w:bodyDiv w:val="1"/>
      <w:marLeft w:val="0"/>
      <w:marRight w:val="0"/>
      <w:marTop w:val="0"/>
      <w:marBottom w:val="0"/>
      <w:divBdr>
        <w:top w:val="none" w:sz="0" w:space="0" w:color="auto"/>
        <w:left w:val="none" w:sz="0" w:space="0" w:color="auto"/>
        <w:bottom w:val="none" w:sz="0" w:space="0" w:color="auto"/>
        <w:right w:val="none" w:sz="0" w:space="0" w:color="auto"/>
      </w:divBdr>
    </w:div>
    <w:div w:id="334917963">
      <w:bodyDiv w:val="1"/>
      <w:marLeft w:val="0"/>
      <w:marRight w:val="0"/>
      <w:marTop w:val="0"/>
      <w:marBottom w:val="0"/>
      <w:divBdr>
        <w:top w:val="none" w:sz="0" w:space="0" w:color="auto"/>
        <w:left w:val="none" w:sz="0" w:space="0" w:color="auto"/>
        <w:bottom w:val="none" w:sz="0" w:space="0" w:color="auto"/>
        <w:right w:val="none" w:sz="0" w:space="0" w:color="auto"/>
      </w:divBdr>
    </w:div>
    <w:div w:id="455029584">
      <w:bodyDiv w:val="1"/>
      <w:marLeft w:val="0"/>
      <w:marRight w:val="0"/>
      <w:marTop w:val="0"/>
      <w:marBottom w:val="0"/>
      <w:divBdr>
        <w:top w:val="none" w:sz="0" w:space="0" w:color="auto"/>
        <w:left w:val="none" w:sz="0" w:space="0" w:color="auto"/>
        <w:bottom w:val="none" w:sz="0" w:space="0" w:color="auto"/>
        <w:right w:val="none" w:sz="0" w:space="0" w:color="auto"/>
      </w:divBdr>
    </w:div>
    <w:div w:id="492337985">
      <w:bodyDiv w:val="1"/>
      <w:marLeft w:val="0"/>
      <w:marRight w:val="0"/>
      <w:marTop w:val="0"/>
      <w:marBottom w:val="0"/>
      <w:divBdr>
        <w:top w:val="none" w:sz="0" w:space="0" w:color="auto"/>
        <w:left w:val="none" w:sz="0" w:space="0" w:color="auto"/>
        <w:bottom w:val="none" w:sz="0" w:space="0" w:color="auto"/>
        <w:right w:val="none" w:sz="0" w:space="0" w:color="auto"/>
      </w:divBdr>
    </w:div>
    <w:div w:id="540557013">
      <w:bodyDiv w:val="1"/>
      <w:marLeft w:val="0"/>
      <w:marRight w:val="0"/>
      <w:marTop w:val="0"/>
      <w:marBottom w:val="0"/>
      <w:divBdr>
        <w:top w:val="none" w:sz="0" w:space="0" w:color="auto"/>
        <w:left w:val="none" w:sz="0" w:space="0" w:color="auto"/>
        <w:bottom w:val="none" w:sz="0" w:space="0" w:color="auto"/>
        <w:right w:val="none" w:sz="0" w:space="0" w:color="auto"/>
      </w:divBdr>
    </w:div>
    <w:div w:id="547570788">
      <w:bodyDiv w:val="1"/>
      <w:marLeft w:val="0"/>
      <w:marRight w:val="0"/>
      <w:marTop w:val="0"/>
      <w:marBottom w:val="0"/>
      <w:divBdr>
        <w:top w:val="none" w:sz="0" w:space="0" w:color="auto"/>
        <w:left w:val="none" w:sz="0" w:space="0" w:color="auto"/>
        <w:bottom w:val="none" w:sz="0" w:space="0" w:color="auto"/>
        <w:right w:val="none" w:sz="0" w:space="0" w:color="auto"/>
      </w:divBdr>
    </w:div>
    <w:div w:id="637030059">
      <w:bodyDiv w:val="1"/>
      <w:marLeft w:val="0"/>
      <w:marRight w:val="0"/>
      <w:marTop w:val="0"/>
      <w:marBottom w:val="0"/>
      <w:divBdr>
        <w:top w:val="none" w:sz="0" w:space="0" w:color="auto"/>
        <w:left w:val="none" w:sz="0" w:space="0" w:color="auto"/>
        <w:bottom w:val="none" w:sz="0" w:space="0" w:color="auto"/>
        <w:right w:val="none" w:sz="0" w:space="0" w:color="auto"/>
      </w:divBdr>
    </w:div>
    <w:div w:id="646472365">
      <w:bodyDiv w:val="1"/>
      <w:marLeft w:val="0"/>
      <w:marRight w:val="0"/>
      <w:marTop w:val="0"/>
      <w:marBottom w:val="0"/>
      <w:divBdr>
        <w:top w:val="none" w:sz="0" w:space="0" w:color="auto"/>
        <w:left w:val="none" w:sz="0" w:space="0" w:color="auto"/>
        <w:bottom w:val="none" w:sz="0" w:space="0" w:color="auto"/>
        <w:right w:val="none" w:sz="0" w:space="0" w:color="auto"/>
      </w:divBdr>
    </w:div>
    <w:div w:id="704915187">
      <w:bodyDiv w:val="1"/>
      <w:marLeft w:val="0"/>
      <w:marRight w:val="0"/>
      <w:marTop w:val="0"/>
      <w:marBottom w:val="0"/>
      <w:divBdr>
        <w:top w:val="none" w:sz="0" w:space="0" w:color="auto"/>
        <w:left w:val="none" w:sz="0" w:space="0" w:color="auto"/>
        <w:bottom w:val="none" w:sz="0" w:space="0" w:color="auto"/>
        <w:right w:val="none" w:sz="0" w:space="0" w:color="auto"/>
      </w:divBdr>
    </w:div>
    <w:div w:id="755903742">
      <w:bodyDiv w:val="1"/>
      <w:marLeft w:val="0"/>
      <w:marRight w:val="0"/>
      <w:marTop w:val="0"/>
      <w:marBottom w:val="0"/>
      <w:divBdr>
        <w:top w:val="none" w:sz="0" w:space="0" w:color="auto"/>
        <w:left w:val="none" w:sz="0" w:space="0" w:color="auto"/>
        <w:bottom w:val="none" w:sz="0" w:space="0" w:color="auto"/>
        <w:right w:val="none" w:sz="0" w:space="0" w:color="auto"/>
      </w:divBdr>
    </w:div>
    <w:div w:id="788013327">
      <w:bodyDiv w:val="1"/>
      <w:marLeft w:val="0"/>
      <w:marRight w:val="0"/>
      <w:marTop w:val="0"/>
      <w:marBottom w:val="0"/>
      <w:divBdr>
        <w:top w:val="none" w:sz="0" w:space="0" w:color="auto"/>
        <w:left w:val="none" w:sz="0" w:space="0" w:color="auto"/>
        <w:bottom w:val="none" w:sz="0" w:space="0" w:color="auto"/>
        <w:right w:val="none" w:sz="0" w:space="0" w:color="auto"/>
      </w:divBdr>
    </w:div>
    <w:div w:id="821390899">
      <w:bodyDiv w:val="1"/>
      <w:marLeft w:val="0"/>
      <w:marRight w:val="0"/>
      <w:marTop w:val="0"/>
      <w:marBottom w:val="0"/>
      <w:divBdr>
        <w:top w:val="none" w:sz="0" w:space="0" w:color="auto"/>
        <w:left w:val="none" w:sz="0" w:space="0" w:color="auto"/>
        <w:bottom w:val="none" w:sz="0" w:space="0" w:color="auto"/>
        <w:right w:val="none" w:sz="0" w:space="0" w:color="auto"/>
      </w:divBdr>
    </w:div>
    <w:div w:id="826745399">
      <w:bodyDiv w:val="1"/>
      <w:marLeft w:val="0"/>
      <w:marRight w:val="0"/>
      <w:marTop w:val="0"/>
      <w:marBottom w:val="0"/>
      <w:divBdr>
        <w:top w:val="none" w:sz="0" w:space="0" w:color="auto"/>
        <w:left w:val="none" w:sz="0" w:space="0" w:color="auto"/>
        <w:bottom w:val="none" w:sz="0" w:space="0" w:color="auto"/>
        <w:right w:val="none" w:sz="0" w:space="0" w:color="auto"/>
      </w:divBdr>
    </w:div>
    <w:div w:id="883909190">
      <w:bodyDiv w:val="1"/>
      <w:marLeft w:val="0"/>
      <w:marRight w:val="0"/>
      <w:marTop w:val="0"/>
      <w:marBottom w:val="0"/>
      <w:divBdr>
        <w:top w:val="none" w:sz="0" w:space="0" w:color="auto"/>
        <w:left w:val="none" w:sz="0" w:space="0" w:color="auto"/>
        <w:bottom w:val="none" w:sz="0" w:space="0" w:color="auto"/>
        <w:right w:val="none" w:sz="0" w:space="0" w:color="auto"/>
      </w:divBdr>
    </w:div>
    <w:div w:id="912817690">
      <w:bodyDiv w:val="1"/>
      <w:marLeft w:val="0"/>
      <w:marRight w:val="0"/>
      <w:marTop w:val="0"/>
      <w:marBottom w:val="0"/>
      <w:divBdr>
        <w:top w:val="none" w:sz="0" w:space="0" w:color="auto"/>
        <w:left w:val="none" w:sz="0" w:space="0" w:color="auto"/>
        <w:bottom w:val="none" w:sz="0" w:space="0" w:color="auto"/>
        <w:right w:val="none" w:sz="0" w:space="0" w:color="auto"/>
      </w:divBdr>
    </w:div>
    <w:div w:id="942224996">
      <w:bodyDiv w:val="1"/>
      <w:marLeft w:val="0"/>
      <w:marRight w:val="0"/>
      <w:marTop w:val="0"/>
      <w:marBottom w:val="0"/>
      <w:divBdr>
        <w:top w:val="none" w:sz="0" w:space="0" w:color="auto"/>
        <w:left w:val="none" w:sz="0" w:space="0" w:color="auto"/>
        <w:bottom w:val="none" w:sz="0" w:space="0" w:color="auto"/>
        <w:right w:val="none" w:sz="0" w:space="0" w:color="auto"/>
      </w:divBdr>
      <w:divsChild>
        <w:div w:id="8339515">
          <w:marLeft w:val="0"/>
          <w:marRight w:val="0"/>
          <w:marTop w:val="0"/>
          <w:marBottom w:val="0"/>
          <w:divBdr>
            <w:top w:val="none" w:sz="0" w:space="0" w:color="auto"/>
            <w:left w:val="none" w:sz="0" w:space="0" w:color="auto"/>
            <w:bottom w:val="none" w:sz="0" w:space="0" w:color="auto"/>
            <w:right w:val="none" w:sz="0" w:space="0" w:color="auto"/>
          </w:divBdr>
        </w:div>
        <w:div w:id="165749031">
          <w:marLeft w:val="0"/>
          <w:marRight w:val="0"/>
          <w:marTop w:val="0"/>
          <w:marBottom w:val="0"/>
          <w:divBdr>
            <w:top w:val="none" w:sz="0" w:space="0" w:color="auto"/>
            <w:left w:val="none" w:sz="0" w:space="0" w:color="auto"/>
            <w:bottom w:val="none" w:sz="0" w:space="0" w:color="auto"/>
            <w:right w:val="none" w:sz="0" w:space="0" w:color="auto"/>
          </w:divBdr>
        </w:div>
        <w:div w:id="341589599">
          <w:marLeft w:val="0"/>
          <w:marRight w:val="0"/>
          <w:marTop w:val="0"/>
          <w:marBottom w:val="0"/>
          <w:divBdr>
            <w:top w:val="none" w:sz="0" w:space="0" w:color="auto"/>
            <w:left w:val="none" w:sz="0" w:space="0" w:color="auto"/>
            <w:bottom w:val="none" w:sz="0" w:space="0" w:color="auto"/>
            <w:right w:val="none" w:sz="0" w:space="0" w:color="auto"/>
          </w:divBdr>
        </w:div>
        <w:div w:id="401099102">
          <w:marLeft w:val="0"/>
          <w:marRight w:val="0"/>
          <w:marTop w:val="0"/>
          <w:marBottom w:val="0"/>
          <w:divBdr>
            <w:top w:val="none" w:sz="0" w:space="0" w:color="auto"/>
            <w:left w:val="none" w:sz="0" w:space="0" w:color="auto"/>
            <w:bottom w:val="none" w:sz="0" w:space="0" w:color="auto"/>
            <w:right w:val="none" w:sz="0" w:space="0" w:color="auto"/>
          </w:divBdr>
        </w:div>
        <w:div w:id="1117676418">
          <w:marLeft w:val="0"/>
          <w:marRight w:val="0"/>
          <w:marTop w:val="0"/>
          <w:marBottom w:val="0"/>
          <w:divBdr>
            <w:top w:val="none" w:sz="0" w:space="0" w:color="auto"/>
            <w:left w:val="none" w:sz="0" w:space="0" w:color="auto"/>
            <w:bottom w:val="none" w:sz="0" w:space="0" w:color="auto"/>
            <w:right w:val="none" w:sz="0" w:space="0" w:color="auto"/>
          </w:divBdr>
        </w:div>
        <w:div w:id="1341741276">
          <w:marLeft w:val="0"/>
          <w:marRight w:val="0"/>
          <w:marTop w:val="0"/>
          <w:marBottom w:val="0"/>
          <w:divBdr>
            <w:top w:val="none" w:sz="0" w:space="0" w:color="auto"/>
            <w:left w:val="none" w:sz="0" w:space="0" w:color="auto"/>
            <w:bottom w:val="none" w:sz="0" w:space="0" w:color="auto"/>
            <w:right w:val="none" w:sz="0" w:space="0" w:color="auto"/>
          </w:divBdr>
        </w:div>
        <w:div w:id="1504124023">
          <w:marLeft w:val="0"/>
          <w:marRight w:val="0"/>
          <w:marTop w:val="0"/>
          <w:marBottom w:val="0"/>
          <w:divBdr>
            <w:top w:val="none" w:sz="0" w:space="0" w:color="auto"/>
            <w:left w:val="none" w:sz="0" w:space="0" w:color="auto"/>
            <w:bottom w:val="none" w:sz="0" w:space="0" w:color="auto"/>
            <w:right w:val="none" w:sz="0" w:space="0" w:color="auto"/>
          </w:divBdr>
        </w:div>
        <w:div w:id="1622226217">
          <w:marLeft w:val="0"/>
          <w:marRight w:val="0"/>
          <w:marTop w:val="0"/>
          <w:marBottom w:val="0"/>
          <w:divBdr>
            <w:top w:val="none" w:sz="0" w:space="0" w:color="auto"/>
            <w:left w:val="none" w:sz="0" w:space="0" w:color="auto"/>
            <w:bottom w:val="none" w:sz="0" w:space="0" w:color="auto"/>
            <w:right w:val="none" w:sz="0" w:space="0" w:color="auto"/>
          </w:divBdr>
        </w:div>
      </w:divsChild>
    </w:div>
    <w:div w:id="1006907507">
      <w:bodyDiv w:val="1"/>
      <w:marLeft w:val="0"/>
      <w:marRight w:val="0"/>
      <w:marTop w:val="0"/>
      <w:marBottom w:val="0"/>
      <w:divBdr>
        <w:top w:val="none" w:sz="0" w:space="0" w:color="auto"/>
        <w:left w:val="none" w:sz="0" w:space="0" w:color="auto"/>
        <w:bottom w:val="none" w:sz="0" w:space="0" w:color="auto"/>
        <w:right w:val="none" w:sz="0" w:space="0" w:color="auto"/>
      </w:divBdr>
      <w:divsChild>
        <w:div w:id="903757486">
          <w:marLeft w:val="0"/>
          <w:marRight w:val="0"/>
          <w:marTop w:val="0"/>
          <w:marBottom w:val="0"/>
          <w:divBdr>
            <w:top w:val="none" w:sz="0" w:space="0" w:color="auto"/>
            <w:left w:val="none" w:sz="0" w:space="0" w:color="auto"/>
            <w:bottom w:val="none" w:sz="0" w:space="0" w:color="auto"/>
            <w:right w:val="none" w:sz="0" w:space="0" w:color="auto"/>
          </w:divBdr>
          <w:divsChild>
            <w:div w:id="900024313">
              <w:marLeft w:val="0"/>
              <w:marRight w:val="0"/>
              <w:marTop w:val="0"/>
              <w:marBottom w:val="0"/>
              <w:divBdr>
                <w:top w:val="none" w:sz="0" w:space="0" w:color="auto"/>
                <w:left w:val="none" w:sz="0" w:space="0" w:color="auto"/>
                <w:bottom w:val="none" w:sz="0" w:space="0" w:color="auto"/>
                <w:right w:val="none" w:sz="0" w:space="0" w:color="auto"/>
              </w:divBdr>
            </w:div>
          </w:divsChild>
        </w:div>
        <w:div w:id="1071539872">
          <w:marLeft w:val="0"/>
          <w:marRight w:val="0"/>
          <w:marTop w:val="0"/>
          <w:marBottom w:val="0"/>
          <w:divBdr>
            <w:top w:val="none" w:sz="0" w:space="0" w:color="auto"/>
            <w:left w:val="none" w:sz="0" w:space="0" w:color="auto"/>
            <w:bottom w:val="none" w:sz="0" w:space="0" w:color="auto"/>
            <w:right w:val="none" w:sz="0" w:space="0" w:color="auto"/>
          </w:divBdr>
        </w:div>
      </w:divsChild>
    </w:div>
    <w:div w:id="1041587572">
      <w:bodyDiv w:val="1"/>
      <w:marLeft w:val="0"/>
      <w:marRight w:val="0"/>
      <w:marTop w:val="0"/>
      <w:marBottom w:val="0"/>
      <w:divBdr>
        <w:top w:val="none" w:sz="0" w:space="0" w:color="auto"/>
        <w:left w:val="none" w:sz="0" w:space="0" w:color="auto"/>
        <w:bottom w:val="none" w:sz="0" w:space="0" w:color="auto"/>
        <w:right w:val="none" w:sz="0" w:space="0" w:color="auto"/>
      </w:divBdr>
    </w:div>
    <w:div w:id="1142775195">
      <w:bodyDiv w:val="1"/>
      <w:marLeft w:val="0"/>
      <w:marRight w:val="0"/>
      <w:marTop w:val="0"/>
      <w:marBottom w:val="0"/>
      <w:divBdr>
        <w:top w:val="none" w:sz="0" w:space="0" w:color="auto"/>
        <w:left w:val="none" w:sz="0" w:space="0" w:color="auto"/>
        <w:bottom w:val="none" w:sz="0" w:space="0" w:color="auto"/>
        <w:right w:val="none" w:sz="0" w:space="0" w:color="auto"/>
      </w:divBdr>
    </w:div>
    <w:div w:id="1180698454">
      <w:bodyDiv w:val="1"/>
      <w:marLeft w:val="0"/>
      <w:marRight w:val="0"/>
      <w:marTop w:val="0"/>
      <w:marBottom w:val="0"/>
      <w:divBdr>
        <w:top w:val="none" w:sz="0" w:space="0" w:color="auto"/>
        <w:left w:val="none" w:sz="0" w:space="0" w:color="auto"/>
        <w:bottom w:val="none" w:sz="0" w:space="0" w:color="auto"/>
        <w:right w:val="none" w:sz="0" w:space="0" w:color="auto"/>
      </w:divBdr>
    </w:div>
    <w:div w:id="1224873741">
      <w:bodyDiv w:val="1"/>
      <w:marLeft w:val="0"/>
      <w:marRight w:val="0"/>
      <w:marTop w:val="0"/>
      <w:marBottom w:val="0"/>
      <w:divBdr>
        <w:top w:val="none" w:sz="0" w:space="0" w:color="auto"/>
        <w:left w:val="none" w:sz="0" w:space="0" w:color="auto"/>
        <w:bottom w:val="none" w:sz="0" w:space="0" w:color="auto"/>
        <w:right w:val="none" w:sz="0" w:space="0" w:color="auto"/>
      </w:divBdr>
    </w:div>
    <w:div w:id="1228690370">
      <w:bodyDiv w:val="1"/>
      <w:marLeft w:val="0"/>
      <w:marRight w:val="0"/>
      <w:marTop w:val="0"/>
      <w:marBottom w:val="0"/>
      <w:divBdr>
        <w:top w:val="none" w:sz="0" w:space="0" w:color="auto"/>
        <w:left w:val="none" w:sz="0" w:space="0" w:color="auto"/>
        <w:bottom w:val="none" w:sz="0" w:space="0" w:color="auto"/>
        <w:right w:val="none" w:sz="0" w:space="0" w:color="auto"/>
      </w:divBdr>
    </w:div>
    <w:div w:id="1251432728">
      <w:bodyDiv w:val="1"/>
      <w:marLeft w:val="0"/>
      <w:marRight w:val="0"/>
      <w:marTop w:val="0"/>
      <w:marBottom w:val="0"/>
      <w:divBdr>
        <w:top w:val="none" w:sz="0" w:space="0" w:color="auto"/>
        <w:left w:val="none" w:sz="0" w:space="0" w:color="auto"/>
        <w:bottom w:val="none" w:sz="0" w:space="0" w:color="auto"/>
        <w:right w:val="none" w:sz="0" w:space="0" w:color="auto"/>
      </w:divBdr>
    </w:div>
    <w:div w:id="1274363476">
      <w:bodyDiv w:val="1"/>
      <w:marLeft w:val="0"/>
      <w:marRight w:val="0"/>
      <w:marTop w:val="0"/>
      <w:marBottom w:val="0"/>
      <w:divBdr>
        <w:top w:val="none" w:sz="0" w:space="0" w:color="auto"/>
        <w:left w:val="none" w:sz="0" w:space="0" w:color="auto"/>
        <w:bottom w:val="none" w:sz="0" w:space="0" w:color="auto"/>
        <w:right w:val="none" w:sz="0" w:space="0" w:color="auto"/>
      </w:divBdr>
    </w:div>
    <w:div w:id="1291782884">
      <w:bodyDiv w:val="1"/>
      <w:marLeft w:val="0"/>
      <w:marRight w:val="0"/>
      <w:marTop w:val="0"/>
      <w:marBottom w:val="0"/>
      <w:divBdr>
        <w:top w:val="none" w:sz="0" w:space="0" w:color="auto"/>
        <w:left w:val="none" w:sz="0" w:space="0" w:color="auto"/>
        <w:bottom w:val="none" w:sz="0" w:space="0" w:color="auto"/>
        <w:right w:val="none" w:sz="0" w:space="0" w:color="auto"/>
      </w:divBdr>
    </w:div>
    <w:div w:id="1318729311">
      <w:bodyDiv w:val="1"/>
      <w:marLeft w:val="0"/>
      <w:marRight w:val="0"/>
      <w:marTop w:val="0"/>
      <w:marBottom w:val="0"/>
      <w:divBdr>
        <w:top w:val="none" w:sz="0" w:space="0" w:color="auto"/>
        <w:left w:val="none" w:sz="0" w:space="0" w:color="auto"/>
        <w:bottom w:val="none" w:sz="0" w:space="0" w:color="auto"/>
        <w:right w:val="none" w:sz="0" w:space="0" w:color="auto"/>
      </w:divBdr>
    </w:div>
    <w:div w:id="1323892878">
      <w:bodyDiv w:val="1"/>
      <w:marLeft w:val="0"/>
      <w:marRight w:val="0"/>
      <w:marTop w:val="0"/>
      <w:marBottom w:val="0"/>
      <w:divBdr>
        <w:top w:val="none" w:sz="0" w:space="0" w:color="auto"/>
        <w:left w:val="none" w:sz="0" w:space="0" w:color="auto"/>
        <w:bottom w:val="none" w:sz="0" w:space="0" w:color="auto"/>
        <w:right w:val="none" w:sz="0" w:space="0" w:color="auto"/>
      </w:divBdr>
    </w:div>
    <w:div w:id="1474299908">
      <w:bodyDiv w:val="1"/>
      <w:marLeft w:val="0"/>
      <w:marRight w:val="0"/>
      <w:marTop w:val="0"/>
      <w:marBottom w:val="0"/>
      <w:divBdr>
        <w:top w:val="none" w:sz="0" w:space="0" w:color="auto"/>
        <w:left w:val="none" w:sz="0" w:space="0" w:color="auto"/>
        <w:bottom w:val="none" w:sz="0" w:space="0" w:color="auto"/>
        <w:right w:val="none" w:sz="0" w:space="0" w:color="auto"/>
      </w:divBdr>
    </w:div>
    <w:div w:id="1520773689">
      <w:bodyDiv w:val="1"/>
      <w:marLeft w:val="0"/>
      <w:marRight w:val="0"/>
      <w:marTop w:val="0"/>
      <w:marBottom w:val="0"/>
      <w:divBdr>
        <w:top w:val="none" w:sz="0" w:space="0" w:color="auto"/>
        <w:left w:val="none" w:sz="0" w:space="0" w:color="auto"/>
        <w:bottom w:val="none" w:sz="0" w:space="0" w:color="auto"/>
        <w:right w:val="none" w:sz="0" w:space="0" w:color="auto"/>
      </w:divBdr>
    </w:div>
    <w:div w:id="1528256594">
      <w:bodyDiv w:val="1"/>
      <w:marLeft w:val="0"/>
      <w:marRight w:val="0"/>
      <w:marTop w:val="0"/>
      <w:marBottom w:val="0"/>
      <w:divBdr>
        <w:top w:val="none" w:sz="0" w:space="0" w:color="auto"/>
        <w:left w:val="none" w:sz="0" w:space="0" w:color="auto"/>
        <w:bottom w:val="none" w:sz="0" w:space="0" w:color="auto"/>
        <w:right w:val="none" w:sz="0" w:space="0" w:color="auto"/>
      </w:divBdr>
    </w:div>
    <w:div w:id="1620843287">
      <w:bodyDiv w:val="1"/>
      <w:marLeft w:val="0"/>
      <w:marRight w:val="0"/>
      <w:marTop w:val="0"/>
      <w:marBottom w:val="0"/>
      <w:divBdr>
        <w:top w:val="none" w:sz="0" w:space="0" w:color="auto"/>
        <w:left w:val="none" w:sz="0" w:space="0" w:color="auto"/>
        <w:bottom w:val="none" w:sz="0" w:space="0" w:color="auto"/>
        <w:right w:val="none" w:sz="0" w:space="0" w:color="auto"/>
      </w:divBdr>
    </w:div>
    <w:div w:id="1624801070">
      <w:bodyDiv w:val="1"/>
      <w:marLeft w:val="0"/>
      <w:marRight w:val="0"/>
      <w:marTop w:val="0"/>
      <w:marBottom w:val="0"/>
      <w:divBdr>
        <w:top w:val="none" w:sz="0" w:space="0" w:color="auto"/>
        <w:left w:val="none" w:sz="0" w:space="0" w:color="auto"/>
        <w:bottom w:val="none" w:sz="0" w:space="0" w:color="auto"/>
        <w:right w:val="none" w:sz="0" w:space="0" w:color="auto"/>
      </w:divBdr>
    </w:div>
    <w:div w:id="1631862619">
      <w:bodyDiv w:val="1"/>
      <w:marLeft w:val="0"/>
      <w:marRight w:val="0"/>
      <w:marTop w:val="0"/>
      <w:marBottom w:val="0"/>
      <w:divBdr>
        <w:top w:val="none" w:sz="0" w:space="0" w:color="auto"/>
        <w:left w:val="none" w:sz="0" w:space="0" w:color="auto"/>
        <w:bottom w:val="none" w:sz="0" w:space="0" w:color="auto"/>
        <w:right w:val="none" w:sz="0" w:space="0" w:color="auto"/>
      </w:divBdr>
    </w:div>
    <w:div w:id="1637639684">
      <w:bodyDiv w:val="1"/>
      <w:marLeft w:val="0"/>
      <w:marRight w:val="0"/>
      <w:marTop w:val="0"/>
      <w:marBottom w:val="0"/>
      <w:divBdr>
        <w:top w:val="none" w:sz="0" w:space="0" w:color="auto"/>
        <w:left w:val="none" w:sz="0" w:space="0" w:color="auto"/>
        <w:bottom w:val="none" w:sz="0" w:space="0" w:color="auto"/>
        <w:right w:val="none" w:sz="0" w:space="0" w:color="auto"/>
      </w:divBdr>
    </w:div>
    <w:div w:id="1697806251">
      <w:bodyDiv w:val="1"/>
      <w:marLeft w:val="0"/>
      <w:marRight w:val="0"/>
      <w:marTop w:val="0"/>
      <w:marBottom w:val="0"/>
      <w:divBdr>
        <w:top w:val="none" w:sz="0" w:space="0" w:color="auto"/>
        <w:left w:val="none" w:sz="0" w:space="0" w:color="auto"/>
        <w:bottom w:val="none" w:sz="0" w:space="0" w:color="auto"/>
        <w:right w:val="none" w:sz="0" w:space="0" w:color="auto"/>
      </w:divBdr>
    </w:div>
    <w:div w:id="1736471883">
      <w:bodyDiv w:val="1"/>
      <w:marLeft w:val="0"/>
      <w:marRight w:val="0"/>
      <w:marTop w:val="0"/>
      <w:marBottom w:val="0"/>
      <w:divBdr>
        <w:top w:val="none" w:sz="0" w:space="0" w:color="auto"/>
        <w:left w:val="none" w:sz="0" w:space="0" w:color="auto"/>
        <w:bottom w:val="none" w:sz="0" w:space="0" w:color="auto"/>
        <w:right w:val="none" w:sz="0" w:space="0" w:color="auto"/>
      </w:divBdr>
    </w:div>
    <w:div w:id="1834450049">
      <w:bodyDiv w:val="1"/>
      <w:marLeft w:val="0"/>
      <w:marRight w:val="0"/>
      <w:marTop w:val="0"/>
      <w:marBottom w:val="0"/>
      <w:divBdr>
        <w:top w:val="none" w:sz="0" w:space="0" w:color="auto"/>
        <w:left w:val="none" w:sz="0" w:space="0" w:color="auto"/>
        <w:bottom w:val="none" w:sz="0" w:space="0" w:color="auto"/>
        <w:right w:val="none" w:sz="0" w:space="0" w:color="auto"/>
      </w:divBdr>
    </w:div>
    <w:div w:id="1879663855">
      <w:bodyDiv w:val="1"/>
      <w:marLeft w:val="0"/>
      <w:marRight w:val="0"/>
      <w:marTop w:val="0"/>
      <w:marBottom w:val="0"/>
      <w:divBdr>
        <w:top w:val="none" w:sz="0" w:space="0" w:color="auto"/>
        <w:left w:val="none" w:sz="0" w:space="0" w:color="auto"/>
        <w:bottom w:val="none" w:sz="0" w:space="0" w:color="auto"/>
        <w:right w:val="none" w:sz="0" w:space="0" w:color="auto"/>
      </w:divBdr>
    </w:div>
    <w:div w:id="1983387114">
      <w:bodyDiv w:val="1"/>
      <w:marLeft w:val="0"/>
      <w:marRight w:val="0"/>
      <w:marTop w:val="0"/>
      <w:marBottom w:val="0"/>
      <w:divBdr>
        <w:top w:val="none" w:sz="0" w:space="0" w:color="auto"/>
        <w:left w:val="none" w:sz="0" w:space="0" w:color="auto"/>
        <w:bottom w:val="none" w:sz="0" w:space="0" w:color="auto"/>
        <w:right w:val="none" w:sz="0" w:space="0" w:color="auto"/>
      </w:divBdr>
    </w:div>
    <w:div w:id="2065174586">
      <w:bodyDiv w:val="1"/>
      <w:marLeft w:val="0"/>
      <w:marRight w:val="0"/>
      <w:marTop w:val="0"/>
      <w:marBottom w:val="0"/>
      <w:divBdr>
        <w:top w:val="none" w:sz="0" w:space="0" w:color="auto"/>
        <w:left w:val="none" w:sz="0" w:space="0" w:color="auto"/>
        <w:bottom w:val="none" w:sz="0" w:space="0" w:color="auto"/>
        <w:right w:val="none" w:sz="0" w:space="0" w:color="auto"/>
      </w:divBdr>
    </w:div>
    <w:div w:id="210352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chart" Target="charts/chart1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hyperlink" Target="mailto:Madara.Luka@em.gov.lv" TargetMode="External"/><Relationship Id="rId10" Type="http://schemas.openxmlformats.org/officeDocument/2006/relationships/image" Target="media/image1.png"/><Relationship Id="rId19" Type="http://schemas.openxmlformats.org/officeDocument/2006/relationships/chart" Target="charts/chart10.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3" Type="http://schemas.openxmlformats.org/officeDocument/2006/relationships/oleObject" Target="file:///\\fls5\Nozaru%20politikas%20departaments\T&#363;risma%20veicin&#257;&#353;ana\1.%20T&#363;risma%20pamatnost&#257;dnes\Starpnovertejums\Robezapsekojums_pec_naktsmitnes.xlsx" TargetMode="External"/><Relationship Id="rId2" Type="http://schemas.microsoft.com/office/2011/relationships/chartColorStyle" Target="colors9.xml"/><Relationship Id="rId1" Type="http://schemas.microsoft.com/office/2011/relationships/chartStyle" Target="style9.xml"/></Relationships>
</file>

<file path=word/charts/_rels/chart11.xml.rels><?xml version="1.0" encoding="UTF-8" standalone="yes"?>
<Relationships xmlns="http://schemas.openxmlformats.org/package/2006/relationships"><Relationship Id="rId3" Type="http://schemas.openxmlformats.org/officeDocument/2006/relationships/oleObject" Target="file:///\\fls5\Nozaru%20politikas%20departaments\T&#363;risma%20veicin&#257;&#353;ana\1.%20T&#363;risma%20pamatnost&#257;dnes\Starpnovertejums\pamatnostadnu_raditaji_2014_2016.xlsx" TargetMode="External"/><Relationship Id="rId2" Type="http://schemas.microsoft.com/office/2011/relationships/chartColorStyle" Target="colors10.xml"/><Relationship Id="rId1" Type="http://schemas.microsoft.com/office/2011/relationships/chartStyle" Target="style10.xml"/></Relationships>
</file>

<file path=word/charts/_rels/chart12.xml.rels><?xml version="1.0" encoding="UTF-8" standalone="yes"?>
<Relationships xmlns="http://schemas.openxmlformats.org/package/2006/relationships"><Relationship Id="rId3" Type="http://schemas.openxmlformats.org/officeDocument/2006/relationships/oleObject" Target="file:///\\fls5\Nozaru%20politikas%20departaments\T&#363;risma%20veicin&#257;&#353;ana\2.Informacija\STATISTIKA\Naktsmitnes_turisti_valstis_2006_2016.xlsx" TargetMode="External"/><Relationship Id="rId2" Type="http://schemas.microsoft.com/office/2011/relationships/chartColorStyle" Target="colors11.xml"/><Relationship Id="rId1" Type="http://schemas.microsoft.com/office/2011/relationships/chartStyle" Target="style11.xml"/></Relationships>
</file>

<file path=word/charts/_rels/chart13.xml.rels><?xml version="1.0" encoding="UTF-8" standalone="yes"?>
<Relationships xmlns="http://schemas.openxmlformats.org/package/2006/relationships"><Relationship Id="rId3" Type="http://schemas.openxmlformats.org/officeDocument/2006/relationships/oleObject" Target="file:///\\fls5\Nozaru%20politikas%20departaments\T&#363;risma%20veicin&#257;&#353;ana\2.Informacija\STATISTIKA\Naktsmitnes_turisti_valstis_2006_2016.xlsx" TargetMode="External"/><Relationship Id="rId2" Type="http://schemas.microsoft.com/office/2011/relationships/chartColorStyle" Target="colors12.xml"/><Relationship Id="rId1" Type="http://schemas.microsoft.com/office/2011/relationships/chartStyle" Target="style12.xml"/></Relationships>
</file>

<file path=word/charts/_rels/chart14.xml.rels><?xml version="1.0" encoding="UTF-8" standalone="yes"?>
<Relationships xmlns="http://schemas.openxmlformats.org/package/2006/relationships"><Relationship Id="rId3" Type="http://schemas.openxmlformats.org/officeDocument/2006/relationships/oleObject" Target="file:///\\fls5\Nozaru%20politikas%20departaments\T&#363;risma%20veicin&#257;&#353;ana\2.Informacija\STATISTIKA\Naktsmitnes_turisti_valstis_2006_2016.xlsx" TargetMode="External"/><Relationship Id="rId2" Type="http://schemas.microsoft.com/office/2011/relationships/chartColorStyle" Target="colors13.xml"/><Relationship Id="rId1" Type="http://schemas.microsoft.com/office/2011/relationships/chartStyle" Target="style13.xml"/></Relationships>
</file>

<file path=word/charts/_rels/chart15.xml.rels><?xml version="1.0" encoding="UTF-8" standalone="yes"?>
<Relationships xmlns="http://schemas.openxmlformats.org/package/2006/relationships"><Relationship Id="rId3" Type="http://schemas.openxmlformats.org/officeDocument/2006/relationships/oleObject" Target="file:///\\fls5\Nozaru%20politikas%20departaments\T&#363;risma%20veicin&#257;&#353;ana\1.%20T&#363;risma%20pamatnost&#257;dnes\Starpnovertejums\pamatnostadnu_raditaji_2014_2016.xlsx" TargetMode="External"/><Relationship Id="rId2" Type="http://schemas.microsoft.com/office/2011/relationships/chartColorStyle" Target="colors14.xml"/><Relationship Id="rId1" Type="http://schemas.microsoft.com/office/2011/relationships/chartStyle" Target="style14.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5.xml"/><Relationship Id="rId1" Type="http://schemas.microsoft.com/office/2011/relationships/chartStyle" Target="style15.xml"/></Relationships>
</file>

<file path=word/charts/_rels/chart17.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chartUserShapes" Target="../drawings/drawing1.xml"/></Relationships>
</file>

<file path=word/charts/_rels/chart18.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17.xml"/><Relationship Id="rId1" Type="http://schemas.microsoft.com/office/2011/relationships/chartStyle" Target="style17.xml"/><Relationship Id="rId4" Type="http://schemas.openxmlformats.org/officeDocument/2006/relationships/chartUserShapes" Target="../drawings/drawing2.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Ilze\Desktop\Proj_CERTUS\Dati_Latvija\Alga_izmit_&#275;din_ce&#316;.bir.xlsx"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oleObject" Target="file:///\\fls5\Nozaru%20politikas%20departaments\T&#363;risma%20veicin&#257;&#353;ana\2.Informacija\STATISTIKA\statistika_2004_2014.xlsx"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oleObject" Target="file:///\\fls5\Uznemejdarbibas%20konkuretspejas%20departaments\&#256;TE%20noda&#316;a\2.%20T&#363;risma%20veicin&#257;&#353;ana\2.Informacija\STATISTIKA\EM_2016_provizoriski.xlsx" TargetMode="External"/><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oleObject" Target="file:///\\fls5\Nozaru%20politikas%20departaments\T&#363;risma%20veicin&#257;&#353;ana\DAZAADI\PVN\Turisma_ienemumi_Baltija.xlsx" TargetMode="External"/><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oleObject" Target="file:///\\fls5\Nozaru%20politikas%20departaments\T&#363;risma%20veicin&#257;&#353;ana\1.%20T&#363;risma%20pamatnost&#257;dnes\Starpnovertejums\pamatnostadnu_raditaji_2014_2016.xlsx" TargetMode="External"/><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oleObject" Target="file:///\\fls5\Nozaru%20politikas%20departaments\T&#363;risma%20veicin&#257;&#353;ana\1.%20T&#363;risma%20pamatnost&#257;dnes\Starpnovertejums\pamatnostadnu_raditaji_2014_2016.xlsx" TargetMode="External"/><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3" Type="http://schemas.openxmlformats.org/officeDocument/2006/relationships/oleObject" Target="file:///\\fls5\Nozaru%20politikas%20departaments\T&#363;risma%20veicin&#257;&#353;ana\1.%20T&#363;risma%20pamatnost&#257;dnes\Starpnovertejums\Robezapsekojums_pec_naktsmitnes.xlsx" TargetMode="External"/><Relationship Id="rId2" Type="http://schemas.microsoft.com/office/2011/relationships/chartColorStyle" Target="colors7.xml"/><Relationship Id="rId1" Type="http://schemas.microsoft.com/office/2011/relationships/chartStyle" Target="style7.xml"/></Relationships>
</file>

<file path=word/charts/_rels/chart9.xml.rels><?xml version="1.0" encoding="UTF-8" standalone="yes"?>
<Relationships xmlns="http://schemas.openxmlformats.org/package/2006/relationships"><Relationship Id="rId3" Type="http://schemas.openxmlformats.org/officeDocument/2006/relationships/oleObject" Target="file:///\\fls5\Nozaru%20politikas%20departaments\T&#363;risma%20veicin&#257;&#353;ana\1.%20T&#363;risma%20pamatnost&#257;dnes\Starpnovertejums\Robezapsekojums_pec_naktsmitnes.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6183895687737831E-2"/>
          <c:y val="4.633143595985717E-2"/>
          <c:w val="0.59671890288508145"/>
          <c:h val="0.86713166627102967"/>
        </c:manualLayout>
      </c:layout>
      <c:barChart>
        <c:barDir val="col"/>
        <c:grouping val="stacked"/>
        <c:varyColors val="0"/>
        <c:ser>
          <c:idx val="0"/>
          <c:order val="0"/>
          <c:tx>
            <c:strRef>
              <c:f>Sheet1!$A$2</c:f>
              <c:strCache>
                <c:ptCount val="1"/>
                <c:pt idx="0">
                  <c:v>Ceļojumi</c:v>
                </c:pt>
              </c:strCache>
            </c:strRef>
          </c:tx>
          <c:spPr>
            <a:solidFill>
              <a:srgbClr val="4F81BD"/>
            </a:solidFill>
            <a:ln w="3175">
              <a:noFill/>
            </a:ln>
          </c:spPr>
          <c:invertIfNegative val="0"/>
          <c:dLbls>
            <c:dLbl>
              <c:idx val="0"/>
              <c:tx>
                <c:rich>
                  <a:bodyPr/>
                  <a:lstStyle/>
                  <a:p>
                    <a:r>
                      <a:rPr lang="en-US">
                        <a:solidFill>
                          <a:schemeClr val="bg1"/>
                        </a:solidFill>
                      </a:rPr>
                      <a:t>16%</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4A3-4B25-9DD1-D7E9A0A15568}"/>
                </c:ext>
              </c:extLst>
            </c:dLbl>
            <c:dLbl>
              <c:idx val="1"/>
              <c:tx>
                <c:rich>
                  <a:bodyPr/>
                  <a:lstStyle/>
                  <a:p>
                    <a:r>
                      <a:rPr lang="en-US">
                        <a:solidFill>
                          <a:schemeClr val="bg1"/>
                        </a:solidFill>
                      </a:rPr>
                      <a:t>15%</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4A3-4B25-9DD1-D7E9A0A15568}"/>
                </c:ext>
              </c:extLst>
            </c:dLbl>
            <c:dLbl>
              <c:idx val="2"/>
              <c:tx>
                <c:rich>
                  <a:bodyPr/>
                  <a:lstStyle/>
                  <a:p>
                    <a:r>
                      <a:rPr lang="en-US">
                        <a:solidFill>
                          <a:schemeClr val="bg1"/>
                        </a:solidFill>
                      </a:rPr>
                      <a:t>19%</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4A3-4B25-9DD1-D7E9A0A15568}"/>
                </c:ext>
              </c:extLst>
            </c:dLbl>
            <c:dLbl>
              <c:idx val="3"/>
              <c:tx>
                <c:rich>
                  <a:bodyPr/>
                  <a:lstStyle/>
                  <a:p>
                    <a:r>
                      <a:rPr lang="en-US">
                        <a:solidFill>
                          <a:schemeClr val="bg1"/>
                        </a:solidFill>
                      </a:rPr>
                      <a:t>20%</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4A3-4B25-9DD1-D7E9A0A15568}"/>
                </c:ext>
              </c:extLst>
            </c:dLbl>
            <c:dLbl>
              <c:idx val="4"/>
              <c:tx>
                <c:rich>
                  <a:bodyPr/>
                  <a:lstStyle/>
                  <a:p>
                    <a:r>
                      <a:rPr lang="en-US">
                        <a:solidFill>
                          <a:schemeClr val="bg1"/>
                        </a:solidFill>
                      </a:rPr>
                      <a:t>19%</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4A3-4B25-9DD1-D7E9A0A15568}"/>
                </c:ext>
              </c:extLst>
            </c:dLbl>
            <c:spPr>
              <a:noFill/>
              <a:ln>
                <a:noFill/>
              </a:ln>
              <a:effectLst/>
            </c:spPr>
            <c:txPr>
              <a:bodyPr/>
              <a:lstStyle/>
              <a:p>
                <a:pPr>
                  <a:defRPr>
                    <a:solidFill>
                      <a:schemeClr val="bg1"/>
                    </a:solidFill>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2010</c:v>
                </c:pt>
                <c:pt idx="1">
                  <c:v>2012</c:v>
                </c:pt>
                <c:pt idx="2">
                  <c:v>2014</c:v>
                </c:pt>
                <c:pt idx="3">
                  <c:v>2015</c:v>
                </c:pt>
                <c:pt idx="4">
                  <c:v>2016n</c:v>
                </c:pt>
              </c:strCache>
            </c:strRef>
          </c:cat>
          <c:val>
            <c:numRef>
              <c:f>Sheet1!$B$2:$F$2</c:f>
              <c:numCache>
                <c:formatCode>0.00</c:formatCode>
                <c:ptCount val="5"/>
                <c:pt idx="0">
                  <c:v>0.48425999999999997</c:v>
                </c:pt>
                <c:pt idx="1">
                  <c:v>0.58137000000000005</c:v>
                </c:pt>
                <c:pt idx="2">
                  <c:v>0.71938999999999997</c:v>
                </c:pt>
                <c:pt idx="3">
                  <c:v>0.80723999999999974</c:v>
                </c:pt>
                <c:pt idx="4">
                  <c:v>0.79970235619174412</c:v>
                </c:pt>
              </c:numCache>
            </c:numRef>
          </c:val>
          <c:extLst>
            <c:ext xmlns:c16="http://schemas.microsoft.com/office/drawing/2014/chart" uri="{C3380CC4-5D6E-409C-BE32-E72D297353CC}">
              <c16:uniqueId val="{00000005-C4A3-4B25-9DD1-D7E9A0A15568}"/>
            </c:ext>
          </c:extLst>
        </c:ser>
        <c:ser>
          <c:idx val="5"/>
          <c:order val="1"/>
          <c:tx>
            <c:strRef>
              <c:f>Sheet1!$A$3</c:f>
              <c:strCache>
                <c:ptCount val="1"/>
                <c:pt idx="0">
                  <c:v>IKT pakalpojumi</c:v>
                </c:pt>
              </c:strCache>
            </c:strRef>
          </c:tx>
          <c:spPr>
            <a:solidFill>
              <a:srgbClr val="F79646">
                <a:lumMod val="60000"/>
                <a:lumOff val="40000"/>
              </a:srgbClr>
            </a:solidFill>
            <a:ln w="3175">
              <a:noFill/>
              <a:prstDash val="solid"/>
            </a:ln>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6-C4A3-4B25-9DD1-D7E9A0A15568}"/>
                </c:ext>
              </c:extLst>
            </c:dLbl>
            <c:dLbl>
              <c:idx val="1"/>
              <c:tx>
                <c:rich>
                  <a:bodyPr/>
                  <a:lstStyle/>
                  <a:p>
                    <a:r>
                      <a:rPr lang="en-US"/>
                      <a:t>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4A3-4B25-9DD1-D7E9A0A15568}"/>
                </c:ext>
              </c:extLst>
            </c:dLbl>
            <c:dLbl>
              <c:idx val="2"/>
              <c:tx>
                <c:rich>
                  <a:bodyPr/>
                  <a:lstStyle/>
                  <a:p>
                    <a:r>
                      <a:rPr lang="en-US"/>
                      <a:t>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4A3-4B25-9DD1-D7E9A0A15568}"/>
                </c:ext>
              </c:extLst>
            </c:dLbl>
            <c:dLbl>
              <c:idx val="3"/>
              <c:tx>
                <c:rich>
                  <a:bodyPr/>
                  <a:lstStyle/>
                  <a:p>
                    <a:r>
                      <a:rPr lang="en-US"/>
                      <a:t>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4A3-4B25-9DD1-D7E9A0A15568}"/>
                </c:ext>
              </c:extLst>
            </c:dLbl>
            <c:dLbl>
              <c:idx val="4"/>
              <c:tx>
                <c:rich>
                  <a:bodyPr/>
                  <a:lstStyle/>
                  <a:p>
                    <a:r>
                      <a:rPr lang="en-US"/>
                      <a:t>13%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C4A3-4B25-9DD1-D7E9A0A15568}"/>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2010</c:v>
                </c:pt>
                <c:pt idx="1">
                  <c:v>2012</c:v>
                </c:pt>
                <c:pt idx="2">
                  <c:v>2014</c:v>
                </c:pt>
                <c:pt idx="3">
                  <c:v>2015</c:v>
                </c:pt>
                <c:pt idx="4">
                  <c:v>2016n</c:v>
                </c:pt>
              </c:strCache>
            </c:strRef>
          </c:cat>
          <c:val>
            <c:numRef>
              <c:f>Sheet1!$B$3:$F$3</c:f>
              <c:numCache>
                <c:formatCode>0.00</c:formatCode>
                <c:ptCount val="5"/>
                <c:pt idx="0">
                  <c:v>0.16132999999999997</c:v>
                </c:pt>
                <c:pt idx="1">
                  <c:v>0.23838999999999999</c:v>
                </c:pt>
                <c:pt idx="2">
                  <c:v>0.29143999999999992</c:v>
                </c:pt>
                <c:pt idx="3">
                  <c:v>0.36132999999999993</c:v>
                </c:pt>
                <c:pt idx="4">
                  <c:v>0.54945785423076909</c:v>
                </c:pt>
              </c:numCache>
            </c:numRef>
          </c:val>
          <c:extLst>
            <c:ext xmlns:c16="http://schemas.microsoft.com/office/drawing/2014/chart" uri="{C3380CC4-5D6E-409C-BE32-E72D297353CC}">
              <c16:uniqueId val="{0000000B-C4A3-4B25-9DD1-D7E9A0A15568}"/>
            </c:ext>
          </c:extLst>
        </c:ser>
        <c:ser>
          <c:idx val="6"/>
          <c:order val="2"/>
          <c:tx>
            <c:strRef>
              <c:f>Sheet1!$A$4</c:f>
              <c:strCache>
                <c:ptCount val="1"/>
                <c:pt idx="0">
                  <c:v>Autotransports</c:v>
                </c:pt>
              </c:strCache>
            </c:strRef>
          </c:tx>
          <c:spPr>
            <a:ln w="25400">
              <a:noFill/>
            </a:ln>
          </c:spPr>
          <c:invertIfNegative val="0"/>
          <c:dLbls>
            <c:dLbl>
              <c:idx val="0"/>
              <c:tx>
                <c:rich>
                  <a:bodyPr/>
                  <a:lstStyle/>
                  <a:p>
                    <a:r>
                      <a:rPr lang="en-US"/>
                      <a:t>12%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C4A3-4B25-9DD1-D7E9A0A15568}"/>
                </c:ext>
              </c:extLst>
            </c:dLbl>
            <c:dLbl>
              <c:idx val="1"/>
              <c:tx>
                <c:rich>
                  <a:bodyPr/>
                  <a:lstStyle/>
                  <a:p>
                    <a:r>
                      <a:rPr lang="en-US"/>
                      <a:t>14%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C4A3-4B25-9DD1-D7E9A0A15568}"/>
                </c:ext>
              </c:extLst>
            </c:dLbl>
            <c:dLbl>
              <c:idx val="2"/>
              <c:tx>
                <c:rich>
                  <a:bodyPr/>
                  <a:lstStyle/>
                  <a:p>
                    <a:r>
                      <a:rPr lang="en-US"/>
                      <a:t>12%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C4A3-4B25-9DD1-D7E9A0A15568}"/>
                </c:ext>
              </c:extLst>
            </c:dLbl>
            <c:dLbl>
              <c:idx val="3"/>
              <c:tx>
                <c:rich>
                  <a:bodyPr/>
                  <a:lstStyle/>
                  <a:p>
                    <a:r>
                      <a:rPr lang="en-US"/>
                      <a:t>11%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C4A3-4B25-9DD1-D7E9A0A15568}"/>
                </c:ext>
              </c:extLst>
            </c:dLbl>
            <c:dLbl>
              <c:idx val="4"/>
              <c:tx>
                <c:rich>
                  <a:bodyPr/>
                  <a:lstStyle/>
                  <a:p>
                    <a:r>
                      <a:rPr lang="en-US"/>
                      <a:t>12%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C4A3-4B25-9DD1-D7E9A0A15568}"/>
                </c:ext>
              </c:extLst>
            </c:dLbl>
            <c:spPr>
              <a:noFill/>
              <a:ln>
                <a:noFill/>
              </a:ln>
              <a:effectLst/>
            </c:spPr>
            <c:txPr>
              <a:bodyPr/>
              <a:lstStyle/>
              <a:p>
                <a:pPr>
                  <a:defRPr>
                    <a:solidFill>
                      <a:schemeClr val="bg1"/>
                    </a:solidFill>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2010</c:v>
                </c:pt>
                <c:pt idx="1">
                  <c:v>2012</c:v>
                </c:pt>
                <c:pt idx="2">
                  <c:v>2014</c:v>
                </c:pt>
                <c:pt idx="3">
                  <c:v>2015</c:v>
                </c:pt>
                <c:pt idx="4">
                  <c:v>2016n</c:v>
                </c:pt>
              </c:strCache>
            </c:strRef>
          </c:cat>
          <c:val>
            <c:numRef>
              <c:f>Sheet1!$B$4:$F$4</c:f>
              <c:numCache>
                <c:formatCode>0.00</c:formatCode>
                <c:ptCount val="5"/>
                <c:pt idx="0">
                  <c:v>0.35215999999999997</c:v>
                </c:pt>
                <c:pt idx="1">
                  <c:v>0.52719000000000005</c:v>
                </c:pt>
                <c:pt idx="2">
                  <c:v>0.48143999999999992</c:v>
                </c:pt>
                <c:pt idx="3">
                  <c:v>0.44409999999999994</c:v>
                </c:pt>
                <c:pt idx="4">
                  <c:v>0.48822702927324768</c:v>
                </c:pt>
              </c:numCache>
            </c:numRef>
          </c:val>
          <c:extLst>
            <c:ext xmlns:c16="http://schemas.microsoft.com/office/drawing/2014/chart" uri="{C3380CC4-5D6E-409C-BE32-E72D297353CC}">
              <c16:uniqueId val="{00000011-C4A3-4B25-9DD1-D7E9A0A15568}"/>
            </c:ext>
          </c:extLst>
        </c:ser>
        <c:ser>
          <c:idx val="7"/>
          <c:order val="3"/>
          <c:tx>
            <c:strRef>
              <c:f>Sheet1!$A$5</c:f>
              <c:strCache>
                <c:ptCount val="1"/>
                <c:pt idx="0">
                  <c:v>Finanses, apdroš.</c:v>
                </c:pt>
              </c:strCache>
            </c:strRef>
          </c:tx>
          <c:spPr>
            <a:ln w="25400">
              <a:noFill/>
            </a:ln>
          </c:spPr>
          <c:invertIfNegative val="0"/>
          <c:dLbls>
            <c:dLbl>
              <c:idx val="0"/>
              <c:tx>
                <c:rich>
                  <a:bodyPr/>
                  <a:lstStyle/>
                  <a:p>
                    <a:r>
                      <a:rPr lang="en-US"/>
                      <a:t>12%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C4A3-4B25-9DD1-D7E9A0A15568}"/>
                </c:ext>
              </c:extLst>
            </c:dLbl>
            <c:dLbl>
              <c:idx val="1"/>
              <c:tx>
                <c:rich>
                  <a:bodyPr/>
                  <a:lstStyle/>
                  <a:p>
                    <a:r>
                      <a:rPr lang="en-US"/>
                      <a:t>10%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C4A3-4B25-9DD1-D7E9A0A15568}"/>
                </c:ext>
              </c:extLst>
            </c:dLbl>
            <c:dLbl>
              <c:idx val="2"/>
              <c:tx>
                <c:rich>
                  <a:bodyPr/>
                  <a:lstStyle/>
                  <a:p>
                    <a:r>
                      <a:rPr lang="en-US"/>
                      <a:t>11%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C4A3-4B25-9DD1-D7E9A0A15568}"/>
                </c:ext>
              </c:extLst>
            </c:dLbl>
            <c:dLbl>
              <c:idx val="3"/>
              <c:tx>
                <c:rich>
                  <a:bodyPr/>
                  <a:lstStyle/>
                  <a:p>
                    <a:r>
                      <a:rPr lang="en-US"/>
                      <a:t>11%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C4A3-4B25-9DD1-D7E9A0A15568}"/>
                </c:ext>
              </c:extLst>
            </c:dLbl>
            <c:dLbl>
              <c:idx val="4"/>
              <c:tx>
                <c:rich>
                  <a:bodyPr/>
                  <a:lstStyle/>
                  <a:p>
                    <a:r>
                      <a:rPr lang="en-US"/>
                      <a:t>10%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C4A3-4B25-9DD1-D7E9A0A15568}"/>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2010</c:v>
                </c:pt>
                <c:pt idx="1">
                  <c:v>2012</c:v>
                </c:pt>
                <c:pt idx="2">
                  <c:v>2014</c:v>
                </c:pt>
                <c:pt idx="3">
                  <c:v>2015</c:v>
                </c:pt>
                <c:pt idx="4">
                  <c:v>2016n</c:v>
                </c:pt>
              </c:strCache>
            </c:strRef>
          </c:cat>
          <c:val>
            <c:numRef>
              <c:f>Sheet1!$B$5:$F$5</c:f>
              <c:numCache>
                <c:formatCode>0.00</c:formatCode>
                <c:ptCount val="5"/>
                <c:pt idx="0">
                  <c:v>0.35255999999999998</c:v>
                </c:pt>
                <c:pt idx="1">
                  <c:v>0.37286999999999998</c:v>
                </c:pt>
                <c:pt idx="2">
                  <c:v>0.41811999999999994</c:v>
                </c:pt>
                <c:pt idx="3">
                  <c:v>0.46299000000000001</c:v>
                </c:pt>
                <c:pt idx="4">
                  <c:v>0.42974624127906974</c:v>
                </c:pt>
              </c:numCache>
            </c:numRef>
          </c:val>
          <c:extLst>
            <c:ext xmlns:c16="http://schemas.microsoft.com/office/drawing/2014/chart" uri="{C3380CC4-5D6E-409C-BE32-E72D297353CC}">
              <c16:uniqueId val="{00000017-C4A3-4B25-9DD1-D7E9A0A15568}"/>
            </c:ext>
          </c:extLst>
        </c:ser>
        <c:ser>
          <c:idx val="4"/>
          <c:order val="4"/>
          <c:tx>
            <c:strRef>
              <c:f>Sheet1!$A$6</c:f>
              <c:strCache>
                <c:ptCount val="1"/>
                <c:pt idx="0">
                  <c:v>Jūras transports</c:v>
                </c:pt>
              </c:strCache>
            </c:strRef>
          </c:tx>
          <c:invertIfNegative val="0"/>
          <c:dLbls>
            <c:dLbl>
              <c:idx val="0"/>
              <c:tx>
                <c:rich>
                  <a:bodyPr/>
                  <a:lstStyle/>
                  <a:p>
                    <a:r>
                      <a:rPr lang="en-US"/>
                      <a:t>13%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C4A3-4B25-9DD1-D7E9A0A15568}"/>
                </c:ext>
              </c:extLst>
            </c:dLbl>
            <c:dLbl>
              <c:idx val="1"/>
              <c:tx>
                <c:rich>
                  <a:bodyPr/>
                  <a:lstStyle/>
                  <a:p>
                    <a:r>
                      <a:rPr lang="en-US"/>
                      <a:t>13%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C4A3-4B25-9DD1-D7E9A0A15568}"/>
                </c:ext>
              </c:extLst>
            </c:dLbl>
            <c:dLbl>
              <c:idx val="2"/>
              <c:tx>
                <c:rich>
                  <a:bodyPr/>
                  <a:lstStyle/>
                  <a:p>
                    <a:r>
                      <a:rPr lang="en-US"/>
                      <a:t>10%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C4A3-4B25-9DD1-D7E9A0A15568}"/>
                </c:ext>
              </c:extLst>
            </c:dLbl>
            <c:dLbl>
              <c:idx val="3"/>
              <c:tx>
                <c:rich>
                  <a:bodyPr/>
                  <a:lstStyle/>
                  <a:p>
                    <a:r>
                      <a:rPr lang="en-US"/>
                      <a:t>11%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C4A3-4B25-9DD1-D7E9A0A15568}"/>
                </c:ext>
              </c:extLst>
            </c:dLbl>
            <c:dLbl>
              <c:idx val="4"/>
              <c:tx>
                <c:rich>
                  <a:bodyPr/>
                  <a:lstStyle/>
                  <a:p>
                    <a:r>
                      <a:rPr lang="en-US"/>
                      <a:t>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C4A3-4B25-9DD1-D7E9A0A15568}"/>
                </c:ext>
              </c:extLst>
            </c:dLbl>
            <c:spPr>
              <a:noFill/>
              <a:ln>
                <a:noFill/>
              </a:ln>
              <a:effectLst/>
            </c:spPr>
            <c:txPr>
              <a:bodyPr/>
              <a:lstStyle/>
              <a:p>
                <a:pPr>
                  <a:defRPr>
                    <a:solidFill>
                      <a:schemeClr val="bg1"/>
                    </a:solidFill>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2010</c:v>
                </c:pt>
                <c:pt idx="1">
                  <c:v>2012</c:v>
                </c:pt>
                <c:pt idx="2">
                  <c:v>2014</c:v>
                </c:pt>
                <c:pt idx="3">
                  <c:v>2015</c:v>
                </c:pt>
                <c:pt idx="4">
                  <c:v>2016n</c:v>
                </c:pt>
              </c:strCache>
            </c:strRef>
          </c:cat>
          <c:val>
            <c:numRef>
              <c:f>Sheet1!$B$6:$F$6</c:f>
              <c:numCache>
                <c:formatCode>0.00</c:formatCode>
                <c:ptCount val="5"/>
                <c:pt idx="0">
                  <c:v>0.40354999999999996</c:v>
                </c:pt>
                <c:pt idx="1">
                  <c:v>0.47230999999999995</c:v>
                </c:pt>
                <c:pt idx="2">
                  <c:v>0.40211999999999998</c:v>
                </c:pt>
                <c:pt idx="3">
                  <c:v>0.43393999999999999</c:v>
                </c:pt>
                <c:pt idx="4">
                  <c:v>0.38692795514955236</c:v>
                </c:pt>
              </c:numCache>
            </c:numRef>
          </c:val>
          <c:extLst>
            <c:ext xmlns:c16="http://schemas.microsoft.com/office/drawing/2014/chart" uri="{C3380CC4-5D6E-409C-BE32-E72D297353CC}">
              <c16:uniqueId val="{0000001D-C4A3-4B25-9DD1-D7E9A0A15568}"/>
            </c:ext>
          </c:extLst>
        </c:ser>
        <c:ser>
          <c:idx val="1"/>
          <c:order val="5"/>
          <c:tx>
            <c:strRef>
              <c:f>Sheet1!$A$7</c:f>
              <c:strCache>
                <c:ptCount val="1"/>
                <c:pt idx="0">
                  <c:v>Dzelzceļa transp.</c:v>
                </c:pt>
              </c:strCache>
            </c:strRef>
          </c:tx>
          <c:invertIfNegative val="0"/>
          <c:dLbls>
            <c:dLbl>
              <c:idx val="0"/>
              <c:tx>
                <c:rich>
                  <a:bodyPr/>
                  <a:lstStyle/>
                  <a:p>
                    <a:r>
                      <a:rPr lang="en-US"/>
                      <a:t>11%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C4A3-4B25-9DD1-D7E9A0A15568}"/>
                </c:ext>
              </c:extLst>
            </c:dLbl>
            <c:dLbl>
              <c:idx val="1"/>
              <c:tx>
                <c:rich>
                  <a:bodyPr/>
                  <a:lstStyle/>
                  <a:p>
                    <a:r>
                      <a:rPr lang="en-US"/>
                      <a:t>12%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C4A3-4B25-9DD1-D7E9A0A15568}"/>
                </c:ext>
              </c:extLst>
            </c:dLbl>
            <c:dLbl>
              <c:idx val="2"/>
              <c:tx>
                <c:rich>
                  <a:bodyPr/>
                  <a:lstStyle/>
                  <a:p>
                    <a:r>
                      <a:rPr lang="en-US"/>
                      <a:t>11%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C4A3-4B25-9DD1-D7E9A0A15568}"/>
                </c:ext>
              </c:extLst>
            </c:dLbl>
            <c:dLbl>
              <c:idx val="3"/>
              <c:tx>
                <c:rich>
                  <a:bodyPr/>
                  <a:lstStyle/>
                  <a:p>
                    <a:r>
                      <a:rPr lang="en-US"/>
                      <a:t>10%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C4A3-4B25-9DD1-D7E9A0A15568}"/>
                </c:ext>
              </c:extLst>
            </c:dLbl>
            <c:dLbl>
              <c:idx val="4"/>
              <c:tx>
                <c:rich>
                  <a:bodyPr/>
                  <a:lstStyle/>
                  <a:p>
                    <a:r>
                      <a:rPr lang="en-US"/>
                      <a:t>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C4A3-4B25-9DD1-D7E9A0A15568}"/>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2010</c:v>
                </c:pt>
                <c:pt idx="1">
                  <c:v>2012</c:v>
                </c:pt>
                <c:pt idx="2">
                  <c:v>2014</c:v>
                </c:pt>
                <c:pt idx="3">
                  <c:v>2015</c:v>
                </c:pt>
                <c:pt idx="4">
                  <c:v>2016n</c:v>
                </c:pt>
              </c:strCache>
            </c:strRef>
          </c:cat>
          <c:val>
            <c:numRef>
              <c:f>Sheet1!$B$7:$F$7</c:f>
              <c:numCache>
                <c:formatCode>0.00</c:formatCode>
                <c:ptCount val="5"/>
                <c:pt idx="0">
                  <c:v>0.32424000000000008</c:v>
                </c:pt>
                <c:pt idx="1">
                  <c:v>0.46649000000000002</c:v>
                </c:pt>
                <c:pt idx="2">
                  <c:v>0.42038999999999999</c:v>
                </c:pt>
                <c:pt idx="3">
                  <c:v>0.40617000000000003</c:v>
                </c:pt>
                <c:pt idx="4">
                  <c:v>0.3114592840713053</c:v>
                </c:pt>
              </c:numCache>
            </c:numRef>
          </c:val>
          <c:extLst>
            <c:ext xmlns:c16="http://schemas.microsoft.com/office/drawing/2014/chart" uri="{C3380CC4-5D6E-409C-BE32-E72D297353CC}">
              <c16:uniqueId val="{00000023-C4A3-4B25-9DD1-D7E9A0A15568}"/>
            </c:ext>
          </c:extLst>
        </c:ser>
        <c:ser>
          <c:idx val="3"/>
          <c:order val="6"/>
          <c:tx>
            <c:strRef>
              <c:f>Sheet1!$A$8</c:f>
              <c:strCache>
                <c:ptCount val="1"/>
                <c:pt idx="0">
                  <c:v>Gaisa transports</c:v>
                </c:pt>
              </c:strCache>
            </c:strRef>
          </c:tx>
          <c:invertIfNegative val="0"/>
          <c:dLbls>
            <c:dLbl>
              <c:idx val="0"/>
              <c:tx>
                <c:rich>
                  <a:bodyPr/>
                  <a:lstStyle/>
                  <a:p>
                    <a:r>
                      <a:rPr lang="en-US"/>
                      <a:t>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C4A3-4B25-9DD1-D7E9A0A15568}"/>
                </c:ext>
              </c:extLst>
            </c:dLbl>
            <c:dLbl>
              <c:idx val="1"/>
              <c:tx>
                <c:rich>
                  <a:bodyPr/>
                  <a:lstStyle/>
                  <a:p>
                    <a:r>
                      <a:rPr lang="en-US"/>
                      <a:t>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C4A3-4B25-9DD1-D7E9A0A15568}"/>
                </c:ext>
              </c:extLst>
            </c:dLbl>
            <c:dLbl>
              <c:idx val="2"/>
              <c:tx>
                <c:rich>
                  <a:bodyPr/>
                  <a:lstStyle/>
                  <a:p>
                    <a:r>
                      <a:rPr lang="en-US"/>
                      <a:t>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C4A3-4B25-9DD1-D7E9A0A15568}"/>
                </c:ext>
              </c:extLst>
            </c:dLbl>
            <c:dLbl>
              <c:idx val="3"/>
              <c:tx>
                <c:rich>
                  <a:bodyPr/>
                  <a:lstStyle/>
                  <a:p>
                    <a:r>
                      <a:rPr lang="en-US"/>
                      <a:t>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7-C4A3-4B25-9DD1-D7E9A0A15568}"/>
                </c:ext>
              </c:extLst>
            </c:dLbl>
            <c:dLbl>
              <c:idx val="4"/>
              <c:tx>
                <c:rich>
                  <a:bodyPr/>
                  <a:lstStyle/>
                  <a:p>
                    <a:r>
                      <a:rPr lang="en-US"/>
                      <a:t>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8-C4A3-4B25-9DD1-D7E9A0A15568}"/>
                </c:ext>
              </c:extLst>
            </c:dLbl>
            <c:spPr>
              <a:noFill/>
              <a:ln>
                <a:noFill/>
              </a:ln>
              <a:effectLst/>
            </c:spPr>
            <c:txPr>
              <a:bodyPr/>
              <a:lstStyle/>
              <a:p>
                <a:pPr>
                  <a:defRPr>
                    <a:solidFill>
                      <a:schemeClr val="bg1"/>
                    </a:solidFill>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2010</c:v>
                </c:pt>
                <c:pt idx="1">
                  <c:v>2012</c:v>
                </c:pt>
                <c:pt idx="2">
                  <c:v>2014</c:v>
                </c:pt>
                <c:pt idx="3">
                  <c:v>2015</c:v>
                </c:pt>
                <c:pt idx="4">
                  <c:v>2016n</c:v>
                </c:pt>
              </c:strCache>
            </c:strRef>
          </c:cat>
          <c:val>
            <c:numRef>
              <c:f>Sheet1!$B$8:$F$8</c:f>
              <c:numCache>
                <c:formatCode>0.00</c:formatCode>
                <c:ptCount val="5"/>
                <c:pt idx="0">
                  <c:v>0.25922000000000001</c:v>
                </c:pt>
                <c:pt idx="1">
                  <c:v>0.27173000000000003</c:v>
                </c:pt>
                <c:pt idx="2">
                  <c:v>0.24123000000000003</c:v>
                </c:pt>
                <c:pt idx="3">
                  <c:v>0.25435999999999998</c:v>
                </c:pt>
                <c:pt idx="4">
                  <c:v>0.25332591246737601</c:v>
                </c:pt>
              </c:numCache>
            </c:numRef>
          </c:val>
          <c:extLst>
            <c:ext xmlns:c16="http://schemas.microsoft.com/office/drawing/2014/chart" uri="{C3380CC4-5D6E-409C-BE32-E72D297353CC}">
              <c16:uniqueId val="{00000029-C4A3-4B25-9DD1-D7E9A0A15568}"/>
            </c:ext>
          </c:extLst>
        </c:ser>
        <c:ser>
          <c:idx val="2"/>
          <c:order val="7"/>
          <c:tx>
            <c:strRef>
              <c:f>Sheet1!$A$9</c:f>
              <c:strCache>
                <c:ptCount val="1"/>
                <c:pt idx="0">
                  <c:v>Būvniecība</c:v>
                </c:pt>
              </c:strCache>
            </c:strRef>
          </c:tx>
          <c:spPr>
            <a:solidFill>
              <a:sysClr val="window" lastClr="FFFFFF">
                <a:lumMod val="65000"/>
              </a:sysClr>
            </a:solidFill>
            <a:ln w="3175">
              <a:noFill/>
              <a:prstDash val="solid"/>
            </a:ln>
          </c:spPr>
          <c:invertIfNegative val="0"/>
          <c:dLbls>
            <c:dLbl>
              <c:idx val="4"/>
              <c:tx>
                <c:rich>
                  <a:bodyPr/>
                  <a:lstStyle/>
                  <a:p>
                    <a:r>
                      <a:rPr lang="en-US"/>
                      <a:t>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A-C4A3-4B25-9DD1-D7E9A0A15568}"/>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Sheet1!$B$1:$F$1</c:f>
              <c:strCache>
                <c:ptCount val="5"/>
                <c:pt idx="0">
                  <c:v>2010</c:v>
                </c:pt>
                <c:pt idx="1">
                  <c:v>2012</c:v>
                </c:pt>
                <c:pt idx="2">
                  <c:v>2014</c:v>
                </c:pt>
                <c:pt idx="3">
                  <c:v>2015</c:v>
                </c:pt>
                <c:pt idx="4">
                  <c:v>2016n</c:v>
                </c:pt>
              </c:strCache>
            </c:strRef>
          </c:cat>
          <c:val>
            <c:numRef>
              <c:f>Sheet1!$B$9:$F$9</c:f>
              <c:numCache>
                <c:formatCode>0.00</c:formatCode>
                <c:ptCount val="5"/>
                <c:pt idx="0">
                  <c:v>5.917999999999999E-2</c:v>
                </c:pt>
                <c:pt idx="1">
                  <c:v>9.8299999999999998E-2</c:v>
                </c:pt>
                <c:pt idx="2">
                  <c:v>0.12859000000000001</c:v>
                </c:pt>
                <c:pt idx="3">
                  <c:v>8.9209999999999998E-2</c:v>
                </c:pt>
                <c:pt idx="4">
                  <c:v>0.15142582649283762</c:v>
                </c:pt>
              </c:numCache>
            </c:numRef>
          </c:val>
          <c:extLst>
            <c:ext xmlns:c16="http://schemas.microsoft.com/office/drawing/2014/chart" uri="{C3380CC4-5D6E-409C-BE32-E72D297353CC}">
              <c16:uniqueId val="{0000002B-C4A3-4B25-9DD1-D7E9A0A15568}"/>
            </c:ext>
          </c:extLst>
        </c:ser>
        <c:ser>
          <c:idx val="8"/>
          <c:order val="8"/>
          <c:tx>
            <c:strRef>
              <c:f>Sheet1!$A$10</c:f>
              <c:strCache>
                <c:ptCount val="1"/>
                <c:pt idx="0">
                  <c:v>Pārējie pakalp.</c:v>
                </c:pt>
              </c:strCache>
            </c:strRef>
          </c:tx>
          <c:spPr>
            <a:solidFill>
              <a:srgbClr val="9BBB59">
                <a:lumMod val="75000"/>
              </a:srgbClr>
            </a:solidFill>
            <a:ln w="3175">
              <a:noFill/>
            </a:ln>
          </c:spPr>
          <c:invertIfNegative val="0"/>
          <c:dLbls>
            <c:dLbl>
              <c:idx val="0"/>
              <c:tx>
                <c:rich>
                  <a:bodyPr/>
                  <a:lstStyle/>
                  <a:p>
                    <a:r>
                      <a:rPr lang="en-US"/>
                      <a:t>21%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C-C4A3-4B25-9DD1-D7E9A0A15568}"/>
                </c:ext>
              </c:extLst>
            </c:dLbl>
            <c:dLbl>
              <c:idx val="1"/>
              <c:tx>
                <c:rich>
                  <a:bodyPr/>
                  <a:lstStyle/>
                  <a:p>
                    <a:r>
                      <a:rPr lang="en-US"/>
                      <a:t>20%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D-C4A3-4B25-9DD1-D7E9A0A15568}"/>
                </c:ext>
              </c:extLst>
            </c:dLbl>
            <c:dLbl>
              <c:idx val="2"/>
              <c:tx>
                <c:rich>
                  <a:bodyPr/>
                  <a:lstStyle/>
                  <a:p>
                    <a:r>
                      <a:rPr lang="en-US"/>
                      <a:t>19%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E-C4A3-4B25-9DD1-D7E9A0A15568}"/>
                </c:ext>
              </c:extLst>
            </c:dLbl>
            <c:dLbl>
              <c:idx val="3"/>
              <c:tx>
                <c:rich>
                  <a:bodyPr/>
                  <a:lstStyle/>
                  <a:p>
                    <a:r>
                      <a:rPr lang="en-US"/>
                      <a:t>19%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F-C4A3-4B25-9DD1-D7E9A0A15568}"/>
                </c:ext>
              </c:extLst>
            </c:dLbl>
            <c:dLbl>
              <c:idx val="4"/>
              <c:tx>
                <c:rich>
                  <a:bodyPr/>
                  <a:lstStyle/>
                  <a:p>
                    <a:r>
                      <a:rPr lang="en-US"/>
                      <a:t>20%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0-C4A3-4B25-9DD1-D7E9A0A15568}"/>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2010</c:v>
                </c:pt>
                <c:pt idx="1">
                  <c:v>2012</c:v>
                </c:pt>
                <c:pt idx="2">
                  <c:v>2014</c:v>
                </c:pt>
                <c:pt idx="3">
                  <c:v>2015</c:v>
                </c:pt>
                <c:pt idx="4">
                  <c:v>2016n</c:v>
                </c:pt>
              </c:strCache>
            </c:strRef>
          </c:cat>
          <c:val>
            <c:numRef>
              <c:f>Sheet1!$B$10:$F$10</c:f>
              <c:numCache>
                <c:formatCode>0</c:formatCode>
                <c:ptCount val="5"/>
                <c:pt idx="0">
                  <c:v>0.65357000000000065</c:v>
                </c:pt>
                <c:pt idx="1">
                  <c:v>0.73879999999999901</c:v>
                </c:pt>
                <c:pt idx="2">
                  <c:v>0.7503500000000014</c:v>
                </c:pt>
                <c:pt idx="3">
                  <c:v>0.77960000000000029</c:v>
                </c:pt>
                <c:pt idx="4">
                  <c:v>0.81674322783878228</c:v>
                </c:pt>
              </c:numCache>
            </c:numRef>
          </c:val>
          <c:extLst>
            <c:ext xmlns:c16="http://schemas.microsoft.com/office/drawing/2014/chart" uri="{C3380CC4-5D6E-409C-BE32-E72D297353CC}">
              <c16:uniqueId val="{00000031-C4A3-4B25-9DD1-D7E9A0A15568}"/>
            </c:ext>
          </c:extLst>
        </c:ser>
        <c:dLbls>
          <c:showLegendKey val="0"/>
          <c:showVal val="0"/>
          <c:showCatName val="0"/>
          <c:showSerName val="0"/>
          <c:showPercent val="0"/>
          <c:showBubbleSize val="0"/>
        </c:dLbls>
        <c:gapWidth val="40"/>
        <c:overlap val="100"/>
        <c:axId val="474096688"/>
        <c:axId val="474097080"/>
      </c:barChart>
      <c:catAx>
        <c:axId val="474096688"/>
        <c:scaling>
          <c:orientation val="minMax"/>
        </c:scaling>
        <c:delete val="0"/>
        <c:axPos val="b"/>
        <c:numFmt formatCode="General" sourceLinked="1"/>
        <c:majorTickMark val="out"/>
        <c:minorTickMark val="none"/>
        <c:tickLblPos val="nextTo"/>
        <c:spPr>
          <a:ln w="3175">
            <a:solidFill>
              <a:sysClr val="window" lastClr="FFFFFF">
                <a:lumMod val="50000"/>
              </a:sysClr>
            </a:solidFill>
            <a:prstDash val="solid"/>
          </a:ln>
        </c:spPr>
        <c:txPr>
          <a:bodyPr rot="0" vert="horz"/>
          <a:lstStyle/>
          <a:p>
            <a:pPr>
              <a:defRPr/>
            </a:pPr>
            <a:endParaRPr lang="lv-LV"/>
          </a:p>
        </c:txPr>
        <c:crossAx val="474097080"/>
        <c:crosses val="autoZero"/>
        <c:auto val="0"/>
        <c:lblAlgn val="ctr"/>
        <c:lblOffset val="0"/>
        <c:noMultiLvlLbl val="0"/>
      </c:catAx>
      <c:valAx>
        <c:axId val="474097080"/>
        <c:scaling>
          <c:orientation val="minMax"/>
          <c:max val="4"/>
          <c:min val="0"/>
        </c:scaling>
        <c:delete val="0"/>
        <c:axPos val="l"/>
        <c:numFmt formatCode="0" sourceLinked="0"/>
        <c:majorTickMark val="out"/>
        <c:minorTickMark val="none"/>
        <c:tickLblPos val="nextTo"/>
        <c:spPr>
          <a:ln w="3175">
            <a:solidFill>
              <a:sysClr val="window" lastClr="FFFFFF">
                <a:lumMod val="50000"/>
              </a:sysClr>
            </a:solidFill>
            <a:prstDash val="solid"/>
          </a:ln>
        </c:spPr>
        <c:txPr>
          <a:bodyPr rot="0" vert="horz"/>
          <a:lstStyle/>
          <a:p>
            <a:pPr>
              <a:defRPr/>
            </a:pPr>
            <a:endParaRPr lang="lv-LV"/>
          </a:p>
        </c:txPr>
        <c:crossAx val="474096688"/>
        <c:crosses val="autoZero"/>
        <c:crossBetween val="between"/>
        <c:majorUnit val="1"/>
      </c:valAx>
      <c:spPr>
        <a:noFill/>
        <a:ln w="23858">
          <a:noFill/>
        </a:ln>
      </c:spPr>
    </c:plotArea>
    <c:legend>
      <c:legendPos val="r"/>
      <c:layout>
        <c:manualLayout>
          <c:xMode val="edge"/>
          <c:yMode val="edge"/>
          <c:x val="0.68493720233226418"/>
          <c:y val="2.3749383576391385E-2"/>
          <c:w val="0.30908181753643005"/>
          <c:h val="0.92309811611684367"/>
        </c:manualLayout>
      </c:layout>
      <c:overlay val="0"/>
    </c:legend>
    <c:plotVisOnly val="1"/>
    <c:dispBlanksAs val="gap"/>
    <c:showDLblsOverMax val="0"/>
  </c:chart>
  <c:spPr>
    <a:noFill/>
    <a:ln>
      <a:noFill/>
    </a:ln>
  </c:spPr>
  <c:txPr>
    <a:bodyPr/>
    <a:lstStyle/>
    <a:p>
      <a:pPr>
        <a:defRPr sz="800" b="0" i="0" u="none" strike="noStrike" baseline="0">
          <a:solidFill>
            <a:srgbClr val="000000"/>
          </a:solidFill>
          <a:latin typeface="Candara" panose="020E0502030303020204" pitchFamily="34" charset="0"/>
          <a:ea typeface="Arial"/>
          <a:cs typeface="Arial"/>
        </a:defRPr>
      </a:pPr>
      <a:endParaRPr lang="lv-LV"/>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1" i="0" u="none" strike="noStrike" kern="1200" baseline="0">
                <a:solidFill>
                  <a:sysClr val="windowText" lastClr="000000"/>
                </a:solidFill>
                <a:latin typeface="+mn-lt"/>
                <a:ea typeface="+mn-ea"/>
                <a:cs typeface="+mn-cs"/>
              </a:defRPr>
            </a:pPr>
            <a:r>
              <a:rPr lang="lv-LV"/>
              <a:t>Ārvalstu viesu izmantotās naktsmītnes Latvijā, kopējie izdevumi, milj. EUR </a:t>
            </a:r>
          </a:p>
        </c:rich>
      </c:tx>
      <c:overlay val="0"/>
      <c:spPr>
        <a:noFill/>
        <a:ln>
          <a:noFill/>
        </a:ln>
        <a:effectLst/>
      </c:spPr>
      <c:txPr>
        <a:bodyPr rot="0" spcFirstLastPara="1" vertOverflow="ellipsis" vert="horz" wrap="square" anchor="ctr" anchorCtr="1"/>
        <a:lstStyle/>
        <a:p>
          <a:pPr>
            <a:defRPr sz="960" b="1" i="0" u="none" strike="noStrike" kern="1200" baseline="0">
              <a:solidFill>
                <a:sysClr val="windowText" lastClr="000000"/>
              </a:solidFill>
              <a:latin typeface="+mn-lt"/>
              <a:ea typeface="+mn-ea"/>
              <a:cs typeface="+mn-cs"/>
            </a:defRPr>
          </a:pPr>
          <a:endParaRPr lang="lv-LV"/>
        </a:p>
      </c:txPr>
    </c:title>
    <c:autoTitleDeleted val="0"/>
    <c:plotArea>
      <c:layout/>
      <c:barChart>
        <c:barDir val="col"/>
        <c:grouping val="stacked"/>
        <c:varyColors val="0"/>
        <c:ser>
          <c:idx val="0"/>
          <c:order val="0"/>
          <c:tx>
            <c:strRef>
              <c:f>'Sheet2 (2)'!$B$24</c:f>
              <c:strCache>
                <c:ptCount val="1"/>
                <c:pt idx="0">
                  <c:v>Viesnīca/ motelis/ viesu māja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 (2)'!$C$23:$G$23</c:f>
              <c:numCache>
                <c:formatCode>General</c:formatCode>
                <c:ptCount val="5"/>
                <c:pt idx="0">
                  <c:v>2012</c:v>
                </c:pt>
                <c:pt idx="1">
                  <c:v>2013</c:v>
                </c:pt>
                <c:pt idx="2">
                  <c:v>2014</c:v>
                </c:pt>
                <c:pt idx="3">
                  <c:v>2015</c:v>
                </c:pt>
                <c:pt idx="4">
                  <c:v>2016</c:v>
                </c:pt>
              </c:numCache>
            </c:numRef>
          </c:cat>
          <c:val>
            <c:numRef>
              <c:f>'Sheet2 (2)'!$C$24:$G$24</c:f>
              <c:numCache>
                <c:formatCode>0.00</c:formatCode>
                <c:ptCount val="5"/>
                <c:pt idx="0">
                  <c:v>325.53129999999999</c:v>
                </c:pt>
                <c:pt idx="1">
                  <c:v>339.682411</c:v>
                </c:pt>
                <c:pt idx="2">
                  <c:v>357.74897900000002</c:v>
                </c:pt>
                <c:pt idx="3">
                  <c:v>364.11293799999999</c:v>
                </c:pt>
                <c:pt idx="4">
                  <c:v>263.23084899999998</c:v>
                </c:pt>
              </c:numCache>
            </c:numRef>
          </c:val>
          <c:extLst>
            <c:ext xmlns:c16="http://schemas.microsoft.com/office/drawing/2014/chart" uri="{C3380CC4-5D6E-409C-BE32-E72D297353CC}">
              <c16:uniqueId val="{00000000-B556-486D-9C29-7FA874F1FF7A}"/>
            </c:ext>
          </c:extLst>
        </c:ser>
        <c:ser>
          <c:idx val="1"/>
          <c:order val="1"/>
          <c:tx>
            <c:strRef>
              <c:f>'Sheet2 (2)'!$B$25</c:f>
              <c:strCache>
                <c:ptCount val="1"/>
                <c:pt idx="0">
                  <c:v>Kempings/ atpūtas komplekss/ hostelis </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numRef>
              <c:f>'Sheet2 (2)'!$C$23:$G$23</c:f>
              <c:numCache>
                <c:formatCode>General</c:formatCode>
                <c:ptCount val="5"/>
                <c:pt idx="0">
                  <c:v>2012</c:v>
                </c:pt>
                <c:pt idx="1">
                  <c:v>2013</c:v>
                </c:pt>
                <c:pt idx="2">
                  <c:v>2014</c:v>
                </c:pt>
                <c:pt idx="3">
                  <c:v>2015</c:v>
                </c:pt>
                <c:pt idx="4">
                  <c:v>2016</c:v>
                </c:pt>
              </c:numCache>
            </c:numRef>
          </c:cat>
          <c:val>
            <c:numRef>
              <c:f>'Sheet2 (2)'!$C$25:$G$25</c:f>
              <c:numCache>
                <c:formatCode>0.00</c:formatCode>
                <c:ptCount val="5"/>
                <c:pt idx="0">
                  <c:v>8.1684409999999996</c:v>
                </c:pt>
                <c:pt idx="1">
                  <c:v>10.776154999999999</c:v>
                </c:pt>
                <c:pt idx="2">
                  <c:v>9.7299410000000002</c:v>
                </c:pt>
                <c:pt idx="3">
                  <c:v>11.745735</c:v>
                </c:pt>
                <c:pt idx="4">
                  <c:v>8.7218250000000008</c:v>
                </c:pt>
              </c:numCache>
            </c:numRef>
          </c:val>
          <c:extLst>
            <c:ext xmlns:c16="http://schemas.microsoft.com/office/drawing/2014/chart" uri="{C3380CC4-5D6E-409C-BE32-E72D297353CC}">
              <c16:uniqueId val="{00000001-B556-486D-9C29-7FA874F1FF7A}"/>
            </c:ext>
          </c:extLst>
        </c:ser>
        <c:ser>
          <c:idx val="2"/>
          <c:order val="2"/>
          <c:tx>
            <c:strRef>
              <c:f>'Sheet2 (2)'!$B$26</c:f>
              <c:strCache>
                <c:ptCount val="1"/>
                <c:pt idx="0">
                  <c:v>Privāta naktsmītne </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 (2)'!$C$23:$G$23</c:f>
              <c:numCache>
                <c:formatCode>General</c:formatCode>
                <c:ptCount val="5"/>
                <c:pt idx="0">
                  <c:v>2012</c:v>
                </c:pt>
                <c:pt idx="1">
                  <c:v>2013</c:v>
                </c:pt>
                <c:pt idx="2">
                  <c:v>2014</c:v>
                </c:pt>
                <c:pt idx="3">
                  <c:v>2015</c:v>
                </c:pt>
                <c:pt idx="4">
                  <c:v>2016</c:v>
                </c:pt>
              </c:numCache>
            </c:numRef>
          </c:cat>
          <c:val>
            <c:numRef>
              <c:f>'Sheet2 (2)'!$C$26:$G$26</c:f>
              <c:numCache>
                <c:formatCode>0.00</c:formatCode>
                <c:ptCount val="5"/>
                <c:pt idx="0">
                  <c:v>100.744477</c:v>
                </c:pt>
                <c:pt idx="1">
                  <c:v>125.574117</c:v>
                </c:pt>
                <c:pt idx="2">
                  <c:v>143.724818</c:v>
                </c:pt>
                <c:pt idx="3">
                  <c:v>160.34478899999999</c:v>
                </c:pt>
                <c:pt idx="4">
                  <c:v>189.117391</c:v>
                </c:pt>
              </c:numCache>
            </c:numRef>
          </c:val>
          <c:extLst>
            <c:ext xmlns:c16="http://schemas.microsoft.com/office/drawing/2014/chart" uri="{C3380CC4-5D6E-409C-BE32-E72D297353CC}">
              <c16:uniqueId val="{00000002-B556-486D-9C29-7FA874F1FF7A}"/>
            </c:ext>
          </c:extLst>
        </c:ser>
        <c:ser>
          <c:idx val="3"/>
          <c:order val="3"/>
          <c:tx>
            <c:strRef>
              <c:f>'Sheet2 (2)'!$B$27</c:f>
              <c:strCache>
                <c:ptCount val="1"/>
                <c:pt idx="0">
                  <c:v>Citas naktsmītnes</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numRef>
              <c:f>'Sheet2 (2)'!$C$23:$G$23</c:f>
              <c:numCache>
                <c:formatCode>General</c:formatCode>
                <c:ptCount val="5"/>
                <c:pt idx="0">
                  <c:v>2012</c:v>
                </c:pt>
                <c:pt idx="1">
                  <c:v>2013</c:v>
                </c:pt>
                <c:pt idx="2">
                  <c:v>2014</c:v>
                </c:pt>
                <c:pt idx="3">
                  <c:v>2015</c:v>
                </c:pt>
                <c:pt idx="4">
                  <c:v>2016</c:v>
                </c:pt>
              </c:numCache>
            </c:numRef>
          </c:cat>
          <c:val>
            <c:numRef>
              <c:f>'Sheet2 (2)'!$C$27:$G$27</c:f>
              <c:numCache>
                <c:formatCode>0.00</c:formatCode>
                <c:ptCount val="5"/>
                <c:pt idx="0">
                  <c:v>3.355553</c:v>
                </c:pt>
                <c:pt idx="1">
                  <c:v>4.9699770000000001</c:v>
                </c:pt>
                <c:pt idx="2">
                  <c:v>5.1017789999999996</c:v>
                </c:pt>
                <c:pt idx="3">
                  <c:v>3.6145529999999999</c:v>
                </c:pt>
                <c:pt idx="4">
                  <c:v>12.470736</c:v>
                </c:pt>
              </c:numCache>
            </c:numRef>
          </c:val>
          <c:extLst>
            <c:ext xmlns:c16="http://schemas.microsoft.com/office/drawing/2014/chart" uri="{C3380CC4-5D6E-409C-BE32-E72D297353CC}">
              <c16:uniqueId val="{00000003-B556-486D-9C29-7FA874F1FF7A}"/>
            </c:ext>
          </c:extLst>
        </c:ser>
        <c:dLbls>
          <c:showLegendKey val="0"/>
          <c:showVal val="0"/>
          <c:showCatName val="0"/>
          <c:showSerName val="0"/>
          <c:showPercent val="0"/>
          <c:showBubbleSize val="0"/>
        </c:dLbls>
        <c:gapWidth val="150"/>
        <c:overlap val="100"/>
        <c:axId val="217746880"/>
        <c:axId val="217746224"/>
      </c:barChart>
      <c:catAx>
        <c:axId val="21774688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lv-LV"/>
          </a:p>
        </c:txPr>
        <c:crossAx val="217746224"/>
        <c:crosses val="autoZero"/>
        <c:auto val="1"/>
        <c:lblAlgn val="ctr"/>
        <c:lblOffset val="100"/>
        <c:noMultiLvlLbl val="0"/>
      </c:catAx>
      <c:valAx>
        <c:axId val="21774622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lv-LV"/>
          </a:p>
        </c:txPr>
        <c:crossAx val="2177468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ysClr val="windowText" lastClr="000000"/>
          </a:solidFill>
        </a:defRPr>
      </a:pPr>
      <a:endParaRPr lang="lv-LV"/>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r>
              <a:rPr lang="lv-LV" sz="1200"/>
              <a:t>Viena ārvalstu vairākdienu ceļotāja vidējie izdevumi diennaktī, EUR</a:t>
            </a:r>
          </a:p>
        </c:rich>
      </c:tx>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lv-LV"/>
        </a:p>
      </c:txPr>
    </c:title>
    <c:autoTitleDeleted val="0"/>
    <c:plotArea>
      <c:layout/>
      <c:barChart>
        <c:barDir val="col"/>
        <c:grouping val="clustered"/>
        <c:varyColors val="0"/>
        <c:ser>
          <c:idx val="1"/>
          <c:order val="1"/>
          <c:tx>
            <c:strRef>
              <c:f>nesezona!$M$28</c:f>
              <c:strCache>
                <c:ptCount val="1"/>
                <c:pt idx="0">
                  <c:v>izpildītais</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manualLayout>
                  <c:x val="-1.1774644539209242E-17"/>
                  <c:y val="4.645760743321718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076-4D48-9AAB-A94869793F2C}"/>
                </c:ext>
              </c:extLst>
            </c:dLbl>
            <c:dLbl>
              <c:idx val="1"/>
              <c:layout>
                <c:manualLayout>
                  <c:x val="0"/>
                  <c:y val="2.78745644599303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076-4D48-9AAB-A94869793F2C}"/>
                </c:ext>
              </c:extLst>
            </c:dLbl>
            <c:dLbl>
              <c:idx val="2"/>
              <c:layout>
                <c:manualLayout>
                  <c:x val="0"/>
                  <c:y val="1.85830429732868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076-4D48-9AAB-A94869793F2C}"/>
                </c:ext>
              </c:extLst>
            </c:dLbl>
            <c:dLbl>
              <c:idx val="3"/>
              <c:layout>
                <c:manualLayout>
                  <c:x val="2.5690430314707301E-3"/>
                  <c:y val="1.39372822299651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076-4D48-9AAB-A94869793F2C}"/>
                </c:ext>
              </c:extLst>
            </c:dLbl>
            <c:dLbl>
              <c:idx val="4"/>
              <c:layout>
                <c:manualLayout>
                  <c:x val="0"/>
                  <c:y val="1.39372822299651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076-4D48-9AAB-A94869793F2C}"/>
                </c:ext>
              </c:extLst>
            </c:dLbl>
            <c:spPr>
              <a:noFill/>
              <a:ln>
                <a:noFill/>
              </a:ln>
              <a:effectLst/>
            </c:spPr>
            <c:txPr>
              <a:bodyPr rot="0" spcFirstLastPara="1" vertOverflow="ellipsis" vert="horz" wrap="square" anchor="ctr" anchorCtr="1"/>
              <a:lstStyle/>
              <a:p>
                <a:pPr>
                  <a:defRPr sz="900" b="1" i="0" u="none" strike="noStrike" kern="1200" baseline="0">
                    <a:solidFill>
                      <a:schemeClr val="accent5">
                        <a:lumMod val="50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nesezona!$N$26:$V$26</c:f>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f>nesezona!$N$28:$V$28</c:f>
              <c:numCache>
                <c:formatCode>#,##0</c:formatCode>
                <c:ptCount val="9"/>
                <c:pt idx="0" formatCode="General">
                  <c:v>75.400000000000006</c:v>
                </c:pt>
                <c:pt idx="1">
                  <c:v>69</c:v>
                </c:pt>
                <c:pt idx="2" formatCode="General">
                  <c:v>66</c:v>
                </c:pt>
                <c:pt idx="3" formatCode="General">
                  <c:v>66</c:v>
                </c:pt>
                <c:pt idx="4" formatCode="General">
                  <c:v>54</c:v>
                </c:pt>
              </c:numCache>
            </c:numRef>
          </c:val>
          <c:extLst>
            <c:ext xmlns:c16="http://schemas.microsoft.com/office/drawing/2014/chart" uri="{C3380CC4-5D6E-409C-BE32-E72D297353CC}">
              <c16:uniqueId val="{00000000-B076-4D48-9AAB-A94869793F2C}"/>
            </c:ext>
          </c:extLst>
        </c:ser>
        <c:dLbls>
          <c:showLegendKey val="0"/>
          <c:showVal val="0"/>
          <c:showCatName val="0"/>
          <c:showSerName val="0"/>
          <c:showPercent val="0"/>
          <c:showBubbleSize val="0"/>
        </c:dLbls>
        <c:gapWidth val="150"/>
        <c:axId val="530281912"/>
        <c:axId val="469263104"/>
      </c:barChart>
      <c:lineChart>
        <c:grouping val="standard"/>
        <c:varyColors val="0"/>
        <c:ser>
          <c:idx val="0"/>
          <c:order val="0"/>
          <c:tx>
            <c:strRef>
              <c:f>nesezona!$M$27</c:f>
              <c:strCache>
                <c:ptCount val="1"/>
                <c:pt idx="0">
                  <c:v>plānotais</c:v>
                </c:pt>
              </c:strCache>
            </c:strRef>
          </c:tx>
          <c:spPr>
            <a:ln w="34925" cap="rnd">
              <a:solidFill>
                <a:schemeClr val="accent6"/>
              </a:solidFill>
              <a:round/>
            </a:ln>
            <a:effectLst>
              <a:outerShdw blurRad="57150" dist="19050" dir="5400000" algn="ctr" rotWithShape="0">
                <a:srgbClr val="000000">
                  <a:alpha val="63000"/>
                </a:srgbClr>
              </a:outerShdw>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7-B076-4D48-9AAB-A94869793F2C}"/>
                </c:ext>
              </c:extLst>
            </c:dLbl>
            <c:dLbl>
              <c:idx val="1"/>
              <c:layout>
                <c:manualLayout>
                  <c:x val="-1.2845215157353885E-2"/>
                  <c:y val="-4.64576074332171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076-4D48-9AAB-A94869793F2C}"/>
                </c:ext>
              </c:extLst>
            </c:dLbl>
            <c:dLbl>
              <c:idx val="2"/>
              <c:layout>
                <c:manualLayout>
                  <c:x val="-2.0552344251766264E-2"/>
                  <c:y val="-4.18118466898955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076-4D48-9AAB-A94869793F2C}"/>
                </c:ext>
              </c:extLst>
            </c:dLbl>
            <c:dLbl>
              <c:idx val="3"/>
              <c:layout>
                <c:manualLayout>
                  <c:x val="-2.5690430314707819E-2"/>
                  <c:y val="-3.71660859465737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076-4D48-9AAB-A94869793F2C}"/>
                </c:ext>
              </c:extLst>
            </c:dLbl>
            <c:dLbl>
              <c:idx val="4"/>
              <c:layout>
                <c:manualLayout>
                  <c:x val="-2.0552344251766216E-2"/>
                  <c:y val="-2.78745644599303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B076-4D48-9AAB-A94869793F2C}"/>
                </c:ext>
              </c:extLst>
            </c:dLbl>
            <c:dLbl>
              <c:idx val="5"/>
              <c:layout>
                <c:manualLayout>
                  <c:x val="-7.7071290944123313E-3"/>
                  <c:y val="-3.2520325203251987E-2"/>
                </c:manualLayout>
              </c:layout>
              <c:spPr>
                <a:noFill/>
                <a:ln>
                  <a:noFill/>
                </a:ln>
                <a:effectLst/>
              </c:spPr>
              <c:txPr>
                <a:bodyPr rot="0" spcFirstLastPara="1" vertOverflow="ellipsis" vert="horz" wrap="square" anchor="ctr" anchorCtr="1"/>
                <a:lstStyle/>
                <a:p>
                  <a:pPr>
                    <a:defRPr sz="900" b="1" i="0" u="none" strike="noStrike" kern="1200" baseline="0">
                      <a:solidFill>
                        <a:srgbClr val="FF0000"/>
                      </a:solidFill>
                      <a:latin typeface="+mn-lt"/>
                      <a:ea typeface="+mn-ea"/>
                      <a:cs typeface="+mn-cs"/>
                    </a:defRPr>
                  </a:pPr>
                  <a:endParaRPr lang="lv-LV"/>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B076-4D48-9AAB-A94869793F2C}"/>
                </c:ext>
              </c:extLst>
            </c:dLbl>
            <c:dLbl>
              <c:idx val="6"/>
              <c:layout>
                <c:manualLayout>
                  <c:x val="-2.5690430314708715E-3"/>
                  <c:y val="-2.78745644599303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B076-4D48-9AAB-A94869793F2C}"/>
                </c:ext>
              </c:extLst>
            </c:dLbl>
            <c:dLbl>
              <c:idx val="7"/>
              <c:layout>
                <c:manualLayout>
                  <c:x val="2.5690430314706829E-3"/>
                  <c:y val="-4.18118466898955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B076-4D48-9AAB-A94869793F2C}"/>
                </c:ext>
              </c:extLst>
            </c:dLbl>
            <c:dLbl>
              <c:idx val="8"/>
              <c:layout>
                <c:manualLayout>
                  <c:x val="0"/>
                  <c:y val="-2.3228803716608595E-2"/>
                </c:manualLayout>
              </c:layout>
              <c:spPr>
                <a:noFill/>
                <a:ln>
                  <a:noFill/>
                </a:ln>
                <a:effectLst/>
              </c:spPr>
              <c:txPr>
                <a:bodyPr rot="0" spcFirstLastPara="1" vertOverflow="ellipsis" vert="horz" wrap="square" anchor="ctr" anchorCtr="1"/>
                <a:lstStyle/>
                <a:p>
                  <a:pPr>
                    <a:defRPr sz="900" b="1" i="0" u="none" strike="noStrike" kern="1200" baseline="0">
                      <a:solidFill>
                        <a:srgbClr val="FF0000"/>
                      </a:solidFill>
                      <a:latin typeface="+mn-lt"/>
                      <a:ea typeface="+mn-ea"/>
                      <a:cs typeface="+mn-cs"/>
                    </a:defRPr>
                  </a:pPr>
                  <a:endParaRPr lang="lv-LV"/>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B076-4D48-9AAB-A94869793F2C}"/>
                </c:ext>
              </c:extLst>
            </c:dLbl>
            <c:spPr>
              <a:noFill/>
              <a:ln>
                <a:noFill/>
              </a:ln>
              <a:effectLst/>
            </c:spPr>
            <c:txPr>
              <a:bodyPr rot="0" spcFirstLastPara="1" vertOverflow="ellipsis" vert="horz" wrap="square" anchor="ctr" anchorCtr="1"/>
              <a:lstStyle/>
              <a:p>
                <a:pPr>
                  <a:defRPr sz="900" b="1" i="0" u="none" strike="noStrike" kern="1200" baseline="0">
                    <a:solidFill>
                      <a:schemeClr val="accent6">
                        <a:lumMod val="50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nesezona!$N$26:$V$26</c:f>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f>nesezona!$N$27:$V$27</c:f>
              <c:numCache>
                <c:formatCode>General</c:formatCode>
                <c:ptCount val="9"/>
                <c:pt idx="0">
                  <c:v>75.400000000000006</c:v>
                </c:pt>
                <c:pt idx="1">
                  <c:v>77.599999999999994</c:v>
                </c:pt>
                <c:pt idx="2">
                  <c:v>79.900000000000006</c:v>
                </c:pt>
                <c:pt idx="3">
                  <c:v>82.3</c:v>
                </c:pt>
                <c:pt idx="4">
                  <c:v>84.7</c:v>
                </c:pt>
                <c:pt idx="5">
                  <c:v>87.5</c:v>
                </c:pt>
                <c:pt idx="6">
                  <c:v>90.1</c:v>
                </c:pt>
                <c:pt idx="7">
                  <c:v>92.5</c:v>
                </c:pt>
                <c:pt idx="8">
                  <c:v>95.5</c:v>
                </c:pt>
              </c:numCache>
            </c:numRef>
          </c:val>
          <c:smooth val="0"/>
          <c:extLst>
            <c:ext xmlns:c16="http://schemas.microsoft.com/office/drawing/2014/chart" uri="{C3380CC4-5D6E-409C-BE32-E72D297353CC}">
              <c16:uniqueId val="{00000001-B076-4D48-9AAB-A94869793F2C}"/>
            </c:ext>
          </c:extLst>
        </c:ser>
        <c:dLbls>
          <c:showLegendKey val="0"/>
          <c:showVal val="0"/>
          <c:showCatName val="0"/>
          <c:showSerName val="0"/>
          <c:showPercent val="0"/>
          <c:showBubbleSize val="0"/>
        </c:dLbls>
        <c:marker val="1"/>
        <c:smooth val="0"/>
        <c:axId val="530281912"/>
        <c:axId val="469263104"/>
      </c:lineChart>
      <c:catAx>
        <c:axId val="53028191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crossAx val="469263104"/>
        <c:crosses val="autoZero"/>
        <c:auto val="1"/>
        <c:lblAlgn val="ctr"/>
        <c:lblOffset val="100"/>
        <c:noMultiLvlLbl val="0"/>
      </c:catAx>
      <c:valAx>
        <c:axId val="4692631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crossAx val="5302819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lv-LV"/>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r>
              <a:rPr lang="lv-LV" sz="1100"/>
              <a:t>Viena vairākdienu ceļotāja vidējie izdevumi diennaktī (eiro)</a:t>
            </a:r>
          </a:p>
        </c:rich>
      </c:tx>
      <c:overlay val="0"/>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lv-LV"/>
        </a:p>
      </c:txPr>
    </c:title>
    <c:autoTitleDeleted val="0"/>
    <c:plotArea>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'TUG0020'!$W$61:$W$70</c:f>
              <c:strCache>
                <c:ptCount val="10"/>
                <c:pt idx="0">
                  <c:v>FI</c:v>
                </c:pt>
                <c:pt idx="1">
                  <c:v>NO</c:v>
                </c:pt>
                <c:pt idx="2">
                  <c:v>SE</c:v>
                </c:pt>
                <c:pt idx="3">
                  <c:v>LT</c:v>
                </c:pt>
                <c:pt idx="4">
                  <c:v>DE</c:v>
                </c:pt>
                <c:pt idx="5">
                  <c:v>UK</c:v>
                </c:pt>
                <c:pt idx="6">
                  <c:v>PL</c:v>
                </c:pt>
                <c:pt idx="7">
                  <c:v>RU</c:v>
                </c:pt>
                <c:pt idx="8">
                  <c:v>BY</c:v>
                </c:pt>
                <c:pt idx="9">
                  <c:v>EE</c:v>
                </c:pt>
              </c:strCache>
            </c:strRef>
          </c:cat>
          <c:val>
            <c:numRef>
              <c:f>'TUG0020'!$X$61:$X$70</c:f>
              <c:numCache>
                <c:formatCode>General</c:formatCode>
                <c:ptCount val="10"/>
                <c:pt idx="0">
                  <c:v>91.3</c:v>
                </c:pt>
                <c:pt idx="1">
                  <c:v>89.9</c:v>
                </c:pt>
                <c:pt idx="2">
                  <c:v>73.2</c:v>
                </c:pt>
                <c:pt idx="3">
                  <c:v>62.9</c:v>
                </c:pt>
                <c:pt idx="4">
                  <c:v>58.8</c:v>
                </c:pt>
                <c:pt idx="5">
                  <c:v>57.9</c:v>
                </c:pt>
                <c:pt idx="6">
                  <c:v>46.4</c:v>
                </c:pt>
                <c:pt idx="7">
                  <c:v>45.9</c:v>
                </c:pt>
                <c:pt idx="8">
                  <c:v>43.9</c:v>
                </c:pt>
                <c:pt idx="9">
                  <c:v>43.8</c:v>
                </c:pt>
              </c:numCache>
            </c:numRef>
          </c:val>
          <c:extLst>
            <c:ext xmlns:c16="http://schemas.microsoft.com/office/drawing/2014/chart" uri="{C3380CC4-5D6E-409C-BE32-E72D297353CC}">
              <c16:uniqueId val="{00000000-7DBF-42B2-99DD-1D9C41FB2405}"/>
            </c:ext>
          </c:extLst>
        </c:ser>
        <c:dLbls>
          <c:dLblPos val="inEnd"/>
          <c:showLegendKey val="0"/>
          <c:showVal val="1"/>
          <c:showCatName val="0"/>
          <c:showSerName val="0"/>
          <c:showPercent val="0"/>
          <c:showBubbleSize val="0"/>
        </c:dLbls>
        <c:gapWidth val="100"/>
        <c:overlap val="-24"/>
        <c:axId val="586386448"/>
        <c:axId val="586389400"/>
      </c:barChart>
      <c:catAx>
        <c:axId val="58638644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crossAx val="586389400"/>
        <c:crosses val="autoZero"/>
        <c:auto val="1"/>
        <c:lblAlgn val="ctr"/>
        <c:lblOffset val="100"/>
        <c:noMultiLvlLbl val="0"/>
      </c:catAx>
      <c:valAx>
        <c:axId val="5863894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crossAx val="5863864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lv-LV"/>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r>
              <a:rPr lang="lv-LV" sz="1200" b="1"/>
              <a:t>Vairākdienu ceļotāju vidējais uzturēšanās ilgums Latvijā</a:t>
            </a:r>
            <a:r>
              <a:rPr lang="lv-LV" sz="1200" b="1" baseline="0"/>
              <a:t> (naktis)</a:t>
            </a:r>
            <a:endParaRPr lang="lv-LV" sz="1200" b="1"/>
          </a:p>
        </c:rich>
      </c:tx>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endParaRPr lang="lv-LV"/>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accent1">
                        <a:lumMod val="7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rgbClr val="FF0000"/>
                </a:solidFill>
                <a:prstDash val="sysDot"/>
              </a:ln>
              <a:effectLst/>
            </c:spPr>
            <c:trendlineType val="linear"/>
            <c:dispRSqr val="0"/>
            <c:dispEq val="0"/>
          </c:trendline>
          <c:cat>
            <c:numRef>
              <c:f>'TUG0020'!$C$50:$K$50</c:f>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f>'TUG0020'!$C$51:$K$51</c:f>
              <c:numCache>
                <c:formatCode>0.0</c:formatCode>
                <c:ptCount val="9"/>
                <c:pt idx="0">
                  <c:v>4</c:v>
                </c:pt>
                <c:pt idx="1">
                  <c:v>4.5999999999999996</c:v>
                </c:pt>
                <c:pt idx="2">
                  <c:v>4.2</c:v>
                </c:pt>
                <c:pt idx="3">
                  <c:v>4</c:v>
                </c:pt>
                <c:pt idx="4">
                  <c:v>4.9000000000000004</c:v>
                </c:pt>
              </c:numCache>
            </c:numRef>
          </c:val>
          <c:extLst>
            <c:ext xmlns:c16="http://schemas.microsoft.com/office/drawing/2014/chart" uri="{C3380CC4-5D6E-409C-BE32-E72D297353CC}">
              <c16:uniqueId val="{00000001-BE0F-4509-9F78-CE0593C3903D}"/>
            </c:ext>
          </c:extLst>
        </c:ser>
        <c:dLbls>
          <c:showLegendKey val="0"/>
          <c:showVal val="0"/>
          <c:showCatName val="0"/>
          <c:showSerName val="0"/>
          <c:showPercent val="0"/>
          <c:showBubbleSize val="0"/>
        </c:dLbls>
        <c:gapWidth val="219"/>
        <c:overlap val="-27"/>
        <c:axId val="584845224"/>
        <c:axId val="587495240"/>
      </c:barChart>
      <c:catAx>
        <c:axId val="584845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crossAx val="587495240"/>
        <c:crosses val="autoZero"/>
        <c:auto val="1"/>
        <c:lblAlgn val="ctr"/>
        <c:lblOffset val="100"/>
        <c:noMultiLvlLbl val="0"/>
      </c:catAx>
      <c:valAx>
        <c:axId val="58749524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crossAx val="5848452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lv-LV"/>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Tahoma" panose="020B0604030504040204" pitchFamily="34" charset="0"/>
                <a:cs typeface="Times New Roman" panose="02020603050405020304" pitchFamily="18" charset="0"/>
              </a:defRPr>
            </a:pPr>
            <a:r>
              <a:rPr lang="lv-LV" sz="1200" b="1">
                <a:latin typeface="Times New Roman" panose="02020603050405020304" pitchFamily="18" charset="0"/>
                <a:ea typeface="Tahoma" panose="020B0604030504040204" pitchFamily="34" charset="0"/>
                <a:cs typeface="Times New Roman" panose="02020603050405020304" pitchFamily="18" charset="0"/>
              </a:rPr>
              <a:t>Krievijas tūristu kopējie izdevumi Latvijā, EUR</a:t>
            </a:r>
          </a:p>
        </c:rich>
      </c:tx>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Tahoma" panose="020B0604030504040204" pitchFamily="34" charset="0"/>
              <a:cs typeface="Times New Roman" panose="02020603050405020304" pitchFamily="18" charset="0"/>
            </a:defRPr>
          </a:pPr>
          <a:endParaRPr lang="lv-LV"/>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lumMod val="50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'TUG0020'!$N$63:$R$63</c:f>
              <c:numCache>
                <c:formatCode>General</c:formatCode>
                <c:ptCount val="5"/>
                <c:pt idx="0">
                  <c:v>2012</c:v>
                </c:pt>
                <c:pt idx="1">
                  <c:v>2013</c:v>
                </c:pt>
                <c:pt idx="2">
                  <c:v>2014</c:v>
                </c:pt>
                <c:pt idx="3">
                  <c:v>2015</c:v>
                </c:pt>
                <c:pt idx="4">
                  <c:v>2016</c:v>
                </c:pt>
              </c:numCache>
            </c:numRef>
          </c:cat>
          <c:val>
            <c:numRef>
              <c:f>'TUG0020'!$N$64:$R$64</c:f>
              <c:numCache>
                <c:formatCode>0.0</c:formatCode>
                <c:ptCount val="5"/>
                <c:pt idx="0">
                  <c:v>89.9</c:v>
                </c:pt>
                <c:pt idx="1">
                  <c:v>118.6</c:v>
                </c:pt>
                <c:pt idx="2">
                  <c:v>131.80000000000001</c:v>
                </c:pt>
                <c:pt idx="3">
                  <c:v>98</c:v>
                </c:pt>
                <c:pt idx="4">
                  <c:v>80</c:v>
                </c:pt>
              </c:numCache>
            </c:numRef>
          </c:val>
          <c:extLst>
            <c:ext xmlns:c16="http://schemas.microsoft.com/office/drawing/2014/chart" uri="{C3380CC4-5D6E-409C-BE32-E72D297353CC}">
              <c16:uniqueId val="{00000000-47FC-4609-8898-F65BF0855C9F}"/>
            </c:ext>
          </c:extLst>
        </c:ser>
        <c:dLbls>
          <c:showLegendKey val="0"/>
          <c:showVal val="0"/>
          <c:showCatName val="0"/>
          <c:showSerName val="0"/>
          <c:showPercent val="0"/>
          <c:showBubbleSize val="0"/>
        </c:dLbls>
        <c:gapWidth val="219"/>
        <c:overlap val="-27"/>
        <c:axId val="523354736"/>
        <c:axId val="523355392"/>
      </c:barChart>
      <c:catAx>
        <c:axId val="523354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crossAx val="523355392"/>
        <c:crosses val="autoZero"/>
        <c:auto val="1"/>
        <c:lblAlgn val="ctr"/>
        <c:lblOffset val="100"/>
        <c:noMultiLvlLbl val="0"/>
      </c:catAx>
      <c:valAx>
        <c:axId val="52335539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crossAx val="5233547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lv-LV"/>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r>
              <a:rPr lang="lv-LV" sz="1200"/>
              <a:t>Ārvalstu vairākdienu ceļotāju kopējie izdevumi gadā, milj. EUR</a:t>
            </a:r>
          </a:p>
        </c:rich>
      </c:tx>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lv-LV"/>
        </a:p>
      </c:txPr>
    </c:title>
    <c:autoTitleDeleted val="0"/>
    <c:plotArea>
      <c:layout/>
      <c:barChart>
        <c:barDir val="col"/>
        <c:grouping val="clustered"/>
        <c:varyColors val="0"/>
        <c:ser>
          <c:idx val="1"/>
          <c:order val="1"/>
          <c:tx>
            <c:strRef>
              <c:f>nesezona!$L$55</c:f>
              <c:strCache>
                <c:ptCount val="1"/>
                <c:pt idx="0">
                  <c:v>izpildītais</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4"/>
              <c:layout>
                <c:manualLayout>
                  <c:x val="1.806451612903226E-2"/>
                  <c:y val="1.85185185185185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E66F-403B-964F-200A4440D0AB}"/>
                </c:ext>
              </c:extLst>
            </c:dLbl>
            <c:spPr>
              <a:noFill/>
              <a:ln>
                <a:noFill/>
              </a:ln>
              <a:effectLst/>
            </c:spPr>
            <c:txPr>
              <a:bodyPr rot="0" spcFirstLastPara="1" vertOverflow="ellipsis" vert="horz" wrap="square" anchor="ctr" anchorCtr="1"/>
              <a:lstStyle/>
              <a:p>
                <a:pPr>
                  <a:defRPr sz="900" b="1" i="0" u="none" strike="noStrike" kern="1200" baseline="0">
                    <a:solidFill>
                      <a:schemeClr val="accent5">
                        <a:lumMod val="50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name>tendence/prognoze</c:name>
            <c:spPr>
              <a:ln w="19050" cap="rnd">
                <a:solidFill>
                  <a:srgbClr val="FF0000"/>
                </a:solidFill>
                <a:prstDash val="dash"/>
              </a:ln>
              <a:effectLst/>
            </c:spPr>
            <c:trendlineType val="linear"/>
            <c:dispRSqr val="0"/>
            <c:dispEq val="0"/>
          </c:trendline>
          <c:cat>
            <c:numRef>
              <c:f>nesezona!$M$53:$U$53</c:f>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f>nesezona!$M$55:$U$55</c:f>
              <c:numCache>
                <c:formatCode>#,##0</c:formatCode>
                <c:ptCount val="9"/>
                <c:pt idx="0" formatCode="General">
                  <c:v>438</c:v>
                </c:pt>
                <c:pt idx="1">
                  <c:v>482</c:v>
                </c:pt>
                <c:pt idx="2" formatCode="General">
                  <c:v>517</c:v>
                </c:pt>
                <c:pt idx="3" formatCode="General">
                  <c:v>541</c:v>
                </c:pt>
                <c:pt idx="4" formatCode="General">
                  <c:v>474</c:v>
                </c:pt>
              </c:numCache>
            </c:numRef>
          </c:val>
          <c:extLst>
            <c:ext xmlns:c16="http://schemas.microsoft.com/office/drawing/2014/chart" uri="{C3380CC4-5D6E-409C-BE32-E72D297353CC}">
              <c16:uniqueId val="{00000000-E66F-403B-964F-200A4440D0AB}"/>
            </c:ext>
          </c:extLst>
        </c:ser>
        <c:dLbls>
          <c:showLegendKey val="0"/>
          <c:showVal val="0"/>
          <c:showCatName val="0"/>
          <c:showSerName val="0"/>
          <c:showPercent val="0"/>
          <c:showBubbleSize val="0"/>
        </c:dLbls>
        <c:gapWidth val="150"/>
        <c:axId val="519747272"/>
        <c:axId val="533037968"/>
      </c:barChart>
      <c:lineChart>
        <c:grouping val="standard"/>
        <c:varyColors val="0"/>
        <c:ser>
          <c:idx val="0"/>
          <c:order val="0"/>
          <c:tx>
            <c:strRef>
              <c:f>nesezona!$L$54</c:f>
              <c:strCache>
                <c:ptCount val="1"/>
                <c:pt idx="0">
                  <c:v>plānotais</c:v>
                </c:pt>
              </c:strCache>
            </c:strRef>
          </c:tx>
          <c:spPr>
            <a:ln w="34925" cap="rnd">
              <a:solidFill>
                <a:schemeClr val="accent6"/>
              </a:solidFill>
              <a:round/>
            </a:ln>
            <a:effectLst>
              <a:outerShdw blurRad="57150" dist="19050" dir="5400000" algn="ctr" rotWithShape="0">
                <a:srgbClr val="000000">
                  <a:alpha val="63000"/>
                </a:srgbClr>
              </a:outerShdw>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2-E66F-403B-964F-200A4440D0AB}"/>
                </c:ext>
              </c:extLst>
            </c:dLbl>
            <c:dLbl>
              <c:idx val="1"/>
              <c:layout>
                <c:manualLayout>
                  <c:x val="2.5806451612903226E-3"/>
                  <c:y val="1.85185185185185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66F-403B-964F-200A4440D0AB}"/>
                </c:ext>
              </c:extLst>
            </c:dLbl>
            <c:dLbl>
              <c:idx val="2"/>
              <c:layout>
                <c:manualLayout>
                  <c:x val="5.1612903225805975E-3"/>
                  <c:y val="3.70370370370369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66F-403B-964F-200A4440D0AB}"/>
                </c:ext>
              </c:extLst>
            </c:dLbl>
            <c:dLbl>
              <c:idx val="3"/>
              <c:layout>
                <c:manualLayout>
                  <c:x val="2.5806451612903226E-3"/>
                  <c:y val="2.31481481481481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66F-403B-964F-200A4440D0AB}"/>
                </c:ext>
              </c:extLst>
            </c:dLbl>
            <c:dLbl>
              <c:idx val="4"/>
              <c:layout>
                <c:manualLayout>
                  <c:x val="-3.3311173814342718E-2"/>
                  <c:y val="-4.62962962962962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66F-403B-964F-200A4440D0AB}"/>
                </c:ext>
              </c:extLst>
            </c:dLbl>
            <c:dLbl>
              <c:idx val="5"/>
              <c:layout>
                <c:manualLayout>
                  <c:x val="-2.807069378991791E-2"/>
                  <c:y val="-3.7037037037037035E-2"/>
                </c:manualLayout>
              </c:layout>
              <c:spPr>
                <a:noFill/>
                <a:ln>
                  <a:noFill/>
                </a:ln>
                <a:effectLst/>
              </c:spPr>
              <c:txPr>
                <a:bodyPr rot="0" spcFirstLastPara="1" vertOverflow="ellipsis" vert="horz" wrap="square" anchor="ctr" anchorCtr="1"/>
                <a:lstStyle/>
                <a:p>
                  <a:pPr>
                    <a:defRPr sz="900" b="1" i="0" u="none" strike="noStrike" kern="1200" baseline="0">
                      <a:solidFill>
                        <a:srgbClr val="FF0000"/>
                      </a:solidFill>
                      <a:latin typeface="+mn-lt"/>
                      <a:ea typeface="+mn-ea"/>
                      <a:cs typeface="+mn-cs"/>
                    </a:defRPr>
                  </a:pPr>
                  <a:endParaRPr lang="lv-LV"/>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66F-403B-964F-200A4440D0AB}"/>
                </c:ext>
              </c:extLst>
            </c:dLbl>
            <c:dLbl>
              <c:idx val="6"/>
              <c:layout>
                <c:manualLayout>
                  <c:x val="-2.8149877137778039E-2"/>
                  <c:y val="-4.62962962962962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66F-403B-964F-200A4440D0AB}"/>
                </c:ext>
              </c:extLst>
            </c:dLbl>
            <c:dLbl>
              <c:idx val="7"/>
              <c:layout>
                <c:manualLayout>
                  <c:x val="-3.0809610337169484E-2"/>
                  <c:y val="-4.62962962962962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66F-403B-964F-200A4440D0AB}"/>
                </c:ext>
              </c:extLst>
            </c:dLbl>
            <c:dLbl>
              <c:idx val="8"/>
              <c:layout>
                <c:manualLayout>
                  <c:x val="-1.5483870967741935E-2"/>
                  <c:y val="-2.7777777777777776E-2"/>
                </c:manualLayout>
              </c:layout>
              <c:spPr>
                <a:noFill/>
                <a:ln>
                  <a:noFill/>
                </a:ln>
                <a:effectLst/>
              </c:spPr>
              <c:txPr>
                <a:bodyPr rot="0" spcFirstLastPara="1" vertOverflow="ellipsis" vert="horz" wrap="square" anchor="ctr" anchorCtr="1"/>
                <a:lstStyle/>
                <a:p>
                  <a:pPr>
                    <a:defRPr sz="900" b="1" i="0" u="none" strike="noStrike" kern="1200" baseline="0">
                      <a:solidFill>
                        <a:srgbClr val="FF0000"/>
                      </a:solidFill>
                      <a:latin typeface="+mn-lt"/>
                      <a:ea typeface="+mn-ea"/>
                      <a:cs typeface="+mn-cs"/>
                    </a:defRPr>
                  </a:pPr>
                  <a:endParaRPr lang="lv-LV"/>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66F-403B-964F-200A4440D0AB}"/>
                </c:ext>
              </c:extLst>
            </c:dLbl>
            <c:spPr>
              <a:noFill/>
              <a:ln>
                <a:noFill/>
              </a:ln>
              <a:effectLst/>
            </c:spPr>
            <c:txPr>
              <a:bodyPr rot="0" spcFirstLastPara="1" vertOverflow="ellipsis" vert="horz" wrap="square" anchor="ctr" anchorCtr="1"/>
              <a:lstStyle/>
              <a:p>
                <a:pPr>
                  <a:defRPr sz="900" b="1" i="0" u="none" strike="noStrike" kern="1200" baseline="0">
                    <a:solidFill>
                      <a:schemeClr val="accent6">
                        <a:lumMod val="50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nesezona!$M$53:$U$53</c:f>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f>nesezona!$M$54:$U$54</c:f>
              <c:numCache>
                <c:formatCode>General</c:formatCode>
                <c:ptCount val="9"/>
                <c:pt idx="0">
                  <c:v>438</c:v>
                </c:pt>
                <c:pt idx="1">
                  <c:v>465.9</c:v>
                </c:pt>
                <c:pt idx="2">
                  <c:v>493.8</c:v>
                </c:pt>
                <c:pt idx="3">
                  <c:v>521.70000000000005</c:v>
                </c:pt>
                <c:pt idx="4">
                  <c:v>549.6</c:v>
                </c:pt>
                <c:pt idx="5">
                  <c:v>577.5</c:v>
                </c:pt>
                <c:pt idx="6">
                  <c:v>604.29999999999995</c:v>
                </c:pt>
                <c:pt idx="7">
                  <c:v>631.1</c:v>
                </c:pt>
                <c:pt idx="8">
                  <c:v>657.8</c:v>
                </c:pt>
              </c:numCache>
            </c:numRef>
          </c:val>
          <c:smooth val="0"/>
          <c:extLst>
            <c:ext xmlns:c16="http://schemas.microsoft.com/office/drawing/2014/chart" uri="{C3380CC4-5D6E-409C-BE32-E72D297353CC}">
              <c16:uniqueId val="{00000001-E66F-403B-964F-200A4440D0AB}"/>
            </c:ext>
          </c:extLst>
        </c:ser>
        <c:dLbls>
          <c:showLegendKey val="0"/>
          <c:showVal val="0"/>
          <c:showCatName val="0"/>
          <c:showSerName val="0"/>
          <c:showPercent val="0"/>
          <c:showBubbleSize val="0"/>
        </c:dLbls>
        <c:marker val="1"/>
        <c:smooth val="0"/>
        <c:axId val="519747272"/>
        <c:axId val="533037968"/>
      </c:lineChart>
      <c:catAx>
        <c:axId val="51974727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crossAx val="533037968"/>
        <c:crosses val="autoZero"/>
        <c:auto val="1"/>
        <c:lblAlgn val="ctr"/>
        <c:lblOffset val="100"/>
        <c:noMultiLvlLbl val="0"/>
      </c:catAx>
      <c:valAx>
        <c:axId val="5330379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crossAx val="5197472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lv-LV"/>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pieChart>
        <c:varyColors val="1"/>
        <c:ser>
          <c:idx val="0"/>
          <c:order val="0"/>
          <c:tx>
            <c:strRef>
              <c:f>Sheet1!$B$1</c:f>
              <c:strCache>
                <c:ptCount val="1"/>
                <c:pt idx="0">
                  <c:v>Total Expenditure of foreign tourists in Latvia</c:v>
                </c:pt>
              </c:strCache>
            </c:strRef>
          </c:tx>
          <c:dPt>
            <c:idx val="0"/>
            <c:bubble3D val="0"/>
            <c:spPr>
              <a:solidFill>
                <a:schemeClr val="accent5">
                  <a:shade val="5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027C-4FD0-8F07-BC1F6906A276}"/>
              </c:ext>
            </c:extLst>
          </c:dPt>
          <c:dPt>
            <c:idx val="1"/>
            <c:bubble3D val="0"/>
            <c:spPr>
              <a:solidFill>
                <a:schemeClr val="accent5">
                  <a:shade val="7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027C-4FD0-8F07-BC1F6906A276}"/>
              </c:ext>
            </c:extLst>
          </c:dPt>
          <c:dPt>
            <c:idx val="2"/>
            <c:bubble3D val="0"/>
            <c:spPr>
              <a:solidFill>
                <a:schemeClr val="accent5">
                  <a:shade val="9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027C-4FD0-8F07-BC1F6906A276}"/>
              </c:ext>
            </c:extLst>
          </c:dPt>
          <c:dPt>
            <c:idx val="3"/>
            <c:bubble3D val="0"/>
            <c:spPr>
              <a:solidFill>
                <a:schemeClr val="accent5">
                  <a:tint val="9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027C-4FD0-8F07-BC1F6906A276}"/>
              </c:ext>
            </c:extLst>
          </c:dPt>
          <c:dPt>
            <c:idx val="4"/>
            <c:bubble3D val="0"/>
            <c:spPr>
              <a:solidFill>
                <a:schemeClr val="accent5">
                  <a:tint val="7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027C-4FD0-8F07-BC1F6906A276}"/>
              </c:ext>
            </c:extLst>
          </c:dPt>
          <c:dPt>
            <c:idx val="5"/>
            <c:bubble3D val="0"/>
            <c:spPr>
              <a:solidFill>
                <a:schemeClr val="accent5">
                  <a:tint val="5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027C-4FD0-8F07-BC1F6906A276}"/>
              </c:ext>
            </c:extLst>
          </c:dPt>
          <c:dLbls>
            <c:dLbl>
              <c:idx val="3"/>
              <c:layout>
                <c:manualLayout>
                  <c:x val="6.9808680287618718E-2"/>
                  <c:y val="0.20238764062675565"/>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027C-4FD0-8F07-BC1F6906A276}"/>
                </c:ext>
              </c:extLst>
            </c:dLbl>
            <c:dLbl>
              <c:idx val="4"/>
              <c:layout>
                <c:manualLayout>
                  <c:x val="3.8422577472733505E-2"/>
                  <c:y val="0.17859329688074038"/>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027C-4FD0-8F07-BC1F6906A276}"/>
                </c:ext>
              </c:extLst>
            </c:dLbl>
            <c:dLbl>
              <c:idx val="5"/>
              <c:layout>
                <c:manualLayout>
                  <c:x val="1.7205357643865278E-2"/>
                  <c:y val="9.9212326043235571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027C-4FD0-8F07-BC1F6906A276}"/>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anchor="ctr" anchorCtr="1"/>
              <a:lstStyle/>
              <a:p>
                <a:pPr>
                  <a:defRPr sz="900" b="1" i="0" u="none" strike="noStrike" kern="1200" baseline="0">
                    <a:solidFill>
                      <a:schemeClr val="lt1"/>
                    </a:solidFill>
                    <a:latin typeface="+mn-lt"/>
                    <a:ea typeface="+mn-ea"/>
                    <a:cs typeface="+mn-cs"/>
                  </a:defRPr>
                </a:pPr>
                <a:endParaRPr lang="lv-LV"/>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Sheet1!$A$2:$A$7</c:f>
              <c:strCache>
                <c:ptCount val="6"/>
                <c:pt idx="0">
                  <c:v>Izdevumi naktsmītnei</c:v>
                </c:pt>
                <c:pt idx="1">
                  <c:v>Izdevumi restorānos un kafejnīcās</c:v>
                </c:pt>
                <c:pt idx="2">
                  <c:v>Iepirkšanās</c:v>
                </c:pt>
                <c:pt idx="3">
                  <c:v>izdevumi kultūras un izklaides pakalpojumiem</c:v>
                </c:pt>
                <c:pt idx="4">
                  <c:v>Izdevumi vietējam transportam</c:v>
                </c:pt>
                <c:pt idx="5">
                  <c:v>Pārējie izdevumi</c:v>
                </c:pt>
              </c:strCache>
            </c:strRef>
          </c:cat>
          <c:val>
            <c:numRef>
              <c:f>Sheet1!$B$2:$B$7</c:f>
              <c:numCache>
                <c:formatCode>General</c:formatCode>
                <c:ptCount val="6"/>
                <c:pt idx="0">
                  <c:v>176</c:v>
                </c:pt>
                <c:pt idx="1">
                  <c:v>156.69999999999999</c:v>
                </c:pt>
                <c:pt idx="2">
                  <c:v>127.3</c:v>
                </c:pt>
                <c:pt idx="3">
                  <c:v>27.8</c:v>
                </c:pt>
                <c:pt idx="4">
                  <c:v>23.2</c:v>
                </c:pt>
                <c:pt idx="5">
                  <c:v>5.9</c:v>
                </c:pt>
              </c:numCache>
            </c:numRef>
          </c:val>
          <c:extLst>
            <c:ext xmlns:c16="http://schemas.microsoft.com/office/drawing/2014/chart" uri="{C3380CC4-5D6E-409C-BE32-E72D297353CC}">
              <c16:uniqueId val="{0000000C-027C-4FD0-8F07-BC1F6906A276}"/>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59600024246128946"/>
          <c:y val="3.5476183809781577E-2"/>
          <c:w val="0.38792542778623451"/>
          <c:h val="0.92917129426551071"/>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v-LV"/>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sz="900"/>
      </a:pPr>
      <a:endParaRPr lang="lv-LV"/>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08769030043642"/>
          <c:y val="8.4730521592769142E-2"/>
          <c:w val="0.90849737532808394"/>
          <c:h val="0.77939883359919604"/>
        </c:manualLayout>
      </c:layout>
      <c:lineChart>
        <c:grouping val="standard"/>
        <c:varyColors val="0"/>
        <c:ser>
          <c:idx val="0"/>
          <c:order val="0"/>
          <c:tx>
            <c:strRef>
              <c:f>Sheet1!$A$2</c:f>
              <c:strCache>
                <c:ptCount val="1"/>
                <c:pt idx="0">
                  <c:v>IKP</c:v>
                </c:pt>
              </c:strCache>
            </c:strRef>
          </c:tx>
          <c:spPr>
            <a:ln w="28575" cap="rnd">
              <a:solidFill>
                <a:schemeClr val="tx1"/>
              </a:solidFill>
              <a:prstDash val="dash"/>
              <a:round/>
            </a:ln>
            <a:effectLst/>
          </c:spPr>
          <c:marker>
            <c:symbol val="none"/>
          </c:marker>
          <c:cat>
            <c:strRef>
              <c:f>Sheet1!$B$1:$I$1</c:f>
              <c:strCache>
                <c:ptCount val="7"/>
                <c:pt idx="0">
                  <c:v>2014</c:v>
                </c:pt>
                <c:pt idx="1">
                  <c:v>2015</c:v>
                </c:pt>
                <c:pt idx="2">
                  <c:v>2016</c:v>
                </c:pt>
                <c:pt idx="3">
                  <c:v>2017</c:v>
                </c:pt>
                <c:pt idx="4">
                  <c:v>2018</c:v>
                </c:pt>
                <c:pt idx="5">
                  <c:v>2019</c:v>
                </c:pt>
                <c:pt idx="6">
                  <c:v>2020</c:v>
                </c:pt>
              </c:strCache>
            </c:strRef>
          </c:cat>
          <c:val>
            <c:numRef>
              <c:f>Sheet1!$B$2:$I$2</c:f>
              <c:numCache>
                <c:formatCode>0.0</c:formatCode>
                <c:ptCount val="7"/>
                <c:pt idx="0">
                  <c:v>102.11991898737757</c:v>
                </c:pt>
                <c:pt idx="1">
                  <c:v>104.88955225463401</c:v>
                </c:pt>
                <c:pt idx="2">
                  <c:v>106.9386401851044</c:v>
                </c:pt>
                <c:pt idx="3">
                  <c:v>110.14679939065753</c:v>
                </c:pt>
                <c:pt idx="4">
                  <c:v>114.55267136628385</c:v>
                </c:pt>
                <c:pt idx="5">
                  <c:v>120.28030493459805</c:v>
                </c:pt>
                <c:pt idx="6">
                  <c:v>126.29432018132796</c:v>
                </c:pt>
              </c:numCache>
            </c:numRef>
          </c:val>
          <c:smooth val="0"/>
          <c:extLst>
            <c:ext xmlns:c16="http://schemas.microsoft.com/office/drawing/2014/chart" uri="{C3380CC4-5D6E-409C-BE32-E72D297353CC}">
              <c16:uniqueId val="{00000000-B8DD-43C8-942B-535E2D56203D}"/>
            </c:ext>
          </c:extLst>
        </c:ser>
        <c:ser>
          <c:idx val="1"/>
          <c:order val="1"/>
          <c:tx>
            <c:strRef>
              <c:f>Sheet1!$A$3</c:f>
              <c:strCache>
                <c:ptCount val="1"/>
                <c:pt idx="0">
                  <c:v>tūrisms</c:v>
                </c:pt>
              </c:strCache>
            </c:strRef>
          </c:tx>
          <c:spPr>
            <a:ln w="28575" cap="rnd">
              <a:solidFill>
                <a:schemeClr val="tx1"/>
              </a:solidFill>
              <a:round/>
            </a:ln>
            <a:effectLst/>
          </c:spPr>
          <c:marker>
            <c:symbol val="none"/>
          </c:marker>
          <c:cat>
            <c:strRef>
              <c:f>Sheet1!$B$1:$I$1</c:f>
              <c:strCache>
                <c:ptCount val="7"/>
                <c:pt idx="0">
                  <c:v>2014</c:v>
                </c:pt>
                <c:pt idx="1">
                  <c:v>2015</c:v>
                </c:pt>
                <c:pt idx="2">
                  <c:v>2016</c:v>
                </c:pt>
                <c:pt idx="3">
                  <c:v>2017</c:v>
                </c:pt>
                <c:pt idx="4">
                  <c:v>2018</c:v>
                </c:pt>
                <c:pt idx="5">
                  <c:v>2019</c:v>
                </c:pt>
                <c:pt idx="6">
                  <c:v>2020</c:v>
                </c:pt>
              </c:strCache>
            </c:strRef>
          </c:cat>
          <c:val>
            <c:numRef>
              <c:f>Sheet1!$B$3:$I$3</c:f>
              <c:numCache>
                <c:formatCode>0.0</c:formatCode>
                <c:ptCount val="7"/>
                <c:pt idx="0">
                  <c:v>104.70530828091029</c:v>
                </c:pt>
                <c:pt idx="1">
                  <c:v>117.1423083907482</c:v>
                </c:pt>
                <c:pt idx="2">
                  <c:v>130.82743105618115</c:v>
                </c:pt>
                <c:pt idx="3">
                  <c:v>137.81796295911252</c:v>
                </c:pt>
                <c:pt idx="4">
                  <c:v>148.13449695301546</c:v>
                </c:pt>
                <c:pt idx="5">
                  <c:v>145.95639211579808</c:v>
                </c:pt>
                <c:pt idx="6">
                  <c:v>152.62499376329217</c:v>
                </c:pt>
              </c:numCache>
            </c:numRef>
          </c:val>
          <c:smooth val="0"/>
          <c:extLst>
            <c:ext xmlns:c16="http://schemas.microsoft.com/office/drawing/2014/chart" uri="{C3380CC4-5D6E-409C-BE32-E72D297353CC}">
              <c16:uniqueId val="{00000001-B8DD-43C8-942B-535E2D56203D}"/>
            </c:ext>
          </c:extLst>
        </c:ser>
        <c:dLbls>
          <c:showLegendKey val="0"/>
          <c:showVal val="0"/>
          <c:showCatName val="0"/>
          <c:showSerName val="0"/>
          <c:showPercent val="0"/>
          <c:showBubbleSize val="0"/>
        </c:dLbls>
        <c:smooth val="0"/>
        <c:axId val="372233080"/>
        <c:axId val="372233472"/>
      </c:lineChart>
      <c:catAx>
        <c:axId val="372233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lv-LV"/>
          </a:p>
        </c:txPr>
        <c:crossAx val="372233472"/>
        <c:crosses val="autoZero"/>
        <c:auto val="1"/>
        <c:lblAlgn val="ctr"/>
        <c:lblOffset val="100"/>
        <c:noMultiLvlLbl val="0"/>
      </c:catAx>
      <c:valAx>
        <c:axId val="372233472"/>
        <c:scaling>
          <c:orientation val="minMax"/>
          <c:min val="1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lv-LV"/>
          </a:p>
        </c:txPr>
        <c:crossAx val="37223308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mj-lt"/>
        </a:defRPr>
      </a:pPr>
      <a:endParaRPr lang="lv-LV"/>
    </a:p>
  </c:txPr>
  <c:externalData r:id="rId3">
    <c:autoUpdate val="0"/>
  </c:externalData>
  <c:userShapes r:id="rId4"/>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1263604848028803E-2"/>
          <c:y val="8.7989533223240712E-2"/>
          <c:w val="0.90849737532808394"/>
          <c:h val="0.76763758690704675"/>
        </c:manualLayout>
      </c:layout>
      <c:lineChart>
        <c:grouping val="standard"/>
        <c:varyColors val="0"/>
        <c:ser>
          <c:idx val="0"/>
          <c:order val="0"/>
          <c:tx>
            <c:strRef>
              <c:f>Sheet1!$A$2</c:f>
              <c:strCache>
                <c:ptCount val="1"/>
                <c:pt idx="0">
                  <c:v>preču un pakalpojumu</c:v>
                </c:pt>
              </c:strCache>
            </c:strRef>
          </c:tx>
          <c:spPr>
            <a:ln w="28575" cap="rnd">
              <a:solidFill>
                <a:schemeClr val="tx1"/>
              </a:solidFill>
              <a:prstDash val="dash"/>
              <a:round/>
            </a:ln>
            <a:effectLst/>
          </c:spPr>
          <c:marker>
            <c:symbol val="none"/>
          </c:marker>
          <c:cat>
            <c:strRef>
              <c:f>Sheet1!$B$1:$I$1</c:f>
              <c:strCache>
                <c:ptCount val="7"/>
                <c:pt idx="0">
                  <c:v>2014</c:v>
                </c:pt>
                <c:pt idx="1">
                  <c:v>2015</c:v>
                </c:pt>
                <c:pt idx="2">
                  <c:v>2016</c:v>
                </c:pt>
                <c:pt idx="3">
                  <c:v>2017</c:v>
                </c:pt>
                <c:pt idx="4">
                  <c:v>2018</c:v>
                </c:pt>
                <c:pt idx="5">
                  <c:v>2019</c:v>
                </c:pt>
                <c:pt idx="6">
                  <c:v>2020</c:v>
                </c:pt>
              </c:strCache>
            </c:strRef>
          </c:cat>
          <c:val>
            <c:numRef>
              <c:f>Sheet1!$B$2:$I$2</c:f>
              <c:numCache>
                <c:formatCode>0.0</c:formatCode>
                <c:ptCount val="7"/>
                <c:pt idx="0">
                  <c:v>103.90371664590332</c:v>
                </c:pt>
                <c:pt idx="1">
                  <c:v>106.57980765791707</c:v>
                </c:pt>
                <c:pt idx="2">
                  <c:v>109.3562948059749</c:v>
                </c:pt>
                <c:pt idx="3">
                  <c:v>112.63698365015415</c:v>
                </c:pt>
                <c:pt idx="4">
                  <c:v>117.14246299616032</c:v>
                </c:pt>
                <c:pt idx="5">
                  <c:v>122.99958614596834</c:v>
                </c:pt>
                <c:pt idx="6">
                  <c:v>129.14956545326675</c:v>
                </c:pt>
              </c:numCache>
            </c:numRef>
          </c:val>
          <c:smooth val="0"/>
          <c:extLst>
            <c:ext xmlns:c16="http://schemas.microsoft.com/office/drawing/2014/chart" uri="{C3380CC4-5D6E-409C-BE32-E72D297353CC}">
              <c16:uniqueId val="{00000000-67ED-46EC-A9D3-95948E96D964}"/>
            </c:ext>
          </c:extLst>
        </c:ser>
        <c:ser>
          <c:idx val="1"/>
          <c:order val="1"/>
          <c:tx>
            <c:strRef>
              <c:f>Sheet1!$A$3</c:f>
              <c:strCache>
                <c:ptCount val="1"/>
                <c:pt idx="0">
                  <c:v>tūrisma</c:v>
                </c:pt>
              </c:strCache>
            </c:strRef>
          </c:tx>
          <c:spPr>
            <a:ln w="28575" cap="rnd">
              <a:solidFill>
                <a:schemeClr val="tx1"/>
              </a:solidFill>
              <a:round/>
            </a:ln>
            <a:effectLst/>
          </c:spPr>
          <c:marker>
            <c:symbol val="none"/>
          </c:marker>
          <c:cat>
            <c:strRef>
              <c:f>Sheet1!$B$1:$I$1</c:f>
              <c:strCache>
                <c:ptCount val="7"/>
                <c:pt idx="0">
                  <c:v>2014</c:v>
                </c:pt>
                <c:pt idx="1">
                  <c:v>2015</c:v>
                </c:pt>
                <c:pt idx="2">
                  <c:v>2016</c:v>
                </c:pt>
                <c:pt idx="3">
                  <c:v>2017</c:v>
                </c:pt>
                <c:pt idx="4">
                  <c:v>2018</c:v>
                </c:pt>
                <c:pt idx="5">
                  <c:v>2019</c:v>
                </c:pt>
                <c:pt idx="6">
                  <c:v>2020</c:v>
                </c:pt>
              </c:strCache>
            </c:strRef>
          </c:cat>
          <c:val>
            <c:numRef>
              <c:f>Sheet1!$B$3:$I$3</c:f>
              <c:numCache>
                <c:formatCode>0.0</c:formatCode>
                <c:ptCount val="7"/>
                <c:pt idx="0">
                  <c:v>106.20954206734068</c:v>
                </c:pt>
                <c:pt idx="1">
                  <c:v>118.79291601478353</c:v>
                </c:pt>
                <c:pt idx="2">
                  <c:v>115.26087636918018</c:v>
                </c:pt>
                <c:pt idx="3">
                  <c:v>117.98638704906185</c:v>
                </c:pt>
                <c:pt idx="4">
                  <c:v>122.12462880171859</c:v>
                </c:pt>
                <c:pt idx="5">
                  <c:v>120.90338251370137</c:v>
                </c:pt>
                <c:pt idx="6">
                  <c:v>123.20066519809494</c:v>
                </c:pt>
              </c:numCache>
            </c:numRef>
          </c:val>
          <c:smooth val="0"/>
          <c:extLst>
            <c:ext xmlns:c16="http://schemas.microsoft.com/office/drawing/2014/chart" uri="{C3380CC4-5D6E-409C-BE32-E72D297353CC}">
              <c16:uniqueId val="{00000001-67ED-46EC-A9D3-95948E96D964}"/>
            </c:ext>
          </c:extLst>
        </c:ser>
        <c:dLbls>
          <c:showLegendKey val="0"/>
          <c:showVal val="0"/>
          <c:showCatName val="0"/>
          <c:showSerName val="0"/>
          <c:showPercent val="0"/>
          <c:showBubbleSize val="0"/>
        </c:dLbls>
        <c:smooth val="0"/>
        <c:axId val="372234256"/>
        <c:axId val="372234648"/>
      </c:lineChart>
      <c:catAx>
        <c:axId val="372234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lv-LV"/>
          </a:p>
        </c:txPr>
        <c:crossAx val="372234648"/>
        <c:crosses val="autoZero"/>
        <c:auto val="1"/>
        <c:lblAlgn val="ctr"/>
        <c:lblOffset val="100"/>
        <c:noMultiLvlLbl val="0"/>
      </c:catAx>
      <c:valAx>
        <c:axId val="372234648"/>
        <c:scaling>
          <c:orientation val="minMax"/>
          <c:min val="1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lv-LV"/>
          </a:p>
        </c:txPr>
        <c:crossAx val="37223425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mj-lt"/>
        </a:defRPr>
      </a:pPr>
      <a:endParaRPr lang="lv-LV"/>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973290612977538E-2"/>
          <c:y val="4.3892850289361789E-2"/>
          <c:w val="0.84594309432251202"/>
          <c:h val="0.76255895809556529"/>
        </c:manualLayout>
      </c:layout>
      <c:barChart>
        <c:barDir val="col"/>
        <c:grouping val="clustered"/>
        <c:varyColors val="0"/>
        <c:ser>
          <c:idx val="0"/>
          <c:order val="0"/>
          <c:tx>
            <c:strRef>
              <c:f>Exp_Imp!$B$32</c:f>
              <c:strCache>
                <c:ptCount val="1"/>
                <c:pt idx="0">
                  <c:v>Tūrisma pakalpojumu eksports</c:v>
                </c:pt>
              </c:strCache>
            </c:strRef>
          </c:tx>
          <c:spPr>
            <a:solidFill>
              <a:srgbClr val="2994A9"/>
            </a:solidFill>
            <a:ln>
              <a:noFill/>
            </a:ln>
            <a:effectLst/>
          </c:spPr>
          <c:invertIfNegative val="0"/>
          <c:dLbls>
            <c:spPr>
              <a:noFill/>
              <a:ln>
                <a:noFill/>
              </a:ln>
              <a:effectLst/>
            </c:spPr>
            <c:txPr>
              <a:bodyPr rot="-5400000" spcFirstLastPara="1" vertOverflow="ellipsis" wrap="square" anchor="ctr" anchorCtr="1"/>
              <a:lstStyle/>
              <a:p>
                <a:pPr>
                  <a:defRPr sz="800" b="0" i="0" u="none" strike="noStrike" kern="1200" baseline="0">
                    <a:solidFill>
                      <a:schemeClr val="tx1"/>
                    </a:solidFill>
                    <a:latin typeface="+mn-lt"/>
                    <a:ea typeface="+mn-ea"/>
                    <a:cs typeface="+mn-cs"/>
                  </a:defRPr>
                </a:pPr>
                <a:endParaRPr lang="lv-LV"/>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Exp_Imp!$C$31:$M$31</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Exp_Imp!$C$32:$M$32</c:f>
              <c:numCache>
                <c:formatCode>General</c:formatCode>
                <c:ptCount val="11"/>
                <c:pt idx="0">
                  <c:v>358.97999999999996</c:v>
                </c:pt>
                <c:pt idx="1">
                  <c:v>493.04999999999995</c:v>
                </c:pt>
                <c:pt idx="2">
                  <c:v>634.92999999999995</c:v>
                </c:pt>
                <c:pt idx="3">
                  <c:v>764.04999999999984</c:v>
                </c:pt>
                <c:pt idx="4">
                  <c:v>718.59</c:v>
                </c:pt>
                <c:pt idx="5">
                  <c:v>726.77</c:v>
                </c:pt>
                <c:pt idx="6">
                  <c:v>787.58000000000015</c:v>
                </c:pt>
                <c:pt idx="7">
                  <c:v>833.59</c:v>
                </c:pt>
                <c:pt idx="8">
                  <c:v>896.31999999999994</c:v>
                </c:pt>
                <c:pt idx="9">
                  <c:v>936.02</c:v>
                </c:pt>
                <c:pt idx="10">
                  <c:v>1023.4100000000001</c:v>
                </c:pt>
              </c:numCache>
            </c:numRef>
          </c:val>
          <c:extLst>
            <c:ext xmlns:c16="http://schemas.microsoft.com/office/drawing/2014/chart" uri="{C3380CC4-5D6E-409C-BE32-E72D297353CC}">
              <c16:uniqueId val="{00000000-6B92-4491-9A0D-BB6FE2C7DD69}"/>
            </c:ext>
          </c:extLst>
        </c:ser>
        <c:dLbls>
          <c:showLegendKey val="0"/>
          <c:showVal val="0"/>
          <c:showCatName val="0"/>
          <c:showSerName val="0"/>
          <c:showPercent val="0"/>
          <c:showBubbleSize val="0"/>
        </c:dLbls>
        <c:gapWidth val="219"/>
        <c:overlap val="-27"/>
        <c:axId val="471217280"/>
        <c:axId val="471218816"/>
      </c:barChart>
      <c:lineChart>
        <c:grouping val="standard"/>
        <c:varyColors val="0"/>
        <c:ser>
          <c:idx val="1"/>
          <c:order val="1"/>
          <c:tx>
            <c:strRef>
              <c:f>Exp_Imp!$B$33</c:f>
              <c:strCache>
                <c:ptCount val="1"/>
                <c:pt idx="0">
                  <c:v>% no kopējā eksporta</c:v>
                </c:pt>
              </c:strCache>
            </c:strRef>
          </c:tx>
          <c:spPr>
            <a:ln w="28575" cap="rnd">
              <a:solidFill>
                <a:schemeClr val="accent6">
                  <a:lumMod val="75000"/>
                </a:schemeClr>
              </a:solidFill>
              <a:round/>
            </a:ln>
            <a:effectLst/>
          </c:spPr>
          <c:marker>
            <c:symbol val="circle"/>
            <c:size val="5"/>
            <c:spPr>
              <a:solidFill>
                <a:schemeClr val="accent6">
                  <a:lumMod val="75000"/>
                </a:schemeClr>
              </a:solidFill>
              <a:ln w="9525">
                <a:solidFill>
                  <a:schemeClr val="accent6">
                    <a:lumMod val="75000"/>
                  </a:schemeClr>
                </a:solidFill>
              </a:ln>
              <a:effectLst/>
            </c:spPr>
          </c:marker>
          <c:dLbls>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Exp_Imp!$C$31:$M$31</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Exp_Imp!$C$33:$M$33</c:f>
              <c:numCache>
                <c:formatCode>0.0%</c:formatCode>
                <c:ptCount val="11"/>
                <c:pt idx="0">
                  <c:v>6.1232740019274902E-2</c:v>
                </c:pt>
                <c:pt idx="1">
                  <c:v>7.1676745944060011E-2</c:v>
                </c:pt>
                <c:pt idx="2">
                  <c:v>7.1872955356880083E-2</c:v>
                </c:pt>
                <c:pt idx="3">
                  <c:v>7.7820793699780094E-2</c:v>
                </c:pt>
                <c:pt idx="4">
                  <c:v>8.7985620407658519E-2</c:v>
                </c:pt>
                <c:pt idx="5">
                  <c:v>7.4869863430001307E-2</c:v>
                </c:pt>
                <c:pt idx="6">
                  <c:v>6.690628719293136E-2</c:v>
                </c:pt>
                <c:pt idx="7">
                  <c:v>6.214856488474494E-2</c:v>
                </c:pt>
                <c:pt idx="8">
                  <c:v>6.5375285003041475E-2</c:v>
                </c:pt>
                <c:pt idx="9">
                  <c:v>6.6707526529215994E-2</c:v>
                </c:pt>
                <c:pt idx="10">
                  <c:v>7.144572509651434E-2</c:v>
                </c:pt>
              </c:numCache>
            </c:numRef>
          </c:val>
          <c:smooth val="0"/>
          <c:extLst>
            <c:ext xmlns:c16="http://schemas.microsoft.com/office/drawing/2014/chart" uri="{C3380CC4-5D6E-409C-BE32-E72D297353CC}">
              <c16:uniqueId val="{00000001-6B92-4491-9A0D-BB6FE2C7DD69}"/>
            </c:ext>
          </c:extLst>
        </c:ser>
        <c:ser>
          <c:idx val="2"/>
          <c:order val="2"/>
          <c:tx>
            <c:strRef>
              <c:f>Exp_Imp!$B$34</c:f>
              <c:strCache>
                <c:ptCount val="1"/>
                <c:pt idx="0">
                  <c:v>% no pakalpojumu eksporta</c:v>
                </c:pt>
              </c:strCache>
            </c:strRef>
          </c:tx>
          <c:spPr>
            <a:ln w="28575" cap="rnd">
              <a:solidFill>
                <a:srgbClr val="C00000"/>
              </a:solidFill>
              <a:round/>
            </a:ln>
            <a:effectLst/>
          </c:spPr>
          <c:marker>
            <c:symbol val="circle"/>
            <c:size val="5"/>
            <c:spPr>
              <a:solidFill>
                <a:srgbClr val="C00000"/>
              </a:solidFill>
              <a:ln w="9525">
                <a:solidFill>
                  <a:srgbClr val="C00000"/>
                </a:solidFill>
              </a:ln>
              <a:effectLst/>
            </c:spPr>
          </c:marker>
          <c:dLbls>
            <c:dLbl>
              <c:idx val="10"/>
              <c:layout>
                <c:manualLayout>
                  <c:x val="-1.5191465697730264E-3"/>
                  <c:y val="-2.244700083829069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B92-4491-9A0D-BB6FE2C7DD69}"/>
                </c:ext>
              </c:extLst>
            </c:dLbl>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Exp_Imp!$C$31:$M$31</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Exp_Imp!$C$34:$M$34</c:f>
              <c:numCache>
                <c:formatCode>0.0%</c:formatCode>
                <c:ptCount val="11"/>
                <c:pt idx="0">
                  <c:v>0.1803765507469211</c:v>
                </c:pt>
                <c:pt idx="1">
                  <c:v>0.20440016914160633</c:v>
                </c:pt>
                <c:pt idx="2">
                  <c:v>0.19973638182481659</c:v>
                </c:pt>
                <c:pt idx="3">
                  <c:v>0.2088087475301236</c:v>
                </c:pt>
                <c:pt idx="4">
                  <c:v>0.22792265873292783</c:v>
                </c:pt>
                <c:pt idx="5">
                  <c:v>0.23827977718544163</c:v>
                </c:pt>
                <c:pt idx="6">
                  <c:v>0.22690421725276444</c:v>
                </c:pt>
                <c:pt idx="7">
                  <c:v>0.22126106517671104</c:v>
                </c:pt>
                <c:pt idx="8">
                  <c:v>0.22979676912387928</c:v>
                </c:pt>
                <c:pt idx="9">
                  <c:v>0.24300026220621868</c:v>
                </c:pt>
                <c:pt idx="10">
                  <c:v>0.25317955682878024</c:v>
                </c:pt>
              </c:numCache>
            </c:numRef>
          </c:val>
          <c:smooth val="0"/>
          <c:extLst>
            <c:ext xmlns:c16="http://schemas.microsoft.com/office/drawing/2014/chart" uri="{C3380CC4-5D6E-409C-BE32-E72D297353CC}">
              <c16:uniqueId val="{00000003-6B92-4491-9A0D-BB6FE2C7DD69}"/>
            </c:ext>
          </c:extLst>
        </c:ser>
        <c:dLbls>
          <c:showLegendKey val="0"/>
          <c:showVal val="0"/>
          <c:showCatName val="0"/>
          <c:showSerName val="0"/>
          <c:showPercent val="0"/>
          <c:showBubbleSize val="0"/>
        </c:dLbls>
        <c:marker val="1"/>
        <c:smooth val="0"/>
        <c:axId val="471263488"/>
        <c:axId val="471261568"/>
      </c:lineChart>
      <c:catAx>
        <c:axId val="471217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lv-LV"/>
          </a:p>
        </c:txPr>
        <c:crossAx val="471218816"/>
        <c:crosses val="autoZero"/>
        <c:auto val="1"/>
        <c:lblAlgn val="ctr"/>
        <c:lblOffset val="100"/>
        <c:noMultiLvlLbl val="0"/>
      </c:catAx>
      <c:valAx>
        <c:axId val="471218816"/>
        <c:scaling>
          <c:orientation val="minMax"/>
          <c:min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lv-LV"/>
          </a:p>
        </c:txPr>
        <c:crossAx val="471217280"/>
        <c:crosses val="autoZero"/>
        <c:crossBetween val="between"/>
      </c:valAx>
      <c:valAx>
        <c:axId val="471261568"/>
        <c:scaling>
          <c:orientation val="minMax"/>
        </c:scaling>
        <c:delete val="0"/>
        <c:axPos val="r"/>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lv-LV"/>
          </a:p>
        </c:txPr>
        <c:crossAx val="471263488"/>
        <c:crosses val="max"/>
        <c:crossBetween val="between"/>
      </c:valAx>
      <c:catAx>
        <c:axId val="471263488"/>
        <c:scaling>
          <c:orientation val="minMax"/>
        </c:scaling>
        <c:delete val="1"/>
        <c:axPos val="b"/>
        <c:numFmt formatCode="General" sourceLinked="1"/>
        <c:majorTickMark val="none"/>
        <c:minorTickMark val="none"/>
        <c:tickLblPos val="nextTo"/>
        <c:crossAx val="47126156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chemeClr val="tx1"/>
          </a:solidFill>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lineChart>
        <c:grouping val="standard"/>
        <c:varyColors val="0"/>
        <c:ser>
          <c:idx val="0"/>
          <c:order val="0"/>
          <c:tx>
            <c:strRef>
              <c:f>'2005-2016 (2)'!$A$5</c:f>
              <c:strCache>
                <c:ptCount val="1"/>
                <c:pt idx="0">
                  <c:v>Pavisam</c:v>
                </c:pt>
              </c:strCache>
            </c:strRef>
          </c:tx>
          <c:spPr>
            <a:ln w="34925" cap="rnd">
              <a:solidFill>
                <a:schemeClr val="accent1">
                  <a:shade val="65000"/>
                </a:schemeClr>
              </a:solidFill>
              <a:round/>
            </a:ln>
            <a:effectLst>
              <a:outerShdw blurRad="57150" dist="19050" dir="5400000" algn="ctr" rotWithShape="0">
                <a:srgbClr val="000000">
                  <a:alpha val="63000"/>
                </a:srgbClr>
              </a:outerShdw>
            </a:effectLst>
          </c:spPr>
          <c:marker>
            <c:symbol val="none"/>
          </c:marker>
          <c:dLbls>
            <c:dLbl>
              <c:idx val="9"/>
              <c:layout>
                <c:manualLayout>
                  <c:x val="2.0506510817184455E-3"/>
                  <c:y val="2.62960180315551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62E-4645-AF3B-1C6D1EC10674}"/>
                </c:ext>
              </c:extLst>
            </c:dLbl>
            <c:dLbl>
              <c:idx val="10"/>
              <c:layout>
                <c:manualLayout>
                  <c:x val="8.202604326873782E-3"/>
                  <c:y val="1.87828700225394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62E-4645-AF3B-1C6D1EC10674}"/>
                </c:ext>
              </c:extLst>
            </c:dLbl>
            <c:dLbl>
              <c:idx val="11"/>
              <c:layout>
                <c:manualLayout>
                  <c:x val="-1.5037934213102667E-16"/>
                  <c:y val="-2.25394440270473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62E-4645-AF3B-1C6D1EC10674}"/>
                </c:ext>
              </c:extLst>
            </c:dLbl>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'2005-2016 (2)'!$B$4:$M$4</c:f>
              <c:numCache>
                <c:formatCode>General</c:formatCod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numCache>
            </c:numRef>
          </c:cat>
          <c:val>
            <c:numRef>
              <c:f>'2005-2016 (2)'!$B$5:$M$5</c:f>
              <c:numCache>
                <c:formatCode>General</c:formatCode>
                <c:ptCount val="12"/>
                <c:pt idx="0">
                  <c:v>1154.7</c:v>
                </c:pt>
                <c:pt idx="1">
                  <c:v>1329.9</c:v>
                </c:pt>
                <c:pt idx="2">
                  <c:v>1487.4</c:v>
                </c:pt>
                <c:pt idx="3">
                  <c:v>1555.9</c:v>
                </c:pt>
                <c:pt idx="4">
                  <c:v>1113.9000000000001</c:v>
                </c:pt>
                <c:pt idx="5">
                  <c:v>1311.5</c:v>
                </c:pt>
                <c:pt idx="6">
                  <c:v>1585</c:v>
                </c:pt>
                <c:pt idx="7">
                  <c:v>1644.8</c:v>
                </c:pt>
                <c:pt idx="8">
                  <c:v>1839.2</c:v>
                </c:pt>
                <c:pt idx="9">
                  <c:v>2098.3000000000002</c:v>
                </c:pt>
                <c:pt idx="10" formatCode="#,##0.0">
                  <c:v>2139.4</c:v>
                </c:pt>
                <c:pt idx="11">
                  <c:v>2303.6</c:v>
                </c:pt>
              </c:numCache>
            </c:numRef>
          </c:val>
          <c:smooth val="0"/>
          <c:extLst>
            <c:ext xmlns:c16="http://schemas.microsoft.com/office/drawing/2014/chart" uri="{C3380CC4-5D6E-409C-BE32-E72D297353CC}">
              <c16:uniqueId val="{00000000-662E-4645-AF3B-1C6D1EC10674}"/>
            </c:ext>
          </c:extLst>
        </c:ser>
        <c:ser>
          <c:idx val="1"/>
          <c:order val="1"/>
          <c:tx>
            <c:strRef>
              <c:f>'2005-2016 (2)'!$A$6</c:f>
              <c:strCache>
                <c:ptCount val="1"/>
                <c:pt idx="0">
                  <c:v>Ārvalstu viesi</c:v>
                </c:pt>
              </c:strCache>
            </c:strRef>
          </c:tx>
          <c:spPr>
            <a:ln w="34925" cap="rnd">
              <a:solidFill>
                <a:schemeClr val="accent1"/>
              </a:solidFill>
              <a:round/>
            </a:ln>
            <a:effectLst>
              <a:outerShdw blurRad="57150" dist="19050" dir="5400000" algn="ctr" rotWithShape="0">
                <a:srgbClr val="000000">
                  <a:alpha val="63000"/>
                </a:srgbClr>
              </a:outerShdw>
            </a:effectLst>
          </c:spPr>
          <c:marker>
            <c:symbol val="none"/>
          </c:marker>
          <c:dLbls>
            <c:dLbl>
              <c:idx val="9"/>
              <c:layout>
                <c:manualLayout>
                  <c:x val="0"/>
                  <c:y val="3.75657400450788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62E-4645-AF3B-1C6D1EC10674}"/>
                </c:ext>
              </c:extLst>
            </c:dLbl>
            <c:dLbl>
              <c:idx val="10"/>
              <c:layout>
                <c:manualLayout>
                  <c:x val="6.1519532451553369E-3"/>
                  <c:y val="2.62960180315551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62E-4645-AF3B-1C6D1EC10674}"/>
                </c:ext>
              </c:extLst>
            </c:dLbl>
            <c:dLbl>
              <c:idx val="11"/>
              <c:layout>
                <c:manualLayout>
                  <c:x val="-1.5037934213102667E-16"/>
                  <c:y val="-1.50262960180315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62E-4645-AF3B-1C6D1EC10674}"/>
                </c:ext>
              </c:extLst>
            </c:dLbl>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'2005-2016 (2)'!$B$4:$M$4</c:f>
              <c:numCache>
                <c:formatCode>General</c:formatCod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numCache>
            </c:numRef>
          </c:cat>
          <c:val>
            <c:numRef>
              <c:f>'2005-2016 (2)'!$B$6:$M$6</c:f>
              <c:numCache>
                <c:formatCode>General</c:formatCode>
                <c:ptCount val="12"/>
                <c:pt idx="0">
                  <c:v>730.2</c:v>
                </c:pt>
                <c:pt idx="1">
                  <c:v>816.3</c:v>
                </c:pt>
                <c:pt idx="2">
                  <c:v>844.8</c:v>
                </c:pt>
                <c:pt idx="3">
                  <c:v>944.7</c:v>
                </c:pt>
                <c:pt idx="4">
                  <c:v>753.9</c:v>
                </c:pt>
                <c:pt idx="5">
                  <c:v>877.8</c:v>
                </c:pt>
                <c:pt idx="6">
                  <c:v>1063.3</c:v>
                </c:pt>
                <c:pt idx="7">
                  <c:v>1096.3</c:v>
                </c:pt>
                <c:pt idx="8">
                  <c:v>1249.0999999999999</c:v>
                </c:pt>
                <c:pt idx="9" formatCode="0.0">
                  <c:v>1431</c:v>
                </c:pt>
                <c:pt idx="10" formatCode="#,##0.0">
                  <c:v>1474.8</c:v>
                </c:pt>
                <c:pt idx="11">
                  <c:v>1573.6</c:v>
                </c:pt>
              </c:numCache>
            </c:numRef>
          </c:val>
          <c:smooth val="0"/>
          <c:extLst>
            <c:ext xmlns:c16="http://schemas.microsoft.com/office/drawing/2014/chart" uri="{C3380CC4-5D6E-409C-BE32-E72D297353CC}">
              <c16:uniqueId val="{00000001-662E-4645-AF3B-1C6D1EC10674}"/>
            </c:ext>
          </c:extLst>
        </c:ser>
        <c:ser>
          <c:idx val="2"/>
          <c:order val="2"/>
          <c:tx>
            <c:strRef>
              <c:f>'2005-2016 (2)'!$A$7</c:f>
              <c:strCache>
                <c:ptCount val="1"/>
                <c:pt idx="0">
                  <c:v>Latvijas viesi</c:v>
                </c:pt>
              </c:strCache>
            </c:strRef>
          </c:tx>
          <c:spPr>
            <a:ln w="34925" cap="rnd">
              <a:solidFill>
                <a:schemeClr val="accent1">
                  <a:tint val="65000"/>
                </a:schemeClr>
              </a:solidFill>
              <a:round/>
            </a:ln>
            <a:effectLst>
              <a:outerShdw blurRad="57150" dist="19050" dir="5400000" algn="ctr" rotWithShape="0">
                <a:srgbClr val="000000">
                  <a:alpha val="63000"/>
                </a:srgbClr>
              </a:outerShdw>
            </a:effectLst>
          </c:spPr>
          <c:marker>
            <c:symbol val="none"/>
          </c:marker>
          <c:dLbls>
            <c:dLbl>
              <c:idx val="9"/>
              <c:layout>
                <c:manualLayout>
                  <c:x val="0"/>
                  <c:y val="4.50788880540946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662E-4645-AF3B-1C6D1EC10674}"/>
                </c:ext>
              </c:extLst>
            </c:dLbl>
            <c:dLbl>
              <c:idx val="10"/>
              <c:layout>
                <c:manualLayout>
                  <c:x val="2.0506510817184455E-3"/>
                  <c:y val="3.75657400450788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62E-4645-AF3B-1C6D1EC10674}"/>
                </c:ext>
              </c:extLst>
            </c:dLbl>
            <c:dLbl>
              <c:idx val="11"/>
              <c:layout>
                <c:manualLayout>
                  <c:x val="0"/>
                  <c:y val="-1.87828700225394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662E-4645-AF3B-1C6D1EC10674}"/>
                </c:ext>
              </c:extLst>
            </c:dLbl>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'2005-2016 (2)'!$B$4:$M$4</c:f>
              <c:numCache>
                <c:formatCode>General</c:formatCod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numCache>
            </c:numRef>
          </c:cat>
          <c:val>
            <c:numRef>
              <c:f>'2005-2016 (2)'!$B$7:$M$7</c:f>
              <c:numCache>
                <c:formatCode>0.0</c:formatCode>
                <c:ptCount val="12"/>
                <c:pt idx="0">
                  <c:v>424.5</c:v>
                </c:pt>
                <c:pt idx="1">
                  <c:v>513.6</c:v>
                </c:pt>
                <c:pt idx="2">
                  <c:v>642.6</c:v>
                </c:pt>
                <c:pt idx="3">
                  <c:v>611.20000000000005</c:v>
                </c:pt>
                <c:pt idx="4">
                  <c:v>360</c:v>
                </c:pt>
                <c:pt idx="5">
                  <c:v>433.7</c:v>
                </c:pt>
                <c:pt idx="6">
                  <c:v>521.70000000000005</c:v>
                </c:pt>
                <c:pt idx="7">
                  <c:v>548.5</c:v>
                </c:pt>
                <c:pt idx="8">
                  <c:v>589.4</c:v>
                </c:pt>
                <c:pt idx="9">
                  <c:v>667.3</c:v>
                </c:pt>
                <c:pt idx="10" formatCode="#,##0.0">
                  <c:v>664.7</c:v>
                </c:pt>
                <c:pt idx="11">
                  <c:v>730</c:v>
                </c:pt>
              </c:numCache>
            </c:numRef>
          </c:val>
          <c:smooth val="0"/>
          <c:extLst>
            <c:ext xmlns:c16="http://schemas.microsoft.com/office/drawing/2014/chart" uri="{C3380CC4-5D6E-409C-BE32-E72D297353CC}">
              <c16:uniqueId val="{00000002-662E-4645-AF3B-1C6D1EC10674}"/>
            </c:ext>
          </c:extLst>
        </c:ser>
        <c:dLbls>
          <c:showLegendKey val="0"/>
          <c:showVal val="0"/>
          <c:showCatName val="0"/>
          <c:showSerName val="0"/>
          <c:showPercent val="0"/>
          <c:showBubbleSize val="0"/>
        </c:dLbls>
        <c:smooth val="0"/>
        <c:axId val="266594240"/>
        <c:axId val="266593064"/>
      </c:lineChart>
      <c:catAx>
        <c:axId val="26659424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lv-LV"/>
          </a:p>
        </c:txPr>
        <c:crossAx val="266593064"/>
        <c:crosses val="autoZero"/>
        <c:auto val="1"/>
        <c:lblAlgn val="ctr"/>
        <c:lblOffset val="100"/>
        <c:noMultiLvlLbl val="0"/>
      </c:catAx>
      <c:valAx>
        <c:axId val="2665930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lv-LV"/>
          </a:p>
        </c:txPr>
        <c:crossAx val="2665942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pPr>
      <a:endParaRPr lang="lv-L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7067481915411296E-2"/>
          <c:y val="8.7126007331020439E-2"/>
          <c:w val="0.8478790688847142"/>
          <c:h val="0.81510614469071263"/>
        </c:manualLayout>
      </c:layout>
      <c:pie3DChart>
        <c:varyColors val="1"/>
        <c:ser>
          <c:idx val="0"/>
          <c:order val="0"/>
          <c:dPt>
            <c:idx val="0"/>
            <c:bubble3D val="0"/>
            <c:spPr>
              <a:gradFill rotWithShape="1">
                <a:gsLst>
                  <a:gs pos="0">
                    <a:schemeClr val="accent1">
                      <a:tint val="43000"/>
                      <a:satMod val="103000"/>
                      <a:lumMod val="102000"/>
                      <a:tint val="94000"/>
                    </a:schemeClr>
                  </a:gs>
                  <a:gs pos="50000">
                    <a:schemeClr val="accent1">
                      <a:tint val="43000"/>
                      <a:satMod val="110000"/>
                      <a:lumMod val="100000"/>
                      <a:shade val="100000"/>
                    </a:schemeClr>
                  </a:gs>
                  <a:gs pos="100000">
                    <a:schemeClr val="accent1">
                      <a:tint val="43000"/>
                      <a:lumMod val="99000"/>
                      <a:satMod val="120000"/>
                      <a:shade val="78000"/>
                    </a:schemeClr>
                  </a:gs>
                </a:gsLst>
                <a:lin ang="54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D62B-4CC6-9E20-CEAD150F1CD8}"/>
              </c:ext>
            </c:extLst>
          </c:dPt>
          <c:dPt>
            <c:idx val="1"/>
            <c:bubble3D val="0"/>
            <c:spPr>
              <a:gradFill rotWithShape="1">
                <a:gsLst>
                  <a:gs pos="0">
                    <a:schemeClr val="accent1">
                      <a:tint val="56000"/>
                      <a:satMod val="103000"/>
                      <a:lumMod val="102000"/>
                      <a:tint val="94000"/>
                    </a:schemeClr>
                  </a:gs>
                  <a:gs pos="50000">
                    <a:schemeClr val="accent1">
                      <a:tint val="56000"/>
                      <a:satMod val="110000"/>
                      <a:lumMod val="100000"/>
                      <a:shade val="100000"/>
                    </a:schemeClr>
                  </a:gs>
                  <a:gs pos="100000">
                    <a:schemeClr val="accent1">
                      <a:tint val="56000"/>
                      <a:lumMod val="99000"/>
                      <a:satMod val="120000"/>
                      <a:shade val="78000"/>
                    </a:schemeClr>
                  </a:gs>
                </a:gsLst>
                <a:lin ang="54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D62B-4CC6-9E20-CEAD150F1CD8}"/>
              </c:ext>
            </c:extLst>
          </c:dPt>
          <c:dPt>
            <c:idx val="2"/>
            <c:bubble3D val="0"/>
            <c:spPr>
              <a:gradFill rotWithShape="1">
                <a:gsLst>
                  <a:gs pos="0">
                    <a:schemeClr val="accent1">
                      <a:tint val="69000"/>
                      <a:satMod val="103000"/>
                      <a:lumMod val="102000"/>
                      <a:tint val="94000"/>
                    </a:schemeClr>
                  </a:gs>
                  <a:gs pos="50000">
                    <a:schemeClr val="accent1">
                      <a:tint val="69000"/>
                      <a:satMod val="110000"/>
                      <a:lumMod val="100000"/>
                      <a:shade val="100000"/>
                    </a:schemeClr>
                  </a:gs>
                  <a:gs pos="100000">
                    <a:schemeClr val="accent1">
                      <a:tint val="69000"/>
                      <a:lumMod val="99000"/>
                      <a:satMod val="120000"/>
                      <a:shade val="78000"/>
                    </a:schemeClr>
                  </a:gs>
                </a:gsLst>
                <a:lin ang="54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D62B-4CC6-9E20-CEAD150F1CD8}"/>
              </c:ext>
            </c:extLst>
          </c:dPt>
          <c:dPt>
            <c:idx val="3"/>
            <c:bubble3D val="0"/>
            <c:spPr>
              <a:gradFill rotWithShape="1">
                <a:gsLst>
                  <a:gs pos="0">
                    <a:schemeClr val="accent1">
                      <a:tint val="81000"/>
                      <a:satMod val="103000"/>
                      <a:lumMod val="102000"/>
                      <a:tint val="94000"/>
                    </a:schemeClr>
                  </a:gs>
                  <a:gs pos="50000">
                    <a:schemeClr val="accent1">
                      <a:tint val="81000"/>
                      <a:satMod val="110000"/>
                      <a:lumMod val="100000"/>
                      <a:shade val="100000"/>
                    </a:schemeClr>
                  </a:gs>
                  <a:gs pos="100000">
                    <a:schemeClr val="accent1">
                      <a:tint val="81000"/>
                      <a:lumMod val="99000"/>
                      <a:satMod val="120000"/>
                      <a:shade val="78000"/>
                    </a:schemeClr>
                  </a:gs>
                </a:gsLst>
                <a:lin ang="54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D62B-4CC6-9E20-CEAD150F1CD8}"/>
              </c:ext>
            </c:extLst>
          </c:dPt>
          <c:dPt>
            <c:idx val="4"/>
            <c:bubble3D val="0"/>
            <c:spPr>
              <a:gradFill rotWithShape="1">
                <a:gsLst>
                  <a:gs pos="0">
                    <a:schemeClr val="accent1">
                      <a:tint val="94000"/>
                      <a:satMod val="103000"/>
                      <a:lumMod val="102000"/>
                      <a:tint val="94000"/>
                    </a:schemeClr>
                  </a:gs>
                  <a:gs pos="50000">
                    <a:schemeClr val="accent1">
                      <a:tint val="94000"/>
                      <a:satMod val="110000"/>
                      <a:lumMod val="100000"/>
                      <a:shade val="100000"/>
                    </a:schemeClr>
                  </a:gs>
                  <a:gs pos="100000">
                    <a:schemeClr val="accent1">
                      <a:tint val="94000"/>
                      <a:lumMod val="99000"/>
                      <a:satMod val="120000"/>
                      <a:shade val="78000"/>
                    </a:schemeClr>
                  </a:gs>
                </a:gsLst>
                <a:lin ang="54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D62B-4CC6-9E20-CEAD150F1CD8}"/>
              </c:ext>
            </c:extLst>
          </c:dPt>
          <c:dPt>
            <c:idx val="5"/>
            <c:bubble3D val="0"/>
            <c:spPr>
              <a:gradFill rotWithShape="1">
                <a:gsLst>
                  <a:gs pos="0">
                    <a:schemeClr val="accent1">
                      <a:shade val="93000"/>
                      <a:satMod val="103000"/>
                      <a:lumMod val="102000"/>
                      <a:tint val="94000"/>
                    </a:schemeClr>
                  </a:gs>
                  <a:gs pos="50000">
                    <a:schemeClr val="accent1">
                      <a:shade val="93000"/>
                      <a:satMod val="110000"/>
                      <a:lumMod val="100000"/>
                      <a:shade val="100000"/>
                    </a:schemeClr>
                  </a:gs>
                  <a:gs pos="100000">
                    <a:schemeClr val="accent1">
                      <a:shade val="93000"/>
                      <a:lumMod val="99000"/>
                      <a:satMod val="120000"/>
                      <a:shade val="78000"/>
                    </a:schemeClr>
                  </a:gs>
                </a:gsLst>
                <a:lin ang="54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B-D62B-4CC6-9E20-CEAD150F1CD8}"/>
              </c:ext>
            </c:extLst>
          </c:dPt>
          <c:dPt>
            <c:idx val="6"/>
            <c:bubble3D val="0"/>
            <c:spPr>
              <a:gradFill rotWithShape="1">
                <a:gsLst>
                  <a:gs pos="0">
                    <a:schemeClr val="accent1">
                      <a:shade val="80000"/>
                      <a:satMod val="103000"/>
                      <a:lumMod val="102000"/>
                      <a:tint val="94000"/>
                    </a:schemeClr>
                  </a:gs>
                  <a:gs pos="50000">
                    <a:schemeClr val="accent1">
                      <a:shade val="80000"/>
                      <a:satMod val="110000"/>
                      <a:lumMod val="100000"/>
                      <a:shade val="100000"/>
                    </a:schemeClr>
                  </a:gs>
                  <a:gs pos="100000">
                    <a:schemeClr val="accent1">
                      <a:shade val="80000"/>
                      <a:lumMod val="99000"/>
                      <a:satMod val="120000"/>
                      <a:shade val="78000"/>
                    </a:schemeClr>
                  </a:gs>
                </a:gsLst>
                <a:lin ang="54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D-D62B-4CC6-9E20-CEAD150F1CD8}"/>
              </c:ext>
            </c:extLst>
          </c:dPt>
          <c:dPt>
            <c:idx val="7"/>
            <c:bubble3D val="0"/>
            <c:spPr>
              <a:gradFill rotWithShape="1">
                <a:gsLst>
                  <a:gs pos="0">
                    <a:schemeClr val="accent1">
                      <a:shade val="68000"/>
                      <a:satMod val="103000"/>
                      <a:lumMod val="102000"/>
                      <a:tint val="94000"/>
                    </a:schemeClr>
                  </a:gs>
                  <a:gs pos="50000">
                    <a:schemeClr val="accent1">
                      <a:shade val="68000"/>
                      <a:satMod val="110000"/>
                      <a:lumMod val="100000"/>
                      <a:shade val="100000"/>
                    </a:schemeClr>
                  </a:gs>
                  <a:gs pos="100000">
                    <a:schemeClr val="accent1">
                      <a:shade val="68000"/>
                      <a:lumMod val="99000"/>
                      <a:satMod val="120000"/>
                      <a:shade val="78000"/>
                    </a:schemeClr>
                  </a:gs>
                </a:gsLst>
                <a:lin ang="54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F-D62B-4CC6-9E20-CEAD150F1CD8}"/>
              </c:ext>
            </c:extLst>
          </c:dPt>
          <c:dPt>
            <c:idx val="8"/>
            <c:bubble3D val="0"/>
            <c:spPr>
              <a:gradFill rotWithShape="1">
                <a:gsLst>
                  <a:gs pos="0">
                    <a:schemeClr val="accent1">
                      <a:shade val="55000"/>
                      <a:satMod val="103000"/>
                      <a:lumMod val="102000"/>
                      <a:tint val="94000"/>
                    </a:schemeClr>
                  </a:gs>
                  <a:gs pos="50000">
                    <a:schemeClr val="accent1">
                      <a:shade val="55000"/>
                      <a:satMod val="110000"/>
                      <a:lumMod val="100000"/>
                      <a:shade val="100000"/>
                    </a:schemeClr>
                  </a:gs>
                  <a:gs pos="100000">
                    <a:schemeClr val="accent1">
                      <a:shade val="55000"/>
                      <a:lumMod val="99000"/>
                      <a:satMod val="120000"/>
                      <a:shade val="78000"/>
                    </a:schemeClr>
                  </a:gs>
                </a:gsLst>
                <a:lin ang="54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1-D62B-4CC6-9E20-CEAD150F1CD8}"/>
              </c:ext>
            </c:extLst>
          </c:dPt>
          <c:dPt>
            <c:idx val="9"/>
            <c:bubble3D val="0"/>
            <c:spPr>
              <a:gradFill rotWithShape="1">
                <a:gsLst>
                  <a:gs pos="0">
                    <a:schemeClr val="accent1">
                      <a:shade val="42000"/>
                      <a:satMod val="103000"/>
                      <a:lumMod val="102000"/>
                      <a:tint val="94000"/>
                    </a:schemeClr>
                  </a:gs>
                  <a:gs pos="50000">
                    <a:schemeClr val="accent1">
                      <a:shade val="42000"/>
                      <a:satMod val="110000"/>
                      <a:lumMod val="100000"/>
                      <a:shade val="100000"/>
                    </a:schemeClr>
                  </a:gs>
                  <a:gs pos="100000">
                    <a:schemeClr val="accent1">
                      <a:shade val="42000"/>
                      <a:lumMod val="99000"/>
                      <a:satMod val="120000"/>
                      <a:shade val="78000"/>
                    </a:schemeClr>
                  </a:gs>
                </a:gsLst>
                <a:lin ang="54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3-D62B-4CC6-9E20-CEAD150F1CD8}"/>
              </c:ext>
            </c:extLst>
          </c:dPt>
          <c:dLbls>
            <c:dLbl>
              <c:idx val="0"/>
              <c:layout>
                <c:manualLayout>
                  <c:x val="6.8946339808082652E-3"/>
                  <c:y val="1.5944687821022037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D62B-4CC6-9E20-CEAD150F1CD8}"/>
                </c:ext>
              </c:extLst>
            </c:dLbl>
            <c:dLbl>
              <c:idx val="1"/>
              <c:layout>
                <c:manualLayout>
                  <c:x val="2.7520723700984358E-3"/>
                  <c:y val="-0.14725765320669418"/>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D62B-4CC6-9E20-CEAD150F1CD8}"/>
                </c:ext>
              </c:extLst>
            </c:dLbl>
            <c:dLbl>
              <c:idx val="2"/>
              <c:layout>
                <c:manualLayout>
                  <c:x val="6.7969720618811735E-2"/>
                  <c:y val="-2.645092162377312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D62B-4CC6-9E20-CEAD150F1CD8}"/>
                </c:ext>
              </c:extLst>
            </c:dLbl>
            <c:dLbl>
              <c:idx val="3"/>
              <c:layout>
                <c:manualLayout>
                  <c:x val="-2.9476672307354089E-2"/>
                  <c:y val="1.82762293829306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D62B-4CC6-9E20-CEAD150F1CD8}"/>
                </c:ext>
              </c:extLst>
            </c:dLbl>
            <c:dLbl>
              <c:idx val="4"/>
              <c:layout>
                <c:manualLayout>
                  <c:x val="-2.7750358551179709E-2"/>
                  <c:y val="-0.13193897963326651"/>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D62B-4CC6-9E20-CEAD150F1CD8}"/>
                </c:ext>
              </c:extLst>
            </c:dLbl>
            <c:dLbl>
              <c:idx val="5"/>
              <c:layout>
                <c:manualLayout>
                  <c:x val="1.0022041568635672E-2"/>
                  <c:y val="-6.246621321089115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D62B-4CC6-9E20-CEAD150F1CD8}"/>
                </c:ext>
              </c:extLst>
            </c:dLbl>
            <c:dLbl>
              <c:idx val="6"/>
              <c:layout>
                <c:manualLayout>
                  <c:x val="4.011192036749596E-2"/>
                  <c:y val="-6.4814302089990963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8.7709497206703915E-2"/>
                      <c:h val="0.21176470588235294"/>
                    </c:manualLayout>
                  </c15:layout>
                </c:ext>
                <c:ext xmlns:c16="http://schemas.microsoft.com/office/drawing/2014/chart" uri="{C3380CC4-5D6E-409C-BE32-E72D297353CC}">
                  <c16:uniqueId val="{0000000D-D62B-4CC6-9E20-CEAD150F1CD8}"/>
                </c:ext>
              </c:extLst>
            </c:dLbl>
            <c:dLbl>
              <c:idx val="7"/>
              <c:layout>
                <c:manualLayout>
                  <c:x val="3.9865582444652485E-2"/>
                  <c:y val="0"/>
                </c:manualLayout>
              </c:layout>
              <c:spPr>
                <a:noFill/>
                <a:ln>
                  <a:noFill/>
                </a:ln>
                <a:effectLst/>
              </c:spPr>
              <c:txPr>
                <a:bodyPr rot="0" spcFirstLastPara="1" vertOverflow="ellipsis" vert="horz" wrap="square" anchor="ctr" anchorCtr="0"/>
                <a:lstStyle/>
                <a:p>
                  <a:pPr algn="ctr" rtl="0">
                    <a:defRPr lang="en-US" sz="1197" b="1" i="0" u="none" strike="noStrike" kern="1200" baseline="0">
                      <a:solidFill>
                        <a:prstClr val="black">
                          <a:lumMod val="75000"/>
                          <a:lumOff val="25000"/>
                        </a:prstClr>
                      </a:solidFill>
                      <a:latin typeface="+mn-lt"/>
                      <a:ea typeface="+mn-ea"/>
                      <a:cs typeface="+mn-cs"/>
                    </a:defRPr>
                  </a:pPr>
                  <a:endParaRPr lang="lv-LV"/>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D62B-4CC6-9E20-CEAD150F1CD8}"/>
                </c:ext>
              </c:extLst>
            </c:dLbl>
            <c:dLbl>
              <c:idx val="8"/>
              <c:layout>
                <c:manualLayout>
                  <c:x val="3.234473484110572E-2"/>
                  <c:y val="7.1883061938979613E-4"/>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D62B-4CC6-9E20-CEAD150F1CD8}"/>
                </c:ext>
              </c:extLst>
            </c:dLbl>
            <c:dLbl>
              <c:idx val="9"/>
              <c:layout>
                <c:manualLayout>
                  <c:x val="3.6506746440157729E-2"/>
                  <c:y val="1.216147823703418E-4"/>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3-D62B-4CC6-9E20-CEAD150F1CD8}"/>
                </c:ext>
              </c:extLst>
            </c:dLbl>
            <c:spPr>
              <a:noFill/>
              <a:ln>
                <a:noFill/>
              </a:ln>
              <a:effectLst/>
            </c:spPr>
            <c:txPr>
              <a:bodyPr rot="0" spcFirstLastPara="1" vertOverflow="ellipsis" vert="horz" wrap="square" anchor="ctr" anchorCtr="1"/>
              <a:lstStyle/>
              <a:p>
                <a:pPr>
                  <a:defRPr sz="1197" b="1" i="0" u="none" strike="noStrike" kern="1200" baseline="0">
                    <a:solidFill>
                      <a:schemeClr val="tx1">
                        <a:lumMod val="75000"/>
                        <a:lumOff val="25000"/>
                      </a:schemeClr>
                    </a:solidFill>
                    <a:latin typeface="+mn-lt"/>
                    <a:ea typeface="+mn-ea"/>
                    <a:cs typeface="+mn-cs"/>
                  </a:defRPr>
                </a:pPr>
                <a:endParaRPr lang="lv-LV"/>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'Realais 2016'!$B$8:$B$17</c:f>
              <c:strCache>
                <c:ptCount val="10"/>
                <c:pt idx="0">
                  <c:v>RU</c:v>
                </c:pt>
                <c:pt idx="1">
                  <c:v>DE</c:v>
                </c:pt>
                <c:pt idx="2">
                  <c:v>LT</c:v>
                </c:pt>
                <c:pt idx="3">
                  <c:v>EE</c:v>
                </c:pt>
                <c:pt idx="4">
                  <c:v>FI</c:v>
                </c:pt>
                <c:pt idx="5">
                  <c:v>UK</c:v>
                </c:pt>
                <c:pt idx="6">
                  <c:v>NO</c:v>
                </c:pt>
                <c:pt idx="7">
                  <c:v>SE</c:v>
                </c:pt>
                <c:pt idx="8">
                  <c:v>PL</c:v>
                </c:pt>
                <c:pt idx="9">
                  <c:v>IT</c:v>
                </c:pt>
              </c:strCache>
            </c:strRef>
          </c:cat>
          <c:val>
            <c:numRef>
              <c:f>'Realais 2016'!$E$8:$E$17</c:f>
              <c:numCache>
                <c:formatCode>General</c:formatCode>
                <c:ptCount val="10"/>
                <c:pt idx="0">
                  <c:v>208810</c:v>
                </c:pt>
                <c:pt idx="1">
                  <c:v>187820</c:v>
                </c:pt>
                <c:pt idx="2">
                  <c:v>158783</c:v>
                </c:pt>
                <c:pt idx="3">
                  <c:v>145328</c:v>
                </c:pt>
                <c:pt idx="4">
                  <c:v>100698</c:v>
                </c:pt>
                <c:pt idx="5">
                  <c:v>85139</c:v>
                </c:pt>
                <c:pt idx="6">
                  <c:v>70729</c:v>
                </c:pt>
                <c:pt idx="7">
                  <c:v>68039</c:v>
                </c:pt>
                <c:pt idx="8">
                  <c:v>45131</c:v>
                </c:pt>
                <c:pt idx="9">
                  <c:v>43320</c:v>
                </c:pt>
              </c:numCache>
            </c:numRef>
          </c:val>
          <c:extLst>
            <c:ext xmlns:c16="http://schemas.microsoft.com/office/drawing/2014/chart" uri="{C3380CC4-5D6E-409C-BE32-E72D297353CC}">
              <c16:uniqueId val="{00000014-D62B-4CC6-9E20-CEAD150F1CD8}"/>
            </c:ext>
          </c:extLst>
        </c:ser>
        <c:dLbls>
          <c:dLblPos val="in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pPr>
      <a:endParaRPr lang="lv-L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Sheet1!$A$17</c:f>
              <c:strCache>
                <c:ptCount val="1"/>
                <c:pt idx="0">
                  <c:v>Latvija</c:v>
                </c:pt>
              </c:strCache>
            </c:strRef>
          </c:tx>
          <c:spPr>
            <a:ln w="34925" cap="rnd">
              <a:solidFill>
                <a:schemeClr val="accent2"/>
              </a:solidFill>
              <a:round/>
            </a:ln>
            <a:effectLst>
              <a:outerShdw blurRad="57150" dist="19050" dir="5400000" algn="ctr" rotWithShape="0">
                <a:srgbClr val="000000">
                  <a:alpha val="63000"/>
                </a:srgbClr>
              </a:outerShdw>
            </a:effectLst>
          </c:spPr>
          <c:marker>
            <c:symbol val="none"/>
          </c:marker>
          <c:cat>
            <c:numRef>
              <c:f>Sheet1!$B$16:$K$16</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Sheet1!$B$17:$K$17</c:f>
              <c:numCache>
                <c:formatCode>0.0</c:formatCode>
                <c:ptCount val="10"/>
                <c:pt idx="0">
                  <c:v>487.82</c:v>
                </c:pt>
                <c:pt idx="1">
                  <c:v>546.88</c:v>
                </c:pt>
                <c:pt idx="2">
                  <c:v>517.16999999999996</c:v>
                </c:pt>
                <c:pt idx="3">
                  <c:v>484.26</c:v>
                </c:pt>
                <c:pt idx="4">
                  <c:v>552.16999999999996</c:v>
                </c:pt>
                <c:pt idx="5">
                  <c:v>581.37</c:v>
                </c:pt>
                <c:pt idx="6">
                  <c:v>650.63</c:v>
                </c:pt>
                <c:pt idx="7">
                  <c:v>719.39</c:v>
                </c:pt>
                <c:pt idx="8">
                  <c:v>807.24</c:v>
                </c:pt>
                <c:pt idx="9">
                  <c:v>783.35</c:v>
                </c:pt>
              </c:numCache>
            </c:numRef>
          </c:val>
          <c:smooth val="0"/>
          <c:extLst>
            <c:ext xmlns:c16="http://schemas.microsoft.com/office/drawing/2014/chart" uri="{C3380CC4-5D6E-409C-BE32-E72D297353CC}">
              <c16:uniqueId val="{00000000-9DDA-43E3-BF88-805F53511599}"/>
            </c:ext>
          </c:extLst>
        </c:ser>
        <c:ser>
          <c:idx val="1"/>
          <c:order val="1"/>
          <c:tx>
            <c:strRef>
              <c:f>Sheet1!$A$18</c:f>
              <c:strCache>
                <c:ptCount val="1"/>
                <c:pt idx="0">
                  <c:v>Igaunija</c:v>
                </c:pt>
              </c:strCache>
            </c:strRef>
          </c:tx>
          <c:spPr>
            <a:ln w="34925" cap="rnd">
              <a:solidFill>
                <a:schemeClr val="accent4"/>
              </a:solidFill>
              <a:round/>
            </a:ln>
            <a:effectLst>
              <a:outerShdw blurRad="57150" dist="19050" dir="5400000" algn="ctr" rotWithShape="0">
                <a:srgbClr val="000000">
                  <a:alpha val="63000"/>
                </a:srgbClr>
              </a:outerShdw>
            </a:effectLst>
          </c:spPr>
          <c:marker>
            <c:symbol val="none"/>
          </c:marker>
          <c:cat>
            <c:numRef>
              <c:f>Sheet1!$B$16:$K$16</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Sheet1!$B$18:$K$18</c:f>
              <c:numCache>
                <c:formatCode>0.0</c:formatCode>
                <c:ptCount val="10"/>
                <c:pt idx="0">
                  <c:v>1352.5</c:v>
                </c:pt>
                <c:pt idx="1">
                  <c:v>1421.4</c:v>
                </c:pt>
                <c:pt idx="2">
                  <c:v>1197</c:v>
                </c:pt>
                <c:pt idx="3">
                  <c:v>1406</c:v>
                </c:pt>
                <c:pt idx="4">
                  <c:v>1561.4</c:v>
                </c:pt>
                <c:pt idx="5">
                  <c:v>1815</c:v>
                </c:pt>
                <c:pt idx="6">
                  <c:v>1675.2</c:v>
                </c:pt>
                <c:pt idx="7">
                  <c:v>1775</c:v>
                </c:pt>
                <c:pt idx="8">
                  <c:v>1725.8</c:v>
                </c:pt>
                <c:pt idx="9">
                  <c:v>1578.9</c:v>
                </c:pt>
              </c:numCache>
            </c:numRef>
          </c:val>
          <c:smooth val="0"/>
          <c:extLst>
            <c:ext xmlns:c16="http://schemas.microsoft.com/office/drawing/2014/chart" uri="{C3380CC4-5D6E-409C-BE32-E72D297353CC}">
              <c16:uniqueId val="{00000001-9DDA-43E3-BF88-805F53511599}"/>
            </c:ext>
          </c:extLst>
        </c:ser>
        <c:ser>
          <c:idx val="2"/>
          <c:order val="2"/>
          <c:tx>
            <c:strRef>
              <c:f>Sheet1!$A$19</c:f>
              <c:strCache>
                <c:ptCount val="1"/>
                <c:pt idx="0">
                  <c:v>Lietuva</c:v>
                </c:pt>
              </c:strCache>
            </c:strRef>
          </c:tx>
          <c:spPr>
            <a:ln w="34925" cap="rnd">
              <a:solidFill>
                <a:schemeClr val="accent6"/>
              </a:solidFill>
              <a:round/>
            </a:ln>
            <a:effectLst>
              <a:outerShdw blurRad="57150" dist="19050" dir="5400000" algn="ctr" rotWithShape="0">
                <a:srgbClr val="000000">
                  <a:alpha val="63000"/>
                </a:srgbClr>
              </a:outerShdw>
            </a:effectLst>
          </c:spPr>
          <c:marker>
            <c:symbol val="none"/>
          </c:marker>
          <c:cat>
            <c:numRef>
              <c:f>Sheet1!$B$16:$K$16</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Sheet1!$B$19:$K$19</c:f>
              <c:numCache>
                <c:formatCode>0.0</c:formatCode>
                <c:ptCount val="10"/>
                <c:pt idx="0">
                  <c:v>839.5</c:v>
                </c:pt>
                <c:pt idx="1">
                  <c:v>840.71</c:v>
                </c:pt>
                <c:pt idx="2">
                  <c:v>695.79</c:v>
                </c:pt>
                <c:pt idx="3">
                  <c:v>729.40000000000009</c:v>
                </c:pt>
                <c:pt idx="4">
                  <c:v>943.08</c:v>
                </c:pt>
                <c:pt idx="5">
                  <c:v>1028.96</c:v>
                </c:pt>
                <c:pt idx="6">
                  <c:v>1035.1500000000001</c:v>
                </c:pt>
                <c:pt idx="7">
                  <c:v>1041.81</c:v>
                </c:pt>
                <c:pt idx="8">
                  <c:v>1040.6100000000001</c:v>
                </c:pt>
                <c:pt idx="9">
                  <c:v>1070.43</c:v>
                </c:pt>
              </c:numCache>
            </c:numRef>
          </c:val>
          <c:smooth val="0"/>
          <c:extLst>
            <c:ext xmlns:c16="http://schemas.microsoft.com/office/drawing/2014/chart" uri="{C3380CC4-5D6E-409C-BE32-E72D297353CC}">
              <c16:uniqueId val="{00000002-9DDA-43E3-BF88-805F53511599}"/>
            </c:ext>
          </c:extLst>
        </c:ser>
        <c:dLbls>
          <c:showLegendKey val="0"/>
          <c:showVal val="0"/>
          <c:showCatName val="0"/>
          <c:showSerName val="0"/>
          <c:showPercent val="0"/>
          <c:showBubbleSize val="0"/>
        </c:dLbls>
        <c:smooth val="0"/>
        <c:axId val="561088584"/>
        <c:axId val="561089240"/>
      </c:lineChart>
      <c:catAx>
        <c:axId val="56108858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61089240"/>
        <c:crosses val="autoZero"/>
        <c:auto val="1"/>
        <c:lblAlgn val="ctr"/>
        <c:lblOffset val="100"/>
        <c:noMultiLvlLbl val="0"/>
      </c:catAx>
      <c:valAx>
        <c:axId val="561089240"/>
        <c:scaling>
          <c:orientation val="minMax"/>
          <c:min val="40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610885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r>
              <a:rPr lang="lv-LV" sz="1200"/>
              <a:t>Ārvalstu vairākdienu ceļotāju skaits, tūkst.</a:t>
            </a:r>
          </a:p>
        </c:rich>
      </c:tx>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lv-LV"/>
        </a:p>
      </c:txPr>
    </c:title>
    <c:autoTitleDeleted val="0"/>
    <c:plotArea>
      <c:layout/>
      <c:barChart>
        <c:barDir val="col"/>
        <c:grouping val="clustered"/>
        <c:varyColors val="0"/>
        <c:ser>
          <c:idx val="1"/>
          <c:order val="1"/>
          <c:tx>
            <c:strRef>
              <c:f>nesezona!$B$33</c:f>
              <c:strCache>
                <c:ptCount val="1"/>
                <c:pt idx="0">
                  <c:v>izpildītais</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accent5">
                        <a:lumMod val="50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name>tendence/prognoze</c:name>
            <c:spPr>
              <a:ln w="19050" cap="rnd">
                <a:solidFill>
                  <a:srgbClr val="FF0000"/>
                </a:solidFill>
                <a:prstDash val="dash"/>
              </a:ln>
              <a:effectLst/>
            </c:spPr>
            <c:trendlineType val="linear"/>
            <c:dispRSqr val="0"/>
            <c:dispEq val="0"/>
          </c:trendline>
          <c:cat>
            <c:numRef>
              <c:f>nesezona!$C$31:$K$31</c:f>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f>nesezona!$C$33:$K$33</c:f>
              <c:numCache>
                <c:formatCode>#,##0</c:formatCode>
                <c:ptCount val="9"/>
                <c:pt idx="0" formatCode="General">
                  <c:v>1435</c:v>
                </c:pt>
                <c:pt idx="1">
                  <c:v>1536</c:v>
                </c:pt>
                <c:pt idx="2" formatCode="General">
                  <c:v>1843</c:v>
                </c:pt>
                <c:pt idx="3" formatCode="General">
                  <c:v>2024</c:v>
                </c:pt>
                <c:pt idx="4" formatCode="General">
                  <c:v>1793</c:v>
                </c:pt>
              </c:numCache>
            </c:numRef>
          </c:val>
          <c:extLst>
            <c:ext xmlns:c16="http://schemas.microsoft.com/office/drawing/2014/chart" uri="{C3380CC4-5D6E-409C-BE32-E72D297353CC}">
              <c16:uniqueId val="{00000000-4D32-4841-8CFD-EF1375256251}"/>
            </c:ext>
          </c:extLst>
        </c:ser>
        <c:dLbls>
          <c:showLegendKey val="0"/>
          <c:showVal val="0"/>
          <c:showCatName val="0"/>
          <c:showSerName val="0"/>
          <c:showPercent val="0"/>
          <c:showBubbleSize val="0"/>
        </c:dLbls>
        <c:gapWidth val="269"/>
        <c:axId val="464059648"/>
        <c:axId val="464059976"/>
      </c:barChart>
      <c:lineChart>
        <c:grouping val="standard"/>
        <c:varyColors val="0"/>
        <c:ser>
          <c:idx val="0"/>
          <c:order val="0"/>
          <c:tx>
            <c:strRef>
              <c:f>nesezona!$B$32</c:f>
              <c:strCache>
                <c:ptCount val="1"/>
                <c:pt idx="0">
                  <c:v>plānotais</c:v>
                </c:pt>
              </c:strCache>
            </c:strRef>
          </c:tx>
          <c:spPr>
            <a:ln w="34925" cap="rnd">
              <a:solidFill>
                <a:schemeClr val="accent6"/>
              </a:solidFill>
              <a:round/>
            </a:ln>
            <a:effectLst>
              <a:outerShdw blurRad="57150" dist="19050" dir="5400000" algn="ctr" rotWithShape="0">
                <a:srgbClr val="000000">
                  <a:alpha val="63000"/>
                </a:srgbClr>
              </a:outerShdw>
            </a:effectLst>
          </c:spPr>
          <c:marker>
            <c:symbol val="none"/>
          </c:marker>
          <c:dLbls>
            <c:dLbl>
              <c:idx val="0"/>
              <c:layout>
                <c:manualLayout>
                  <c:x val="2.5816445075513101E-3"/>
                  <c:y val="2.69844839217449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D32-4841-8CFD-EF1375256251}"/>
                </c:ext>
              </c:extLst>
            </c:dLbl>
            <c:dLbl>
              <c:idx val="1"/>
              <c:layout>
                <c:manualLayout>
                  <c:x val="2.5816445075513101E-3"/>
                  <c:y val="2.24870699347874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D32-4841-8CFD-EF1375256251}"/>
                </c:ext>
              </c:extLst>
            </c:dLbl>
            <c:dLbl>
              <c:idx val="2"/>
              <c:layout>
                <c:manualLayout>
                  <c:x val="2.5816445075513101E-3"/>
                  <c:y val="2.69844839217449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D32-4841-8CFD-EF1375256251}"/>
                </c:ext>
              </c:extLst>
            </c:dLbl>
            <c:dLbl>
              <c:idx val="3"/>
              <c:layout>
                <c:manualLayout>
                  <c:x val="-2.5816445075513101E-3"/>
                  <c:y val="2.24870699347874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D32-4841-8CFD-EF1375256251}"/>
                </c:ext>
              </c:extLst>
            </c:dLbl>
            <c:dLbl>
              <c:idx val="4"/>
              <c:layout>
                <c:manualLayout>
                  <c:x val="0"/>
                  <c:y val="2.69844839217449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D32-4841-8CFD-EF1375256251}"/>
                </c:ext>
              </c:extLst>
            </c:dLbl>
            <c:dLbl>
              <c:idx val="5"/>
              <c:layout>
                <c:manualLayout>
                  <c:x val="0"/>
                  <c:y val="2.2487069934787496E-2"/>
                </c:manualLayout>
              </c:layout>
              <c:spPr>
                <a:noFill/>
                <a:ln>
                  <a:noFill/>
                </a:ln>
                <a:effectLst/>
              </c:spPr>
              <c:txPr>
                <a:bodyPr rot="0" spcFirstLastPara="1" vertOverflow="ellipsis" vert="horz" wrap="square" anchor="ctr" anchorCtr="1"/>
                <a:lstStyle/>
                <a:p>
                  <a:pPr>
                    <a:defRPr sz="900" b="1" i="0" u="none" strike="noStrike" kern="1200" baseline="0">
                      <a:solidFill>
                        <a:srgbClr val="FF0000"/>
                      </a:solidFill>
                      <a:latin typeface="+mn-lt"/>
                      <a:ea typeface="+mn-ea"/>
                      <a:cs typeface="+mn-cs"/>
                    </a:defRPr>
                  </a:pPr>
                  <a:endParaRPr lang="lv-LV"/>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D32-4841-8CFD-EF1375256251}"/>
                </c:ext>
              </c:extLst>
            </c:dLbl>
            <c:dLbl>
              <c:idx val="6"/>
              <c:layout>
                <c:manualLayout>
                  <c:x val="-9.4659205098999814E-17"/>
                  <c:y val="3.14818979087024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D32-4841-8CFD-EF1375256251}"/>
                </c:ext>
              </c:extLst>
            </c:dLbl>
            <c:dLbl>
              <c:idx val="7"/>
              <c:layout>
                <c:manualLayout>
                  <c:x val="-2.5816445075514047E-3"/>
                  <c:y val="2.24870699347874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D32-4841-8CFD-EF1375256251}"/>
                </c:ext>
              </c:extLst>
            </c:dLbl>
            <c:dLbl>
              <c:idx val="8"/>
              <c:layout>
                <c:manualLayout>
                  <c:x val="-5.1632890151026203E-3"/>
                  <c:y val="4.4974139869575405E-3"/>
                </c:manualLayout>
              </c:layout>
              <c:spPr>
                <a:noFill/>
                <a:ln>
                  <a:noFill/>
                </a:ln>
                <a:effectLst/>
              </c:spPr>
              <c:txPr>
                <a:bodyPr rot="0" spcFirstLastPara="1" vertOverflow="ellipsis" vert="horz" wrap="square" anchor="ctr" anchorCtr="1"/>
                <a:lstStyle/>
                <a:p>
                  <a:pPr>
                    <a:defRPr sz="900" b="1" i="0" u="none" strike="noStrike" kern="1200" baseline="0">
                      <a:solidFill>
                        <a:srgbClr val="FF0000"/>
                      </a:solidFill>
                      <a:latin typeface="+mn-lt"/>
                      <a:ea typeface="+mn-ea"/>
                      <a:cs typeface="+mn-cs"/>
                    </a:defRPr>
                  </a:pPr>
                  <a:endParaRPr lang="lv-LV"/>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4D32-4841-8CFD-EF1375256251}"/>
                </c:ext>
              </c:extLst>
            </c:dLbl>
            <c:spPr>
              <a:noFill/>
              <a:ln>
                <a:noFill/>
              </a:ln>
              <a:effectLst/>
            </c:spPr>
            <c:txPr>
              <a:bodyPr rot="0" spcFirstLastPara="1" vertOverflow="ellipsis" vert="horz" wrap="square" anchor="ctr" anchorCtr="1"/>
              <a:lstStyle/>
              <a:p>
                <a:pPr>
                  <a:defRPr sz="900" b="1" i="0" u="none" strike="noStrike" kern="1200" baseline="0">
                    <a:solidFill>
                      <a:schemeClr val="accent6">
                        <a:lumMod val="50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nesezona!$C$31:$K$31</c:f>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f>nesezona!$C$32:$K$32</c:f>
              <c:numCache>
                <c:formatCode>General</c:formatCode>
                <c:ptCount val="9"/>
                <c:pt idx="0">
                  <c:v>1435</c:v>
                </c:pt>
                <c:pt idx="1">
                  <c:v>1478</c:v>
                </c:pt>
                <c:pt idx="2">
                  <c:v>1521</c:v>
                </c:pt>
                <c:pt idx="3">
                  <c:v>1564</c:v>
                </c:pt>
                <c:pt idx="4">
                  <c:v>1607</c:v>
                </c:pt>
                <c:pt idx="5">
                  <c:v>1650</c:v>
                </c:pt>
                <c:pt idx="6">
                  <c:v>1674</c:v>
                </c:pt>
                <c:pt idx="7">
                  <c:v>1698</c:v>
                </c:pt>
                <c:pt idx="8">
                  <c:v>1722</c:v>
                </c:pt>
              </c:numCache>
            </c:numRef>
          </c:val>
          <c:smooth val="0"/>
          <c:extLst>
            <c:ext xmlns:c16="http://schemas.microsoft.com/office/drawing/2014/chart" uri="{C3380CC4-5D6E-409C-BE32-E72D297353CC}">
              <c16:uniqueId val="{00000001-4D32-4841-8CFD-EF1375256251}"/>
            </c:ext>
          </c:extLst>
        </c:ser>
        <c:dLbls>
          <c:showLegendKey val="0"/>
          <c:showVal val="0"/>
          <c:showCatName val="0"/>
          <c:showSerName val="0"/>
          <c:showPercent val="0"/>
          <c:showBubbleSize val="0"/>
        </c:dLbls>
        <c:marker val="1"/>
        <c:smooth val="0"/>
        <c:axId val="464059648"/>
        <c:axId val="464059976"/>
      </c:lineChart>
      <c:catAx>
        <c:axId val="46405964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crossAx val="464059976"/>
        <c:crosses val="autoZero"/>
        <c:auto val="1"/>
        <c:lblAlgn val="ctr"/>
        <c:lblOffset val="100"/>
        <c:noMultiLvlLbl val="0"/>
      </c:catAx>
      <c:valAx>
        <c:axId val="4640599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crossAx val="464059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lv-LV"/>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r>
              <a:rPr lang="lv-LV" sz="1100"/>
              <a:t>Vidējā izmitināšanas mītņu noslodze (gultas vietu noslogojums) ārpus noslogotākās vasaras sezonas (izņemot jūn.-aug.), %</a:t>
            </a:r>
          </a:p>
        </c:rich>
      </c:tx>
      <c:layout>
        <c:manualLayout>
          <c:xMode val="edge"/>
          <c:yMode val="edge"/>
          <c:x val="0.11784015392660056"/>
          <c:y val="2.7538721357651733E-2"/>
        </c:manualLayout>
      </c:layout>
      <c:overlay val="0"/>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lv-LV"/>
        </a:p>
      </c:txPr>
    </c:title>
    <c:autoTitleDeleted val="0"/>
    <c:plotArea>
      <c:layout/>
      <c:barChart>
        <c:barDir val="col"/>
        <c:grouping val="clustered"/>
        <c:varyColors val="0"/>
        <c:ser>
          <c:idx val="1"/>
          <c:order val="1"/>
          <c:tx>
            <c:strRef>
              <c:f>nesezona!$I$6</c:f>
              <c:strCache>
                <c:ptCount val="1"/>
                <c:pt idx="0">
                  <c:v>izpildītais</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accent5">
                        <a:lumMod val="50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name>tendence/prognoze</c:name>
            <c:spPr>
              <a:ln w="19050" cap="rnd">
                <a:solidFill>
                  <a:srgbClr val="FF0000"/>
                </a:solidFill>
                <a:prstDash val="dash"/>
              </a:ln>
              <a:effectLst/>
            </c:spPr>
            <c:trendlineType val="linear"/>
            <c:dispRSqr val="0"/>
            <c:dispEq val="0"/>
          </c:trendline>
          <c:cat>
            <c:numRef>
              <c:f>nesezona!$J$4:$R$4</c:f>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f>nesezona!$J$6:$R$6</c:f>
              <c:numCache>
                <c:formatCode>#,##0</c:formatCode>
                <c:ptCount val="9"/>
                <c:pt idx="0" formatCode="General">
                  <c:v>30</c:v>
                </c:pt>
                <c:pt idx="1">
                  <c:v>33</c:v>
                </c:pt>
                <c:pt idx="2" formatCode="General">
                  <c:v>35</c:v>
                </c:pt>
                <c:pt idx="3" formatCode="General">
                  <c:v>33</c:v>
                </c:pt>
                <c:pt idx="4" formatCode="General">
                  <c:v>33</c:v>
                </c:pt>
              </c:numCache>
            </c:numRef>
          </c:val>
          <c:extLst>
            <c:ext xmlns:c16="http://schemas.microsoft.com/office/drawing/2014/chart" uri="{C3380CC4-5D6E-409C-BE32-E72D297353CC}">
              <c16:uniqueId val="{00000000-01BD-4571-BA1F-96775C738DD6}"/>
            </c:ext>
          </c:extLst>
        </c:ser>
        <c:dLbls>
          <c:showLegendKey val="0"/>
          <c:showVal val="0"/>
          <c:showCatName val="0"/>
          <c:showSerName val="0"/>
          <c:showPercent val="0"/>
          <c:showBubbleSize val="0"/>
        </c:dLbls>
        <c:gapWidth val="150"/>
        <c:axId val="469952648"/>
        <c:axId val="469952320"/>
      </c:barChart>
      <c:lineChart>
        <c:grouping val="standard"/>
        <c:varyColors val="0"/>
        <c:ser>
          <c:idx val="0"/>
          <c:order val="0"/>
          <c:tx>
            <c:strRef>
              <c:f>nesezona!$I$5</c:f>
              <c:strCache>
                <c:ptCount val="1"/>
                <c:pt idx="0">
                  <c:v>plānotais</c:v>
                </c:pt>
              </c:strCache>
            </c:strRef>
          </c:tx>
          <c:spPr>
            <a:ln w="34925" cap="rnd">
              <a:solidFill>
                <a:schemeClr val="accent6"/>
              </a:solidFill>
              <a:round/>
            </a:ln>
            <a:effectLst>
              <a:outerShdw blurRad="57150" dist="19050" dir="5400000" algn="ctr" rotWithShape="0">
                <a:srgbClr val="000000">
                  <a:alpha val="63000"/>
                </a:srgbClr>
              </a:outerShdw>
            </a:effectLst>
          </c:spPr>
          <c:marker>
            <c:symbol val="none"/>
          </c:marker>
          <c:dLbls>
            <c:dLbl>
              <c:idx val="0"/>
              <c:layout>
                <c:manualLayout>
                  <c:x val="5.0948923703986754E-3"/>
                  <c:y val="4.16666666666666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1BD-4571-BA1F-96775C738DD6}"/>
                </c:ext>
              </c:extLst>
            </c:dLbl>
            <c:dLbl>
              <c:idx val="1"/>
              <c:layout>
                <c:manualLayout>
                  <c:x val="0"/>
                  <c:y val="2.77777777777777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1BD-4571-BA1F-96775C738DD6}"/>
                </c:ext>
              </c:extLst>
            </c:dLbl>
            <c:dLbl>
              <c:idx val="2"/>
              <c:layout>
                <c:manualLayout>
                  <c:x val="2.5474461851993377E-3"/>
                  <c:y val="3.70370370370370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1BD-4571-BA1F-96775C738DD6}"/>
                </c:ext>
              </c:extLst>
            </c:dLbl>
            <c:dLbl>
              <c:idx val="3"/>
              <c:delete val="1"/>
              <c:extLst>
                <c:ext xmlns:c15="http://schemas.microsoft.com/office/drawing/2012/chart" uri="{CE6537A1-D6FC-4f65-9D91-7224C49458BB}"/>
                <c:ext xmlns:c16="http://schemas.microsoft.com/office/drawing/2014/chart" uri="{C3380CC4-5D6E-409C-BE32-E72D297353CC}">
                  <c16:uniqueId val="{00000005-01BD-4571-BA1F-96775C738DD6}"/>
                </c:ext>
              </c:extLst>
            </c:dLbl>
            <c:dLbl>
              <c:idx val="4"/>
              <c:delete val="1"/>
              <c:extLst>
                <c:ext xmlns:c15="http://schemas.microsoft.com/office/drawing/2012/chart" uri="{CE6537A1-D6FC-4f65-9D91-7224C49458BB}"/>
                <c:ext xmlns:c16="http://schemas.microsoft.com/office/drawing/2014/chart" uri="{C3380CC4-5D6E-409C-BE32-E72D297353CC}">
                  <c16:uniqueId val="{00000006-01BD-4571-BA1F-96775C738DD6}"/>
                </c:ext>
              </c:extLst>
            </c:dLbl>
            <c:dLbl>
              <c:idx val="5"/>
              <c:layout>
                <c:manualLayout>
                  <c:x val="-9.3405281098197879E-17"/>
                  <c:y val="1.8518518518518476E-2"/>
                </c:manualLayout>
              </c:layout>
              <c:spPr>
                <a:noFill/>
                <a:ln>
                  <a:noFill/>
                </a:ln>
                <a:effectLst/>
              </c:spPr>
              <c:txPr>
                <a:bodyPr rot="0" spcFirstLastPara="1" vertOverflow="ellipsis" vert="horz" wrap="square" anchor="ctr" anchorCtr="1"/>
                <a:lstStyle/>
                <a:p>
                  <a:pPr>
                    <a:defRPr sz="900" b="1" i="0" u="none" strike="noStrike" kern="1200" baseline="0">
                      <a:solidFill>
                        <a:srgbClr val="FF0000"/>
                      </a:solidFill>
                      <a:latin typeface="+mn-lt"/>
                      <a:ea typeface="+mn-ea"/>
                      <a:cs typeface="+mn-cs"/>
                    </a:defRPr>
                  </a:pPr>
                  <a:endParaRPr lang="lv-LV"/>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1BD-4571-BA1F-96775C738DD6}"/>
                </c:ext>
              </c:extLst>
            </c:dLbl>
            <c:dLbl>
              <c:idx val="6"/>
              <c:layout>
                <c:manualLayout>
                  <c:x val="-9.3405281098197879E-17"/>
                  <c:y val="2.77777777777777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01BD-4571-BA1F-96775C738DD6}"/>
                </c:ext>
              </c:extLst>
            </c:dLbl>
            <c:dLbl>
              <c:idx val="7"/>
              <c:layout>
                <c:manualLayout>
                  <c:x val="-9.3405281098197879E-17"/>
                  <c:y val="2.7777777777777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1BD-4571-BA1F-96775C738DD6}"/>
                </c:ext>
              </c:extLst>
            </c:dLbl>
            <c:dLbl>
              <c:idx val="8"/>
              <c:layout>
                <c:manualLayout>
                  <c:x val="-5.0948923703988619E-3"/>
                  <c:y val="0"/>
                </c:manualLayout>
              </c:layout>
              <c:spPr>
                <a:noFill/>
                <a:ln>
                  <a:noFill/>
                </a:ln>
                <a:effectLst/>
              </c:spPr>
              <c:txPr>
                <a:bodyPr rot="0" spcFirstLastPara="1" vertOverflow="ellipsis" vert="horz" wrap="square" anchor="ctr" anchorCtr="1"/>
                <a:lstStyle/>
                <a:p>
                  <a:pPr>
                    <a:defRPr sz="900" b="1" i="0" u="none" strike="noStrike" kern="1200" baseline="0">
                      <a:solidFill>
                        <a:srgbClr val="FF0000"/>
                      </a:solidFill>
                      <a:latin typeface="+mn-lt"/>
                      <a:ea typeface="+mn-ea"/>
                      <a:cs typeface="+mn-cs"/>
                    </a:defRPr>
                  </a:pPr>
                  <a:endParaRPr lang="lv-LV"/>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01BD-4571-BA1F-96775C738DD6}"/>
                </c:ext>
              </c:extLst>
            </c:dLbl>
            <c:spPr>
              <a:noFill/>
              <a:ln>
                <a:noFill/>
              </a:ln>
              <a:effectLst/>
            </c:spPr>
            <c:txPr>
              <a:bodyPr rot="0" spcFirstLastPara="1" vertOverflow="ellipsis" vert="horz" wrap="square" anchor="ctr" anchorCtr="1"/>
              <a:lstStyle/>
              <a:p>
                <a:pPr>
                  <a:defRPr sz="900" b="1" i="0" u="none" strike="noStrike" kern="1200" baseline="0">
                    <a:solidFill>
                      <a:schemeClr val="accent6">
                        <a:lumMod val="50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nesezona!$J$4:$R$4</c:f>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f>nesezona!$J$5:$R$5</c:f>
              <c:numCache>
                <c:formatCode>General</c:formatCode>
                <c:ptCount val="9"/>
                <c:pt idx="0">
                  <c:v>30</c:v>
                </c:pt>
                <c:pt idx="1">
                  <c:v>31</c:v>
                </c:pt>
                <c:pt idx="2">
                  <c:v>32</c:v>
                </c:pt>
                <c:pt idx="3">
                  <c:v>33</c:v>
                </c:pt>
                <c:pt idx="4">
                  <c:v>33</c:v>
                </c:pt>
                <c:pt idx="5">
                  <c:v>34</c:v>
                </c:pt>
                <c:pt idx="6">
                  <c:v>35</c:v>
                </c:pt>
                <c:pt idx="7">
                  <c:v>36</c:v>
                </c:pt>
                <c:pt idx="8">
                  <c:v>37</c:v>
                </c:pt>
              </c:numCache>
            </c:numRef>
          </c:val>
          <c:smooth val="0"/>
          <c:extLst>
            <c:ext xmlns:c16="http://schemas.microsoft.com/office/drawing/2014/chart" uri="{C3380CC4-5D6E-409C-BE32-E72D297353CC}">
              <c16:uniqueId val="{00000001-01BD-4571-BA1F-96775C738DD6}"/>
            </c:ext>
          </c:extLst>
        </c:ser>
        <c:dLbls>
          <c:showLegendKey val="0"/>
          <c:showVal val="0"/>
          <c:showCatName val="0"/>
          <c:showSerName val="0"/>
          <c:showPercent val="0"/>
          <c:showBubbleSize val="0"/>
        </c:dLbls>
        <c:marker val="1"/>
        <c:smooth val="0"/>
        <c:axId val="469952648"/>
        <c:axId val="469952320"/>
      </c:lineChart>
      <c:catAx>
        <c:axId val="46995264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crossAx val="469952320"/>
        <c:crosses val="autoZero"/>
        <c:auto val="1"/>
        <c:lblAlgn val="ctr"/>
        <c:lblOffset val="100"/>
        <c:noMultiLvlLbl val="0"/>
      </c:catAx>
      <c:valAx>
        <c:axId val="4699523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crossAx val="469952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lv-LV"/>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1" i="0" u="none" strike="noStrike" kern="1200" baseline="0">
                <a:solidFill>
                  <a:sysClr val="windowText" lastClr="000000"/>
                </a:solidFill>
                <a:latin typeface="+mn-lt"/>
                <a:ea typeface="+mn-ea"/>
                <a:cs typeface="+mn-cs"/>
              </a:defRPr>
            </a:pPr>
            <a:r>
              <a:rPr lang="lv-LV"/>
              <a:t>Ārvalstu viesu izmantotās naktsmītnes Latvijā, ceļotāju skaits, tūkst.</a:t>
            </a:r>
          </a:p>
        </c:rich>
      </c:tx>
      <c:overlay val="0"/>
      <c:spPr>
        <a:noFill/>
        <a:ln>
          <a:noFill/>
        </a:ln>
        <a:effectLst/>
      </c:spPr>
      <c:txPr>
        <a:bodyPr rot="0" spcFirstLastPara="1" vertOverflow="ellipsis" vert="horz" wrap="square" anchor="ctr" anchorCtr="1"/>
        <a:lstStyle/>
        <a:p>
          <a:pPr>
            <a:defRPr sz="960" b="1" i="0" u="none" strike="noStrike" kern="1200" baseline="0">
              <a:solidFill>
                <a:sysClr val="windowText" lastClr="000000"/>
              </a:solidFill>
              <a:latin typeface="+mn-lt"/>
              <a:ea typeface="+mn-ea"/>
              <a:cs typeface="+mn-cs"/>
            </a:defRPr>
          </a:pPr>
          <a:endParaRPr lang="lv-LV"/>
        </a:p>
      </c:txPr>
    </c:title>
    <c:autoTitleDeleted val="0"/>
    <c:plotArea>
      <c:layout/>
      <c:barChart>
        <c:barDir val="col"/>
        <c:grouping val="stacked"/>
        <c:varyColors val="0"/>
        <c:ser>
          <c:idx val="0"/>
          <c:order val="0"/>
          <c:tx>
            <c:strRef>
              <c:f>'Sheet2 (2)'!$B$4</c:f>
              <c:strCache>
                <c:ptCount val="1"/>
                <c:pt idx="0">
                  <c:v>Viesnīca/ motelis/ viesu māja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 (2)'!$C$3:$G$3</c:f>
              <c:numCache>
                <c:formatCode>General</c:formatCode>
                <c:ptCount val="5"/>
                <c:pt idx="0">
                  <c:v>2012</c:v>
                </c:pt>
                <c:pt idx="1">
                  <c:v>2013</c:v>
                </c:pt>
                <c:pt idx="2">
                  <c:v>2014</c:v>
                </c:pt>
                <c:pt idx="3">
                  <c:v>2015</c:v>
                </c:pt>
                <c:pt idx="4">
                  <c:v>2016</c:v>
                </c:pt>
              </c:numCache>
            </c:numRef>
          </c:cat>
          <c:val>
            <c:numRef>
              <c:f>'Sheet2 (2)'!$C$4:$G$4</c:f>
              <c:numCache>
                <c:formatCode>###0</c:formatCode>
                <c:ptCount val="5"/>
                <c:pt idx="0">
                  <c:v>910.654</c:v>
                </c:pt>
                <c:pt idx="1">
                  <c:v>929.09699999999998</c:v>
                </c:pt>
                <c:pt idx="2">
                  <c:v>1121.3030000000001</c:v>
                </c:pt>
                <c:pt idx="3">
                  <c:v>1251.453</c:v>
                </c:pt>
                <c:pt idx="4">
                  <c:v>980.08799999999997</c:v>
                </c:pt>
              </c:numCache>
            </c:numRef>
          </c:val>
          <c:extLst>
            <c:ext xmlns:c16="http://schemas.microsoft.com/office/drawing/2014/chart" uri="{C3380CC4-5D6E-409C-BE32-E72D297353CC}">
              <c16:uniqueId val="{00000000-2566-4E53-BC6B-1675BCD6B5D9}"/>
            </c:ext>
          </c:extLst>
        </c:ser>
        <c:ser>
          <c:idx val="1"/>
          <c:order val="1"/>
          <c:tx>
            <c:strRef>
              <c:f>'Sheet2 (2)'!$B$5</c:f>
              <c:strCache>
                <c:ptCount val="1"/>
                <c:pt idx="0">
                  <c:v>Kempings/ atpūtas komplekss/ hostelis </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numRef>
              <c:f>'Sheet2 (2)'!$C$3:$G$3</c:f>
              <c:numCache>
                <c:formatCode>General</c:formatCode>
                <c:ptCount val="5"/>
                <c:pt idx="0">
                  <c:v>2012</c:v>
                </c:pt>
                <c:pt idx="1">
                  <c:v>2013</c:v>
                </c:pt>
                <c:pt idx="2">
                  <c:v>2014</c:v>
                </c:pt>
                <c:pt idx="3">
                  <c:v>2015</c:v>
                </c:pt>
                <c:pt idx="4">
                  <c:v>2016</c:v>
                </c:pt>
              </c:numCache>
            </c:numRef>
          </c:cat>
          <c:val>
            <c:numRef>
              <c:f>'Sheet2 (2)'!$C$5:$G$5</c:f>
              <c:numCache>
                <c:formatCode>###0</c:formatCode>
                <c:ptCount val="5"/>
                <c:pt idx="0">
                  <c:v>36.908999999999999</c:v>
                </c:pt>
                <c:pt idx="1">
                  <c:v>42.664000000000001</c:v>
                </c:pt>
                <c:pt idx="2">
                  <c:v>37.676000000000002</c:v>
                </c:pt>
                <c:pt idx="3">
                  <c:v>47.457999999999998</c:v>
                </c:pt>
                <c:pt idx="4">
                  <c:v>40.579000000000001</c:v>
                </c:pt>
              </c:numCache>
            </c:numRef>
          </c:val>
          <c:extLst>
            <c:ext xmlns:c16="http://schemas.microsoft.com/office/drawing/2014/chart" uri="{C3380CC4-5D6E-409C-BE32-E72D297353CC}">
              <c16:uniqueId val="{00000001-2566-4E53-BC6B-1675BCD6B5D9}"/>
            </c:ext>
          </c:extLst>
        </c:ser>
        <c:ser>
          <c:idx val="2"/>
          <c:order val="2"/>
          <c:tx>
            <c:strRef>
              <c:f>'Sheet2 (2)'!$B$6</c:f>
              <c:strCache>
                <c:ptCount val="1"/>
                <c:pt idx="0">
                  <c:v>Privāta naktsmītne </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 (2)'!$C$3:$G$3</c:f>
              <c:numCache>
                <c:formatCode>General</c:formatCode>
                <c:ptCount val="5"/>
                <c:pt idx="0">
                  <c:v>2012</c:v>
                </c:pt>
                <c:pt idx="1">
                  <c:v>2013</c:v>
                </c:pt>
                <c:pt idx="2">
                  <c:v>2014</c:v>
                </c:pt>
                <c:pt idx="3">
                  <c:v>2015</c:v>
                </c:pt>
                <c:pt idx="4">
                  <c:v>2016</c:v>
                </c:pt>
              </c:numCache>
            </c:numRef>
          </c:cat>
          <c:val>
            <c:numRef>
              <c:f>'Sheet2 (2)'!$C$6:$G$6</c:f>
              <c:numCache>
                <c:formatCode>###0</c:formatCode>
                <c:ptCount val="5"/>
                <c:pt idx="0">
                  <c:v>418.18</c:v>
                </c:pt>
                <c:pt idx="1">
                  <c:v>488.32</c:v>
                </c:pt>
                <c:pt idx="2">
                  <c:v>628.35799999999995</c:v>
                </c:pt>
                <c:pt idx="3">
                  <c:v>685.38900000000001</c:v>
                </c:pt>
                <c:pt idx="4">
                  <c:v>682.39499999999998</c:v>
                </c:pt>
              </c:numCache>
            </c:numRef>
          </c:val>
          <c:extLst>
            <c:ext xmlns:c16="http://schemas.microsoft.com/office/drawing/2014/chart" uri="{C3380CC4-5D6E-409C-BE32-E72D297353CC}">
              <c16:uniqueId val="{00000002-2566-4E53-BC6B-1675BCD6B5D9}"/>
            </c:ext>
          </c:extLst>
        </c:ser>
        <c:ser>
          <c:idx val="3"/>
          <c:order val="3"/>
          <c:tx>
            <c:strRef>
              <c:f>'Sheet2 (2)'!$B$7</c:f>
              <c:strCache>
                <c:ptCount val="1"/>
                <c:pt idx="0">
                  <c:v>Citas naktsmītnes</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numRef>
              <c:f>'Sheet2 (2)'!$C$3:$G$3</c:f>
              <c:numCache>
                <c:formatCode>General</c:formatCode>
                <c:ptCount val="5"/>
                <c:pt idx="0">
                  <c:v>2012</c:v>
                </c:pt>
                <c:pt idx="1">
                  <c:v>2013</c:v>
                </c:pt>
                <c:pt idx="2">
                  <c:v>2014</c:v>
                </c:pt>
                <c:pt idx="3">
                  <c:v>2015</c:v>
                </c:pt>
                <c:pt idx="4">
                  <c:v>2016</c:v>
                </c:pt>
              </c:numCache>
            </c:numRef>
          </c:cat>
          <c:val>
            <c:numRef>
              <c:f>'Sheet2 (2)'!$C$7:$G$7</c:f>
              <c:numCache>
                <c:formatCode>###0</c:formatCode>
                <c:ptCount val="5"/>
                <c:pt idx="0">
                  <c:v>100.655</c:v>
                </c:pt>
                <c:pt idx="1">
                  <c:v>115.663</c:v>
                </c:pt>
                <c:pt idx="2">
                  <c:v>91.555999999999997</c:v>
                </c:pt>
                <c:pt idx="3">
                  <c:v>82.058000000000007</c:v>
                </c:pt>
                <c:pt idx="4">
                  <c:v>127.673</c:v>
                </c:pt>
              </c:numCache>
            </c:numRef>
          </c:val>
          <c:extLst>
            <c:ext xmlns:c16="http://schemas.microsoft.com/office/drawing/2014/chart" uri="{C3380CC4-5D6E-409C-BE32-E72D297353CC}">
              <c16:uniqueId val="{00000003-2566-4E53-BC6B-1675BCD6B5D9}"/>
            </c:ext>
          </c:extLst>
        </c:ser>
        <c:dLbls>
          <c:showLegendKey val="0"/>
          <c:showVal val="0"/>
          <c:showCatName val="0"/>
          <c:showSerName val="0"/>
          <c:showPercent val="0"/>
          <c:showBubbleSize val="0"/>
        </c:dLbls>
        <c:gapWidth val="150"/>
        <c:overlap val="100"/>
        <c:axId val="440898880"/>
        <c:axId val="440888712"/>
      </c:barChart>
      <c:catAx>
        <c:axId val="44089888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lv-LV"/>
          </a:p>
        </c:txPr>
        <c:crossAx val="440888712"/>
        <c:crosses val="autoZero"/>
        <c:auto val="1"/>
        <c:lblAlgn val="ctr"/>
        <c:lblOffset val="100"/>
        <c:noMultiLvlLbl val="0"/>
      </c:catAx>
      <c:valAx>
        <c:axId val="4408887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lv-LV"/>
          </a:p>
        </c:txPr>
        <c:crossAx val="4408988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ysClr val="windowText" lastClr="000000"/>
          </a:solidFill>
        </a:defRPr>
      </a:pPr>
      <a:endParaRPr lang="lv-LV"/>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1" i="0" u="none" strike="noStrike" kern="1200" baseline="0">
                <a:solidFill>
                  <a:sysClr val="windowText" lastClr="000000"/>
                </a:solidFill>
                <a:latin typeface="+mn-lt"/>
                <a:ea typeface="+mn-ea"/>
                <a:cs typeface="+mn-cs"/>
              </a:defRPr>
            </a:pPr>
            <a:r>
              <a:rPr lang="lv-LV"/>
              <a:t>Ārvalstu viesu izmantotās naktsmītnes Latvijā, pavadītās naktis, tūkst. </a:t>
            </a:r>
          </a:p>
        </c:rich>
      </c:tx>
      <c:overlay val="0"/>
      <c:spPr>
        <a:noFill/>
        <a:ln>
          <a:noFill/>
        </a:ln>
        <a:effectLst/>
      </c:spPr>
      <c:txPr>
        <a:bodyPr rot="0" spcFirstLastPara="1" vertOverflow="ellipsis" vert="horz" wrap="square" anchor="ctr" anchorCtr="1"/>
        <a:lstStyle/>
        <a:p>
          <a:pPr>
            <a:defRPr sz="960" b="1" i="0" u="none" strike="noStrike" kern="1200" baseline="0">
              <a:solidFill>
                <a:sysClr val="windowText" lastClr="000000"/>
              </a:solidFill>
              <a:latin typeface="+mn-lt"/>
              <a:ea typeface="+mn-ea"/>
              <a:cs typeface="+mn-cs"/>
            </a:defRPr>
          </a:pPr>
          <a:endParaRPr lang="lv-LV"/>
        </a:p>
      </c:txPr>
    </c:title>
    <c:autoTitleDeleted val="0"/>
    <c:plotArea>
      <c:layout/>
      <c:barChart>
        <c:barDir val="col"/>
        <c:grouping val="stacked"/>
        <c:varyColors val="0"/>
        <c:ser>
          <c:idx val="0"/>
          <c:order val="0"/>
          <c:tx>
            <c:strRef>
              <c:f>'Sheet2 (2)'!$B$14</c:f>
              <c:strCache>
                <c:ptCount val="1"/>
                <c:pt idx="0">
                  <c:v>Viesnīca/ motelis/ viesu māja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 (2)'!$C$13:$G$13</c:f>
              <c:numCache>
                <c:formatCode>General</c:formatCode>
                <c:ptCount val="5"/>
                <c:pt idx="0">
                  <c:v>2012</c:v>
                </c:pt>
                <c:pt idx="1">
                  <c:v>2013</c:v>
                </c:pt>
                <c:pt idx="2">
                  <c:v>2014</c:v>
                </c:pt>
                <c:pt idx="3">
                  <c:v>2015</c:v>
                </c:pt>
                <c:pt idx="4">
                  <c:v>2016</c:v>
                </c:pt>
              </c:numCache>
            </c:numRef>
          </c:cat>
          <c:val>
            <c:numRef>
              <c:f>'Sheet2 (2)'!$C$14:$G$14</c:f>
              <c:numCache>
                <c:formatCode>###0</c:formatCode>
                <c:ptCount val="5"/>
                <c:pt idx="0">
                  <c:v>2756.4459999999999</c:v>
                </c:pt>
                <c:pt idx="1">
                  <c:v>3060.1419999999998</c:v>
                </c:pt>
                <c:pt idx="2">
                  <c:v>3268.9830000000002</c:v>
                </c:pt>
                <c:pt idx="3">
                  <c:v>3565.5329999999999</c:v>
                </c:pt>
                <c:pt idx="4">
                  <c:v>3146.0540000000001</c:v>
                </c:pt>
              </c:numCache>
            </c:numRef>
          </c:val>
          <c:extLst>
            <c:ext xmlns:c16="http://schemas.microsoft.com/office/drawing/2014/chart" uri="{C3380CC4-5D6E-409C-BE32-E72D297353CC}">
              <c16:uniqueId val="{00000000-05E6-438F-B5B0-5FF93742F3AB}"/>
            </c:ext>
          </c:extLst>
        </c:ser>
        <c:ser>
          <c:idx val="1"/>
          <c:order val="1"/>
          <c:tx>
            <c:strRef>
              <c:f>'Sheet2 (2)'!$B$15</c:f>
              <c:strCache>
                <c:ptCount val="1"/>
                <c:pt idx="0">
                  <c:v>Kempings/ atpūtas komplekss/ hostelis </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numRef>
              <c:f>'Sheet2 (2)'!$C$13:$G$13</c:f>
              <c:numCache>
                <c:formatCode>General</c:formatCode>
                <c:ptCount val="5"/>
                <c:pt idx="0">
                  <c:v>2012</c:v>
                </c:pt>
                <c:pt idx="1">
                  <c:v>2013</c:v>
                </c:pt>
                <c:pt idx="2">
                  <c:v>2014</c:v>
                </c:pt>
                <c:pt idx="3">
                  <c:v>2015</c:v>
                </c:pt>
                <c:pt idx="4">
                  <c:v>2016</c:v>
                </c:pt>
              </c:numCache>
            </c:numRef>
          </c:cat>
          <c:val>
            <c:numRef>
              <c:f>'Sheet2 (2)'!$C$15:$G$15</c:f>
              <c:numCache>
                <c:formatCode>###0</c:formatCode>
                <c:ptCount val="5"/>
                <c:pt idx="0">
                  <c:v>137.92500000000001</c:v>
                </c:pt>
                <c:pt idx="1">
                  <c:v>164.023</c:v>
                </c:pt>
                <c:pt idx="2">
                  <c:v>121.396</c:v>
                </c:pt>
                <c:pt idx="3">
                  <c:v>152.06800000000001</c:v>
                </c:pt>
                <c:pt idx="4">
                  <c:v>136.34</c:v>
                </c:pt>
              </c:numCache>
            </c:numRef>
          </c:val>
          <c:extLst>
            <c:ext xmlns:c16="http://schemas.microsoft.com/office/drawing/2014/chart" uri="{C3380CC4-5D6E-409C-BE32-E72D297353CC}">
              <c16:uniqueId val="{00000001-05E6-438F-B5B0-5FF93742F3AB}"/>
            </c:ext>
          </c:extLst>
        </c:ser>
        <c:ser>
          <c:idx val="2"/>
          <c:order val="2"/>
          <c:tx>
            <c:strRef>
              <c:f>'Sheet2 (2)'!$B$16</c:f>
              <c:strCache>
                <c:ptCount val="1"/>
                <c:pt idx="0">
                  <c:v>Privāta naktsmītne </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 (2)'!$C$13:$G$13</c:f>
              <c:numCache>
                <c:formatCode>General</c:formatCode>
                <c:ptCount val="5"/>
                <c:pt idx="0">
                  <c:v>2012</c:v>
                </c:pt>
                <c:pt idx="1">
                  <c:v>2013</c:v>
                </c:pt>
                <c:pt idx="2">
                  <c:v>2014</c:v>
                </c:pt>
                <c:pt idx="3">
                  <c:v>2015</c:v>
                </c:pt>
                <c:pt idx="4">
                  <c:v>2016</c:v>
                </c:pt>
              </c:numCache>
            </c:numRef>
          </c:cat>
          <c:val>
            <c:numRef>
              <c:f>'Sheet2 (2)'!$C$16:$G$16</c:f>
              <c:numCache>
                <c:formatCode>###0</c:formatCode>
                <c:ptCount val="5"/>
                <c:pt idx="0">
                  <c:v>2716.518</c:v>
                </c:pt>
                <c:pt idx="1">
                  <c:v>3551.89</c:v>
                </c:pt>
                <c:pt idx="2">
                  <c:v>4201.5119999999997</c:v>
                </c:pt>
                <c:pt idx="3">
                  <c:v>4217.2669999999998</c:v>
                </c:pt>
                <c:pt idx="4">
                  <c:v>4958.62</c:v>
                </c:pt>
              </c:numCache>
            </c:numRef>
          </c:val>
          <c:extLst>
            <c:ext xmlns:c16="http://schemas.microsoft.com/office/drawing/2014/chart" uri="{C3380CC4-5D6E-409C-BE32-E72D297353CC}">
              <c16:uniqueId val="{00000002-05E6-438F-B5B0-5FF93742F3AB}"/>
            </c:ext>
          </c:extLst>
        </c:ser>
        <c:ser>
          <c:idx val="3"/>
          <c:order val="3"/>
          <c:tx>
            <c:strRef>
              <c:f>'Sheet2 (2)'!$B$17</c:f>
              <c:strCache>
                <c:ptCount val="1"/>
                <c:pt idx="0">
                  <c:v>Citas naktsmītnes</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numRef>
              <c:f>'Sheet2 (2)'!$C$13:$G$13</c:f>
              <c:numCache>
                <c:formatCode>General</c:formatCode>
                <c:ptCount val="5"/>
                <c:pt idx="0">
                  <c:v>2012</c:v>
                </c:pt>
                <c:pt idx="1">
                  <c:v>2013</c:v>
                </c:pt>
                <c:pt idx="2">
                  <c:v>2014</c:v>
                </c:pt>
                <c:pt idx="3">
                  <c:v>2015</c:v>
                </c:pt>
                <c:pt idx="4">
                  <c:v>2016</c:v>
                </c:pt>
              </c:numCache>
            </c:numRef>
          </c:cat>
          <c:val>
            <c:numRef>
              <c:f>'Sheet2 (2)'!$C$17:$G$17</c:f>
              <c:numCache>
                <c:formatCode>###0</c:formatCode>
                <c:ptCount val="5"/>
                <c:pt idx="0" formatCode="0">
                  <c:v>181.05600000000001</c:v>
                </c:pt>
                <c:pt idx="1">
                  <c:v>233.017</c:v>
                </c:pt>
                <c:pt idx="2">
                  <c:v>229.83</c:v>
                </c:pt>
                <c:pt idx="3">
                  <c:v>210.26400000000001</c:v>
                </c:pt>
                <c:pt idx="4">
                  <c:v>524.62599999999998</c:v>
                </c:pt>
              </c:numCache>
            </c:numRef>
          </c:val>
          <c:extLst>
            <c:ext xmlns:c16="http://schemas.microsoft.com/office/drawing/2014/chart" uri="{C3380CC4-5D6E-409C-BE32-E72D297353CC}">
              <c16:uniqueId val="{00000003-05E6-438F-B5B0-5FF93742F3AB}"/>
            </c:ext>
          </c:extLst>
        </c:ser>
        <c:dLbls>
          <c:showLegendKey val="0"/>
          <c:showVal val="0"/>
          <c:showCatName val="0"/>
          <c:showSerName val="0"/>
          <c:showPercent val="0"/>
          <c:showBubbleSize val="0"/>
        </c:dLbls>
        <c:gapWidth val="150"/>
        <c:overlap val="100"/>
        <c:axId val="440903800"/>
        <c:axId val="440893304"/>
      </c:barChart>
      <c:catAx>
        <c:axId val="44090380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lv-LV"/>
          </a:p>
        </c:txPr>
        <c:crossAx val="440893304"/>
        <c:crosses val="autoZero"/>
        <c:auto val="1"/>
        <c:lblAlgn val="ctr"/>
        <c:lblOffset val="100"/>
        <c:noMultiLvlLbl val="0"/>
      </c:catAx>
      <c:valAx>
        <c:axId val="4408933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lv-LV"/>
          </a:p>
        </c:txPr>
        <c:crossAx val="4409038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ysClr val="windowText" lastClr="000000"/>
          </a:solidFill>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withinLinear" id="18">
  <a:schemeClr val="accent5"/>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4">
  <a:schemeClr val="accent1"/>
</cs:colorStyle>
</file>

<file path=word/charts/colors3.xml><?xml version="1.0" encoding="utf-8"?>
<cs:colorStyle xmlns:cs="http://schemas.microsoft.com/office/drawing/2012/chartStyle" xmlns:a="http://schemas.openxmlformats.org/drawingml/2006/main" meth="withinLinearReversed" id="21">
  <a:schemeClr val="accent1"/>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35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35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5.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1197"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1197"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1197"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33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33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1197"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1197"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1197"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22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1197"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1197" kern="1200"/>
  </cs:valueAxis>
  <cs:wall>
    <cs:lnRef idx="0"/>
    <cs:fillRef idx="0"/>
    <cs:effectRef idx="0"/>
    <cs:fontRef idx="minor">
      <a:schemeClr val="dk1"/>
    </cs:fontRef>
  </cs:wall>
</cs:chartStyle>
</file>

<file path=word/charts/style1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1197"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2128"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35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35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8.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9.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drawings/drawing1.xml><?xml version="1.0" encoding="utf-8"?>
<c:userShapes xmlns:c="http://schemas.openxmlformats.org/drawingml/2006/chart">
  <cdr:relSizeAnchor xmlns:cdr="http://schemas.openxmlformats.org/drawingml/2006/chartDrawing">
    <cdr:from>
      <cdr:x>0.34058</cdr:x>
      <cdr:y>0.22609</cdr:y>
    </cdr:from>
    <cdr:to>
      <cdr:x>0.50725</cdr:x>
      <cdr:y>0.30559</cdr:y>
    </cdr:to>
    <cdr:sp macro="" textlink="">
      <cdr:nvSpPr>
        <cdr:cNvPr id="2" name="Text Box 1"/>
        <cdr:cNvSpPr txBox="1"/>
      </cdr:nvSpPr>
      <cdr:spPr>
        <a:xfrm xmlns:a="http://schemas.openxmlformats.org/drawingml/2006/main">
          <a:off x="1868557" y="723569"/>
          <a:ext cx="914400" cy="25444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lv-LV" sz="1100"/>
        </a:p>
      </cdr:txBody>
    </cdr:sp>
  </cdr:relSizeAnchor>
  <cdr:relSizeAnchor xmlns:cdr="http://schemas.openxmlformats.org/drawingml/2006/chartDrawing">
    <cdr:from>
      <cdr:x>0.71133</cdr:x>
      <cdr:y>0.12654</cdr:y>
    </cdr:from>
    <cdr:to>
      <cdr:x>0.96067</cdr:x>
      <cdr:y>0.26329</cdr:y>
    </cdr:to>
    <cdr:sp macro="" textlink="">
      <cdr:nvSpPr>
        <cdr:cNvPr id="3" name="Text Box 2"/>
        <cdr:cNvSpPr txBox="1"/>
      </cdr:nvSpPr>
      <cdr:spPr>
        <a:xfrm xmlns:a="http://schemas.openxmlformats.org/drawingml/2006/main">
          <a:off x="2022699" y="273278"/>
          <a:ext cx="709006" cy="29533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lv-LV" sz="1000" b="1">
              <a:latin typeface="+mj-lt"/>
            </a:rPr>
            <a:t>tūrisms</a:t>
          </a:r>
        </a:p>
      </cdr:txBody>
    </cdr:sp>
  </cdr:relSizeAnchor>
  <cdr:relSizeAnchor xmlns:cdr="http://schemas.openxmlformats.org/drawingml/2006/chartDrawing">
    <cdr:from>
      <cdr:x>0.80926</cdr:x>
      <cdr:y>0.38854</cdr:y>
    </cdr:from>
    <cdr:to>
      <cdr:x>0.92955</cdr:x>
      <cdr:y>0.48047</cdr:y>
    </cdr:to>
    <cdr:sp macro="" textlink="">
      <cdr:nvSpPr>
        <cdr:cNvPr id="4" name="Text Box 1"/>
        <cdr:cNvSpPr txBox="1"/>
      </cdr:nvSpPr>
      <cdr:spPr>
        <a:xfrm xmlns:a="http://schemas.openxmlformats.org/drawingml/2006/main">
          <a:off x="4439920" y="1243496"/>
          <a:ext cx="659958" cy="294198"/>
        </a:xfrm>
        <a:prstGeom xmlns:a="http://schemas.openxmlformats.org/drawingml/2006/main" prst="rect">
          <a:avLst/>
        </a:prstGeom>
      </cdr:spPr>
    </cdr:sp>
  </cdr:relSizeAnchor>
  <cdr:relSizeAnchor xmlns:cdr="http://schemas.openxmlformats.org/drawingml/2006/chartDrawing">
    <cdr:from>
      <cdr:x>0.78027</cdr:x>
      <cdr:y>0.38109</cdr:y>
    </cdr:from>
    <cdr:to>
      <cdr:x>0.90056</cdr:x>
      <cdr:y>0.47302</cdr:y>
    </cdr:to>
    <cdr:sp macro="" textlink="">
      <cdr:nvSpPr>
        <cdr:cNvPr id="5" name="Text Box 1"/>
        <cdr:cNvSpPr txBox="1"/>
      </cdr:nvSpPr>
      <cdr:spPr>
        <a:xfrm xmlns:a="http://schemas.openxmlformats.org/drawingml/2006/main">
          <a:off x="4280895" y="1219641"/>
          <a:ext cx="659958" cy="294198"/>
        </a:xfrm>
        <a:prstGeom xmlns:a="http://schemas.openxmlformats.org/drawingml/2006/main" prst="rect">
          <a:avLst/>
        </a:prstGeom>
      </cdr:spPr>
    </cdr:sp>
  </cdr:relSizeAnchor>
  <cdr:relSizeAnchor xmlns:cdr="http://schemas.openxmlformats.org/drawingml/2006/chartDrawing">
    <cdr:from>
      <cdr:x>0.74101</cdr:x>
      <cdr:y>0.47423</cdr:y>
    </cdr:from>
    <cdr:to>
      <cdr:x>0.92137</cdr:x>
      <cdr:y>0.56616</cdr:y>
    </cdr:to>
    <cdr:sp macro="" textlink="">
      <cdr:nvSpPr>
        <cdr:cNvPr id="6" name="Text Box 1"/>
        <cdr:cNvSpPr txBox="1"/>
      </cdr:nvSpPr>
      <cdr:spPr>
        <a:xfrm xmlns:a="http://schemas.openxmlformats.org/drawingml/2006/main">
          <a:off x="2107096" y="1024164"/>
          <a:ext cx="512847" cy="19853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lv-LV" sz="1000" b="1">
              <a:latin typeface="+mj-lt"/>
            </a:rPr>
            <a:t>IKP</a:t>
          </a:r>
        </a:p>
      </cdr:txBody>
    </cdr:sp>
  </cdr:relSizeAnchor>
</c:userShapes>
</file>

<file path=word/drawings/drawing2.xml><?xml version="1.0" encoding="utf-8"?>
<c:userShapes xmlns:c="http://schemas.openxmlformats.org/drawingml/2006/chart">
  <cdr:relSizeAnchor xmlns:cdr="http://schemas.openxmlformats.org/drawingml/2006/chartDrawing">
    <cdr:from>
      <cdr:x>0.34058</cdr:x>
      <cdr:y>0.22609</cdr:y>
    </cdr:from>
    <cdr:to>
      <cdr:x>0.50725</cdr:x>
      <cdr:y>0.30559</cdr:y>
    </cdr:to>
    <cdr:sp macro="" textlink="">
      <cdr:nvSpPr>
        <cdr:cNvPr id="2" name="Text Box 1"/>
        <cdr:cNvSpPr txBox="1"/>
      </cdr:nvSpPr>
      <cdr:spPr>
        <a:xfrm xmlns:a="http://schemas.openxmlformats.org/drawingml/2006/main">
          <a:off x="1868557" y="723569"/>
          <a:ext cx="914400" cy="25444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lv-LV" sz="1100"/>
        </a:p>
      </cdr:txBody>
    </cdr:sp>
  </cdr:relSizeAnchor>
  <cdr:relSizeAnchor xmlns:cdr="http://schemas.openxmlformats.org/drawingml/2006/chartDrawing">
    <cdr:from>
      <cdr:x>0.34115</cdr:x>
      <cdr:y>0.69634</cdr:y>
    </cdr:from>
    <cdr:to>
      <cdr:x>0.98429</cdr:x>
      <cdr:y>0.83309</cdr:y>
    </cdr:to>
    <cdr:sp macro="" textlink="">
      <cdr:nvSpPr>
        <cdr:cNvPr id="3" name="Text Box 2"/>
        <cdr:cNvSpPr txBox="1"/>
      </cdr:nvSpPr>
      <cdr:spPr>
        <a:xfrm xmlns:a="http://schemas.openxmlformats.org/drawingml/2006/main">
          <a:off x="970059" y="1503840"/>
          <a:ext cx="1828800" cy="29533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lv-LV" sz="1000" b="1">
              <a:latin typeface="+mj-lt"/>
            </a:rPr>
            <a:t>preču un pakalpojumu eksports</a:t>
          </a:r>
        </a:p>
      </cdr:txBody>
    </cdr:sp>
  </cdr:relSizeAnchor>
  <cdr:relSizeAnchor xmlns:cdr="http://schemas.openxmlformats.org/drawingml/2006/chartDrawing">
    <cdr:from>
      <cdr:x>0.80926</cdr:x>
      <cdr:y>0.38854</cdr:y>
    </cdr:from>
    <cdr:to>
      <cdr:x>0.92955</cdr:x>
      <cdr:y>0.48047</cdr:y>
    </cdr:to>
    <cdr:sp macro="" textlink="">
      <cdr:nvSpPr>
        <cdr:cNvPr id="4" name="Text Box 1"/>
        <cdr:cNvSpPr txBox="1"/>
      </cdr:nvSpPr>
      <cdr:spPr>
        <a:xfrm xmlns:a="http://schemas.openxmlformats.org/drawingml/2006/main">
          <a:off x="4439920" y="1243496"/>
          <a:ext cx="659958" cy="294198"/>
        </a:xfrm>
        <a:prstGeom xmlns:a="http://schemas.openxmlformats.org/drawingml/2006/main" prst="rect">
          <a:avLst/>
        </a:prstGeom>
      </cdr:spPr>
    </cdr:sp>
  </cdr:relSizeAnchor>
  <cdr:relSizeAnchor xmlns:cdr="http://schemas.openxmlformats.org/drawingml/2006/chartDrawing">
    <cdr:from>
      <cdr:x>0.78027</cdr:x>
      <cdr:y>0.38109</cdr:y>
    </cdr:from>
    <cdr:to>
      <cdr:x>0.90056</cdr:x>
      <cdr:y>0.47302</cdr:y>
    </cdr:to>
    <cdr:sp macro="" textlink="">
      <cdr:nvSpPr>
        <cdr:cNvPr id="5" name="Text Box 1"/>
        <cdr:cNvSpPr txBox="1"/>
      </cdr:nvSpPr>
      <cdr:spPr>
        <a:xfrm xmlns:a="http://schemas.openxmlformats.org/drawingml/2006/main">
          <a:off x="4280895" y="1219641"/>
          <a:ext cx="659958" cy="294198"/>
        </a:xfrm>
        <a:prstGeom xmlns:a="http://schemas.openxmlformats.org/drawingml/2006/main" prst="rect">
          <a:avLst/>
        </a:prstGeom>
      </cdr:spPr>
    </cdr:sp>
  </cdr:relSizeAnchor>
  <cdr:relSizeAnchor xmlns:cdr="http://schemas.openxmlformats.org/drawingml/2006/chartDrawing">
    <cdr:from>
      <cdr:x>0.25446</cdr:x>
      <cdr:y>0.27478</cdr:y>
    </cdr:from>
    <cdr:to>
      <cdr:x>0.72983</cdr:x>
      <cdr:y>0.44918</cdr:y>
    </cdr:to>
    <cdr:sp macro="" textlink="">
      <cdr:nvSpPr>
        <cdr:cNvPr id="6" name="Text Box 1"/>
        <cdr:cNvSpPr txBox="1"/>
      </cdr:nvSpPr>
      <cdr:spPr>
        <a:xfrm xmlns:a="http://schemas.openxmlformats.org/drawingml/2006/main">
          <a:off x="723569" y="593422"/>
          <a:ext cx="1351722" cy="376637"/>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lv-LV" sz="1000" b="1">
              <a:latin typeface="+mj-lt"/>
            </a:rPr>
            <a:t>tūrisma pakalpojumu eksports</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FA9D3-7B4F-4184-881E-786A93701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7687</Words>
  <Characters>56519</Characters>
  <Application>Microsoft Office Word</Application>
  <DocSecurity>0</DocSecurity>
  <Lines>1228</Lines>
  <Paragraphs>501</Paragraphs>
  <ScaleCrop>false</ScaleCrop>
  <HeadingPairs>
    <vt:vector size="2" baseType="variant">
      <vt:variant>
        <vt:lpstr>Title</vt:lpstr>
      </vt:variant>
      <vt:variant>
        <vt:i4>1</vt:i4>
      </vt:variant>
    </vt:vector>
  </HeadingPairs>
  <TitlesOfParts>
    <vt:vector size="1" baseType="lpstr">
      <vt:lpstr>Par Latvijas tūrisma attīstības pamatnostādņu 2014.-2020.gadam īstenošanas 2014.-2016.gadā starpposma novērtējumu</vt:lpstr>
    </vt:vector>
  </TitlesOfParts>
  <Company>Ekonomikas ministrija</Company>
  <LinksUpToDate>false</LinksUpToDate>
  <CharactersWithSpaces>63705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Latvijas tūrisma attīstības pamatnostādņu 2014.-2020.gadam īstenošanas 2014.-2016.gadā starpposma novērtējumu</dc:title>
  <dc:subject>Informatīvais ziņojums</dc:subject>
  <dc:creator>Madara Lūka</dc:creator>
  <cp:keywords/>
  <dc:description>67013256, madara.luka@em.gov.lv</dc:description>
  <cp:lastModifiedBy>Madara Lūka</cp:lastModifiedBy>
  <cp:revision>4</cp:revision>
  <cp:lastPrinted>2017-09-26T11:38:00Z</cp:lastPrinted>
  <dcterms:created xsi:type="dcterms:W3CDTF">2017-12-07T13:28:00Z</dcterms:created>
  <dcterms:modified xsi:type="dcterms:W3CDTF">2017-12-18T08:39:00Z</dcterms:modified>
</cp:coreProperties>
</file>