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3DD0B" w14:textId="4999E0DA" w:rsidR="00A37AAD" w:rsidRPr="00E50C37" w:rsidRDefault="00FB6C72" w:rsidP="0004595D">
      <w:pPr>
        <w:contextualSpacing/>
        <w:jc w:val="center"/>
        <w:rPr>
          <w:b/>
          <w:bCs/>
          <w:szCs w:val="20"/>
        </w:rPr>
      </w:pPr>
      <w:r w:rsidRPr="00E50C37">
        <w:rPr>
          <w:b/>
          <w:szCs w:val="20"/>
        </w:rPr>
        <w:t>Ministru kabineta noteikumu projekta “Darbības programmas “Izaugsme un nodarbinātība” 8.2.2. specifiskā atbalsta mērķa “Stiprināt augstākās izglītības institūciju akadēmisko personālu stratēģiskās specializācijas jomās”</w:t>
      </w:r>
      <w:r w:rsidR="001D6CE4" w:rsidRPr="00E50C37">
        <w:rPr>
          <w:sz w:val="32"/>
        </w:rPr>
        <w:t xml:space="preserve"> </w:t>
      </w:r>
      <w:r w:rsidR="00C33DF0" w:rsidRPr="00E50C37">
        <w:rPr>
          <w:b/>
          <w:szCs w:val="20"/>
        </w:rPr>
        <w:t>pirmās, otrās un trešās projektu iesniegumu atlases kārtas</w:t>
      </w:r>
      <w:r w:rsidR="00C33DF0" w:rsidRPr="00E50C37">
        <w:rPr>
          <w:sz w:val="32"/>
        </w:rPr>
        <w:t xml:space="preserve"> </w:t>
      </w:r>
      <w:r w:rsidR="001D6CE4" w:rsidRPr="00E50C37">
        <w:rPr>
          <w:b/>
          <w:szCs w:val="20"/>
        </w:rPr>
        <w:t xml:space="preserve">īstenošanas noteikumi” </w:t>
      </w:r>
      <w:r w:rsidRPr="00E50C37">
        <w:rPr>
          <w:b/>
          <w:szCs w:val="20"/>
        </w:rPr>
        <w:t xml:space="preserve"> sākotnējās ietekmes novērtējuma ziņojums </w:t>
      </w:r>
      <w:r w:rsidR="00A37AAD" w:rsidRPr="00E50C37">
        <w:rPr>
          <w:b/>
          <w:szCs w:val="20"/>
        </w:rPr>
        <w:t>(anotācija)</w:t>
      </w:r>
      <w:r w:rsidR="00C55341" w:rsidRPr="00E50C37">
        <w:rPr>
          <w:b/>
          <w:szCs w:val="20"/>
        </w:rPr>
        <w:t xml:space="preserve"> </w:t>
      </w:r>
    </w:p>
    <w:p w14:paraId="7773A7F0" w14:textId="77777777" w:rsidR="002764B8" w:rsidRPr="00D32D79" w:rsidRDefault="002764B8" w:rsidP="0004595D">
      <w:pPr>
        <w:jc w:val="center"/>
        <w:rPr>
          <w:b/>
          <w:bCs/>
          <w:sz w:val="20"/>
          <w:szCs w:val="20"/>
        </w:rPr>
      </w:pPr>
    </w:p>
    <w:tbl>
      <w:tblPr>
        <w:tblW w:w="5001"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73"/>
        <w:gridCol w:w="82"/>
        <w:gridCol w:w="1936"/>
        <w:gridCol w:w="486"/>
        <w:gridCol w:w="6186"/>
      </w:tblGrid>
      <w:tr w:rsidR="0072604C" w:rsidRPr="00D32D79" w14:paraId="05EDA4FA" w14:textId="77777777" w:rsidTr="00076158">
        <w:tc>
          <w:tcPr>
            <w:tcW w:w="5000" w:type="pct"/>
            <w:gridSpan w:val="5"/>
            <w:tcBorders>
              <w:top w:val="single" w:sz="4" w:space="0" w:color="auto"/>
              <w:left w:val="single" w:sz="4" w:space="0" w:color="auto"/>
              <w:bottom w:val="outset" w:sz="6" w:space="0" w:color="000000"/>
              <w:right w:val="single" w:sz="4" w:space="0" w:color="auto"/>
            </w:tcBorders>
            <w:shd w:val="clear" w:color="auto" w:fill="auto"/>
            <w:vAlign w:val="center"/>
          </w:tcPr>
          <w:p w14:paraId="2AFEA431" w14:textId="77777777" w:rsidR="0072604C" w:rsidRPr="00D32D79" w:rsidRDefault="0072604C" w:rsidP="0004595D">
            <w:pPr>
              <w:jc w:val="center"/>
              <w:rPr>
                <w:b/>
                <w:bCs/>
              </w:rPr>
            </w:pPr>
            <w:r w:rsidRPr="00D32D79">
              <w:rPr>
                <w:b/>
                <w:bCs/>
              </w:rPr>
              <w:t>I. Tiesību akta projekta izstrādes nepieciešamība</w:t>
            </w:r>
          </w:p>
        </w:tc>
      </w:tr>
      <w:tr w:rsidR="0072604C" w:rsidRPr="00D32D79" w14:paraId="75BC7D62" w14:textId="77777777" w:rsidTr="00076158">
        <w:tc>
          <w:tcPr>
            <w:tcW w:w="206" w:type="pct"/>
            <w:tcBorders>
              <w:top w:val="outset" w:sz="6" w:space="0" w:color="000000"/>
              <w:left w:val="outset" w:sz="6" w:space="0" w:color="000000"/>
              <w:bottom w:val="outset" w:sz="6" w:space="0" w:color="000000"/>
              <w:right w:val="outset" w:sz="6" w:space="0" w:color="000000"/>
            </w:tcBorders>
            <w:shd w:val="clear" w:color="auto" w:fill="auto"/>
          </w:tcPr>
          <w:p w14:paraId="08DEAEA4" w14:textId="77777777" w:rsidR="0072604C" w:rsidRPr="00D32D79" w:rsidRDefault="0072604C" w:rsidP="0004595D">
            <w:r w:rsidRPr="00D32D79">
              <w:t>1.</w:t>
            </w:r>
          </w:p>
        </w:tc>
        <w:tc>
          <w:tcPr>
            <w:tcW w:w="1113" w:type="pct"/>
            <w:gridSpan w:val="2"/>
            <w:tcBorders>
              <w:top w:val="outset" w:sz="6" w:space="0" w:color="000000"/>
              <w:left w:val="outset" w:sz="6" w:space="0" w:color="000000"/>
              <w:bottom w:val="outset" w:sz="6" w:space="0" w:color="000000"/>
              <w:right w:val="outset" w:sz="6" w:space="0" w:color="000000"/>
            </w:tcBorders>
            <w:shd w:val="clear" w:color="auto" w:fill="auto"/>
          </w:tcPr>
          <w:p w14:paraId="61DE764F" w14:textId="77777777" w:rsidR="0072604C" w:rsidRPr="00D32D79" w:rsidRDefault="0072604C" w:rsidP="0004595D">
            <w:r w:rsidRPr="00D32D79">
              <w:t>Pamatojums</w:t>
            </w:r>
          </w:p>
        </w:tc>
        <w:tc>
          <w:tcPr>
            <w:tcW w:w="3680" w:type="pct"/>
            <w:gridSpan w:val="2"/>
            <w:tcBorders>
              <w:top w:val="outset" w:sz="6" w:space="0" w:color="000000"/>
              <w:left w:val="outset" w:sz="6" w:space="0" w:color="000000"/>
              <w:bottom w:val="outset" w:sz="6" w:space="0" w:color="000000"/>
              <w:right w:val="outset" w:sz="6" w:space="0" w:color="000000"/>
            </w:tcBorders>
            <w:shd w:val="clear" w:color="auto" w:fill="auto"/>
          </w:tcPr>
          <w:p w14:paraId="2E6D9F66" w14:textId="0560630A" w:rsidR="00FA593C" w:rsidRPr="00D32D79" w:rsidRDefault="00276EF8" w:rsidP="0004595D">
            <w:pPr>
              <w:pStyle w:val="ListParagraph"/>
              <w:ind w:left="0" w:right="93"/>
              <w:rPr>
                <w:color w:val="000000"/>
                <w:szCs w:val="24"/>
              </w:rPr>
            </w:pPr>
            <w:r w:rsidRPr="00D32D79">
              <w:rPr>
                <w:szCs w:val="24"/>
              </w:rPr>
              <w:t>Ministru kabineta (</w:t>
            </w:r>
            <w:r w:rsidR="00206C9D" w:rsidRPr="00D32D79">
              <w:rPr>
                <w:szCs w:val="24"/>
              </w:rPr>
              <w:t>turpmāk – MK) noteikumu projekts</w:t>
            </w:r>
            <w:r w:rsidRPr="00D32D79">
              <w:rPr>
                <w:szCs w:val="24"/>
              </w:rPr>
              <w:t xml:space="preserve"> </w:t>
            </w:r>
            <w:r w:rsidR="001E0667" w:rsidRPr="00D32D79">
              <w:rPr>
                <w:bCs/>
                <w:szCs w:val="24"/>
              </w:rPr>
              <w:t>"</w:t>
            </w:r>
            <w:r w:rsidRPr="00D32D79">
              <w:rPr>
                <w:bCs/>
                <w:szCs w:val="24"/>
              </w:rPr>
              <w:t xml:space="preserve">Darbības programmas </w:t>
            </w:r>
            <w:r w:rsidR="001E0667" w:rsidRPr="00D32D79">
              <w:rPr>
                <w:bCs/>
                <w:szCs w:val="24"/>
              </w:rPr>
              <w:t>"</w:t>
            </w:r>
            <w:r w:rsidRPr="00D32D79">
              <w:rPr>
                <w:bCs/>
                <w:szCs w:val="24"/>
              </w:rPr>
              <w:t>Izaugsme un nodarbinātība</w:t>
            </w:r>
            <w:r w:rsidR="001E0667" w:rsidRPr="00D32D79">
              <w:rPr>
                <w:bCs/>
                <w:szCs w:val="24"/>
              </w:rPr>
              <w:t>"</w:t>
            </w:r>
            <w:r w:rsidR="00FB6C72" w:rsidRPr="00D32D79">
              <w:rPr>
                <w:bCs/>
                <w:szCs w:val="24"/>
              </w:rPr>
              <w:t xml:space="preserve"> 8.2.2. specifiskā atbalsta mērķa “Stiprināt augstākās izglītības institūciju akadēmisko personālu stratēģiskās specializācijas jomās</w:t>
            </w:r>
            <w:r w:rsidR="0071565F" w:rsidRPr="00D32D79">
              <w:rPr>
                <w:rStyle w:val="FootnoteReference"/>
                <w:bCs/>
                <w:szCs w:val="24"/>
              </w:rPr>
              <w:footnoteReference w:id="1"/>
            </w:r>
            <w:r w:rsidR="00FB6C72" w:rsidRPr="00D32D79">
              <w:rPr>
                <w:bCs/>
                <w:szCs w:val="24"/>
              </w:rPr>
              <w:t xml:space="preserve">” </w:t>
            </w:r>
            <w:r w:rsidR="00C33DF0" w:rsidRPr="00D32D79">
              <w:rPr>
                <w:bCs/>
                <w:szCs w:val="24"/>
              </w:rPr>
              <w:t xml:space="preserve">pirmās, otrās un trešās projektu iesniegumu atlases kārtas </w:t>
            </w:r>
            <w:r w:rsidRPr="00D32D79">
              <w:rPr>
                <w:bCs/>
                <w:szCs w:val="24"/>
              </w:rPr>
              <w:t>īstenošanas noteikumi</w:t>
            </w:r>
            <w:r w:rsidR="001E0667" w:rsidRPr="00D32D79">
              <w:rPr>
                <w:bCs/>
                <w:szCs w:val="24"/>
              </w:rPr>
              <w:t>"</w:t>
            </w:r>
            <w:r w:rsidRPr="00D32D79">
              <w:rPr>
                <w:szCs w:val="24"/>
              </w:rPr>
              <w:t xml:space="preserve"> </w:t>
            </w:r>
            <w:r w:rsidR="00F075EC" w:rsidRPr="00D32D79">
              <w:rPr>
                <w:szCs w:val="24"/>
              </w:rPr>
              <w:t>(turpmāk – noteikumu projekts) sagatavots saskaņā ar</w:t>
            </w:r>
            <w:r w:rsidR="00FA593C" w:rsidRPr="00D32D79">
              <w:rPr>
                <w:color w:val="000000"/>
                <w:szCs w:val="24"/>
              </w:rPr>
              <w:t>:</w:t>
            </w:r>
            <w:r w:rsidR="008B3B21" w:rsidRPr="00D32D79">
              <w:rPr>
                <w:color w:val="000000"/>
                <w:szCs w:val="24"/>
              </w:rPr>
              <w:t xml:space="preserve"> </w:t>
            </w:r>
          </w:p>
          <w:p w14:paraId="3E88D8B5" w14:textId="1AF7681B" w:rsidR="00FA593C" w:rsidRPr="00D32D79" w:rsidRDefault="00FA593C" w:rsidP="00E54764">
            <w:pPr>
              <w:pStyle w:val="ListParagraph"/>
              <w:numPr>
                <w:ilvl w:val="0"/>
                <w:numId w:val="1"/>
              </w:numPr>
              <w:ind w:left="521" w:right="93"/>
              <w:rPr>
                <w:color w:val="000000"/>
                <w:szCs w:val="24"/>
              </w:rPr>
            </w:pPr>
            <w:r w:rsidRPr="00D32D79">
              <w:rPr>
                <w:szCs w:val="24"/>
                <w:lang w:eastAsia="lv-LV"/>
              </w:rPr>
              <w:t>Eiropas Savienības</w:t>
            </w:r>
            <w:r w:rsidR="001B2B2B" w:rsidRPr="00D32D79">
              <w:rPr>
                <w:szCs w:val="24"/>
                <w:lang w:eastAsia="lv-LV"/>
              </w:rPr>
              <w:t xml:space="preserve"> </w:t>
            </w:r>
            <w:r w:rsidRPr="00D32D79">
              <w:rPr>
                <w:szCs w:val="24"/>
                <w:lang w:eastAsia="lv-LV"/>
              </w:rPr>
              <w:t xml:space="preserve">struktūrfondu un Kohēzijas fonda </w:t>
            </w:r>
            <w:r w:rsidR="00F075EC" w:rsidRPr="00D32D79">
              <w:rPr>
                <w:szCs w:val="24"/>
                <w:lang w:eastAsia="lv-LV"/>
              </w:rPr>
              <w:t>2014.</w:t>
            </w:r>
            <w:r w:rsidR="00EB22E4" w:rsidRPr="00D32D79">
              <w:rPr>
                <w:szCs w:val="24"/>
                <w:lang w:eastAsia="lv-LV"/>
              </w:rPr>
              <w:t>-</w:t>
            </w:r>
            <w:r w:rsidR="00F075EC" w:rsidRPr="00D32D79">
              <w:rPr>
                <w:szCs w:val="24"/>
                <w:lang w:eastAsia="lv-LV"/>
              </w:rPr>
              <w:t>2020.</w:t>
            </w:r>
            <w:r w:rsidR="007B6F73" w:rsidRPr="00D32D79">
              <w:rPr>
                <w:szCs w:val="24"/>
                <w:lang w:eastAsia="lv-LV"/>
              </w:rPr>
              <w:t xml:space="preserve"> </w:t>
            </w:r>
            <w:r w:rsidR="00F075EC" w:rsidRPr="00D32D79">
              <w:rPr>
                <w:szCs w:val="24"/>
                <w:lang w:eastAsia="lv-LV"/>
              </w:rPr>
              <w:t xml:space="preserve">gada plānošanas perioda vadības likuma </w:t>
            </w:r>
            <w:r w:rsidR="00FA567A" w:rsidRPr="00D32D79">
              <w:rPr>
                <w:bCs/>
                <w:color w:val="000000"/>
                <w:szCs w:val="24"/>
              </w:rPr>
              <w:t>20.</w:t>
            </w:r>
            <w:r w:rsidR="001E0667" w:rsidRPr="00D32D79">
              <w:rPr>
                <w:bCs/>
                <w:color w:val="000000"/>
                <w:szCs w:val="24"/>
              </w:rPr>
              <w:t xml:space="preserve"> </w:t>
            </w:r>
            <w:r w:rsidR="00FA567A" w:rsidRPr="00D32D79">
              <w:rPr>
                <w:bCs/>
                <w:color w:val="000000"/>
                <w:szCs w:val="24"/>
              </w:rPr>
              <w:t xml:space="preserve">panta </w:t>
            </w:r>
            <w:r w:rsidR="00732323" w:rsidRPr="00D32D79">
              <w:rPr>
                <w:bCs/>
                <w:color w:val="000000"/>
                <w:szCs w:val="24"/>
              </w:rPr>
              <w:t xml:space="preserve">6. un </w:t>
            </w:r>
            <w:r w:rsidR="00FA567A" w:rsidRPr="00D32D79">
              <w:rPr>
                <w:bCs/>
                <w:color w:val="000000"/>
                <w:szCs w:val="24"/>
              </w:rPr>
              <w:t>13.</w:t>
            </w:r>
            <w:r w:rsidR="001E0667" w:rsidRPr="00D32D79">
              <w:rPr>
                <w:bCs/>
                <w:color w:val="000000"/>
                <w:szCs w:val="24"/>
              </w:rPr>
              <w:t xml:space="preserve"> </w:t>
            </w:r>
            <w:r w:rsidR="00FA567A" w:rsidRPr="00D32D79">
              <w:rPr>
                <w:bCs/>
                <w:color w:val="000000"/>
                <w:szCs w:val="24"/>
              </w:rPr>
              <w:t>punktu</w:t>
            </w:r>
            <w:r w:rsidR="00B64D6A" w:rsidRPr="00D32D79">
              <w:rPr>
                <w:bCs/>
                <w:color w:val="000000"/>
                <w:szCs w:val="24"/>
              </w:rPr>
              <w:t>;</w:t>
            </w:r>
          </w:p>
          <w:p w14:paraId="22EE6AA0" w14:textId="3FC6FDD5" w:rsidR="00AC3B6B" w:rsidRPr="00D32D79" w:rsidRDefault="00FA567A" w:rsidP="00E54764">
            <w:pPr>
              <w:pStyle w:val="ListParagraph"/>
              <w:numPr>
                <w:ilvl w:val="0"/>
                <w:numId w:val="1"/>
              </w:numPr>
              <w:ind w:left="521" w:right="93"/>
              <w:rPr>
                <w:color w:val="000000"/>
                <w:szCs w:val="24"/>
              </w:rPr>
            </w:pPr>
            <w:r w:rsidRPr="00D32D79">
              <w:rPr>
                <w:color w:val="000000"/>
                <w:szCs w:val="24"/>
                <w:shd w:val="clear" w:color="auto" w:fill="FFFFFF"/>
              </w:rPr>
              <w:t>Ministru Prezidenta 2014.</w:t>
            </w:r>
            <w:r w:rsidR="001E0667" w:rsidRPr="00D32D79">
              <w:rPr>
                <w:color w:val="000000"/>
                <w:szCs w:val="24"/>
                <w:shd w:val="clear" w:color="auto" w:fill="FFFFFF"/>
              </w:rPr>
              <w:t xml:space="preserve"> </w:t>
            </w:r>
            <w:r w:rsidRPr="00D32D79">
              <w:rPr>
                <w:color w:val="000000"/>
                <w:szCs w:val="24"/>
                <w:shd w:val="clear" w:color="auto" w:fill="FFFFFF"/>
              </w:rPr>
              <w:t>gada 21.</w:t>
            </w:r>
            <w:r w:rsidR="001E0667" w:rsidRPr="00D32D79">
              <w:rPr>
                <w:color w:val="000000"/>
                <w:szCs w:val="24"/>
                <w:shd w:val="clear" w:color="auto" w:fill="FFFFFF"/>
              </w:rPr>
              <w:t xml:space="preserve"> </w:t>
            </w:r>
            <w:r w:rsidRPr="00D32D79">
              <w:rPr>
                <w:color w:val="000000"/>
                <w:szCs w:val="24"/>
                <w:shd w:val="clear" w:color="auto" w:fill="FFFFFF"/>
              </w:rPr>
              <w:t>jūlija rezolūciju Nr.12/2014-JUR-151, kura nosaka līdz 2017.</w:t>
            </w:r>
            <w:r w:rsidR="001E0667" w:rsidRPr="00D32D79">
              <w:rPr>
                <w:color w:val="000000"/>
                <w:szCs w:val="24"/>
                <w:shd w:val="clear" w:color="auto" w:fill="FFFFFF"/>
              </w:rPr>
              <w:t xml:space="preserve"> </w:t>
            </w:r>
            <w:r w:rsidRPr="00D32D79">
              <w:rPr>
                <w:color w:val="000000"/>
                <w:szCs w:val="24"/>
                <w:shd w:val="clear" w:color="auto" w:fill="FFFFFF"/>
              </w:rPr>
              <w:t>gada 1.</w:t>
            </w:r>
            <w:r w:rsidR="001E0667" w:rsidRPr="00D32D79">
              <w:rPr>
                <w:color w:val="000000"/>
                <w:szCs w:val="24"/>
                <w:shd w:val="clear" w:color="auto" w:fill="FFFFFF"/>
              </w:rPr>
              <w:t xml:space="preserve"> </w:t>
            </w:r>
            <w:r w:rsidRPr="00D32D79">
              <w:rPr>
                <w:color w:val="000000"/>
                <w:szCs w:val="24"/>
                <w:shd w:val="clear" w:color="auto" w:fill="FFFFFF"/>
              </w:rPr>
              <w:t xml:space="preserve">decembrim atbilstoši kompetencei sagatavot un noteiktā kārtībā iesniegt MK </w:t>
            </w:r>
            <w:r w:rsidR="00AC3B6B" w:rsidRPr="00D32D79">
              <w:rPr>
                <w:szCs w:val="24"/>
              </w:rPr>
              <w:t xml:space="preserve">specifiskā atbalsta mērķa īstenošanas noteikumus; </w:t>
            </w:r>
          </w:p>
          <w:p w14:paraId="2F7D51EB" w14:textId="5BF6C601" w:rsidR="00B969D7" w:rsidRPr="00D32D79" w:rsidRDefault="00B64D6A" w:rsidP="00E54764">
            <w:pPr>
              <w:pStyle w:val="ListParagraph"/>
              <w:numPr>
                <w:ilvl w:val="0"/>
                <w:numId w:val="1"/>
              </w:numPr>
              <w:ind w:left="521" w:right="93"/>
              <w:rPr>
                <w:szCs w:val="24"/>
              </w:rPr>
            </w:pPr>
            <w:r w:rsidRPr="00D32D79">
              <w:rPr>
                <w:szCs w:val="24"/>
                <w:lang w:eastAsia="lv-LV"/>
              </w:rPr>
              <w:t xml:space="preserve">Eiropas Savienības </w:t>
            </w:r>
            <w:r w:rsidR="00AC3B6B" w:rsidRPr="00D32D79">
              <w:rPr>
                <w:szCs w:val="24"/>
              </w:rPr>
              <w:t>fondu un Kohēzijas politikas 2014.-2020.</w:t>
            </w:r>
            <w:r w:rsidR="001E0667" w:rsidRPr="00D32D79">
              <w:rPr>
                <w:szCs w:val="24"/>
              </w:rPr>
              <w:t xml:space="preserve"> </w:t>
            </w:r>
            <w:r w:rsidR="00AC3B6B" w:rsidRPr="00D32D79">
              <w:rPr>
                <w:szCs w:val="24"/>
              </w:rPr>
              <w:t xml:space="preserve">gada plānošanas perioda darbības programmu </w:t>
            </w:r>
            <w:r w:rsidR="001E0667" w:rsidRPr="00D32D79">
              <w:rPr>
                <w:bCs/>
                <w:szCs w:val="24"/>
              </w:rPr>
              <w:t>"</w:t>
            </w:r>
            <w:r w:rsidR="00AC3B6B" w:rsidRPr="00D32D79">
              <w:rPr>
                <w:szCs w:val="24"/>
              </w:rPr>
              <w:t>Izaugsme un nodarbinātība</w:t>
            </w:r>
            <w:r w:rsidR="001E0667" w:rsidRPr="00D32D79">
              <w:rPr>
                <w:bCs/>
                <w:szCs w:val="24"/>
              </w:rPr>
              <w:t>"</w:t>
            </w:r>
            <w:r w:rsidR="00AC3B6B" w:rsidRPr="00D32D79">
              <w:rPr>
                <w:szCs w:val="24"/>
              </w:rPr>
              <w:t xml:space="preserve">, kas </w:t>
            </w:r>
            <w:r w:rsidR="001B2B2B" w:rsidRPr="00D32D79">
              <w:rPr>
                <w:szCs w:val="24"/>
              </w:rPr>
              <w:t xml:space="preserve"> apstiprināta Eiropas Komisijā (turpmāk – EK)</w:t>
            </w:r>
            <w:r w:rsidR="00AC3B6B" w:rsidRPr="00D32D79">
              <w:rPr>
                <w:szCs w:val="24"/>
              </w:rPr>
              <w:t xml:space="preserve"> 2014.</w:t>
            </w:r>
            <w:r w:rsidR="001E0667" w:rsidRPr="00D32D79">
              <w:rPr>
                <w:szCs w:val="24"/>
              </w:rPr>
              <w:t xml:space="preserve"> </w:t>
            </w:r>
            <w:r w:rsidR="00AC3B6B" w:rsidRPr="00D32D79">
              <w:rPr>
                <w:szCs w:val="24"/>
              </w:rPr>
              <w:t>gada 11.</w:t>
            </w:r>
            <w:r w:rsidR="001E0667" w:rsidRPr="00D32D79">
              <w:rPr>
                <w:szCs w:val="24"/>
              </w:rPr>
              <w:t> </w:t>
            </w:r>
            <w:r w:rsidR="00AC3B6B" w:rsidRPr="00D32D79">
              <w:rPr>
                <w:szCs w:val="24"/>
              </w:rPr>
              <w:t>novembrī.</w:t>
            </w:r>
            <w:r w:rsidR="00AC3B6B" w:rsidRPr="00D32D79">
              <w:rPr>
                <w:color w:val="000000"/>
                <w:szCs w:val="24"/>
              </w:rPr>
              <w:t xml:space="preserve"> </w:t>
            </w:r>
          </w:p>
        </w:tc>
      </w:tr>
      <w:tr w:rsidR="0072604C" w:rsidRPr="00D32D79" w14:paraId="77395853" w14:textId="77777777" w:rsidTr="00076158">
        <w:tc>
          <w:tcPr>
            <w:tcW w:w="206" w:type="pct"/>
            <w:tcBorders>
              <w:top w:val="outset" w:sz="6" w:space="0" w:color="000000"/>
              <w:left w:val="outset" w:sz="6" w:space="0" w:color="000000"/>
              <w:bottom w:val="outset" w:sz="6" w:space="0" w:color="000000"/>
              <w:right w:val="outset" w:sz="6" w:space="0" w:color="000000"/>
            </w:tcBorders>
            <w:shd w:val="clear" w:color="auto" w:fill="auto"/>
          </w:tcPr>
          <w:p w14:paraId="5B2310B6" w14:textId="77777777" w:rsidR="0072604C" w:rsidRPr="00D32D79" w:rsidRDefault="0072604C" w:rsidP="0004595D">
            <w:r w:rsidRPr="00D32D79">
              <w:t>2.</w:t>
            </w:r>
          </w:p>
        </w:tc>
        <w:tc>
          <w:tcPr>
            <w:tcW w:w="1113" w:type="pct"/>
            <w:gridSpan w:val="2"/>
            <w:tcBorders>
              <w:top w:val="outset" w:sz="6" w:space="0" w:color="000000"/>
              <w:left w:val="outset" w:sz="6" w:space="0" w:color="000000"/>
              <w:bottom w:val="outset" w:sz="6" w:space="0" w:color="000000"/>
              <w:right w:val="outset" w:sz="6" w:space="0" w:color="000000"/>
            </w:tcBorders>
            <w:shd w:val="clear" w:color="auto" w:fill="auto"/>
          </w:tcPr>
          <w:p w14:paraId="6B44F68C" w14:textId="77777777" w:rsidR="003024AD" w:rsidRPr="00D32D79" w:rsidRDefault="00997B78" w:rsidP="0004595D">
            <w:r w:rsidRPr="00D32D79">
              <w:t>Pašreizējā situācija un problēmas, kuru risināšanai tiesību akta projekts izstrādāts, tiesiskā regulējuma mērķis un būtība</w:t>
            </w:r>
          </w:p>
          <w:p w14:paraId="4FB3504B" w14:textId="77777777" w:rsidR="003024AD" w:rsidRPr="00D32D79" w:rsidRDefault="003024AD" w:rsidP="0004595D"/>
          <w:p w14:paraId="2D1C3BC4" w14:textId="77777777" w:rsidR="003024AD" w:rsidRPr="00D32D79" w:rsidRDefault="003024AD" w:rsidP="0004595D"/>
          <w:p w14:paraId="2F2DA4F9" w14:textId="77777777" w:rsidR="003024AD" w:rsidRPr="00D32D79" w:rsidRDefault="003024AD" w:rsidP="0004595D"/>
          <w:p w14:paraId="051EA4F9" w14:textId="77777777" w:rsidR="0072604C" w:rsidRPr="00D32D79" w:rsidRDefault="0072604C" w:rsidP="0004595D">
            <w:pPr>
              <w:jc w:val="right"/>
            </w:pPr>
          </w:p>
        </w:tc>
        <w:tc>
          <w:tcPr>
            <w:tcW w:w="3680" w:type="pct"/>
            <w:gridSpan w:val="2"/>
            <w:tcBorders>
              <w:top w:val="outset" w:sz="6" w:space="0" w:color="000000"/>
              <w:left w:val="outset" w:sz="6" w:space="0" w:color="000000"/>
              <w:bottom w:val="outset" w:sz="6" w:space="0" w:color="000000"/>
              <w:right w:val="outset" w:sz="6" w:space="0" w:color="000000"/>
            </w:tcBorders>
            <w:shd w:val="clear" w:color="auto" w:fill="auto"/>
          </w:tcPr>
          <w:p w14:paraId="204FCBE1" w14:textId="77777777" w:rsidR="00BE7E3A" w:rsidRPr="00D32D79" w:rsidRDefault="00BE7E3A" w:rsidP="00F500B5">
            <w:pPr>
              <w:ind w:firstLine="720"/>
              <w:jc w:val="both"/>
            </w:pPr>
            <w:r w:rsidRPr="00D32D79">
              <w:rPr>
                <w:rFonts w:eastAsiaTheme="minorEastAsia"/>
                <w:lang w:eastAsia="zh-TW"/>
              </w:rPr>
              <w:t>Studiju</w:t>
            </w:r>
            <w:r w:rsidRPr="00D32D79">
              <w:t xml:space="preserve"> kvalitāte ir cieši saistīta ar akadēmiskā personāla kvalifikāciju un zinātnisko darbību. Kopumā akadēmiskā personāla ar zinātnisko grādu īpatsvars ir nepietiekams, ir ierobežotas iespējas piesaistīt kvalificētu ārvalstu akadēmisko personālu, ir vērojama akadēmiskā personāla "novecošanās" un nepietiekama tā iesaiste tālākizglītībā. Nepieciešams kāpināt zinātniskās darbības intensitāti un nodrošināt ciešāku augstākās izglītības sasaisti ar tautsaimniecību un zinātniskajām institūcijām. </w:t>
            </w:r>
          </w:p>
          <w:p w14:paraId="603D4525" w14:textId="761424A0" w:rsidR="00BE7E3A" w:rsidRPr="00D32D79" w:rsidRDefault="00C13D63" w:rsidP="00F500B5">
            <w:pPr>
              <w:ind w:firstLine="720"/>
              <w:jc w:val="both"/>
            </w:pPr>
            <w:r w:rsidRPr="00D32D79">
              <w:t>Augstākās izglītības institūcijām</w:t>
            </w:r>
            <w:r w:rsidR="00597BEA" w:rsidRPr="00D32D79">
              <w:t xml:space="preserve"> (augstskolām un koledžām</w:t>
            </w:r>
            <w:r w:rsidR="00DB1C73" w:rsidRPr="00D32D79">
              <w:t>, tai skaitā privātpersonu dibinātām</w:t>
            </w:r>
            <w:r w:rsidR="00597BEA" w:rsidRPr="00D32D79">
              <w:t xml:space="preserve">) </w:t>
            </w:r>
            <w:r w:rsidRPr="00D32D79">
              <w:t xml:space="preserve">(turpmāk – </w:t>
            </w:r>
            <w:r w:rsidR="00BE7E3A" w:rsidRPr="00D32D79">
              <w:t>AII</w:t>
            </w:r>
            <w:r w:rsidRPr="00D32D79">
              <w:t>)</w:t>
            </w:r>
            <w:r w:rsidR="00BE7E3A" w:rsidRPr="00D32D79">
              <w:t xml:space="preserve"> ir jāīsteno mērķtiecīga politika akadēmiskā personāla pastāvīgai izaugsmei – jaunu pasniedzēju un ārvalstu pasniedzēju piesaistei, esošo pasniedzēju kompetenču paaugstināšanai. Nepietiekamās akadēmiskā personāla svešvalodas zināšanas un ārvalstu akadēmiskā personāla </w:t>
            </w:r>
            <w:r w:rsidR="00597BEA" w:rsidRPr="00D32D79">
              <w:t xml:space="preserve">zemais </w:t>
            </w:r>
            <w:r w:rsidR="00BE7E3A" w:rsidRPr="00D32D79">
              <w:t xml:space="preserve">īpatsvars negatīvi ietekmē studiju programmu </w:t>
            </w:r>
            <w:r w:rsidR="00BE7E3A" w:rsidRPr="00D32D79">
              <w:lastRenderedPageBreak/>
              <w:t xml:space="preserve">kvalitāti un starptautisko konkurētspēju, studiju vides </w:t>
            </w:r>
            <w:proofErr w:type="spellStart"/>
            <w:r w:rsidR="00BE7E3A" w:rsidRPr="00D32D79">
              <w:t>atvērtību</w:t>
            </w:r>
            <w:proofErr w:type="spellEnd"/>
            <w:r w:rsidR="00BE7E3A" w:rsidRPr="00D32D79">
              <w:t xml:space="preserve">. Akadēmiskajam personālam jāpārvalda strauji mainīgās jomas aktualitātes un tehnoloģiju izmaiņas un jāīsteno cieša sadarbība ar nozares uzņēmumiem savstarpējai zināšanu, pieredzes un ideju regulārai apmaiņai, kopīgu projektu īstenošanai. Sistēmiskas stažēšanās uzņēmumos (starpnozaru mobilitāte) ieviešana ne vien </w:t>
            </w:r>
            <w:r w:rsidR="00597BEA" w:rsidRPr="00D32D79">
              <w:t xml:space="preserve">paaugstinātu </w:t>
            </w:r>
            <w:r w:rsidR="00BE7E3A" w:rsidRPr="00D32D79">
              <w:t xml:space="preserve">uzlabotu akadēmiskā personāla </w:t>
            </w:r>
            <w:r w:rsidR="00597BEA" w:rsidRPr="00D32D79">
              <w:t xml:space="preserve">zināšanas par nozares aktualitātēm un veicinātu </w:t>
            </w:r>
            <w:r w:rsidR="00BE7E3A" w:rsidRPr="00D32D79">
              <w:t>spēju efektīvi komunicēt ar ne-akadēmij</w:t>
            </w:r>
            <w:r w:rsidR="00597BEA" w:rsidRPr="00D32D79">
              <w:t>as</w:t>
            </w:r>
            <w:r w:rsidR="00BE7E3A" w:rsidRPr="00D32D79">
              <w:t xml:space="preserve"> pārstāvjiem, bet arī stiprinātu to pētniecisko saikni</w:t>
            </w:r>
            <w:r w:rsidR="00597BEA" w:rsidRPr="00D32D79">
              <w:t xml:space="preserve"> un paplašinātu sadarbības iespējas</w:t>
            </w:r>
            <w:r w:rsidR="00BE7E3A" w:rsidRPr="00D32D79">
              <w:t>.</w:t>
            </w:r>
          </w:p>
          <w:p w14:paraId="332A81E9" w14:textId="3F6E56B2" w:rsidR="00173431" w:rsidRPr="00D32D79" w:rsidRDefault="00173431" w:rsidP="00173431">
            <w:pPr>
              <w:ind w:firstLine="720"/>
              <w:jc w:val="both"/>
              <w:rPr>
                <w:rFonts w:eastAsiaTheme="minorEastAsia"/>
                <w:lang w:eastAsia="zh-TW"/>
              </w:rPr>
            </w:pPr>
            <w:r w:rsidRPr="00D32D79">
              <w:rPr>
                <w:rFonts w:eastAsiaTheme="minorEastAsia"/>
                <w:lang w:eastAsia="zh-TW"/>
              </w:rPr>
              <w:t xml:space="preserve">Vecuma struktūras problemātika un akadēmiskā personāla novecošanās uzsvērta arī </w:t>
            </w:r>
            <w:r w:rsidR="004279C9" w:rsidRPr="00D32D79">
              <w:rPr>
                <w:rFonts w:eastAsiaTheme="minorEastAsia"/>
                <w:lang w:eastAsia="zh-TW"/>
              </w:rPr>
              <w:t>Augstākā</w:t>
            </w:r>
            <w:r w:rsidR="00206C9D" w:rsidRPr="00D32D79">
              <w:rPr>
                <w:rFonts w:eastAsiaTheme="minorEastAsia"/>
                <w:lang w:eastAsia="zh-TW"/>
              </w:rPr>
              <w:t>s</w:t>
            </w:r>
            <w:r w:rsidR="004279C9" w:rsidRPr="00D32D79">
              <w:rPr>
                <w:rFonts w:eastAsiaTheme="minorEastAsia"/>
                <w:lang w:eastAsia="zh-TW"/>
              </w:rPr>
              <w:t xml:space="preserve"> izglītības padomes 2013.gadā publicētajā </w:t>
            </w:r>
            <w:proofErr w:type="spellStart"/>
            <w:r w:rsidR="004279C9" w:rsidRPr="00D32D79">
              <w:rPr>
                <w:rFonts w:eastAsiaTheme="minorEastAsia"/>
                <w:lang w:eastAsia="zh-TW"/>
              </w:rPr>
              <w:t>izvērtējumā</w:t>
            </w:r>
            <w:proofErr w:type="spellEnd"/>
            <w:r w:rsidR="004279C9" w:rsidRPr="00D32D79">
              <w:rPr>
                <w:rFonts w:eastAsiaTheme="minorEastAsia"/>
                <w:lang w:eastAsia="zh-TW"/>
              </w:rPr>
              <w:t xml:space="preserve"> “</w:t>
            </w:r>
            <w:r w:rsidR="004279C9" w:rsidRPr="00D32D79">
              <w:rPr>
                <w:rFonts w:eastAsiaTheme="minorEastAsia"/>
                <w:i/>
                <w:lang w:eastAsia="zh-TW"/>
              </w:rPr>
              <w:t>Pārskats par augstākās izglītības studiju programmu izvērtēšanas rezultātiem un priekšlikumi turpmākai studiju programmu, sagrupētu studiju virzienos, pilnveidei, uzlabošanai, attīstīšanai, konsolidācijai, slēgšanai, resursu efektīvai izmantošanai un finansēšanai no valsts budžeta līdzekļiem</w:t>
            </w:r>
            <w:r w:rsidR="004279C9" w:rsidRPr="00D32D79">
              <w:rPr>
                <w:rFonts w:eastAsiaTheme="minorEastAsia"/>
                <w:lang w:eastAsia="zh-TW"/>
              </w:rPr>
              <w:t xml:space="preserve">” (turpmāk AIP </w:t>
            </w:r>
            <w:proofErr w:type="spellStart"/>
            <w:r w:rsidR="004279C9" w:rsidRPr="00D32D79">
              <w:rPr>
                <w:rFonts w:eastAsiaTheme="minorEastAsia"/>
                <w:lang w:eastAsia="zh-TW"/>
              </w:rPr>
              <w:t>izvērtējums</w:t>
            </w:r>
            <w:proofErr w:type="spellEnd"/>
            <w:r w:rsidR="004279C9" w:rsidRPr="00D32D79">
              <w:rPr>
                <w:rFonts w:eastAsiaTheme="minorEastAsia"/>
                <w:lang w:eastAsia="zh-TW"/>
              </w:rPr>
              <w:t>)</w:t>
            </w:r>
            <w:r w:rsidRPr="00D32D79">
              <w:rPr>
                <w:rFonts w:eastAsiaTheme="minorEastAsia"/>
                <w:lang w:eastAsia="zh-TW"/>
              </w:rPr>
              <w:t>.</w:t>
            </w:r>
            <w:r w:rsidRPr="00D32D79">
              <w:rPr>
                <w:rStyle w:val="FootnoteReference"/>
                <w:rFonts w:eastAsiaTheme="minorEastAsia"/>
                <w:lang w:eastAsia="zh-TW"/>
              </w:rPr>
              <w:footnoteReference w:id="2"/>
            </w:r>
            <w:r w:rsidRPr="00D32D79">
              <w:rPr>
                <w:rFonts w:eastAsiaTheme="minorEastAsia"/>
                <w:lang w:eastAsia="zh-TW"/>
              </w:rPr>
              <w:t xml:space="preserve"> </w:t>
            </w:r>
          </w:p>
          <w:p w14:paraId="5C3CC59A" w14:textId="28ED1DA5" w:rsidR="00173431" w:rsidRPr="00D32D79" w:rsidRDefault="00173431" w:rsidP="00173431">
            <w:pPr>
              <w:ind w:firstLine="720"/>
              <w:jc w:val="both"/>
              <w:rPr>
                <w:rFonts w:eastAsiaTheme="minorEastAsia"/>
                <w:lang w:eastAsia="zh-TW"/>
              </w:rPr>
            </w:pPr>
            <w:r w:rsidRPr="00D32D79">
              <w:rPr>
                <w:rFonts w:eastAsiaTheme="minorEastAsia"/>
                <w:lang w:eastAsia="zh-TW"/>
              </w:rPr>
              <w:t>Akadēmiskā personāla novecošan</w:t>
            </w:r>
            <w:r w:rsidR="00597BEA" w:rsidRPr="00D32D79">
              <w:rPr>
                <w:rFonts w:eastAsiaTheme="minorEastAsia"/>
                <w:lang w:eastAsia="zh-TW"/>
              </w:rPr>
              <w:t>ā</w:t>
            </w:r>
            <w:r w:rsidRPr="00D32D79">
              <w:rPr>
                <w:rFonts w:eastAsiaTheme="minorEastAsia"/>
                <w:lang w:eastAsia="zh-TW"/>
              </w:rPr>
              <w:t>s problēma ir tieš</w:t>
            </w:r>
            <w:r w:rsidR="00597BEA" w:rsidRPr="00D32D79">
              <w:rPr>
                <w:rFonts w:eastAsiaTheme="minorEastAsia"/>
                <w:lang w:eastAsia="zh-TW"/>
              </w:rPr>
              <w:t>i</w:t>
            </w:r>
            <w:r w:rsidRPr="00D32D79">
              <w:rPr>
                <w:rFonts w:eastAsiaTheme="minorEastAsia"/>
                <w:lang w:eastAsia="zh-TW"/>
              </w:rPr>
              <w:t xml:space="preserve"> saistīta ar jauno zinātnieku integrēšanas augstskolās problemātiku – gados jaunā akadēmiskā personāla īpatsvars ir ļoti zems.</w:t>
            </w:r>
            <w:r w:rsidRPr="00D32D79">
              <w:rPr>
                <w:rStyle w:val="FootnoteReference"/>
                <w:rFonts w:eastAsiaTheme="minorEastAsia"/>
                <w:lang w:eastAsia="zh-TW"/>
              </w:rPr>
              <w:footnoteReference w:id="3"/>
            </w:r>
            <w:r w:rsidRPr="00D32D79">
              <w:rPr>
                <w:rFonts w:eastAsiaTheme="minorEastAsia"/>
                <w:lang w:eastAsia="zh-TW"/>
              </w:rPr>
              <w:t xml:space="preserve"> </w:t>
            </w:r>
            <w:r w:rsidR="00206C9D" w:rsidRPr="00D32D79">
              <w:rPr>
                <w:rFonts w:eastAsiaTheme="minorEastAsia"/>
                <w:lang w:eastAsia="zh-TW"/>
              </w:rPr>
              <w:t>I</w:t>
            </w:r>
            <w:r w:rsidRPr="00D32D79">
              <w:rPr>
                <w:rFonts w:eastAsiaTheme="minorEastAsia"/>
                <w:lang w:eastAsia="zh-TW"/>
              </w:rPr>
              <w:t>r virkne apstākļu, kas kavē jauno zinātnieku integrāciju augstskolās – darba slodzes sadrumstalotība, vakanču trūkums un nepietiekoša informācija par to esamību, lēna karjeras izaugsme, kā arī zems atalgojums kā galvenais iemesls</w:t>
            </w:r>
            <w:r w:rsidRPr="00D32D79">
              <w:rPr>
                <w:rStyle w:val="FootnoteReference"/>
                <w:rFonts w:eastAsiaTheme="minorEastAsia"/>
                <w:lang w:eastAsia="zh-TW"/>
              </w:rPr>
              <w:footnoteReference w:id="4"/>
            </w:r>
            <w:r w:rsidRPr="00D32D79">
              <w:rPr>
                <w:rFonts w:eastAsiaTheme="minorEastAsia"/>
                <w:lang w:eastAsia="zh-TW"/>
              </w:rPr>
              <w:t xml:space="preserve">. </w:t>
            </w:r>
          </w:p>
          <w:p w14:paraId="00CF2445" w14:textId="4309F96A" w:rsidR="004279C9" w:rsidRPr="00D32D79" w:rsidRDefault="004279C9" w:rsidP="004279C9">
            <w:pPr>
              <w:ind w:firstLine="720"/>
              <w:jc w:val="both"/>
              <w:rPr>
                <w:rFonts w:eastAsia="MS Mincho"/>
                <w:lang w:eastAsia="zh-TW"/>
              </w:rPr>
            </w:pPr>
            <w:r w:rsidRPr="00D32D79">
              <w:rPr>
                <w:rFonts w:eastAsia="MS Mincho"/>
                <w:lang w:eastAsia="zh-TW"/>
              </w:rPr>
              <w:t>Augstskolu likuma 3.panta septītā daļa</w:t>
            </w:r>
            <w:r w:rsidRPr="00D32D79">
              <w:rPr>
                <w:rFonts w:ascii="Calibri" w:eastAsia="MS Mincho" w:hAnsi="Calibri"/>
                <w:vertAlign w:val="superscript"/>
                <w:lang w:eastAsia="zh-TW"/>
              </w:rPr>
              <w:footnoteReference w:id="5"/>
            </w:r>
            <w:r w:rsidRPr="00D32D79">
              <w:rPr>
                <w:rFonts w:eastAsia="MS Mincho"/>
                <w:lang w:eastAsia="zh-TW"/>
              </w:rPr>
              <w:t xml:space="preserve"> nosaka, ka augstskolā vismaz</w:t>
            </w:r>
            <w:r w:rsidR="00F406E1" w:rsidRPr="00D32D79">
              <w:rPr>
                <w:rFonts w:eastAsia="MS Mincho"/>
                <w:lang w:eastAsia="zh-TW"/>
              </w:rPr>
              <w:t xml:space="preserve"> pieci procenti</w:t>
            </w:r>
            <w:r w:rsidRPr="00D32D79">
              <w:rPr>
                <w:rFonts w:eastAsia="MS Mincho"/>
                <w:lang w:eastAsia="zh-TW"/>
              </w:rPr>
              <w:t xml:space="preserve">, rēķinot no akadēmiskā personāla skaita, ir ārvalstu viesprofesori, asociētie viesprofesori, </w:t>
            </w:r>
            <w:proofErr w:type="spellStart"/>
            <w:r w:rsidRPr="00D32D79">
              <w:rPr>
                <w:rFonts w:eastAsia="MS Mincho"/>
                <w:lang w:eastAsia="zh-TW"/>
              </w:rPr>
              <w:t>viesdocenti</w:t>
            </w:r>
            <w:proofErr w:type="spellEnd"/>
            <w:r w:rsidRPr="00D32D79">
              <w:rPr>
                <w:rFonts w:eastAsia="MS Mincho"/>
                <w:lang w:eastAsia="zh-TW"/>
              </w:rPr>
              <w:t xml:space="preserve"> un vieslektori, kas iepriekšējo piecu gadu laikā bija nodarbināti akadēmiskā amatā kādā no akreditētām ES valstu</w:t>
            </w:r>
            <w:r w:rsidR="00597BEA" w:rsidRPr="00D32D79">
              <w:rPr>
                <w:rFonts w:eastAsia="MS Mincho"/>
                <w:lang w:eastAsia="zh-TW"/>
              </w:rPr>
              <w:t xml:space="preserve"> augstskolām</w:t>
            </w:r>
            <w:r w:rsidRPr="00D32D79">
              <w:rPr>
                <w:rFonts w:eastAsia="MS Mincho"/>
                <w:lang w:eastAsia="zh-TW"/>
              </w:rPr>
              <w:t xml:space="preserve">, izņemot Latviju, augstskolām. No Izglītības un zinātnes ministrijas </w:t>
            </w:r>
            <w:r w:rsidR="00665027" w:rsidRPr="00D32D79">
              <w:rPr>
                <w:rFonts w:eastAsia="MS Mincho"/>
                <w:lang w:eastAsia="zh-TW"/>
              </w:rPr>
              <w:t xml:space="preserve">(turpmāk – IZM) </w:t>
            </w:r>
            <w:r w:rsidRPr="00D32D79">
              <w:rPr>
                <w:rFonts w:eastAsia="MS Mincho"/>
                <w:lang w:eastAsia="zh-TW"/>
              </w:rPr>
              <w:t>sagatavotā pārskata “Pārskats par Latvijas augstāko izglītību 2016.gadā”</w:t>
            </w:r>
            <w:r w:rsidRPr="00D32D79">
              <w:rPr>
                <w:rStyle w:val="FootnoteReference"/>
                <w:rFonts w:eastAsia="MS Mincho"/>
                <w:lang w:eastAsia="zh-TW"/>
              </w:rPr>
              <w:footnoteReference w:id="6"/>
            </w:r>
            <w:r w:rsidRPr="00D32D79">
              <w:rPr>
                <w:rFonts w:eastAsia="MS Mincho"/>
                <w:lang w:eastAsia="zh-TW"/>
              </w:rPr>
              <w:t xml:space="preserve"> secināms, ka ne visas augstskolas uz doto brīdi izpilda Augstskolu likumā noteiktās normas. AII kā galvenos kavējošos iemeslus norāda ierobežotās iespējas piesaistīt kvalificētu ārvalstu akadēmisko personālu, ko kavē obligātās prasības latviešu valodas zināšanām un zemais atalgojums AII.</w:t>
            </w:r>
          </w:p>
          <w:p w14:paraId="414F0823" w14:textId="77777777" w:rsidR="005E06A1" w:rsidRPr="00D32D79" w:rsidRDefault="005E06A1" w:rsidP="005E06A1">
            <w:pPr>
              <w:ind w:firstLine="720"/>
              <w:jc w:val="both"/>
              <w:rPr>
                <w:rFonts w:eastAsia="MS Mincho"/>
                <w:lang w:eastAsia="zh-TW"/>
              </w:rPr>
            </w:pPr>
            <w:r w:rsidRPr="00D32D79">
              <w:rPr>
                <w:rFonts w:eastAsia="MS Mincho"/>
                <w:lang w:eastAsia="zh-TW"/>
              </w:rPr>
              <w:t xml:space="preserve">Vienlaikus aktualitātes izglītības politikas jomā paredz mērķtiecīgus pasākumus konceptuāli jaunas kompetencēs balstītas izglītības prasībām atbilstošas pedagogu izglītības nodrošināšanai Latvijā. Lai nodrošinātu Latvijas izglītības kvalitātes paaugstināšanos </w:t>
            </w:r>
            <w:r w:rsidRPr="00D32D79">
              <w:rPr>
                <w:rFonts w:eastAsia="MS Mincho"/>
                <w:lang w:eastAsia="zh-TW"/>
              </w:rPr>
              <w:lastRenderedPageBreak/>
              <w:t xml:space="preserve">visās izglītības pakāpēs (t.i. pamatizglītībā, vidējā izglītībā un augstākajā izglītībā) un visos izglītības veidos (vispārējā izglītībā, profesionālajā izglītībā un akadēmiskajā izglītībā), nepieciešama pāreja uz kompetencēs balstītu vispārējo izglītību, ko IZM saskaņā ar Izglītības attīstības pamatnostādnēm  2014.-2020.gadam pašreiz ievieš Latvijas izglītības iestādēs. Kompetencēs balstīta izglītība ir vērsta uz cilvēka rīcībspējai nepieciešamo </w:t>
            </w:r>
            <w:proofErr w:type="spellStart"/>
            <w:r w:rsidRPr="00D32D79">
              <w:rPr>
                <w:rFonts w:eastAsia="MS Mincho"/>
                <w:lang w:eastAsia="zh-TW"/>
              </w:rPr>
              <w:t>pamatkompetenču</w:t>
            </w:r>
            <w:proofErr w:type="spellEnd"/>
            <w:r w:rsidRPr="00D32D79">
              <w:rPr>
                <w:rFonts w:eastAsia="MS Mincho"/>
                <w:lang w:eastAsia="zh-TW"/>
              </w:rPr>
              <w:t xml:space="preserve"> un caurviju kompetenču attīstību. Kompetencēs balstītas izglītības priekšnoteikums ir pedagogu sagatavošana konceptuāli jaunā kvalitātē. </w:t>
            </w:r>
          </w:p>
          <w:p w14:paraId="0FF80235" w14:textId="56667B0F" w:rsidR="005E06A1" w:rsidRPr="00D32D79" w:rsidRDefault="005E06A1" w:rsidP="005E06A1">
            <w:pPr>
              <w:ind w:firstLine="720"/>
              <w:jc w:val="both"/>
              <w:rPr>
                <w:rFonts w:eastAsia="MS Mincho"/>
                <w:lang w:eastAsia="zh-TW"/>
              </w:rPr>
            </w:pPr>
            <w:r w:rsidRPr="00D32D79">
              <w:rPr>
                <w:rFonts w:eastAsia="MS Mincho"/>
                <w:lang w:eastAsia="zh-TW"/>
              </w:rPr>
              <w:t xml:space="preserve"> Pamatojoties uz Ministru kabineta 2017. gada 28. marta sēdes </w:t>
            </w:r>
            <w:proofErr w:type="spellStart"/>
            <w:r w:rsidRPr="00D32D79">
              <w:rPr>
                <w:rFonts w:eastAsia="MS Mincho"/>
                <w:lang w:eastAsia="zh-TW"/>
              </w:rPr>
              <w:t>protokollēmuma</w:t>
            </w:r>
            <w:proofErr w:type="spellEnd"/>
            <w:r w:rsidRPr="00D32D79">
              <w:rPr>
                <w:rFonts w:eastAsia="MS Mincho"/>
                <w:lang w:eastAsia="zh-TW"/>
              </w:rPr>
              <w:t xml:space="preserve"> “</w:t>
            </w:r>
            <w:r w:rsidRPr="00D32D79">
              <w:rPr>
                <w:rFonts w:eastAsia="MS Mincho"/>
                <w:i/>
                <w:lang w:eastAsia="zh-TW"/>
              </w:rPr>
              <w:t>Rīkojuma projekts “Par Rīgas Pedagoģijas un izglītības vadības akadēmijas likvidāciju, pievienojot Latvijas Universitātei</w:t>
            </w:r>
            <w:r w:rsidRPr="00D32D79">
              <w:rPr>
                <w:rFonts w:eastAsia="MS Mincho"/>
                <w:lang w:eastAsia="zh-TW"/>
              </w:rPr>
              <w:t>”” (prot. Nr. 16 52. §) 3.punktu , IZM ir izveidoj</w:t>
            </w:r>
            <w:r w:rsidR="00C41835" w:rsidRPr="00D32D79">
              <w:rPr>
                <w:rFonts w:eastAsia="MS Mincho"/>
                <w:lang w:eastAsia="zh-TW"/>
              </w:rPr>
              <w:t>a</w:t>
            </w:r>
            <w:r w:rsidRPr="00D32D79">
              <w:rPr>
                <w:rFonts w:eastAsia="MS Mincho"/>
                <w:lang w:eastAsia="zh-TW"/>
              </w:rPr>
              <w:t xml:space="preserve"> darba grupu (turpmāk – darba grupa), kurai līdz 2017. gada 31. oktobrim </w:t>
            </w:r>
            <w:r w:rsidR="00C41835" w:rsidRPr="00D32D79">
              <w:rPr>
                <w:rFonts w:eastAsia="MS Mincho"/>
                <w:lang w:eastAsia="zh-TW"/>
              </w:rPr>
              <w:t>bija</w:t>
            </w:r>
            <w:r w:rsidRPr="00D32D79">
              <w:rPr>
                <w:rFonts w:eastAsia="MS Mincho"/>
                <w:lang w:eastAsia="zh-TW"/>
              </w:rPr>
              <w:t xml:space="preserve"> jāsagatavo priekšlikumi konceptuāli jaunas kompetencēs balstītas izglītības prasībām atbilstošas skolotāju izglītības nodrošināšanai Latvijā.</w:t>
            </w:r>
            <w:r w:rsidR="00431FF0" w:rsidRPr="00D32D79">
              <w:rPr>
                <w:rStyle w:val="FootnoteReference"/>
                <w:rFonts w:eastAsia="MS Mincho"/>
                <w:lang w:eastAsia="zh-TW"/>
              </w:rPr>
              <w:footnoteReference w:id="7"/>
            </w:r>
            <w:r w:rsidRPr="00D32D79">
              <w:rPr>
                <w:rFonts w:eastAsia="MS Mincho"/>
                <w:lang w:eastAsia="zh-TW"/>
              </w:rPr>
              <w:t xml:space="preserve"> Darba grupas priekšlikumi </w:t>
            </w:r>
            <w:r w:rsidR="00C41835" w:rsidRPr="00D32D79">
              <w:rPr>
                <w:rFonts w:eastAsia="MS Mincho"/>
                <w:lang w:eastAsia="zh-TW"/>
              </w:rPr>
              <w:t xml:space="preserve">tika </w:t>
            </w:r>
            <w:r w:rsidRPr="00D32D79">
              <w:rPr>
                <w:rFonts w:eastAsia="MS Mincho"/>
                <w:lang w:eastAsia="zh-TW"/>
              </w:rPr>
              <w:t>ņemti vērā</w:t>
            </w:r>
            <w:r w:rsidR="00206C9D" w:rsidRPr="00D32D79">
              <w:rPr>
                <w:rFonts w:eastAsia="MS Mincho"/>
                <w:lang w:eastAsia="zh-TW"/>
              </w:rPr>
              <w:t>,</w:t>
            </w:r>
            <w:r w:rsidRPr="00D32D79">
              <w:rPr>
                <w:rFonts w:eastAsia="MS Mincho"/>
                <w:lang w:eastAsia="zh-TW"/>
              </w:rPr>
              <w:t xml:space="preserve"> arī izstrādājot 8.2.2. SAM īstenošanas nosacījumus</w:t>
            </w:r>
            <w:r w:rsidR="00431FF0" w:rsidRPr="00D32D79">
              <w:rPr>
                <w:rFonts w:eastAsia="MS Mincho"/>
                <w:lang w:eastAsia="zh-TW"/>
              </w:rPr>
              <w:t xml:space="preserve"> paredzot, ka pedagoģijas izglītība ir jākoncentrē augstskolās, kuru stratēģiskā specializācija ietver pedagoģijas studiju īstenošanu: Latvijas Universitātē, Daugavpils Universitātē, Rēzeknes Tehnoloģiju akadēmijā, Liepājas Universitātē, Jāzepa Vītola Latvijas Mūzikas akadēmijā, Latvijas Sporta Pedagoģijas akadēmijā. Balstoties uz Informatīvais ziņojumā “Priekšlikumi konceptuāli jaunas kompetencēs balstītas izglītības prasībām atbilstošas skolotāju izglītības nodrošināšanai Latvijā” apsvērumiem minētās AII ir noteiktas arī kā 8.2.2. SAM projektu iesniegumu atlases 2.kārtas finansējuma saņēmēji</w:t>
            </w:r>
            <w:r w:rsidRPr="00D32D79">
              <w:rPr>
                <w:rFonts w:eastAsia="MS Mincho"/>
                <w:lang w:eastAsia="zh-TW"/>
              </w:rPr>
              <w:t xml:space="preserve">. </w:t>
            </w:r>
          </w:p>
          <w:p w14:paraId="5A109B91" w14:textId="3E7DDE89" w:rsidR="00F60C8F" w:rsidRPr="00D32D79" w:rsidRDefault="00206C9D" w:rsidP="00206C9D">
            <w:pPr>
              <w:ind w:firstLine="693"/>
              <w:jc w:val="both"/>
            </w:pPr>
            <w:r w:rsidRPr="00D32D79">
              <w:t xml:space="preserve">Eiropas Savienības struktūrfondu un Kohēzijas fonda 2014. – 2020. gada plānošanas perioda darbības programmas „Izaugsme un nodarbinātība” 8.2.2. specifiskā atbalsta mērķa </w:t>
            </w:r>
            <w:r w:rsidRPr="00D32D79">
              <w:rPr>
                <w:bCs/>
              </w:rPr>
              <w:t>“Stiprināt augstākās izglītības institūciju akadēmisko personālu stratēģiskās specializācijas jomās”</w:t>
            </w:r>
            <w:r w:rsidRPr="00D32D79">
              <w:t xml:space="preserve"> (turpmāk – 8.2.2. SAM) ietvaros finansējums paredzēts augstāko izglītības iestāžu akadēmiskā personālā kapacitātes stiprināšanai, paredzot pilnveidot esošā akadēmiskā </w:t>
            </w:r>
            <w:r w:rsidRPr="00D32D79">
              <w:lastRenderedPageBreak/>
              <w:t>personāla kompetences, tostarp</w:t>
            </w:r>
            <w:r w:rsidR="00D46C8B">
              <w:t xml:space="preserve"> paredzot iespēju pilnveidot profesionālās </w:t>
            </w:r>
            <w:r w:rsidRPr="00D32D79">
              <w:t>angļu valodas zināšanas</w:t>
            </w:r>
            <w:r w:rsidR="00D46C8B">
              <w:t xml:space="preserve"> un apgūt specializētas mācības, kas </w:t>
            </w:r>
            <w:r w:rsidR="00D46C8B" w:rsidRPr="00D46C8B">
              <w:t>attīsta akadēmiskā personāla līderību, sadarbības kompetenci ar industriju</w:t>
            </w:r>
            <w:r w:rsidR="00A05F71">
              <w:t xml:space="preserve"> un attīsta </w:t>
            </w:r>
            <w:r w:rsidR="00A05F71" w:rsidRPr="00D46C8B">
              <w:t xml:space="preserve">akadēmiskā personāla </w:t>
            </w:r>
            <w:r w:rsidR="00A05F71" w:rsidRPr="00A05F71">
              <w:t>mūsdienīgu izpratni par digitālā laikmeta izaicinājumiem</w:t>
            </w:r>
            <w:r w:rsidR="00A05F71">
              <w:t>,</w:t>
            </w:r>
            <w:r w:rsidRPr="00D32D79">
              <w:t xml:space="preserve"> </w:t>
            </w:r>
            <w:r w:rsidR="00D46C8B">
              <w:t xml:space="preserve">un </w:t>
            </w:r>
            <w:r w:rsidRPr="00D32D79">
              <w:t>piesaistot ārvalstu pasniedzējus, kā arī veicinot akadēmiskā personāla atjaunotni un piešķirot finansējumu doktorantu  nodarbināšanai akadēmiskā darbā AII.</w:t>
            </w:r>
          </w:p>
          <w:p w14:paraId="5BD1D6C8" w14:textId="77777777" w:rsidR="00D46C8B" w:rsidRDefault="00F60C8F" w:rsidP="00206C9D">
            <w:pPr>
              <w:ind w:firstLine="693"/>
              <w:jc w:val="both"/>
            </w:pPr>
            <w:r w:rsidRPr="00D32D79">
              <w:t>Attiecībā uz akadēmiskā personāla profesionālās angļu valodas zināšanu papildināšanu ar specifiskām akadēmiskā un zinātniskā darba zināšanām, t.sk. pilnveidojot akadēmisko rakstību angļu valodā, priekšroka tiek dota angļu valodas zināšanu papildināšanai tajā pašā AII, kuru akadēmiskais personāls pārstāv, iesaistot valodu jomas akadēmisko personālu un šim nolūkam izstrādājot speciālus mācību moduļus.</w:t>
            </w:r>
          </w:p>
          <w:p w14:paraId="01B69E8F" w14:textId="0F47E33F" w:rsidR="00206C9D" w:rsidRPr="00D32D79" w:rsidRDefault="003A58C6" w:rsidP="00206C9D">
            <w:pPr>
              <w:ind w:firstLine="693"/>
              <w:jc w:val="both"/>
            </w:pPr>
            <w:r>
              <w:t>8.2.2. SAM ietvaros ir s</w:t>
            </w:r>
            <w:r w:rsidRPr="003A58C6">
              <w:t xml:space="preserve">varīgi atbalstīt </w:t>
            </w:r>
            <w:r>
              <w:t xml:space="preserve">tādu </w:t>
            </w:r>
            <w:r w:rsidRPr="003A58C6">
              <w:t xml:space="preserve">akadēmiskā personāla kompetenču pilnveidi, </w:t>
            </w:r>
            <w:r>
              <w:t xml:space="preserve">kā </w:t>
            </w:r>
            <w:r w:rsidRPr="003A58C6">
              <w:t>piemēram, līderību (</w:t>
            </w:r>
            <w:proofErr w:type="spellStart"/>
            <w:r w:rsidRPr="003A58C6">
              <w:t>leadership</w:t>
            </w:r>
            <w:proofErr w:type="spellEnd"/>
            <w:r w:rsidRPr="003A58C6">
              <w:t>)</w:t>
            </w:r>
            <w:r>
              <w:t xml:space="preserve"> un sadarbības kompetences ar industriju</w:t>
            </w:r>
            <w:r w:rsidRPr="003A58C6">
              <w:t xml:space="preserve">. Citās Eiropas valstīs akadēmiskajā vidē tā jau ir ierasta prakse, ko nodrošina institūciju karjeras centri vai profesionālās organizācijas, piemēram, līderības kurss </w:t>
            </w:r>
            <w:proofErr w:type="spellStart"/>
            <w:r w:rsidRPr="003A58C6">
              <w:t>Aalto</w:t>
            </w:r>
            <w:proofErr w:type="spellEnd"/>
            <w:r w:rsidRPr="003A58C6">
              <w:t xml:space="preserve"> Universitātē vai Eiropas Molekulārās bioloģijas organizācijas piedāvātais Pētniecības līderības kurss. </w:t>
            </w:r>
            <w:r>
              <w:t xml:space="preserve">8.2.2. SAM  ietvaros </w:t>
            </w:r>
            <w:r w:rsidRPr="003A58C6">
              <w:t>š</w:t>
            </w:r>
            <w:r>
              <w:t>ā</w:t>
            </w:r>
            <w:r w:rsidRPr="003A58C6">
              <w:t xml:space="preserve">du kursu apmeklēšana pēc būtības veicinās akadēmiskā personāla kompetenču pilnveidi, palīdzot sasniegt </w:t>
            </w:r>
            <w:r>
              <w:t xml:space="preserve">8.2.2. </w:t>
            </w:r>
            <w:r w:rsidRPr="003A58C6">
              <w:t xml:space="preserve">SAM </w:t>
            </w:r>
            <w:r>
              <w:t xml:space="preserve">noteikto </w:t>
            </w:r>
            <w:r w:rsidRPr="003A58C6">
              <w:t>mērķi.</w:t>
            </w:r>
            <w:r>
              <w:t xml:space="preserve"> </w:t>
            </w:r>
            <w:r w:rsidR="00D46C8B" w:rsidRPr="00D46C8B">
              <w:t>Attiecībā uz akadēmiskā personāla specializētām mācībām, kas attīsta akadēmiskā personāla līderību, sadarbības kompetenci ar industriju</w:t>
            </w:r>
            <w:r w:rsidR="00A05F71">
              <w:t xml:space="preserve"> un attīsta </w:t>
            </w:r>
            <w:r w:rsidR="00A05F71" w:rsidRPr="00D46C8B">
              <w:t xml:space="preserve">akadēmiskā personāla </w:t>
            </w:r>
            <w:r w:rsidR="00A05F71" w:rsidRPr="00A05F71">
              <w:t>mūsdienīgu izpratni par digitālā laikmeta izaicinājumiem</w:t>
            </w:r>
            <w:r w:rsidR="00D46C8B" w:rsidRPr="00D46C8B">
              <w:t xml:space="preserve">, paredzēts, ka minētās mācības tiks iepirktas ievērojot iepirkumus reglamentējošu normatīvo aktu prasības. Specializēto mācību saturam ir jāatbilst AII stratēģijā noteiktiem mērķiem un jāsniedz ieguldījumus AII cilvēkresursu politikā. </w:t>
            </w:r>
            <w:r w:rsidR="00D46C8B">
              <w:t xml:space="preserve">Noteikumu projektā </w:t>
            </w:r>
            <w:r w:rsidR="00D46C8B" w:rsidRPr="00D46C8B">
              <w:t>ir noteiks izmaksu ierobežojums specializēto mācību īstenošanai, kas paredz, ka specializēto mācību izmaksas nedrīks</w:t>
            </w:r>
            <w:r w:rsidR="00D46C8B">
              <w:t>t</w:t>
            </w:r>
            <w:r w:rsidR="00D46C8B" w:rsidRPr="00D46C8B">
              <w:t xml:space="preserve"> pārsniegt 15 procentus no projekta kopējām attiecināmām izmaksām.</w:t>
            </w:r>
          </w:p>
          <w:p w14:paraId="38A0843D" w14:textId="6589D85E" w:rsidR="00F60C8F" w:rsidRPr="00D32D79" w:rsidRDefault="00F60C8F" w:rsidP="00206C9D">
            <w:pPr>
              <w:ind w:firstLine="720"/>
              <w:jc w:val="both"/>
              <w:rPr>
                <w:rFonts w:eastAsia="MS Mincho"/>
                <w:lang w:eastAsia="zh-TW"/>
              </w:rPr>
            </w:pPr>
            <w:r w:rsidRPr="00D32D79">
              <w:rPr>
                <w:rFonts w:eastAsia="MS Mincho"/>
                <w:lang w:eastAsia="zh-TW"/>
              </w:rPr>
              <w:t>Lai sekmētu 8.2.2. SAM īstenošanas uzsākšanu, tostarp nodrošinātu darbības programmā “Izaugsme un nodarbinātība” noteiktā snieguma ietvara iznākuma rādītāja 1) 8.2.2. b. Ārvalstu pasniedzēju skaits, kas saņēmuši ESF atbalstu darbam AII Latvijā izpildi uz 2018. gadu, MK noteikumos par SAM īstenošanu un projektu iesniegumu atlases kritērijos tiks paredzēta priekšrocība projektu iesniegumiem, kas demonstrē augstu projekta uzsākšanas gatavības pakāpi, īpaši attiecībā uz ārvalstu pasniedzēju piesaisti.</w:t>
            </w:r>
          </w:p>
          <w:p w14:paraId="12044E36" w14:textId="04687CA2" w:rsidR="00206C9D" w:rsidRPr="00D32D79" w:rsidRDefault="00206C9D" w:rsidP="00206C9D">
            <w:pPr>
              <w:ind w:firstLine="720"/>
              <w:jc w:val="both"/>
              <w:rPr>
                <w:rFonts w:eastAsia="MS Mincho"/>
                <w:lang w:eastAsia="zh-TW"/>
              </w:rPr>
            </w:pPr>
            <w:r w:rsidRPr="00D32D79">
              <w:rPr>
                <w:rFonts w:eastAsia="MS Mincho"/>
                <w:lang w:eastAsia="zh-TW"/>
              </w:rPr>
              <w:t>Noteikumu projekts nosaka kārtību, kādā īsteno 8.2.2. SAM pirmo</w:t>
            </w:r>
            <w:r w:rsidR="00A17221">
              <w:rPr>
                <w:rFonts w:eastAsia="MS Mincho"/>
                <w:lang w:eastAsia="zh-TW"/>
              </w:rPr>
              <w:t>,</w:t>
            </w:r>
            <w:r w:rsidRPr="00D32D79">
              <w:rPr>
                <w:rFonts w:eastAsia="MS Mincho"/>
                <w:lang w:eastAsia="zh-TW"/>
              </w:rPr>
              <w:t xml:space="preserve"> otro</w:t>
            </w:r>
            <w:r w:rsidR="00A17221">
              <w:rPr>
                <w:rFonts w:eastAsia="MS Mincho"/>
                <w:lang w:eastAsia="zh-TW"/>
              </w:rPr>
              <w:t xml:space="preserve"> un trešo</w:t>
            </w:r>
            <w:r w:rsidRPr="00D32D79">
              <w:rPr>
                <w:rFonts w:eastAsia="MS Mincho"/>
                <w:lang w:eastAsia="zh-TW"/>
              </w:rPr>
              <w:t xml:space="preserve"> projektu iesniegumu atlases kārtu, prasības projektu iesniedzējiem, atbalstāmās darbības, pieejamo finansējumu un izmaksu </w:t>
            </w:r>
            <w:proofErr w:type="spellStart"/>
            <w:r w:rsidRPr="00D32D79">
              <w:rPr>
                <w:rFonts w:eastAsia="MS Mincho"/>
                <w:lang w:eastAsia="zh-TW"/>
              </w:rPr>
              <w:t>attiecināmības</w:t>
            </w:r>
            <w:proofErr w:type="spellEnd"/>
            <w:r w:rsidRPr="00D32D79">
              <w:rPr>
                <w:rFonts w:eastAsia="MS Mincho"/>
                <w:lang w:eastAsia="zh-TW"/>
              </w:rPr>
              <w:t xml:space="preserve"> nosacījumus, kā arī sasniedzamos uzraudzības rādītājus.</w:t>
            </w:r>
          </w:p>
          <w:p w14:paraId="4A391913" w14:textId="743E6DFB" w:rsidR="00206C9D" w:rsidRPr="00D32D79" w:rsidRDefault="00206C9D" w:rsidP="00206C9D">
            <w:pPr>
              <w:tabs>
                <w:tab w:val="left" w:pos="784"/>
              </w:tabs>
              <w:ind w:right="142" w:firstLine="693"/>
              <w:jc w:val="both"/>
              <w:rPr>
                <w:rFonts w:eastAsia="MS Mincho"/>
                <w:lang w:eastAsia="zh-TW"/>
              </w:rPr>
            </w:pPr>
            <w:r w:rsidRPr="00D32D79">
              <w:rPr>
                <w:rFonts w:eastAsia="MS Mincho"/>
                <w:lang w:eastAsia="zh-TW"/>
              </w:rPr>
              <w:t>Projekta iesniedzēji 8.2.2. SAM ietvaros ir Latvijas augstākās izglītības institūcijas. Mērķa grupa ir akadēmiskais personāls, doktoranti un ārvalstu pasniedzēji.</w:t>
            </w:r>
          </w:p>
          <w:p w14:paraId="0B83D53B" w14:textId="77777777" w:rsidR="00206C9D" w:rsidRPr="00D32D79" w:rsidRDefault="00206C9D" w:rsidP="00206C9D">
            <w:pPr>
              <w:ind w:firstLine="720"/>
              <w:jc w:val="both"/>
              <w:rPr>
                <w:rFonts w:eastAsia="MS Mincho"/>
                <w:lang w:eastAsia="zh-TW"/>
              </w:rPr>
            </w:pPr>
            <w:r w:rsidRPr="00D32D79">
              <w:rPr>
                <w:rFonts w:eastAsia="MS Mincho"/>
                <w:lang w:eastAsia="zh-TW"/>
              </w:rPr>
              <w:t xml:space="preserve">8.2.2. SAM kopā pieejams finansējums 34 340 686 </w:t>
            </w:r>
            <w:proofErr w:type="spellStart"/>
            <w:r w:rsidRPr="00D32D79">
              <w:rPr>
                <w:rFonts w:eastAsia="MS Mincho"/>
                <w:i/>
                <w:lang w:eastAsia="zh-TW"/>
              </w:rPr>
              <w:t>euro</w:t>
            </w:r>
            <w:proofErr w:type="spellEnd"/>
            <w:r w:rsidRPr="00D32D79">
              <w:rPr>
                <w:rFonts w:eastAsia="MS Mincho"/>
                <w:i/>
                <w:lang w:eastAsia="zh-TW"/>
              </w:rPr>
              <w:t xml:space="preserve"> </w:t>
            </w:r>
            <w:r w:rsidRPr="00D32D79">
              <w:rPr>
                <w:rFonts w:eastAsia="MS Mincho"/>
                <w:lang w:eastAsia="zh-TW"/>
              </w:rPr>
              <w:t xml:space="preserve">apmērā, ko veido Eiropas Sociālā fonda (turpmāk – ESF) finansējums 29 189 583 </w:t>
            </w:r>
            <w:proofErr w:type="spellStart"/>
            <w:r w:rsidRPr="00D32D79">
              <w:rPr>
                <w:rFonts w:eastAsia="MS Mincho"/>
                <w:i/>
                <w:lang w:eastAsia="zh-TW"/>
              </w:rPr>
              <w:t>euro</w:t>
            </w:r>
            <w:proofErr w:type="spellEnd"/>
            <w:r w:rsidRPr="00D32D79">
              <w:rPr>
                <w:rFonts w:eastAsia="MS Mincho"/>
                <w:lang w:eastAsia="zh-TW"/>
              </w:rPr>
              <w:t xml:space="preserve"> un valsts budžeta līdzfinansējums 5 151 103 </w:t>
            </w:r>
            <w:proofErr w:type="spellStart"/>
            <w:r w:rsidRPr="00D32D79">
              <w:rPr>
                <w:rFonts w:eastAsia="MS Mincho"/>
                <w:i/>
                <w:lang w:eastAsia="zh-TW"/>
              </w:rPr>
              <w:t>euro</w:t>
            </w:r>
            <w:proofErr w:type="spellEnd"/>
            <w:r w:rsidRPr="00D32D79">
              <w:rPr>
                <w:rFonts w:eastAsia="MS Mincho"/>
                <w:lang w:eastAsia="zh-TW"/>
              </w:rPr>
              <w:t xml:space="preserve">. </w:t>
            </w:r>
          </w:p>
          <w:p w14:paraId="5B97FE6A" w14:textId="4EDB190C" w:rsidR="00206C9D" w:rsidRPr="00D32D79" w:rsidRDefault="00206C9D" w:rsidP="00206C9D">
            <w:pPr>
              <w:ind w:firstLine="720"/>
              <w:jc w:val="both"/>
              <w:rPr>
                <w:rFonts w:eastAsia="MS Mincho"/>
                <w:lang w:eastAsia="zh-TW"/>
              </w:rPr>
            </w:pPr>
            <w:r w:rsidRPr="00D32D79">
              <w:rPr>
                <w:rFonts w:eastAsia="MS Mincho"/>
                <w:lang w:eastAsia="zh-TW"/>
              </w:rPr>
              <w:t xml:space="preserve">Pirmā atlases kārta tiek īstenota atklātas projektu iesniegumu atlases veidā par kopējo pieejamo finansējumu 20 340 686 </w:t>
            </w:r>
            <w:proofErr w:type="spellStart"/>
            <w:r w:rsidRPr="00D32D79">
              <w:rPr>
                <w:rFonts w:eastAsia="MS Mincho"/>
                <w:i/>
                <w:lang w:eastAsia="zh-TW"/>
              </w:rPr>
              <w:t>euro</w:t>
            </w:r>
            <w:proofErr w:type="spellEnd"/>
            <w:r w:rsidRPr="00D32D79">
              <w:rPr>
                <w:rFonts w:eastAsia="MS Mincho"/>
                <w:i/>
                <w:lang w:eastAsia="zh-TW"/>
              </w:rPr>
              <w:t xml:space="preserve">, </w:t>
            </w:r>
            <w:r w:rsidRPr="00D32D79">
              <w:rPr>
                <w:rFonts w:eastAsia="MS Mincho"/>
                <w:lang w:eastAsia="zh-TW"/>
              </w:rPr>
              <w:t xml:space="preserve">savukārt otrā atlases kārta ierobežotas projektu iesniegumu atlases veidā par kopējo pieejamo finansējumu 4 000 000 </w:t>
            </w:r>
            <w:proofErr w:type="spellStart"/>
            <w:r w:rsidRPr="00D32D79">
              <w:rPr>
                <w:rFonts w:eastAsia="MS Mincho"/>
                <w:i/>
                <w:lang w:eastAsia="zh-TW"/>
              </w:rPr>
              <w:t>euro</w:t>
            </w:r>
            <w:proofErr w:type="spellEnd"/>
            <w:r w:rsidRPr="00D32D79">
              <w:rPr>
                <w:rFonts w:eastAsia="MS Mincho"/>
                <w:i/>
                <w:lang w:eastAsia="zh-TW"/>
              </w:rPr>
              <w:t xml:space="preserve">, </w:t>
            </w:r>
            <w:r w:rsidRPr="00D32D79">
              <w:rPr>
                <w:rFonts w:eastAsia="MS Mincho"/>
                <w:lang w:eastAsia="zh-TW"/>
              </w:rPr>
              <w:t>paredzot finansējumu augstākās izglītības institūcijām, kas īsteno pedagogu studiju programmas to akadēmiskā personāla kapacitātes stiprināšanai studiju virzienā “Izglītība, pedagoģija un sports”</w:t>
            </w:r>
            <w:r w:rsidR="009D1578" w:rsidRPr="00D32D79">
              <w:rPr>
                <w:rFonts w:eastAsia="MS Mincho"/>
                <w:lang w:eastAsia="zh-TW"/>
              </w:rPr>
              <w:t xml:space="preserve">, bet trešā atlases kārta tiek īstenota atklātas projektu iesniegumu atlases veidā par kopējo plānoto finansējumu 10 000 000 </w:t>
            </w:r>
            <w:proofErr w:type="spellStart"/>
            <w:r w:rsidR="009D1578" w:rsidRPr="00D32D79">
              <w:rPr>
                <w:rFonts w:eastAsia="MS Mincho"/>
                <w:i/>
                <w:lang w:eastAsia="zh-TW"/>
              </w:rPr>
              <w:t>euro</w:t>
            </w:r>
            <w:proofErr w:type="spellEnd"/>
            <w:r w:rsidRPr="00D32D79">
              <w:rPr>
                <w:rFonts w:eastAsia="MS Mincho"/>
                <w:lang w:eastAsia="zh-TW"/>
              </w:rPr>
              <w:t>.</w:t>
            </w:r>
          </w:p>
          <w:p w14:paraId="71081B5F" w14:textId="1A0E1C3D" w:rsidR="00206C9D" w:rsidRPr="00D32D79" w:rsidRDefault="00206C9D" w:rsidP="00206C9D">
            <w:pPr>
              <w:ind w:firstLine="720"/>
              <w:jc w:val="both"/>
              <w:rPr>
                <w:rFonts w:eastAsia="MS Mincho"/>
                <w:lang w:eastAsia="zh-TW"/>
              </w:rPr>
            </w:pPr>
            <w:r w:rsidRPr="00D32D79">
              <w:rPr>
                <w:rFonts w:eastAsia="MS Mincho"/>
                <w:lang w:eastAsia="zh-TW"/>
              </w:rPr>
              <w:t>Projekta iesniedzēji pirmās</w:t>
            </w:r>
            <w:r w:rsidR="00F60C8F" w:rsidRPr="00D32D79">
              <w:rPr>
                <w:rFonts w:eastAsia="MS Mincho"/>
                <w:lang w:eastAsia="zh-TW"/>
              </w:rPr>
              <w:t>,</w:t>
            </w:r>
            <w:r w:rsidRPr="00D32D79">
              <w:rPr>
                <w:rFonts w:eastAsia="MS Mincho"/>
                <w:lang w:eastAsia="zh-TW"/>
              </w:rPr>
              <w:t xml:space="preserve"> otrās </w:t>
            </w:r>
            <w:r w:rsidR="00F60C8F" w:rsidRPr="00D32D79">
              <w:rPr>
                <w:rFonts w:eastAsia="MS Mincho"/>
                <w:lang w:eastAsia="zh-TW"/>
              </w:rPr>
              <w:t xml:space="preserve">un trešās </w:t>
            </w:r>
            <w:r w:rsidRPr="00D32D79">
              <w:rPr>
                <w:rFonts w:eastAsia="MS Mincho"/>
                <w:lang w:eastAsia="zh-TW"/>
              </w:rPr>
              <w:t>projektu iesniegumu atlases kārtas ietvaros var īsteno šādas atbalstāmās darbības:</w:t>
            </w:r>
          </w:p>
          <w:p w14:paraId="5F0EF6CF" w14:textId="77777777" w:rsidR="00206C9D" w:rsidRPr="00D32D79" w:rsidRDefault="00206C9D" w:rsidP="00206C9D">
            <w:pPr>
              <w:pStyle w:val="ListParagraph"/>
              <w:numPr>
                <w:ilvl w:val="1"/>
                <w:numId w:val="39"/>
              </w:numPr>
              <w:ind w:left="835"/>
              <w:rPr>
                <w:rFonts w:eastAsia="MS Mincho"/>
                <w:szCs w:val="24"/>
                <w:lang w:eastAsia="zh-TW"/>
              </w:rPr>
            </w:pPr>
            <w:r w:rsidRPr="00D32D79">
              <w:rPr>
                <w:rFonts w:eastAsia="MS Mincho"/>
                <w:szCs w:val="24"/>
                <w:lang w:eastAsia="zh-TW"/>
              </w:rPr>
              <w:t>doktorantu iesaiste darbam augstākajās izglītības institūcijā;</w:t>
            </w:r>
          </w:p>
          <w:p w14:paraId="5C1F413C" w14:textId="77777777" w:rsidR="00206C9D" w:rsidRPr="00D32D79" w:rsidRDefault="00206C9D" w:rsidP="00206C9D">
            <w:pPr>
              <w:pStyle w:val="ListParagraph"/>
              <w:numPr>
                <w:ilvl w:val="1"/>
                <w:numId w:val="39"/>
              </w:numPr>
              <w:ind w:left="835"/>
              <w:rPr>
                <w:rFonts w:eastAsia="MS Mincho"/>
                <w:szCs w:val="24"/>
                <w:lang w:eastAsia="zh-TW"/>
              </w:rPr>
            </w:pPr>
            <w:r w:rsidRPr="00D32D79">
              <w:rPr>
                <w:rFonts w:eastAsia="MS Mincho"/>
                <w:szCs w:val="24"/>
                <w:lang w:eastAsia="zh-TW"/>
              </w:rPr>
              <w:t>ārvalstu pasniedzēju iesaiste darbam augstākās izglītības institūcijā Latvijā;</w:t>
            </w:r>
          </w:p>
          <w:p w14:paraId="36167310" w14:textId="17A67A00" w:rsidR="00206C9D" w:rsidRPr="00D32D79" w:rsidRDefault="00206C9D" w:rsidP="00206C9D">
            <w:pPr>
              <w:pStyle w:val="ListParagraph"/>
              <w:numPr>
                <w:ilvl w:val="1"/>
                <w:numId w:val="39"/>
              </w:numPr>
              <w:ind w:left="835"/>
              <w:rPr>
                <w:rFonts w:eastAsia="MS Mincho"/>
                <w:szCs w:val="24"/>
                <w:lang w:eastAsia="zh-TW"/>
              </w:rPr>
            </w:pPr>
            <w:r w:rsidRPr="00D32D79">
              <w:rPr>
                <w:rFonts w:eastAsia="MS Mincho"/>
                <w:szCs w:val="24"/>
                <w:lang w:eastAsia="zh-TW"/>
              </w:rPr>
              <w:t>akadēmiskā personāla kompetences pilnveides pasākumi.</w:t>
            </w:r>
          </w:p>
          <w:p w14:paraId="1649059B" w14:textId="77777777" w:rsidR="00206C9D" w:rsidRPr="00D32D79" w:rsidRDefault="00206C9D" w:rsidP="00206C9D">
            <w:pPr>
              <w:pStyle w:val="ListParagraph"/>
              <w:numPr>
                <w:ilvl w:val="1"/>
                <w:numId w:val="39"/>
              </w:numPr>
              <w:ind w:left="835"/>
              <w:rPr>
                <w:rFonts w:eastAsia="MS Mincho"/>
                <w:szCs w:val="24"/>
                <w:lang w:eastAsia="zh-TW"/>
              </w:rPr>
            </w:pPr>
            <w:r w:rsidRPr="00D32D79">
              <w:rPr>
                <w:rFonts w:eastAsia="MS Mincho"/>
                <w:szCs w:val="24"/>
                <w:lang w:eastAsia="zh-TW"/>
              </w:rPr>
              <w:t>projekta vadība un projekta īstenošanas nodrošināšana;</w:t>
            </w:r>
          </w:p>
          <w:p w14:paraId="0A68C827" w14:textId="77777777" w:rsidR="00206C9D" w:rsidRPr="00D32D79" w:rsidRDefault="00206C9D" w:rsidP="00206C9D">
            <w:pPr>
              <w:pStyle w:val="ListParagraph"/>
              <w:numPr>
                <w:ilvl w:val="1"/>
                <w:numId w:val="39"/>
              </w:numPr>
              <w:ind w:left="835"/>
              <w:rPr>
                <w:rFonts w:eastAsia="MS Mincho"/>
                <w:szCs w:val="24"/>
                <w:lang w:eastAsia="zh-TW"/>
              </w:rPr>
            </w:pPr>
            <w:r w:rsidRPr="00D32D79">
              <w:rPr>
                <w:rFonts w:eastAsia="MS Mincho"/>
                <w:szCs w:val="24"/>
                <w:lang w:eastAsia="zh-TW"/>
              </w:rPr>
              <w:t>informācijas un publicitātes pasākumi par projekta īstenošanu.</w:t>
            </w:r>
          </w:p>
          <w:p w14:paraId="53BE9D09" w14:textId="7608BB80" w:rsidR="00017940" w:rsidRPr="00D32D79" w:rsidRDefault="00206C9D" w:rsidP="00206C9D">
            <w:pPr>
              <w:ind w:firstLine="720"/>
              <w:jc w:val="both"/>
              <w:rPr>
                <w:rFonts w:eastAsia="MS Mincho"/>
                <w:lang w:eastAsia="zh-TW"/>
              </w:rPr>
            </w:pPr>
            <w:r w:rsidRPr="00D32D79">
              <w:rPr>
                <w:rFonts w:eastAsia="MS Mincho"/>
                <w:lang w:eastAsia="zh-TW"/>
              </w:rPr>
              <w:t>Pasākumu paredzēts īstenot trīs projektu</w:t>
            </w:r>
            <w:r w:rsidR="00F60C8F" w:rsidRPr="00D32D79">
              <w:rPr>
                <w:rFonts w:eastAsia="MS Mincho"/>
                <w:lang w:eastAsia="zh-TW"/>
              </w:rPr>
              <w:t xml:space="preserve"> iesniegumu </w:t>
            </w:r>
            <w:r w:rsidRPr="00D32D79">
              <w:rPr>
                <w:rFonts w:eastAsia="MS Mincho"/>
                <w:lang w:eastAsia="zh-TW"/>
              </w:rPr>
              <w:t>atlases kārtās</w:t>
            </w:r>
            <w:r w:rsidR="00017940" w:rsidRPr="00D32D79">
              <w:rPr>
                <w:rFonts w:eastAsia="MS Mincho"/>
                <w:lang w:eastAsia="zh-TW"/>
              </w:rPr>
              <w:t>:</w:t>
            </w:r>
            <w:r w:rsidRPr="00D32D79">
              <w:rPr>
                <w:rFonts w:eastAsia="MS Mincho"/>
                <w:lang w:eastAsia="zh-TW"/>
              </w:rPr>
              <w:t xml:space="preserve"> </w:t>
            </w:r>
          </w:p>
          <w:p w14:paraId="3D98EB17" w14:textId="77777777" w:rsidR="006235D3" w:rsidRPr="00D32D79" w:rsidRDefault="006235D3" w:rsidP="006235D3">
            <w:pPr>
              <w:ind w:firstLine="720"/>
              <w:jc w:val="both"/>
              <w:rPr>
                <w:rFonts w:eastAsia="MS Mincho"/>
                <w:lang w:eastAsia="zh-TW"/>
              </w:rPr>
            </w:pPr>
            <w:r w:rsidRPr="00D32D79">
              <w:rPr>
                <w:rFonts w:eastAsia="MS Mincho"/>
                <w:lang w:eastAsia="zh-TW"/>
              </w:rPr>
              <w:t xml:space="preserve">8.2.2. SAM ietvaros par pilnas slodzes akadēmisko darbu doktorantam, kā arī doktorantam, kas studē ārpus Latvijas akreditētā doktorantūras studiju programmā un zinātniskā grāda pretendentam, ir paredzēta atlīdzība, kuru nosaka atbilstoši AII atalgojuma politikai, bet paredzot atlīdzības apmēru ne mazāku kā 80 % apmērā no docenta pilnas slodzes darba algas likmes, ko aprēķina atbilstoši MK 2016. gada 5. jūlija noteikumos Nr. 445 “Pedagogu darba samaksas noteikumi” noteikto docenta darba algas minimālo likmi. AII var paredzēt augstāku atalgojumu, ja to spēj pamatot ar tās īstenoto AII atalgojuma politiku reglamentējošiem dokumentiem. Pamatojumam par attiecīgā atalgojuma lielumu ir jābūt ietvertam projekta iesniegumā. ESF finansējumu doktorantūras studentiem un zinātniskā grāda pretendentiem plānots sniegt 12 mēnešus, paredzot doktorantam vai zinātniskā grāda pretendentam atlīdzību par akadēmisko darbu AII indikatīvi apmēram 1 000 </w:t>
            </w:r>
            <w:proofErr w:type="spellStart"/>
            <w:r w:rsidRPr="00D32D79">
              <w:rPr>
                <w:rFonts w:eastAsia="MS Mincho"/>
                <w:i/>
                <w:lang w:eastAsia="zh-TW"/>
              </w:rPr>
              <w:t>euro</w:t>
            </w:r>
            <w:proofErr w:type="spellEnd"/>
            <w:r w:rsidRPr="00D32D79">
              <w:rPr>
                <w:rFonts w:eastAsia="MS Mincho"/>
                <w:lang w:eastAsia="zh-TW"/>
              </w:rPr>
              <w:t xml:space="preserve"> apmērā mēnesī par ½ slodzes darbu.</w:t>
            </w:r>
          </w:p>
          <w:p w14:paraId="03C84BC1" w14:textId="2E7FB4C9" w:rsidR="006235D3" w:rsidRPr="00D32D79" w:rsidRDefault="006235D3" w:rsidP="006235D3">
            <w:pPr>
              <w:ind w:firstLine="720"/>
              <w:jc w:val="both"/>
              <w:rPr>
                <w:rFonts w:eastAsia="MS Mincho"/>
                <w:lang w:eastAsia="zh-TW"/>
              </w:rPr>
            </w:pPr>
            <w:r w:rsidRPr="00D32D79">
              <w:rPr>
                <w:rFonts w:eastAsia="MS Mincho"/>
                <w:lang w:eastAsia="zh-TW"/>
              </w:rPr>
              <w:t>Doktoranta vai zinātniskā grāda pretendenta, ESF finansējuma saņēmēja, akadēmiskajai darbībai veltītās slodzes apmērs nepārsniedz 50 procentus no pilnas pedagoga darba slodzes, paredzot, ka doktoranta vai zinātniskā grāda pretendenta veltītais laiks studijām/promocijas darba izstrādei ir pietiekams, lai nodrošinātu līdzsvarotu un samērīgu sasaisti starp studijām/promocijas darba izstrādi un akadēmisko darbību.</w:t>
            </w:r>
          </w:p>
          <w:p w14:paraId="6DB97E79" w14:textId="3B6862FA" w:rsidR="006235D3" w:rsidRPr="00D32D79" w:rsidRDefault="006235D3" w:rsidP="006235D3">
            <w:pPr>
              <w:ind w:firstLine="720"/>
              <w:jc w:val="both"/>
              <w:rPr>
                <w:rFonts w:eastAsia="MS Mincho"/>
                <w:lang w:eastAsia="zh-TW"/>
              </w:rPr>
            </w:pPr>
            <w:r w:rsidRPr="00D32D79">
              <w:rPr>
                <w:rFonts w:eastAsia="MS Mincho"/>
                <w:lang w:eastAsia="zh-TW"/>
              </w:rPr>
              <w:t xml:space="preserve">Maksimālais atbalsta apmērs vienam ārvalstu mācībspēkam mēnesī noteikts balstoties uz piemērojamām vienas vienības izmaksu likmes apmēram, kas noteiktas </w:t>
            </w:r>
            <w:proofErr w:type="spellStart"/>
            <w:r w:rsidRPr="00D32D79">
              <w:rPr>
                <w:rFonts w:eastAsia="MS Mincho"/>
                <w:lang w:eastAsia="zh-TW"/>
              </w:rPr>
              <w:t>Erasmus</w:t>
            </w:r>
            <w:proofErr w:type="spellEnd"/>
            <w:r w:rsidRPr="00D32D79">
              <w:rPr>
                <w:rFonts w:eastAsia="MS Mincho"/>
                <w:lang w:eastAsia="zh-TW"/>
              </w:rPr>
              <w:t xml:space="preserve"> + programmas vadlīnijās 2018.gadam</w:t>
            </w:r>
            <w:r w:rsidRPr="00D32D79">
              <w:rPr>
                <w:rStyle w:val="FootnoteReference"/>
                <w:rFonts w:eastAsia="MS Mincho"/>
                <w:lang w:eastAsia="zh-TW"/>
              </w:rPr>
              <w:footnoteReference w:id="8"/>
            </w:r>
            <w:r w:rsidRPr="00D32D79">
              <w:rPr>
                <w:rFonts w:eastAsia="MS Mincho"/>
                <w:lang w:eastAsia="zh-TW"/>
              </w:rPr>
              <w:t xml:space="preserve">, kur individuālais atbalsts uzturēšanās izmaksu segšanai mobilitātes pasākumos iesaistītam akadēmiskam personālam sastāda maksimums 140 </w:t>
            </w:r>
            <w:proofErr w:type="spellStart"/>
            <w:r w:rsidRPr="00D32D79">
              <w:rPr>
                <w:rFonts w:eastAsia="MS Mincho"/>
                <w:i/>
                <w:lang w:eastAsia="zh-TW"/>
              </w:rPr>
              <w:t>euro</w:t>
            </w:r>
            <w:proofErr w:type="spellEnd"/>
            <w:r w:rsidRPr="00D32D79">
              <w:rPr>
                <w:rFonts w:eastAsia="MS Mincho"/>
                <w:lang w:eastAsia="zh-TW"/>
              </w:rPr>
              <w:t xml:space="preserve"> / dienā, kas ir aptuveni 4 000 </w:t>
            </w:r>
            <w:proofErr w:type="spellStart"/>
            <w:r w:rsidRPr="00D32D79">
              <w:rPr>
                <w:rFonts w:eastAsia="MS Mincho"/>
                <w:i/>
                <w:lang w:eastAsia="zh-TW"/>
              </w:rPr>
              <w:t>euro</w:t>
            </w:r>
            <w:proofErr w:type="spellEnd"/>
            <w:r w:rsidRPr="00D32D79">
              <w:rPr>
                <w:rFonts w:eastAsia="MS Mincho"/>
                <w:lang w:eastAsia="zh-TW"/>
              </w:rPr>
              <w:t xml:space="preserve"> mēnesī.</w:t>
            </w:r>
          </w:p>
          <w:p w14:paraId="2EA9ECAF" w14:textId="7D92404A" w:rsidR="006235D3" w:rsidRPr="00D32D79" w:rsidRDefault="006235D3" w:rsidP="006235D3">
            <w:pPr>
              <w:ind w:firstLine="720"/>
              <w:jc w:val="both"/>
              <w:rPr>
                <w:rFonts w:eastAsia="MS Mincho"/>
                <w:lang w:eastAsia="zh-TW"/>
              </w:rPr>
            </w:pPr>
            <w:r w:rsidRPr="00D32D79">
              <w:rPr>
                <w:rFonts w:eastAsia="MS Mincho"/>
                <w:lang w:eastAsia="zh-TW"/>
              </w:rPr>
              <w:t xml:space="preserve">Plānots, ka stažēšanās ilgums vienam akadēmiskā personāla pārstāvim ir 6 mēneši un vienam pārstāvim projekta īstenošanas laikā ir atbalstāmi vidēji divi stažēšanās cikli. Stažēšanās laikā stažēšanās intensitāte var tikt plānota indikatīvi vienu pilnu darba dienu nedēļā, šajā laikā pasniedzējam saglabājot esošo atlīdzību AII. ESF projekta ietvaros ir paredzēts finansējums uzņēmumā strādājošam attiecīgās nozares profesionālim, kurš saturiski vada un atbild par akadēmiskā personāla stažēšanos uzņēmumā, 400 </w:t>
            </w:r>
            <w:proofErr w:type="spellStart"/>
            <w:r w:rsidRPr="00D32D79">
              <w:rPr>
                <w:rFonts w:eastAsia="MS Mincho"/>
                <w:i/>
                <w:lang w:eastAsia="zh-TW"/>
              </w:rPr>
              <w:t>euro</w:t>
            </w:r>
            <w:proofErr w:type="spellEnd"/>
            <w:r w:rsidRPr="00D32D79">
              <w:rPr>
                <w:rFonts w:eastAsia="MS Mincho"/>
                <w:lang w:eastAsia="zh-TW"/>
              </w:rPr>
              <w:t xml:space="preserve"> mēnesī (paredzot, ka akadēmiskais personāls 4-5 reizes mēnesī stažēsies uzņēmumā pilnu darba dienu, kā arī paredzot uzņēmumā strādājošam attiecīgās nozares profesionālim darba samaksu 10 </w:t>
            </w:r>
            <w:proofErr w:type="spellStart"/>
            <w:r w:rsidRPr="00D32D79">
              <w:rPr>
                <w:rFonts w:eastAsia="MS Mincho"/>
                <w:i/>
                <w:lang w:eastAsia="zh-TW"/>
              </w:rPr>
              <w:t>euro</w:t>
            </w:r>
            <w:proofErr w:type="spellEnd"/>
            <w:r w:rsidRPr="00D32D79">
              <w:rPr>
                <w:rFonts w:eastAsia="MS Mincho"/>
                <w:lang w:eastAsia="zh-TW"/>
              </w:rPr>
              <w:t xml:space="preserve">/stundā, tādējādi paredzot (5 dienas x 8 stundas x 10 </w:t>
            </w:r>
            <w:proofErr w:type="spellStart"/>
            <w:r w:rsidRPr="00D32D79">
              <w:rPr>
                <w:rFonts w:eastAsia="MS Mincho"/>
                <w:i/>
                <w:lang w:eastAsia="zh-TW"/>
              </w:rPr>
              <w:t>euro</w:t>
            </w:r>
            <w:proofErr w:type="spellEnd"/>
            <w:r w:rsidRPr="00D32D79">
              <w:rPr>
                <w:rFonts w:eastAsia="MS Mincho"/>
                <w:lang w:eastAsia="zh-TW"/>
              </w:rPr>
              <w:t xml:space="preserve">/stundā) 400 </w:t>
            </w:r>
            <w:proofErr w:type="spellStart"/>
            <w:r w:rsidRPr="00D32D79">
              <w:rPr>
                <w:rFonts w:eastAsia="MS Mincho"/>
                <w:i/>
                <w:lang w:eastAsia="zh-TW"/>
              </w:rPr>
              <w:t>euro</w:t>
            </w:r>
            <w:proofErr w:type="spellEnd"/>
            <w:r w:rsidRPr="00D32D79">
              <w:rPr>
                <w:rFonts w:eastAsia="MS Mincho"/>
                <w:lang w:eastAsia="zh-TW"/>
              </w:rPr>
              <w:t xml:space="preserve"> mēnesī par akadēmiskā personāla stažēšanās uzņēmumā), kā arī akadēmiskā personāla pārstāvim ceļa izdevumu un civiltiesiskās apdrošināšanas izmaksu, kas saistītas ar stažēšanos uzņēmumā vai izglītības iestādē, segšanai, nepārsniedzot 100 </w:t>
            </w:r>
            <w:proofErr w:type="spellStart"/>
            <w:r w:rsidRPr="00D32D79">
              <w:rPr>
                <w:rFonts w:eastAsia="MS Mincho"/>
                <w:i/>
                <w:lang w:eastAsia="zh-TW"/>
              </w:rPr>
              <w:t>euro</w:t>
            </w:r>
            <w:proofErr w:type="spellEnd"/>
            <w:r w:rsidRPr="00D32D79">
              <w:rPr>
                <w:rFonts w:eastAsia="MS Mincho"/>
                <w:lang w:eastAsia="zh-TW"/>
              </w:rPr>
              <w:t xml:space="preserve"> mēnesī (civiltiesiskās izmaksas atkarībā no nozares veido vidēji 25 </w:t>
            </w:r>
            <w:proofErr w:type="spellStart"/>
            <w:r w:rsidRPr="00D32D79">
              <w:rPr>
                <w:rFonts w:eastAsia="MS Mincho"/>
                <w:i/>
                <w:lang w:eastAsia="zh-TW"/>
              </w:rPr>
              <w:t>euro</w:t>
            </w:r>
            <w:proofErr w:type="spellEnd"/>
            <w:r w:rsidRPr="00D32D79">
              <w:rPr>
                <w:rFonts w:eastAsia="MS Mincho"/>
                <w:lang w:eastAsia="zh-TW"/>
              </w:rPr>
              <w:t xml:space="preserve"> kā vienreizēja izdevumu pozīcija, kā arī paredzot ceļa izdevumus 4-5 reizes mēnesī dodoties no akadēmiskā personāla dzīves vietas uz uzņēmumu un atpakaļ (pieņemot, ka pie degvielas patēriņa 10 litri uz 100 kilometriem, akadēmiskais personāls var doties uz stažēties uz uzņēmumu, kas atrodas līdz 125 kilometriem no akadēmiskā personāla dzīves vietas).</w:t>
            </w:r>
          </w:p>
          <w:p w14:paraId="6EB95655" w14:textId="7DBB05DA" w:rsidR="006235D3" w:rsidRPr="00D32D79" w:rsidRDefault="006235D3" w:rsidP="006235D3">
            <w:pPr>
              <w:ind w:firstLine="720"/>
              <w:jc w:val="both"/>
              <w:rPr>
                <w:rFonts w:eastAsia="MS Mincho"/>
                <w:lang w:eastAsia="zh-TW"/>
              </w:rPr>
            </w:pPr>
            <w:r w:rsidRPr="00D32D79">
              <w:rPr>
                <w:rFonts w:eastAsia="MS Mincho"/>
                <w:lang w:eastAsia="zh-TW"/>
              </w:rPr>
              <w:t xml:space="preserve">Profesionālās angļu valodas apguves izmaksas noteiktas atbilstoši Valsts administrācijas skolas noteiktajām izmaksām par kursa “Profesionālās angļu valodas mācības valsts pārvaldes darbiniekiem” apguvi, kas veido 300 </w:t>
            </w:r>
            <w:proofErr w:type="spellStart"/>
            <w:r w:rsidRPr="00D32D79">
              <w:rPr>
                <w:rFonts w:eastAsia="MS Mincho"/>
                <w:i/>
                <w:lang w:eastAsia="zh-TW"/>
              </w:rPr>
              <w:t>euro</w:t>
            </w:r>
            <w:proofErr w:type="spellEnd"/>
            <w:r w:rsidRPr="00D32D79">
              <w:rPr>
                <w:rFonts w:eastAsia="MS Mincho"/>
                <w:lang w:eastAsia="zh-TW"/>
              </w:rPr>
              <w:t xml:space="preserve"> bez pievienotās vērtības nodokļa 21% apmērā par 60 akadēmiskām stundām, kas veido 6,25 </w:t>
            </w:r>
            <w:proofErr w:type="spellStart"/>
            <w:r w:rsidRPr="00D32D79">
              <w:rPr>
                <w:rFonts w:eastAsia="MS Mincho"/>
                <w:i/>
                <w:lang w:eastAsia="zh-TW"/>
              </w:rPr>
              <w:t>euro</w:t>
            </w:r>
            <w:proofErr w:type="spellEnd"/>
            <w:r w:rsidRPr="00D32D79">
              <w:rPr>
                <w:rFonts w:eastAsia="MS Mincho"/>
                <w:lang w:eastAsia="zh-TW"/>
              </w:rPr>
              <w:t xml:space="preserve"> par vienu akadēmisko stundu. Tāpat paredzēts, ka profesionālās angļu valodas apmācības ilgums var sasniegt vienu gadu, paredzot profesionālās angļu valodas apguvei 18 akadēmiskās stundas mēnesī, kas kopā sastāda 216 akadēmiskās stundas kalendārajā gadā un veido nepieciešamo finansējumu profesionālās angļu valodas apguvei 1 350 </w:t>
            </w:r>
            <w:proofErr w:type="spellStart"/>
            <w:r w:rsidRPr="00D32D79">
              <w:rPr>
                <w:rFonts w:eastAsia="MS Mincho"/>
                <w:i/>
                <w:lang w:eastAsia="zh-TW"/>
              </w:rPr>
              <w:t>euro</w:t>
            </w:r>
            <w:proofErr w:type="spellEnd"/>
            <w:r w:rsidRPr="00D32D79">
              <w:rPr>
                <w:rFonts w:eastAsia="MS Mincho"/>
                <w:lang w:eastAsia="zh-TW"/>
              </w:rPr>
              <w:t xml:space="preserve"> apmērā.</w:t>
            </w:r>
          </w:p>
          <w:p w14:paraId="74475E48" w14:textId="495D92A0" w:rsidR="006235D3" w:rsidRDefault="006235D3" w:rsidP="006235D3">
            <w:pPr>
              <w:ind w:firstLine="720"/>
              <w:jc w:val="both"/>
              <w:rPr>
                <w:rFonts w:eastAsia="MS Mincho"/>
                <w:lang w:eastAsia="zh-TW"/>
              </w:rPr>
            </w:pPr>
            <w:r w:rsidRPr="00D32D79">
              <w:rPr>
                <w:rFonts w:eastAsia="MS Mincho"/>
                <w:lang w:eastAsia="zh-TW"/>
              </w:rPr>
              <w:t xml:space="preserve">Attiecībā uz valodas pamācībām norādām, ka tiek pieņemts, ka latviešu valodas apguves izmaksas neatšķiras no angļu valodas apguves izmaksām, un tiek pieņemts, ka sastāda 6,25 </w:t>
            </w:r>
            <w:proofErr w:type="spellStart"/>
            <w:r w:rsidRPr="00D32D79">
              <w:rPr>
                <w:rFonts w:eastAsia="MS Mincho"/>
                <w:i/>
                <w:lang w:eastAsia="zh-TW"/>
              </w:rPr>
              <w:t>euro</w:t>
            </w:r>
            <w:proofErr w:type="spellEnd"/>
            <w:r w:rsidRPr="00D32D79">
              <w:rPr>
                <w:rFonts w:eastAsia="MS Mincho"/>
                <w:lang w:eastAsia="zh-TW"/>
              </w:rPr>
              <w:t xml:space="preserve"> par vienu latviešu valodas apguves akadēmisko stundu jeb 1 350 </w:t>
            </w:r>
            <w:proofErr w:type="spellStart"/>
            <w:r w:rsidRPr="00D32D79">
              <w:rPr>
                <w:rFonts w:eastAsia="MS Mincho"/>
                <w:i/>
                <w:lang w:eastAsia="zh-TW"/>
              </w:rPr>
              <w:t>euro</w:t>
            </w:r>
            <w:proofErr w:type="spellEnd"/>
            <w:r w:rsidRPr="00D32D79">
              <w:rPr>
                <w:rFonts w:eastAsia="MS Mincho"/>
                <w:lang w:eastAsia="zh-TW"/>
              </w:rPr>
              <w:t xml:space="preserve"> kalendārajā gadā.</w:t>
            </w:r>
          </w:p>
          <w:p w14:paraId="538B7F57" w14:textId="1E1C164D" w:rsidR="00A17221" w:rsidRPr="00D32D79" w:rsidRDefault="00A17221" w:rsidP="006235D3">
            <w:pPr>
              <w:ind w:firstLine="720"/>
              <w:jc w:val="both"/>
              <w:rPr>
                <w:rFonts w:eastAsia="MS Mincho"/>
                <w:lang w:eastAsia="zh-TW"/>
              </w:rPr>
            </w:pPr>
            <w:r>
              <w:rPr>
                <w:rFonts w:eastAsia="MS Mincho"/>
                <w:lang w:eastAsia="zh-TW"/>
              </w:rPr>
              <w:t>S</w:t>
            </w:r>
            <w:r w:rsidRPr="00A17221">
              <w:rPr>
                <w:rFonts w:eastAsia="MS Mincho"/>
                <w:lang w:eastAsia="zh-TW"/>
              </w:rPr>
              <w:t>pecializēt</w:t>
            </w:r>
            <w:r>
              <w:rPr>
                <w:rFonts w:eastAsia="MS Mincho"/>
                <w:lang w:eastAsia="zh-TW"/>
              </w:rPr>
              <w:t>o</w:t>
            </w:r>
            <w:r w:rsidRPr="00A17221">
              <w:rPr>
                <w:rFonts w:eastAsia="MS Mincho"/>
                <w:lang w:eastAsia="zh-TW"/>
              </w:rPr>
              <w:t xml:space="preserve"> mācīb</w:t>
            </w:r>
            <w:r>
              <w:rPr>
                <w:rFonts w:eastAsia="MS Mincho"/>
                <w:lang w:eastAsia="zh-TW"/>
              </w:rPr>
              <w:t xml:space="preserve">u izmaksas nav definētas noteikumu projektā, bet attiecībā uz specializēto mācību izmaksu apjomu ir noteiks ierobežojums, </w:t>
            </w:r>
            <w:r w:rsidRPr="00A17221">
              <w:rPr>
                <w:rFonts w:eastAsia="MS Mincho"/>
                <w:lang w:eastAsia="zh-TW"/>
              </w:rPr>
              <w:t>kas paredz, ka specializēto mācību izmaksas nedrīkst pārsniegt 15 procentus no projekta kopējām attiecināmām izmaksām.</w:t>
            </w:r>
            <w:r>
              <w:rPr>
                <w:rFonts w:eastAsia="MS Mincho"/>
                <w:lang w:eastAsia="zh-TW"/>
              </w:rPr>
              <w:t xml:space="preserve"> Specializētās</w:t>
            </w:r>
            <w:r>
              <w:t xml:space="preserve"> </w:t>
            </w:r>
            <w:r w:rsidRPr="00A17221">
              <w:rPr>
                <w:rFonts w:eastAsia="MS Mincho"/>
                <w:lang w:eastAsia="zh-TW"/>
              </w:rPr>
              <w:t>mācības tiks iepirktas ievērojot iepirkumus reglamentējošu normatīvo aktu prasības</w:t>
            </w:r>
            <w:r>
              <w:rPr>
                <w:rFonts w:eastAsia="MS Mincho"/>
                <w:lang w:eastAsia="zh-TW"/>
              </w:rPr>
              <w:t xml:space="preserve"> un to</w:t>
            </w:r>
            <w:r w:rsidRPr="00A17221">
              <w:rPr>
                <w:rFonts w:eastAsia="MS Mincho"/>
                <w:lang w:eastAsia="zh-TW"/>
              </w:rPr>
              <w:t xml:space="preserve"> saturam ir jāatbilst AII stratēģijā noteiktiem mērķiem un jāsniedz ieguldīju</w:t>
            </w:r>
            <w:r>
              <w:rPr>
                <w:rFonts w:eastAsia="MS Mincho"/>
                <w:lang w:eastAsia="zh-TW"/>
              </w:rPr>
              <w:t>mus AII cilvēkresursu politikā.</w:t>
            </w:r>
          </w:p>
          <w:p w14:paraId="70D34686" w14:textId="480E208D" w:rsidR="00206C9D" w:rsidRPr="00D32D79" w:rsidRDefault="00206C9D" w:rsidP="00206C9D">
            <w:pPr>
              <w:ind w:firstLine="720"/>
              <w:jc w:val="both"/>
              <w:rPr>
                <w:rFonts w:eastAsia="MS Mincho"/>
                <w:lang w:eastAsia="zh-TW"/>
              </w:rPr>
            </w:pPr>
            <w:r w:rsidRPr="00D32D79">
              <w:rPr>
                <w:rFonts w:eastAsia="MS Mincho"/>
                <w:u w:val="single"/>
                <w:lang w:eastAsia="zh-TW"/>
              </w:rPr>
              <w:t xml:space="preserve">Pirmo </w:t>
            </w:r>
            <w:r w:rsidR="00017940" w:rsidRPr="00D32D79">
              <w:rPr>
                <w:rFonts w:eastAsia="MS Mincho"/>
                <w:u w:val="single"/>
                <w:lang w:eastAsia="zh-TW"/>
              </w:rPr>
              <w:t>kārtu</w:t>
            </w:r>
            <w:r w:rsidR="00017940" w:rsidRPr="00D32D79">
              <w:rPr>
                <w:rFonts w:eastAsia="MS Mincho"/>
                <w:lang w:eastAsia="zh-TW"/>
              </w:rPr>
              <w:t xml:space="preserve"> </w:t>
            </w:r>
            <w:r w:rsidRPr="00D32D79">
              <w:rPr>
                <w:rFonts w:eastAsia="MS Mincho"/>
                <w:lang w:eastAsia="zh-TW"/>
              </w:rPr>
              <w:t>īsteno atklātas projektu iesniegumu atlases veidā, un projekta iesniedzēji (finansējuma saņēmēji) ir augstākas izglītības institūcijas (gan valsts, gan juridisko personu dibinātās). Projekta iesniedzējs var iesniegt vienu vai vairākus projektu iesniegumus, ievērojot, ka vienā projekta iesniegumā var paredzēt investīcijas vienā vai vairākos studiju virzienos.</w:t>
            </w:r>
          </w:p>
          <w:p w14:paraId="401F5AC9" w14:textId="2577C075" w:rsidR="00017940" w:rsidRPr="00D32D79" w:rsidRDefault="00017940" w:rsidP="00206C9D">
            <w:pPr>
              <w:ind w:firstLine="720"/>
              <w:jc w:val="both"/>
              <w:rPr>
                <w:rFonts w:eastAsia="MS Mincho"/>
                <w:lang w:eastAsia="zh-TW"/>
              </w:rPr>
            </w:pPr>
            <w:r w:rsidRPr="00D32D79">
              <w:rPr>
                <w:rFonts w:eastAsia="MS Mincho"/>
                <w:lang w:eastAsia="zh-TW"/>
              </w:rPr>
              <w:t xml:space="preserve">Pirmajai kārtai pieejamais kopējais attiecināmais finansējums ir 20 340 686 </w:t>
            </w:r>
            <w:proofErr w:type="spellStart"/>
            <w:r w:rsidRPr="00D32D79">
              <w:rPr>
                <w:rFonts w:eastAsia="MS Mincho"/>
                <w:i/>
                <w:lang w:eastAsia="zh-TW"/>
              </w:rPr>
              <w:t>euro</w:t>
            </w:r>
            <w:proofErr w:type="spellEnd"/>
            <w:r w:rsidRPr="00D32D79">
              <w:rPr>
                <w:rFonts w:eastAsia="MS Mincho"/>
                <w:lang w:eastAsia="zh-TW"/>
              </w:rPr>
              <w:t xml:space="preserve">, ko veido Eiropas Sociālā fonda finansējums 17 289 583 </w:t>
            </w:r>
            <w:proofErr w:type="spellStart"/>
            <w:r w:rsidRPr="00D32D79">
              <w:rPr>
                <w:rFonts w:eastAsia="MS Mincho"/>
                <w:i/>
                <w:lang w:eastAsia="zh-TW"/>
              </w:rPr>
              <w:t>euro</w:t>
            </w:r>
            <w:proofErr w:type="spellEnd"/>
            <w:r w:rsidRPr="00D32D79">
              <w:rPr>
                <w:rFonts w:eastAsia="MS Mincho"/>
                <w:lang w:eastAsia="zh-TW"/>
              </w:rPr>
              <w:t xml:space="preserve"> un valsts budžeta līdzfinansējums 3 051 103 </w:t>
            </w:r>
            <w:proofErr w:type="spellStart"/>
            <w:r w:rsidRPr="00D32D79">
              <w:rPr>
                <w:rFonts w:eastAsia="MS Mincho"/>
                <w:i/>
                <w:lang w:eastAsia="zh-TW"/>
              </w:rPr>
              <w:t>euro</w:t>
            </w:r>
            <w:proofErr w:type="spellEnd"/>
            <w:r w:rsidRPr="00D32D79">
              <w:rPr>
                <w:rFonts w:eastAsia="MS Mincho"/>
                <w:lang w:eastAsia="zh-TW"/>
              </w:rPr>
              <w:t>.</w:t>
            </w:r>
          </w:p>
          <w:p w14:paraId="1A58A627" w14:textId="3A7DD87B" w:rsidR="004A4CB1" w:rsidRPr="00D32D79" w:rsidRDefault="00017940" w:rsidP="002C7D19">
            <w:pPr>
              <w:ind w:firstLine="720"/>
              <w:jc w:val="both"/>
              <w:rPr>
                <w:color w:val="000000" w:themeColor="text1"/>
              </w:rPr>
            </w:pPr>
            <w:r w:rsidRPr="00D32D79">
              <w:rPr>
                <w:rFonts w:eastAsia="MS Mincho"/>
                <w:lang w:eastAsia="zh-TW"/>
              </w:rPr>
              <w:t>Noteikumu projekts paredz, ka projekta vadības personālu</w:t>
            </w:r>
            <w:r w:rsidR="00C41835" w:rsidRPr="00D32D79">
              <w:rPr>
                <w:rFonts w:eastAsia="MS Mincho"/>
                <w:lang w:eastAsia="zh-TW"/>
              </w:rPr>
              <w:t xml:space="preserve"> un projekta īstenošanas personālu </w:t>
            </w:r>
            <w:r w:rsidRPr="00D32D79">
              <w:rPr>
                <w:rFonts w:eastAsia="MS Mincho"/>
                <w:lang w:eastAsia="zh-TW"/>
              </w:rPr>
              <w:t>var piesaistīt gan uz darba līguma pamata, gan uz uzņēmuma līguma pamata</w:t>
            </w:r>
            <w:r w:rsidR="00C41835" w:rsidRPr="00D32D79">
              <w:rPr>
                <w:rFonts w:eastAsia="MS Mincho"/>
                <w:lang w:eastAsia="zh-TW"/>
              </w:rPr>
              <w:t xml:space="preserve"> (šādā gadījumā tās būs attiecināms uz pakalpojuma izmaksām)</w:t>
            </w:r>
            <w:r w:rsidRPr="00D32D79">
              <w:rPr>
                <w:rFonts w:eastAsia="MS Mincho"/>
                <w:lang w:eastAsia="zh-TW"/>
              </w:rPr>
              <w:t>.</w:t>
            </w:r>
            <w:r w:rsidR="00E65E38" w:rsidRPr="00D32D79">
              <w:rPr>
                <w:rFonts w:eastAsia="MS Mincho"/>
                <w:lang w:eastAsia="zh-TW"/>
              </w:rPr>
              <w:t xml:space="preserve"> A</w:t>
            </w:r>
            <w:r w:rsidR="00E65E38" w:rsidRPr="00D32D79">
              <w:rPr>
                <w:color w:val="000000" w:themeColor="text1"/>
              </w:rPr>
              <w:t>ttiecināmajās izmaksās ir  iekļautas iekšzemes komandējumu un darba braucienu izma</w:t>
            </w:r>
            <w:r w:rsidR="009C368C">
              <w:rPr>
                <w:color w:val="000000" w:themeColor="text1"/>
              </w:rPr>
              <w:t>ksas projekta vadības un īstenošanas personālam</w:t>
            </w:r>
            <w:r w:rsidR="00E65E38" w:rsidRPr="00D32D79">
              <w:rPr>
                <w:color w:val="000000" w:themeColor="text1"/>
              </w:rPr>
              <w:t>.</w:t>
            </w:r>
          </w:p>
          <w:p w14:paraId="1F83B442" w14:textId="223E403B" w:rsidR="00017940" w:rsidRPr="00D32D79" w:rsidRDefault="00FE5D7D" w:rsidP="00D32D79">
            <w:pPr>
              <w:ind w:firstLine="720"/>
              <w:jc w:val="both"/>
              <w:rPr>
                <w:rFonts w:eastAsia="MS Mincho"/>
                <w:lang w:eastAsia="zh-TW"/>
              </w:rPr>
            </w:pPr>
            <w:r w:rsidRPr="00D32D79">
              <w:rPr>
                <w:rFonts w:eastAsia="MS Mincho"/>
                <w:lang w:eastAsia="zh-TW"/>
              </w:rPr>
              <w:t>Projekta vadības personāla galvenie uzdevumi ir nodrošināt projekta dalībnieku atlasi (doktorantu, ārvalstu akadēmiskā personāla un komersantu) un līgumu slēgšanu ar atlasē izvēlētiem pretendentiem par dalību projektā, nodrošināt atbilstošu dokumentācijas apriti starp projektā iesaistītām pusēm, kā arī nodrošināt projektā paredzēto finanšu un rādītāju sasniegšanu.</w:t>
            </w:r>
          </w:p>
          <w:p w14:paraId="1F8D01A2" w14:textId="5451E7F3" w:rsidR="00B63A13" w:rsidRPr="00D32D79" w:rsidRDefault="006C4279" w:rsidP="00206C9D">
            <w:pPr>
              <w:tabs>
                <w:tab w:val="left" w:pos="426"/>
                <w:tab w:val="left" w:pos="1134"/>
              </w:tabs>
              <w:ind w:firstLine="516"/>
              <w:jc w:val="both"/>
              <w:rPr>
                <w:rFonts w:eastAsia="MS Mincho"/>
                <w:u w:val="single"/>
                <w:lang w:eastAsia="zh-TW"/>
              </w:rPr>
            </w:pPr>
            <w:r w:rsidRPr="00D32D79">
              <w:rPr>
                <w:rFonts w:eastAsia="MS Mincho"/>
                <w:lang w:eastAsia="zh-TW"/>
              </w:rPr>
              <w:t>Projekta īstenošanas personāla galvenie uzdevumi ir nodrošināt projekta dalībnieku koordināciju (sarakste, nepieciešamo dokumentu apmaiņu), sagaidīšanu (piemēram, ārvalstu akadēmiskā personālu Rīgas lidostā, jo ne visas AII atrodas Rīgā) un nodrošināšanu ar visu nepieciešamo, lai projekta dalībnieki varētu veikt tiem projektā paredzētās darbības. Kā arī palīdzēt ārvalstu akadēmiskajam personālam ar sadzīvisku problēmu risināšanu, ja nepieciešamas, uzturēšanās atļauju un darba vīzu kārtošana, atbalsts dzīves vietas jautājumu risināšanā. Risināt tehniskus un organizatoriskus jautājumus, kas saistīti ar doktorantu un ārvalstu pasniedzēju akadēmisko darbību, stažēšanās pasākumu, latviešu un profesionālās angļu valodas mācībām un specializēto mācību nodrošināšanu.</w:t>
            </w:r>
          </w:p>
          <w:p w14:paraId="74457205" w14:textId="61038F39" w:rsidR="00206C9D" w:rsidRPr="00D32D79" w:rsidRDefault="00206C9D" w:rsidP="00206C9D">
            <w:pPr>
              <w:tabs>
                <w:tab w:val="left" w:pos="426"/>
                <w:tab w:val="left" w:pos="1134"/>
              </w:tabs>
              <w:ind w:firstLine="516"/>
              <w:jc w:val="both"/>
              <w:rPr>
                <w:rFonts w:eastAsia="MS Mincho"/>
                <w:lang w:eastAsia="zh-TW"/>
              </w:rPr>
            </w:pPr>
            <w:r w:rsidRPr="00D32D79">
              <w:rPr>
                <w:rFonts w:eastAsia="MS Mincho"/>
                <w:u w:val="single"/>
                <w:lang w:eastAsia="zh-TW"/>
              </w:rPr>
              <w:t>Otro kārtu</w:t>
            </w:r>
            <w:r w:rsidRPr="00D32D79">
              <w:rPr>
                <w:rFonts w:eastAsia="MS Mincho"/>
                <w:lang w:eastAsia="zh-TW"/>
              </w:rPr>
              <w:t xml:space="preserve"> īsteno ierobežotas projektu iesniegumu atlases veidā. Otrās kārtas ietvaros projekta iesniedzēji (finansējuma saņēmēji) ir tās augstākās izglītības institūcijas, kas īsteno pedagogu  izglītības studiju programmas – Latvijas Universitāte, Daugavpils Universitāte, Liepājas Universitāte, Rēzeknes Tehnoloģiju akadēmija, Jāzepa Vītola Latvijas Mūzikas akadēmija un Latvijas Sporta pedagoģijas akadēmija. </w:t>
            </w:r>
          </w:p>
          <w:p w14:paraId="27342706" w14:textId="54BEFC17" w:rsidR="00206C9D" w:rsidRPr="00D32D79" w:rsidRDefault="00206C9D" w:rsidP="00206C9D">
            <w:pPr>
              <w:ind w:firstLine="551"/>
              <w:jc w:val="both"/>
              <w:outlineLvl w:val="0"/>
              <w:rPr>
                <w:rFonts w:eastAsia="MS Mincho"/>
                <w:lang w:eastAsia="zh-TW"/>
              </w:rPr>
            </w:pPr>
            <w:r w:rsidRPr="00D32D79">
              <w:rPr>
                <w:rFonts w:eastAsia="MS Mincho"/>
                <w:lang w:eastAsia="zh-TW"/>
              </w:rPr>
              <w:t>Otrajā kārtā katrs projekta iesniedzējs iesniedz vienu projekta iesniegumu, kurā iekļaut tikai Izglītība, pedagoģija un sports studiju virzienā visas plānotās aktivitātes.</w:t>
            </w:r>
          </w:p>
          <w:p w14:paraId="077B5F89" w14:textId="4253E75C" w:rsidR="00017940" w:rsidRPr="00D32D79" w:rsidRDefault="00017940" w:rsidP="00017940">
            <w:pPr>
              <w:ind w:firstLine="551"/>
              <w:jc w:val="both"/>
              <w:outlineLvl w:val="0"/>
              <w:rPr>
                <w:rFonts w:eastAsia="MS Mincho"/>
                <w:lang w:eastAsia="zh-TW"/>
              </w:rPr>
            </w:pPr>
            <w:r w:rsidRPr="00D32D79">
              <w:rPr>
                <w:rFonts w:eastAsia="MS Mincho"/>
                <w:u w:val="single"/>
                <w:lang w:eastAsia="zh-TW"/>
              </w:rPr>
              <w:t>Otrajai kārtai</w:t>
            </w:r>
            <w:r w:rsidRPr="00D32D79">
              <w:rPr>
                <w:rFonts w:eastAsia="MS Mincho"/>
                <w:lang w:eastAsia="zh-TW"/>
              </w:rPr>
              <w:t xml:space="preserve"> pieejamais kopējais attiecināmais finansējums ir 4 000 000 </w:t>
            </w:r>
            <w:proofErr w:type="spellStart"/>
            <w:r w:rsidRPr="00D32D79">
              <w:rPr>
                <w:rFonts w:eastAsia="MS Mincho"/>
                <w:lang w:eastAsia="zh-TW"/>
              </w:rPr>
              <w:t>euro</w:t>
            </w:r>
            <w:proofErr w:type="spellEnd"/>
            <w:r w:rsidRPr="00D32D79">
              <w:rPr>
                <w:rFonts w:eastAsia="MS Mincho"/>
                <w:lang w:eastAsia="zh-TW"/>
              </w:rPr>
              <w:t xml:space="preserve">, ko veido Eiropas Sociālā fonda finansējums 3 400 000 </w:t>
            </w:r>
            <w:proofErr w:type="spellStart"/>
            <w:r w:rsidRPr="00D32D79">
              <w:rPr>
                <w:rFonts w:eastAsia="MS Mincho"/>
                <w:i/>
                <w:lang w:eastAsia="zh-TW"/>
              </w:rPr>
              <w:t>euro</w:t>
            </w:r>
            <w:proofErr w:type="spellEnd"/>
            <w:r w:rsidRPr="00D32D79">
              <w:rPr>
                <w:rFonts w:eastAsia="MS Mincho"/>
                <w:lang w:eastAsia="zh-TW"/>
              </w:rPr>
              <w:t xml:space="preserve"> un valsts budžeta līdzfinansējums 600 000 </w:t>
            </w:r>
            <w:proofErr w:type="spellStart"/>
            <w:r w:rsidRPr="00D32D79">
              <w:rPr>
                <w:rFonts w:eastAsia="MS Mincho"/>
                <w:i/>
                <w:lang w:eastAsia="zh-TW"/>
              </w:rPr>
              <w:t>euro</w:t>
            </w:r>
            <w:proofErr w:type="spellEnd"/>
            <w:r w:rsidRPr="00D32D79">
              <w:rPr>
                <w:rFonts w:eastAsia="MS Mincho"/>
                <w:lang w:eastAsia="zh-TW"/>
              </w:rPr>
              <w:t>.</w:t>
            </w:r>
          </w:p>
          <w:p w14:paraId="01B45EE3" w14:textId="7F77674B" w:rsidR="005C15AF" w:rsidRPr="00D32D79" w:rsidRDefault="005C15AF" w:rsidP="005C15AF">
            <w:pPr>
              <w:ind w:firstLine="551"/>
              <w:jc w:val="both"/>
              <w:rPr>
                <w:rFonts w:eastAsia="MS Mincho"/>
                <w:lang w:eastAsia="zh-TW"/>
              </w:rPr>
            </w:pPr>
            <w:r w:rsidRPr="00D32D79">
              <w:rPr>
                <w:rFonts w:eastAsia="MS Mincho"/>
                <w:lang w:eastAsia="zh-TW"/>
              </w:rPr>
              <w:t xml:space="preserve">Otrās kārtas ietvaros projektu iesniedzēji projektus atbilstoši to izstrādātam pedagoģijas izglītības attīstības plānam, kurš savukārt būs saskaņots ar Pedagoģijas izglītības </w:t>
            </w:r>
            <w:proofErr w:type="spellStart"/>
            <w:r w:rsidRPr="00D32D79">
              <w:rPr>
                <w:rFonts w:eastAsia="MS Mincho"/>
                <w:lang w:eastAsia="zh-TW"/>
              </w:rPr>
              <w:t>jaunveides</w:t>
            </w:r>
            <w:proofErr w:type="spellEnd"/>
            <w:r w:rsidRPr="00D32D79">
              <w:rPr>
                <w:rFonts w:eastAsia="MS Mincho"/>
                <w:lang w:eastAsia="zh-TW"/>
              </w:rPr>
              <w:t xml:space="preserve"> konsultatīvo padomi.</w:t>
            </w:r>
          </w:p>
          <w:p w14:paraId="33988AD8" w14:textId="321B80CE" w:rsidR="005C15AF" w:rsidRPr="00D32D79" w:rsidRDefault="005C15AF" w:rsidP="005C15AF">
            <w:pPr>
              <w:ind w:firstLine="551"/>
              <w:jc w:val="both"/>
              <w:rPr>
                <w:rFonts w:eastAsia="MS Mincho"/>
                <w:lang w:eastAsia="zh-TW"/>
              </w:rPr>
            </w:pPr>
            <w:r w:rsidRPr="00D32D79">
              <w:rPr>
                <w:rFonts w:eastAsia="MS Mincho"/>
                <w:lang w:eastAsia="zh-TW"/>
              </w:rPr>
              <w:t xml:space="preserve">Noteikumu projekts paredz, ka Pedagoģijas izglītības </w:t>
            </w:r>
            <w:proofErr w:type="spellStart"/>
            <w:r w:rsidRPr="00D32D79">
              <w:rPr>
                <w:rFonts w:eastAsia="MS Mincho"/>
                <w:lang w:eastAsia="zh-TW"/>
              </w:rPr>
              <w:t>jaunveides</w:t>
            </w:r>
            <w:proofErr w:type="spellEnd"/>
            <w:r w:rsidRPr="00D32D79">
              <w:rPr>
                <w:rFonts w:eastAsia="MS Mincho"/>
                <w:lang w:eastAsia="zh-TW"/>
              </w:rPr>
              <w:t xml:space="preserve"> konsultatīvo padomi izveido IZM, un tās sastāvā ir iekļauti IZM, Latvijas Nacionālā kultūras centra, Latvijas Studentu apvienības, nodibinājuma „Iespējamā misija” pārstāvji, darbības programmas „Izaugsme un nodarbinātība” 8.3.1. specifiskā atbalsta mērķa „Attīstīt kompetenču pieejā balstītu vispārējās izglītības saturu” 8.3.1.1. pasākuma „Kompetenču pieejā balstīta vispārējās izglītības satura aprobācija un ieviešana” ietvaros Valsts izglītības satura centra īstenotā projekta „Kompetenču pieeja mācību saturā” un nozares eksperti. </w:t>
            </w:r>
            <w:r w:rsidR="00E23CB7" w:rsidRPr="00E23CB7">
              <w:rPr>
                <w:rFonts w:eastAsia="MS Mincho"/>
                <w:lang w:eastAsia="zh-TW"/>
              </w:rPr>
              <w:t xml:space="preserve">Pedagoģijas izglītības </w:t>
            </w:r>
            <w:proofErr w:type="spellStart"/>
            <w:r w:rsidR="00E23CB7" w:rsidRPr="00E23CB7">
              <w:rPr>
                <w:rFonts w:eastAsia="MS Mincho"/>
                <w:lang w:eastAsia="zh-TW"/>
              </w:rPr>
              <w:t>jaunveides</w:t>
            </w:r>
            <w:proofErr w:type="spellEnd"/>
            <w:r w:rsidR="00E23CB7" w:rsidRPr="00E23CB7">
              <w:rPr>
                <w:rFonts w:eastAsia="MS Mincho"/>
                <w:lang w:eastAsia="zh-TW"/>
              </w:rPr>
              <w:t xml:space="preserve"> konsultatīvās padomes darbībai finansējums nav nepieciešams.</w:t>
            </w:r>
          </w:p>
          <w:p w14:paraId="62C31F75" w14:textId="0299FFFC" w:rsidR="004A4CB1" w:rsidRPr="00D32D79" w:rsidRDefault="009B0C5C" w:rsidP="00FE5D7D">
            <w:pPr>
              <w:ind w:firstLine="551"/>
              <w:jc w:val="both"/>
              <w:rPr>
                <w:rFonts w:eastAsia="MS Mincho"/>
                <w:lang w:eastAsia="zh-TW"/>
              </w:rPr>
            </w:pPr>
            <w:r w:rsidRPr="00D32D79">
              <w:rPr>
                <w:rFonts w:eastAsia="MS Mincho"/>
                <w:lang w:eastAsia="zh-TW"/>
              </w:rPr>
              <w:t>Noteikumu projekts paredz, ka projekta vadības personālu un projekta īstenošanas personālu var piesaistīt gan uz darba līguma pamata, gan uz uzņēmuma līguma pamata (šādā gadījumā tās būs attiecināms uz pakalpojuma izmaksām). Attiecināmajās izmaksās ir  iekļautas iekšzemes komandējumu un darba braucienu izmaksas projekta vadības</w:t>
            </w:r>
            <w:r w:rsidR="009C368C">
              <w:rPr>
                <w:rFonts w:eastAsia="MS Mincho"/>
                <w:lang w:eastAsia="zh-TW"/>
              </w:rPr>
              <w:t xml:space="preserve"> un īstenošanas</w:t>
            </w:r>
            <w:r w:rsidRPr="00D32D79">
              <w:rPr>
                <w:rFonts w:eastAsia="MS Mincho"/>
                <w:lang w:eastAsia="zh-TW"/>
              </w:rPr>
              <w:t xml:space="preserve"> personālam.</w:t>
            </w:r>
          </w:p>
          <w:p w14:paraId="74B13CC4" w14:textId="653C38EE" w:rsidR="00FE5D7D" w:rsidRPr="00D32D79" w:rsidRDefault="00FE5D7D" w:rsidP="00FE5D7D">
            <w:pPr>
              <w:ind w:firstLine="551"/>
              <w:jc w:val="both"/>
              <w:rPr>
                <w:rFonts w:eastAsia="MS Mincho"/>
                <w:lang w:eastAsia="zh-TW"/>
              </w:rPr>
            </w:pPr>
            <w:r w:rsidRPr="00D32D79">
              <w:rPr>
                <w:rFonts w:eastAsia="MS Mincho"/>
                <w:lang w:eastAsia="zh-TW"/>
              </w:rPr>
              <w:t>Projekta vadības personāla galvenie uzdevumi ir nodrošināt projekta dalībnieku atlasi (doktorantu, ārvalstu akadēmiskā personāla un izglītības iestāžu) un līgumu slēgšanu ar atlasē izvēlētiem pretendentiem par dalību projektā, nodrošināt atbilstošu dokumentācijas apriti starp projektā iesaistītām pusēm, kā arī nodrošināt projektā paredzēto finanšu un rādītāju sasniegšanu.</w:t>
            </w:r>
          </w:p>
          <w:p w14:paraId="42B9C107" w14:textId="474F614B" w:rsidR="00A905E2" w:rsidRPr="00D32D79" w:rsidRDefault="00A905E2" w:rsidP="00FE5D7D">
            <w:pPr>
              <w:ind w:firstLine="551"/>
              <w:jc w:val="both"/>
              <w:rPr>
                <w:rFonts w:eastAsia="MS Mincho"/>
                <w:lang w:eastAsia="zh-TW"/>
              </w:rPr>
            </w:pPr>
            <w:r w:rsidRPr="00D32D79">
              <w:rPr>
                <w:rFonts w:eastAsia="MS Mincho"/>
                <w:lang w:eastAsia="zh-TW"/>
              </w:rPr>
              <w:t>Projekta īstenošanas personāla galvenie uzdevumi ir nodrošināt projekta dalībnieku koordināciju, sagaidīšanu un nodrošināšanu ar visu nepieciešamo, lai projekta dalībnieki varētu veikt tiem projektā paredzētās darbības. Piemēram, palīdzētu ārvalstu akadēmiskajam personālam ar sadzīvisku problēmu risināšanu, uzturēšanās  un darba vīzu atļauju kārtošana, ja nepieciešamas, sniegt atbalstu, ja nepieciešamas, dzīves vietas jautājumu risināšanā. Risināt tehniskus un organizatoriskus jautājumus, kas saistīti ar stažēšanās pasākumu, latviešu un profesionālās angļu valodas mācībām un specializēto mācību nodrošināšanu.</w:t>
            </w:r>
          </w:p>
          <w:p w14:paraId="10C6491B" w14:textId="593FE6B5" w:rsidR="00017940" w:rsidRPr="00D32D79" w:rsidRDefault="00017940" w:rsidP="00017940">
            <w:pPr>
              <w:ind w:firstLine="720"/>
              <w:jc w:val="both"/>
              <w:rPr>
                <w:rFonts w:eastAsia="MS Mincho"/>
                <w:lang w:eastAsia="zh-TW"/>
              </w:rPr>
            </w:pPr>
            <w:r w:rsidRPr="00D32D79">
              <w:rPr>
                <w:rFonts w:eastAsia="MS Mincho"/>
                <w:u w:val="single"/>
                <w:lang w:eastAsia="zh-TW"/>
              </w:rPr>
              <w:t>Trešo kārtu</w:t>
            </w:r>
            <w:r w:rsidRPr="00D32D79">
              <w:rPr>
                <w:rFonts w:eastAsia="MS Mincho"/>
                <w:lang w:eastAsia="zh-TW"/>
              </w:rPr>
              <w:t xml:space="preserve"> īsteno atklātas projektu iesniegumu atlases veidā, un projekta iesniedzēji (finansējuma saņēmēji) ir augstākas izglītības institūcijas (gan valsts, gan juridisko personu dibinātās). Projekta iesniedzējs var iesniegt vienu vai vairākus projektu iesniegumus, ievērojot, ka vienā projekta iesniegumā var paredzēt investīcijas vienā vai vairākos studiju virzienos.</w:t>
            </w:r>
          </w:p>
          <w:p w14:paraId="588C900B" w14:textId="77777777" w:rsidR="00206C9D" w:rsidRPr="00D32D79" w:rsidRDefault="00206C9D" w:rsidP="00206C9D">
            <w:pPr>
              <w:ind w:firstLine="720"/>
              <w:jc w:val="both"/>
              <w:rPr>
                <w:rFonts w:eastAsia="MS Mincho"/>
                <w:lang w:eastAsia="zh-TW"/>
              </w:rPr>
            </w:pPr>
            <w:r w:rsidRPr="00D32D79">
              <w:rPr>
                <w:rFonts w:eastAsia="MS Mincho"/>
                <w:u w:val="single"/>
                <w:lang w:eastAsia="zh-TW"/>
              </w:rPr>
              <w:t>Trešajai kārtai</w:t>
            </w:r>
            <w:r w:rsidRPr="00D32D79">
              <w:rPr>
                <w:rFonts w:eastAsia="MS Mincho"/>
                <w:lang w:eastAsia="zh-TW"/>
              </w:rPr>
              <w:t xml:space="preserve"> plānotais kopējais attiecināmais finansējums ir 10 000 000 </w:t>
            </w:r>
            <w:proofErr w:type="spellStart"/>
            <w:r w:rsidRPr="00D32D79">
              <w:rPr>
                <w:rFonts w:eastAsia="MS Mincho"/>
                <w:i/>
                <w:lang w:eastAsia="zh-TW"/>
              </w:rPr>
              <w:t>euro</w:t>
            </w:r>
            <w:proofErr w:type="spellEnd"/>
            <w:r w:rsidRPr="00D32D79">
              <w:rPr>
                <w:rFonts w:eastAsia="MS Mincho"/>
                <w:lang w:eastAsia="zh-TW"/>
              </w:rPr>
              <w:t xml:space="preserve">, ko veido Eiropas Sociālā fonda finansējums  8 500 000  </w:t>
            </w:r>
            <w:proofErr w:type="spellStart"/>
            <w:r w:rsidRPr="00D32D79">
              <w:rPr>
                <w:rFonts w:eastAsia="MS Mincho"/>
                <w:i/>
                <w:lang w:eastAsia="zh-TW"/>
              </w:rPr>
              <w:t>euro</w:t>
            </w:r>
            <w:proofErr w:type="spellEnd"/>
            <w:r w:rsidRPr="00D32D79">
              <w:rPr>
                <w:rFonts w:eastAsia="MS Mincho"/>
                <w:lang w:eastAsia="zh-TW"/>
              </w:rPr>
              <w:t xml:space="preserve"> un valsts budžeta līdzfinansējums  1 500 000 </w:t>
            </w:r>
            <w:proofErr w:type="spellStart"/>
            <w:r w:rsidRPr="00D32D79">
              <w:rPr>
                <w:rFonts w:eastAsia="MS Mincho"/>
                <w:i/>
                <w:lang w:eastAsia="zh-TW"/>
              </w:rPr>
              <w:t>euro</w:t>
            </w:r>
            <w:proofErr w:type="spellEnd"/>
            <w:r w:rsidRPr="00D32D79">
              <w:rPr>
                <w:rFonts w:eastAsia="MS Mincho"/>
                <w:lang w:eastAsia="zh-TW"/>
              </w:rPr>
              <w:t>.</w:t>
            </w:r>
          </w:p>
          <w:p w14:paraId="237ED77B" w14:textId="77777777" w:rsidR="00206C9D" w:rsidRPr="00D32D79" w:rsidRDefault="00206C9D" w:rsidP="00206C9D">
            <w:pPr>
              <w:ind w:firstLine="720"/>
              <w:jc w:val="both"/>
              <w:rPr>
                <w:rFonts w:eastAsia="MS Mincho"/>
                <w:lang w:eastAsia="zh-TW"/>
              </w:rPr>
            </w:pPr>
            <w:r w:rsidRPr="00D32D79">
              <w:rPr>
                <w:rFonts w:eastAsia="MS Mincho"/>
                <w:lang w:eastAsia="zh-TW"/>
              </w:rPr>
              <w:t>Trešo kārtu paredzēts izsludināt līdz 2019.gada 31.decembrim.</w:t>
            </w:r>
          </w:p>
          <w:p w14:paraId="541D4939" w14:textId="77777777" w:rsidR="00206C9D" w:rsidRPr="00D32D79" w:rsidRDefault="00206C9D" w:rsidP="00206C9D">
            <w:pPr>
              <w:ind w:firstLine="720"/>
              <w:jc w:val="both"/>
              <w:rPr>
                <w:rFonts w:eastAsia="MS Mincho"/>
                <w:lang w:eastAsia="zh-TW"/>
              </w:rPr>
            </w:pPr>
            <w:r w:rsidRPr="00D32D79">
              <w:rPr>
                <w:rFonts w:eastAsia="MS Mincho"/>
                <w:lang w:eastAsia="zh-TW"/>
              </w:rPr>
              <w:t xml:space="preserve">Trešajai atlases kārtai pieejamais kopējais attiecināmais finansējums, lai slēgtu vienošanos vai līgumu par projektu īstenošanu, līdz 2018. gada 31. decembrim ir 7 864 515 </w:t>
            </w:r>
            <w:proofErr w:type="spellStart"/>
            <w:r w:rsidRPr="00D32D79">
              <w:rPr>
                <w:rFonts w:eastAsia="MS Mincho"/>
                <w:i/>
                <w:lang w:eastAsia="zh-TW"/>
              </w:rPr>
              <w:t>euro</w:t>
            </w:r>
            <w:proofErr w:type="spellEnd"/>
            <w:r w:rsidRPr="00D32D79">
              <w:rPr>
                <w:rFonts w:eastAsia="MS Mincho"/>
                <w:lang w:eastAsia="zh-TW"/>
              </w:rPr>
              <w:t xml:space="preserve">, tai skaitā ESF finansējums – 6 684 838 </w:t>
            </w:r>
            <w:proofErr w:type="spellStart"/>
            <w:r w:rsidRPr="00D32D79">
              <w:rPr>
                <w:rFonts w:eastAsia="MS Mincho"/>
                <w:i/>
                <w:lang w:eastAsia="zh-TW"/>
              </w:rPr>
              <w:t>euro</w:t>
            </w:r>
            <w:proofErr w:type="spellEnd"/>
            <w:r w:rsidRPr="00D32D79">
              <w:rPr>
                <w:rFonts w:eastAsia="MS Mincho"/>
                <w:lang w:eastAsia="zh-TW"/>
              </w:rPr>
              <w:t xml:space="preserve"> un valsts budžeta līdzfinansējums – 1 179 677 </w:t>
            </w:r>
            <w:proofErr w:type="spellStart"/>
            <w:r w:rsidRPr="00D32D79">
              <w:rPr>
                <w:rFonts w:eastAsia="MS Mincho"/>
                <w:i/>
                <w:lang w:eastAsia="zh-TW"/>
              </w:rPr>
              <w:t>euro</w:t>
            </w:r>
            <w:proofErr w:type="spellEnd"/>
            <w:r w:rsidRPr="00D32D79">
              <w:rPr>
                <w:rFonts w:eastAsia="MS Mincho"/>
                <w:lang w:eastAsia="zh-TW"/>
              </w:rPr>
              <w:t xml:space="preserve">. 8.2.2. SAM ietvaros tiek plānots snieguma rezerves finansējums 2 135 485 </w:t>
            </w:r>
            <w:proofErr w:type="spellStart"/>
            <w:r w:rsidRPr="00D32D79">
              <w:rPr>
                <w:rFonts w:eastAsia="MS Mincho"/>
                <w:i/>
                <w:lang w:eastAsia="zh-TW"/>
              </w:rPr>
              <w:t>euro</w:t>
            </w:r>
            <w:proofErr w:type="spellEnd"/>
            <w:r w:rsidRPr="00D32D79">
              <w:rPr>
                <w:rFonts w:eastAsia="MS Mincho"/>
                <w:lang w:eastAsia="zh-TW"/>
              </w:rPr>
              <w:t xml:space="preserve"> apmērā, tajā skaitā ESF finansējums 1 815 162 </w:t>
            </w:r>
            <w:proofErr w:type="spellStart"/>
            <w:r w:rsidRPr="00D32D79">
              <w:rPr>
                <w:rFonts w:eastAsia="MS Mincho"/>
                <w:i/>
                <w:lang w:eastAsia="zh-TW"/>
              </w:rPr>
              <w:t>euro</w:t>
            </w:r>
            <w:proofErr w:type="spellEnd"/>
            <w:r w:rsidRPr="00D32D79">
              <w:rPr>
                <w:rFonts w:eastAsia="MS Mincho"/>
                <w:lang w:eastAsia="zh-TW"/>
              </w:rPr>
              <w:t xml:space="preserve"> apmērā.</w:t>
            </w:r>
          </w:p>
          <w:p w14:paraId="7B0CD9C3" w14:textId="14A431BB" w:rsidR="009B0C5C" w:rsidRPr="00D32D79" w:rsidRDefault="009B0C5C" w:rsidP="002C7D19">
            <w:pPr>
              <w:ind w:firstLine="720"/>
              <w:jc w:val="both"/>
              <w:rPr>
                <w:rFonts w:eastAsia="MS Mincho"/>
                <w:lang w:eastAsia="zh-TW"/>
              </w:rPr>
            </w:pPr>
            <w:r w:rsidRPr="00D32D79">
              <w:rPr>
                <w:rFonts w:eastAsia="MS Mincho"/>
                <w:lang w:eastAsia="zh-TW"/>
              </w:rPr>
              <w:t xml:space="preserve">Noteikumu projekts paredz, ka projekta vadības personālu un projekta īstenošanas personālu var piesaistīt gan uz darba līguma pamata, gan uz uzņēmuma līguma pamata (šādā gadījumā tās būs attiecināms uz pakalpojuma izmaksām). Attiecināmajās izmaksās ir  iekļautas iekšzemes komandējumu un darba braucienu izmaksas projekta vadības </w:t>
            </w:r>
            <w:r w:rsidR="009C368C">
              <w:rPr>
                <w:rFonts w:eastAsia="MS Mincho"/>
                <w:lang w:eastAsia="zh-TW"/>
              </w:rPr>
              <w:t xml:space="preserve">un īstenošanas </w:t>
            </w:r>
            <w:r w:rsidRPr="00D32D79">
              <w:rPr>
                <w:rFonts w:eastAsia="MS Mincho"/>
                <w:lang w:eastAsia="zh-TW"/>
              </w:rPr>
              <w:t>personālam.</w:t>
            </w:r>
          </w:p>
          <w:p w14:paraId="6F63EAAC" w14:textId="6667988D" w:rsidR="001E2ACA" w:rsidRPr="00D32D79" w:rsidRDefault="001E2ACA" w:rsidP="002C7D19">
            <w:pPr>
              <w:ind w:firstLine="720"/>
              <w:jc w:val="both"/>
              <w:rPr>
                <w:rFonts w:eastAsia="MS Mincho"/>
                <w:lang w:eastAsia="zh-TW"/>
              </w:rPr>
            </w:pPr>
            <w:r w:rsidRPr="00D32D79">
              <w:rPr>
                <w:rFonts w:eastAsia="MS Mincho"/>
                <w:lang w:eastAsia="zh-TW"/>
              </w:rPr>
              <w:t xml:space="preserve">Noteikumu projekts paredz </w:t>
            </w:r>
            <w:r w:rsidR="009B6973" w:rsidRPr="00D32D79">
              <w:rPr>
                <w:rFonts w:eastAsia="MS Mincho"/>
                <w:lang w:eastAsia="zh-TW"/>
              </w:rPr>
              <w:t xml:space="preserve">pirmās un trešās projektu iesniegumu kārtā maksimālo projekta kopējo attiecināmo finansējums vienam studiju virzienam noteikumu projektā noteikto atbalstāmo darbību īstenošanai, kas nepārsniedz 415 000 </w:t>
            </w:r>
            <w:proofErr w:type="spellStart"/>
            <w:r w:rsidR="009B6973" w:rsidRPr="00D32D79">
              <w:rPr>
                <w:rFonts w:eastAsia="MS Mincho"/>
                <w:i/>
                <w:lang w:eastAsia="zh-TW"/>
              </w:rPr>
              <w:t>euro</w:t>
            </w:r>
            <w:proofErr w:type="spellEnd"/>
            <w:r w:rsidR="009B6973" w:rsidRPr="00D32D79">
              <w:rPr>
                <w:rFonts w:eastAsia="MS Mincho"/>
                <w:lang w:eastAsia="zh-TW"/>
              </w:rPr>
              <w:t>.</w:t>
            </w:r>
          </w:p>
          <w:p w14:paraId="30159080" w14:textId="01E5C6D0" w:rsidR="00205B80" w:rsidRPr="00D32D79" w:rsidRDefault="00205B80" w:rsidP="001C6359">
            <w:pPr>
              <w:ind w:firstLine="720"/>
              <w:jc w:val="both"/>
              <w:rPr>
                <w:rFonts w:eastAsia="MS Mincho"/>
                <w:lang w:eastAsia="zh-TW"/>
              </w:rPr>
            </w:pPr>
            <w:r w:rsidRPr="00D32D79">
              <w:rPr>
                <w:rFonts w:eastAsia="MS Mincho"/>
                <w:lang w:eastAsia="zh-TW"/>
              </w:rPr>
              <w:t xml:space="preserve">Tāpat noteikumu projektā paredzēts, ka </w:t>
            </w:r>
            <w:r w:rsidR="00B46B65">
              <w:rPr>
                <w:rFonts w:eastAsia="MS Mincho"/>
                <w:lang w:eastAsia="zh-TW"/>
              </w:rPr>
              <w:t>j</w:t>
            </w:r>
            <w:r w:rsidR="00B46B65" w:rsidRPr="00B46B65">
              <w:rPr>
                <w:rFonts w:eastAsia="MS Mincho"/>
                <w:lang w:eastAsia="zh-TW"/>
              </w:rPr>
              <w:t xml:space="preserve">a projekta attiecināmo izmaksu kopsumma pārsniedz 100 000 </w:t>
            </w:r>
            <w:proofErr w:type="spellStart"/>
            <w:r w:rsidR="00B46B65" w:rsidRPr="00B46B65">
              <w:rPr>
                <w:rFonts w:eastAsia="MS Mincho"/>
                <w:lang w:eastAsia="zh-TW"/>
              </w:rPr>
              <w:t>euro</w:t>
            </w:r>
            <w:proofErr w:type="spellEnd"/>
            <w:r w:rsidR="00B46B65" w:rsidRPr="00B46B65">
              <w:rPr>
                <w:rFonts w:eastAsia="MS Mincho"/>
                <w:lang w:eastAsia="zh-TW"/>
              </w:rPr>
              <w:t xml:space="preserve">, tad par katriem 100 000 </w:t>
            </w:r>
            <w:proofErr w:type="spellStart"/>
            <w:r w:rsidR="00B46B65" w:rsidRPr="00B46B65">
              <w:rPr>
                <w:rFonts w:eastAsia="MS Mincho"/>
                <w:lang w:eastAsia="zh-TW"/>
              </w:rPr>
              <w:t>euro</w:t>
            </w:r>
            <w:proofErr w:type="spellEnd"/>
            <w:r w:rsidR="00B46B65" w:rsidRPr="00B46B65">
              <w:rPr>
                <w:rFonts w:eastAsia="MS Mincho"/>
                <w:lang w:eastAsia="zh-TW"/>
              </w:rPr>
              <w:t xml:space="preserve"> projekta ietvaros finansējuma saņēmējs paredz iesaistīt ne mazāk kā vienu doktorantu, ne mazāk kā vienu ārvalsts akadēmisko personālu darbam augstākās izglītības institūcijā un ne mazāk kā četrus akadēmiskā personāla pārstāvjus, kas iesaistās stažēšanās pasākumos uzņēmumos</w:t>
            </w:r>
            <w:r w:rsidR="00B46B65">
              <w:rPr>
                <w:rFonts w:eastAsia="MS Mincho"/>
                <w:lang w:eastAsia="zh-TW"/>
              </w:rPr>
              <w:t>.</w:t>
            </w:r>
            <w:r w:rsidRPr="00D32D79">
              <w:rPr>
                <w:rFonts w:eastAsia="MS Mincho"/>
                <w:lang w:eastAsia="zh-TW"/>
              </w:rPr>
              <w:t xml:space="preserve"> Minētā norma paredzēta, lai nodrošināti 8.2.2. SAM ietvaros noteiktos iznākumu rādītājus.</w:t>
            </w:r>
          </w:p>
          <w:p w14:paraId="42018166" w14:textId="351F7BA3" w:rsidR="001C6359" w:rsidRPr="00D32D79" w:rsidRDefault="009B6973" w:rsidP="001C6359">
            <w:pPr>
              <w:ind w:firstLine="720"/>
              <w:jc w:val="both"/>
              <w:rPr>
                <w:rFonts w:eastAsia="MS Mincho"/>
                <w:lang w:eastAsia="zh-TW"/>
              </w:rPr>
            </w:pPr>
            <w:r w:rsidRPr="00323800">
              <w:rPr>
                <w:rFonts w:eastAsia="MS Mincho"/>
                <w:lang w:eastAsia="zh-TW"/>
              </w:rPr>
              <w:t xml:space="preserve">Minētā summa noteikta paredzot, ka no kopējā valsts dibinātu AII īstenoto </w:t>
            </w:r>
            <w:r w:rsidR="0016540B" w:rsidRPr="00323800">
              <w:rPr>
                <w:rFonts w:eastAsia="MS Mincho"/>
                <w:lang w:eastAsia="zh-TW"/>
              </w:rPr>
              <w:t xml:space="preserve">kopējo </w:t>
            </w:r>
            <w:r w:rsidRPr="00323800">
              <w:rPr>
                <w:rFonts w:eastAsia="MS Mincho"/>
                <w:lang w:eastAsia="zh-TW"/>
              </w:rPr>
              <w:t xml:space="preserve">studiju </w:t>
            </w:r>
            <w:r w:rsidR="0016540B" w:rsidRPr="00323800">
              <w:rPr>
                <w:rFonts w:eastAsia="MS Mincho"/>
                <w:lang w:eastAsia="zh-TW"/>
              </w:rPr>
              <w:t xml:space="preserve">virzienu </w:t>
            </w:r>
            <w:r w:rsidRPr="00323800">
              <w:rPr>
                <w:rFonts w:eastAsia="MS Mincho"/>
                <w:lang w:eastAsia="zh-TW"/>
              </w:rPr>
              <w:t>skaita 119 apmēram 70 ir šo AII iespējami prioritā</w:t>
            </w:r>
            <w:r w:rsidR="0016540B" w:rsidRPr="00323800">
              <w:rPr>
                <w:rFonts w:eastAsia="MS Mincho"/>
                <w:lang w:eastAsia="zh-TW"/>
              </w:rPr>
              <w:t xml:space="preserve">rie studiju virzieni. Papildus paredzot, ka valsts koledžas un privātpersonu dibinātās AII un koledžas specializējas vienā studiju virzienā, tad kopējais prioritāro studiju virzienu skaits ir apmēram 110 studiju virzienu, kā arī atsevišķi prioritārie studiju virzieni valsts AII ir salīdzinoši nelieli (piemēram, studiju virziens “Ģeogrāfijas un zemes zinātnes”), tad šajā studiju virzienā AII nebūs iespējams izstrādāt </w:t>
            </w:r>
            <w:r w:rsidR="001C6359" w:rsidRPr="00323800">
              <w:rPr>
                <w:rFonts w:eastAsia="MS Mincho"/>
                <w:lang w:eastAsia="zh-TW"/>
              </w:rPr>
              <w:t>projekta iesniegumu par visu noteikumu projektā paredzēto maksimālo projekta kopējo attiecināmo finansējums. Līdz ar to tiek pieņemts, ka maksimālais projekta kopējais attiecināmais finansējums būs nepieciešams 65% no kopējā prioritāro studiju virzienu skaita, kas sastāda apmēram 72 prioritāros studiju virzienus. Kas sastāda apmēram 415 000 uz vienu prioritāro studiju virzienu paredzot, ka šī finansējuma ietvaros tiek sasniegt šādi iznākuma rādītāji: vismaz trīs doktoranti saņēmuši Eiropas Sociālā fonda atbalstu darbam AII, četri ārvalstu pasniedzēji saņēmuši Eiropas Sociālā fonda atbalstu darbam AII Latvijā un 13 AII esošā akadēmiskā personāla pārstāvji saņēmuši Eiropas Sociālā fonda atbalstu profesionālās kompetences pilnveidei.</w:t>
            </w:r>
          </w:p>
          <w:p w14:paraId="5EFC98F7" w14:textId="616B711E" w:rsidR="00C91229" w:rsidRPr="00D32D79" w:rsidRDefault="00C91229" w:rsidP="00C91229">
            <w:pPr>
              <w:ind w:firstLine="720"/>
              <w:jc w:val="both"/>
              <w:rPr>
                <w:rFonts w:eastAsia="MS Mincho"/>
                <w:lang w:eastAsia="zh-TW"/>
              </w:rPr>
            </w:pPr>
            <w:r w:rsidRPr="00D32D79">
              <w:rPr>
                <w:rFonts w:eastAsia="MS Mincho"/>
                <w:lang w:eastAsia="zh-TW"/>
              </w:rPr>
              <w:t>8.2.2. SAM ietvaros paredzēts, ka AII komersantu atlase stažēšanās pasākumu īstenošanai, notiek atbilstoši augstskolas stratēģiskajai specializācijai un pētniecības programmai, ievērojot iepirkumus reglamentējošu normatīvo aktu prasības.</w:t>
            </w:r>
          </w:p>
          <w:p w14:paraId="4E869377" w14:textId="28A442CB" w:rsidR="00C91229" w:rsidRPr="00D32D79" w:rsidRDefault="00C91229" w:rsidP="00C91229">
            <w:pPr>
              <w:ind w:firstLine="720"/>
              <w:jc w:val="both"/>
              <w:rPr>
                <w:rFonts w:eastAsia="MS Mincho"/>
                <w:lang w:eastAsia="zh-TW"/>
              </w:rPr>
            </w:pPr>
            <w:r w:rsidRPr="00D32D79">
              <w:rPr>
                <w:rFonts w:eastAsia="MS Mincho"/>
                <w:lang w:eastAsia="zh-TW"/>
              </w:rPr>
              <w:t xml:space="preserve">Komersanta atbilstību dalībai projektā tiek veikta iepirkumu reglamentējošu normatīvo aktu ietvaros un atbilstoši AII izstrādātiem nosacījumiem, kas atbilst AII attīstības stratēģijā noteiktajiem pētniecības virzieniem, studiju programmu attīstības plānam, un cilvēkresursu attīstības plānam, un vērsts uz esošā akadēmiskā personāla spēju maksimālu realizāciju. Projektā paredzēta sadarbība ar tādiem komersantiem, kuriem ir motivācija un vēlme iesaistīties akadēmiskā personāla stažēšanās pasākumu īstenošanā un, kas var nodrošināt atlasē izvirzītās prasības. Projekta ietvaros nav paredzēts, ka </w:t>
            </w:r>
            <w:r w:rsidR="000D798F" w:rsidRPr="00D32D79">
              <w:rPr>
                <w:rFonts w:eastAsia="MS Mincho"/>
                <w:lang w:eastAsia="zh-TW"/>
              </w:rPr>
              <w:t>komersants iegūtu kādas ekonomiskas priekšrocības, bet tiek segti komersanta faktiskie izdevumi par stažēšanās pakalpojumu nodrošināšanu.</w:t>
            </w:r>
          </w:p>
          <w:p w14:paraId="1B85254F" w14:textId="1BD42728" w:rsidR="00C91229" w:rsidRPr="00D32D79" w:rsidRDefault="00C91229" w:rsidP="00C91229">
            <w:pPr>
              <w:ind w:firstLine="720"/>
              <w:jc w:val="both"/>
              <w:rPr>
                <w:rFonts w:eastAsia="MS Mincho"/>
                <w:lang w:eastAsia="zh-TW"/>
              </w:rPr>
            </w:pPr>
            <w:r w:rsidRPr="00D32D79">
              <w:rPr>
                <w:rFonts w:eastAsia="MS Mincho"/>
                <w:lang w:eastAsia="zh-TW"/>
              </w:rPr>
              <w:t>Akadēmiskā personāla skaits, kas tiks iesaistīti akadēmiskā personāla stažēšanās pasākumu īstenošanā un to iesaistes ilgums tiks atrunāti vienošanās / apliecinājumā / nodomu protokolā ar komersantiem.</w:t>
            </w:r>
          </w:p>
          <w:p w14:paraId="793DE5A9" w14:textId="28D3C36B" w:rsidR="009D1578" w:rsidRPr="00D32D79" w:rsidRDefault="009D1578" w:rsidP="00C91229">
            <w:pPr>
              <w:ind w:firstLine="720"/>
              <w:jc w:val="both"/>
              <w:rPr>
                <w:rFonts w:eastAsia="MS Mincho"/>
                <w:lang w:eastAsia="zh-TW"/>
              </w:rPr>
            </w:pPr>
            <w:r w:rsidRPr="00D32D79">
              <w:rPr>
                <w:rFonts w:eastAsia="MS Mincho"/>
                <w:lang w:eastAsia="zh-TW"/>
              </w:rPr>
              <w:t>Noteikumu projekts paredz, ka 8.2.2. SAM ietvaros finansējuma saņēmējam izmaksas ir attiecināmas, ja tās atbilst noteikumu projektā minētajām izmaksu pozīcijām, un ir radušās – valsts koledžām – no dienas, kad noslēgta vienošanās par projekta īstenošanu, pārējiem finansējuma saņēmējiem – no noteikumu spēkā stāšanās dienas, savukārt sadarbības partnerim – pēc sadarbības līgumu noslēgšanas, bet ne agrāk kā no vienošanās vai līguma par projekta īstenošanu noslēgšanas dienas.</w:t>
            </w:r>
          </w:p>
          <w:p w14:paraId="100EB500" w14:textId="77777777" w:rsidR="00470DF3" w:rsidRDefault="004A4CB1" w:rsidP="002C7D19">
            <w:pPr>
              <w:ind w:firstLine="720"/>
              <w:jc w:val="both"/>
              <w:rPr>
                <w:rFonts w:eastAsia="MS Mincho"/>
                <w:lang w:eastAsia="zh-TW"/>
              </w:rPr>
            </w:pPr>
            <w:r w:rsidRPr="00D32D79">
              <w:rPr>
                <w:rFonts w:eastAsia="MS Mincho"/>
                <w:lang w:eastAsia="zh-TW"/>
              </w:rPr>
              <w:t>Noteikumu projekts paredz, ka 8.2.2. SAM attiecināmajās izmaksās ir iekļautas iekšzemes komandējumu un darba braucienu izmaksas projekta vadības un īstenošanas personālam. Šāds regulējums attiecībā un iekšzemes komandējumu izmaksām noteikts, ņemto vērā to, ka 8.2.2. SAM atbalstāmo darbību īstenošanai, projekta iesniedzējs var paredzēt iepazīties ar komersantu iespējām nodrošināt stažēšanās pasākumus, kā arī augstākās izglītības institūcijām, kas īsteno studiju programmas studiju virzienā “Izglītība, pedagoģija un sports” savstarpējā sadarbībā jānodrošina stažēšanās iespējas šīs studiju programmas akadēmiskam personālam, līdz ar to ir jāparedz iespēja projekta vadības personālam un projekta īstenošanas personālam segt iekšzemes komandējumu un darba braucienu izmaksas pie attiecīgajiem komersantiem un izglītības iestādēm.</w:t>
            </w:r>
            <w:r w:rsidR="009C368C">
              <w:rPr>
                <w:rFonts w:eastAsia="MS Mincho"/>
                <w:lang w:eastAsia="zh-TW"/>
              </w:rPr>
              <w:t xml:space="preserve"> </w:t>
            </w:r>
          </w:p>
          <w:p w14:paraId="717774AD" w14:textId="6C26BCCF" w:rsidR="004A4CB1" w:rsidRPr="00D32D79" w:rsidRDefault="00470DF3" w:rsidP="002C7D19">
            <w:pPr>
              <w:ind w:firstLine="720"/>
              <w:jc w:val="both"/>
              <w:rPr>
                <w:rFonts w:eastAsia="MS Mincho"/>
                <w:lang w:eastAsia="zh-TW"/>
              </w:rPr>
            </w:pPr>
            <w:r>
              <w:rPr>
                <w:rFonts w:eastAsia="MS Mincho"/>
                <w:lang w:eastAsia="zh-TW"/>
              </w:rPr>
              <w:t>T</w:t>
            </w:r>
            <w:r w:rsidRPr="00470DF3">
              <w:rPr>
                <w:rFonts w:eastAsia="MS Mincho"/>
                <w:lang w:eastAsia="zh-TW"/>
              </w:rPr>
              <w:t>ransporta izmaksas projekta vadības personālam ir nepieciešamas dažādu vadības funkciju īstenošanai, piemēram iepirkumu organizēšana, līgumu slēgšana par iepirkumu uzvarētājiem u. tml. darbībām.</w:t>
            </w:r>
            <w:r>
              <w:rPr>
                <w:rFonts w:eastAsia="MS Mincho"/>
                <w:lang w:eastAsia="zh-TW"/>
              </w:rPr>
              <w:t xml:space="preserve"> </w:t>
            </w:r>
            <w:r w:rsidR="009C368C">
              <w:rPr>
                <w:rFonts w:eastAsia="MS Mincho"/>
                <w:lang w:eastAsia="zh-TW"/>
              </w:rPr>
              <w:t xml:space="preserve">Kā arī </w:t>
            </w:r>
            <w:r w:rsidR="009C368C" w:rsidRPr="009C368C">
              <w:rPr>
                <w:rFonts w:eastAsia="MS Mincho"/>
                <w:lang w:eastAsia="zh-TW"/>
              </w:rPr>
              <w:t>transporta izmaksas ir paredzētas projekta īstenošanas personālam, lai nodrošināt</w:t>
            </w:r>
            <w:r>
              <w:rPr>
                <w:rFonts w:eastAsia="MS Mincho"/>
                <w:lang w:eastAsia="zh-TW"/>
              </w:rPr>
              <w:t>u</w:t>
            </w:r>
            <w:r w:rsidR="009C368C" w:rsidRPr="009C368C">
              <w:rPr>
                <w:rFonts w:eastAsia="MS Mincho"/>
                <w:lang w:eastAsia="zh-TW"/>
              </w:rPr>
              <w:t xml:space="preserve"> projekta īstenošanas personālam noteiktos uzdevumus. Šāds regulējums attiecībā uz transporta izmaksām noteikts, ņemot vērā, ka projekta īstenošanas personāls varētu nodrošināt pozitīvus piemērus viesmīlības normu ievērošanā. Piemēram, sagaidot ārvalstu akadēmisko personālu Rīgas lidostā, ņemot vērā, ka ne visas AII atrodas Rīgā un sabiedriskā transporta kustība var būt sarežģīta personām, kas nepārvalda latviešu valodu, tad pozitīva pirmā kontakta radīšana ir svarīga ārvalstu akadēmiskā personāla piesaistei un savstarpējai sadarbībai nākotnes perspektīvā.</w:t>
            </w:r>
          </w:p>
          <w:p w14:paraId="5BA02042" w14:textId="3B5C4FC9" w:rsidR="009D1578" w:rsidRPr="00D32D79" w:rsidRDefault="009D1578" w:rsidP="002C7D19">
            <w:pPr>
              <w:ind w:firstLine="720"/>
              <w:jc w:val="both"/>
              <w:rPr>
                <w:rFonts w:eastAsia="MS Mincho"/>
                <w:lang w:eastAsia="zh-TW"/>
              </w:rPr>
            </w:pPr>
            <w:r w:rsidRPr="00D32D79">
              <w:rPr>
                <w:rFonts w:eastAsia="MS Mincho"/>
                <w:lang w:eastAsia="zh-TW"/>
              </w:rPr>
              <w:t xml:space="preserve">Izmaksu </w:t>
            </w:r>
            <w:proofErr w:type="spellStart"/>
            <w:r w:rsidRPr="00D32D79">
              <w:rPr>
                <w:rFonts w:eastAsia="MS Mincho"/>
                <w:lang w:eastAsia="zh-TW"/>
              </w:rPr>
              <w:t>attiecināmības</w:t>
            </w:r>
            <w:proofErr w:type="spellEnd"/>
            <w:r w:rsidRPr="00D32D79">
              <w:rPr>
                <w:rFonts w:eastAsia="MS Mincho"/>
                <w:lang w:eastAsia="zh-TW"/>
              </w:rPr>
              <w:t xml:space="preserve"> termiņš no noteikumu projekta spēkā stāšanās dienas</w:t>
            </w:r>
            <w:r w:rsidR="00A17221">
              <w:rPr>
                <w:rFonts w:eastAsia="MS Mincho"/>
                <w:lang w:eastAsia="zh-TW"/>
              </w:rPr>
              <w:t xml:space="preserve"> (izņemot valsts koledžas) </w:t>
            </w:r>
            <w:r w:rsidRPr="00D32D79">
              <w:rPr>
                <w:rFonts w:eastAsia="MS Mincho"/>
                <w:lang w:eastAsia="zh-TW"/>
              </w:rPr>
              <w:t>ir noteikts, lai paredzētu iespēju ātrāk uzsākt projekta darbības, tādējādi veicinot finanšu rādītāja sasniegšanu.</w:t>
            </w:r>
          </w:p>
          <w:p w14:paraId="39E712E1" w14:textId="77777777" w:rsidR="00FE5D7D" w:rsidRPr="00D32D79" w:rsidRDefault="00FE5D7D" w:rsidP="00FE5D7D">
            <w:pPr>
              <w:tabs>
                <w:tab w:val="left" w:pos="426"/>
                <w:tab w:val="left" w:pos="1134"/>
              </w:tabs>
              <w:ind w:firstLine="516"/>
              <w:jc w:val="both"/>
              <w:rPr>
                <w:rFonts w:eastAsia="MS Mincho"/>
                <w:lang w:eastAsia="zh-TW"/>
              </w:rPr>
            </w:pPr>
            <w:r w:rsidRPr="00D32D79">
              <w:rPr>
                <w:rFonts w:eastAsia="MS Mincho"/>
                <w:lang w:eastAsia="zh-TW"/>
              </w:rPr>
              <w:t>Projekta vadības personāla galvenie uzdevumi ir nodrošināt projekta dalībnieku atlasi (doktorantu, ārvalstu akadēmiskā personāla un komersantu) un līgumu slēgšanu ar atlasē izvēlētiem pretendentiem par dalību projektā, nodrošināt atbilstošu dokumentācijas apriti starp projektā iesaistītām pusēm, kā arī nodrošināt projektā paredzēto finanšu un rādītāju sasniegšanu.</w:t>
            </w:r>
          </w:p>
          <w:p w14:paraId="73EEE9E0" w14:textId="77777777" w:rsidR="00491495" w:rsidRPr="00D32D79" w:rsidRDefault="00491495" w:rsidP="00491495">
            <w:pPr>
              <w:ind w:firstLine="720"/>
              <w:jc w:val="both"/>
              <w:rPr>
                <w:rFonts w:eastAsia="MS Mincho"/>
                <w:lang w:eastAsia="zh-TW"/>
              </w:rPr>
            </w:pPr>
            <w:r w:rsidRPr="00D32D79">
              <w:rPr>
                <w:rFonts w:eastAsia="MS Mincho"/>
                <w:lang w:eastAsia="zh-TW"/>
              </w:rPr>
              <w:t>Pirms trešās atlases kārtas izsludināšanas Atbildīgā iestāde sadarbībā ar IZM un Sadarbības iestādi var pārskatīt projektu iesniegumu atlases un īstenošanas nosacījumus, ņemot vērā iepriekšējo atlases kārtu rezultātus un projektu īstenošanas progresu.</w:t>
            </w:r>
          </w:p>
          <w:p w14:paraId="14DCC143" w14:textId="77777777" w:rsidR="00491495" w:rsidRPr="00D32D79" w:rsidRDefault="00491495" w:rsidP="000658CE">
            <w:pPr>
              <w:ind w:firstLine="720"/>
              <w:jc w:val="both"/>
              <w:rPr>
                <w:rFonts w:eastAsia="MS Mincho"/>
                <w:lang w:eastAsia="zh-TW"/>
              </w:rPr>
            </w:pPr>
          </w:p>
          <w:p w14:paraId="4C2C6643" w14:textId="7F989EF0" w:rsidR="00DF4C9D" w:rsidRPr="00D32D79" w:rsidRDefault="00DF4C9D" w:rsidP="00DF4C9D">
            <w:pPr>
              <w:ind w:firstLine="516"/>
              <w:jc w:val="both"/>
            </w:pPr>
            <w:r w:rsidRPr="00D32D79">
              <w:t xml:space="preserve">Plānotais </w:t>
            </w:r>
            <w:r w:rsidRPr="00D32D79">
              <w:rPr>
                <w:b/>
              </w:rPr>
              <w:t xml:space="preserve">projektu </w:t>
            </w:r>
            <w:r w:rsidR="00B94ED0" w:rsidRPr="00D32D79">
              <w:rPr>
                <w:b/>
              </w:rPr>
              <w:t>īstenošanas</w:t>
            </w:r>
            <w:r w:rsidR="00DC3BA1" w:rsidRPr="00D32D79">
              <w:rPr>
                <w:b/>
              </w:rPr>
              <w:t xml:space="preserve"> </w:t>
            </w:r>
            <w:r w:rsidRPr="00D32D79">
              <w:rPr>
                <w:b/>
              </w:rPr>
              <w:t>ilgums</w:t>
            </w:r>
            <w:r w:rsidRPr="00D32D79">
              <w:t xml:space="preserve"> </w:t>
            </w:r>
            <w:r w:rsidR="00F13191" w:rsidRPr="00D32D79">
              <w:t>ne</w:t>
            </w:r>
            <w:r w:rsidRPr="00D32D79">
              <w:t>p</w:t>
            </w:r>
            <w:r w:rsidR="00F13191" w:rsidRPr="00D32D79">
              <w:t>ārsniedz</w:t>
            </w:r>
            <w:r w:rsidRPr="00D32D79">
              <w:t xml:space="preserve"> 3 </w:t>
            </w:r>
            <w:r w:rsidR="00206C9D" w:rsidRPr="00D32D79">
              <w:t xml:space="preserve">– 4 </w:t>
            </w:r>
            <w:r w:rsidRPr="00D32D79">
              <w:t>gad</w:t>
            </w:r>
            <w:r w:rsidR="00206C9D" w:rsidRPr="00D32D79">
              <w:t>us</w:t>
            </w:r>
            <w:r w:rsidRPr="00D32D79">
              <w:t>. Projektus plānots īstenot ne ilgāk kā līdz 2023.gada 30.novembrim.</w:t>
            </w:r>
          </w:p>
          <w:p w14:paraId="5E5BE37E" w14:textId="256EA247" w:rsidR="00DF4C9D" w:rsidRPr="00D32D79" w:rsidRDefault="00DF4C9D" w:rsidP="00DF4C9D">
            <w:pPr>
              <w:ind w:firstLine="516"/>
              <w:jc w:val="both"/>
            </w:pPr>
            <w:r w:rsidRPr="00D32D79">
              <w:t xml:space="preserve">8.2.2. SAM ietvaros līdz 2023. gada 31. decembrim sasniedzami šādi </w:t>
            </w:r>
            <w:r w:rsidRPr="00D32D79">
              <w:rPr>
                <w:b/>
              </w:rPr>
              <w:t>uzraudzības rādītāji</w:t>
            </w:r>
            <w:r w:rsidRPr="00D32D79">
              <w:t xml:space="preserve">: </w:t>
            </w:r>
          </w:p>
          <w:p w14:paraId="063339BC" w14:textId="77777777" w:rsidR="00DF4C9D" w:rsidRPr="00D32D79" w:rsidRDefault="00DF4C9D" w:rsidP="00DF4C9D">
            <w:pPr>
              <w:tabs>
                <w:tab w:val="left" w:pos="1276"/>
              </w:tabs>
              <w:ind w:firstLine="516"/>
              <w:jc w:val="both"/>
              <w:rPr>
                <w:b/>
              </w:rPr>
            </w:pPr>
            <w:r w:rsidRPr="00D32D79">
              <w:t>1.</w:t>
            </w:r>
            <w:r w:rsidRPr="00D32D79">
              <w:tab/>
            </w:r>
            <w:r w:rsidRPr="00D32D79">
              <w:rPr>
                <w:b/>
              </w:rPr>
              <w:t>iznākuma rādītāji:</w:t>
            </w:r>
          </w:p>
          <w:p w14:paraId="763A966B" w14:textId="272B422B" w:rsidR="00DF4C9D" w:rsidRPr="00D32D79" w:rsidRDefault="00DF4C9D" w:rsidP="00DF4C9D">
            <w:pPr>
              <w:tabs>
                <w:tab w:val="left" w:pos="1276"/>
              </w:tabs>
              <w:ind w:firstLine="516"/>
              <w:jc w:val="both"/>
            </w:pPr>
            <w:r w:rsidRPr="00D32D79">
              <w:t xml:space="preserve">1.1. doktorantu skaits, kas saņēmuši Eiropas Sociālā fonda atbalstu darbam augstākajās izglītības institūcijā – 420, tai skaitā pirmās kārtas ietvaros – </w:t>
            </w:r>
            <w:r w:rsidR="001D6CE4" w:rsidRPr="00D32D79">
              <w:t>249</w:t>
            </w:r>
            <w:r w:rsidR="0045489B" w:rsidRPr="00D32D79">
              <w:t xml:space="preserve">, </w:t>
            </w:r>
            <w:r w:rsidRPr="00D32D79">
              <w:t xml:space="preserve">otrās kārtas ietvaros – </w:t>
            </w:r>
            <w:r w:rsidR="0045489B" w:rsidRPr="00D32D79">
              <w:t>49 un trešās kārtas ietvaros - 122;</w:t>
            </w:r>
          </w:p>
          <w:p w14:paraId="42AEEF03" w14:textId="525BF035" w:rsidR="00DF4C9D" w:rsidRPr="00D32D79" w:rsidRDefault="00DF4C9D" w:rsidP="00DF4C9D">
            <w:pPr>
              <w:tabs>
                <w:tab w:val="left" w:pos="1276"/>
              </w:tabs>
              <w:ind w:firstLine="516"/>
              <w:jc w:val="both"/>
            </w:pPr>
            <w:r w:rsidRPr="00D32D79">
              <w:t xml:space="preserve">1.2. ārvalstu pasniedzēju skaits, kas saņēmuši Eiropas Sociālā fonda atbalstu darbam augstākās izglītības institūcijā Latvijā – 300, tai skaitā pirmās kārtas ietvaros – </w:t>
            </w:r>
            <w:r w:rsidR="0045489B" w:rsidRPr="00D32D79">
              <w:t>178,</w:t>
            </w:r>
            <w:r w:rsidRPr="00D32D79">
              <w:t xml:space="preserve"> otrās kārtas ietvaros – </w:t>
            </w:r>
            <w:r w:rsidR="0045489B" w:rsidRPr="00D32D79">
              <w:t xml:space="preserve">35 un trešās kārtas ietvaros - 87, </w:t>
            </w:r>
            <w:r w:rsidRPr="00D32D79">
              <w:t>turklāt līdz 2018.gada 31.decembrim - 50;</w:t>
            </w:r>
          </w:p>
          <w:p w14:paraId="1BF15A86" w14:textId="6B47F8C9" w:rsidR="00DF4C9D" w:rsidRPr="00D32D79" w:rsidRDefault="00DF4C9D" w:rsidP="00DF4C9D">
            <w:pPr>
              <w:tabs>
                <w:tab w:val="left" w:pos="1276"/>
              </w:tabs>
              <w:ind w:firstLine="516"/>
              <w:jc w:val="both"/>
            </w:pPr>
            <w:r w:rsidRPr="00D32D79">
              <w:t xml:space="preserve">1.3. akadēmiskā personāla skaits, kas saņēmuši Eiropas Sociālā fonda atbalstu profesionālās kompetences pilnveidei – 1140, tai skaitā pirmās kārtas ietvaros – </w:t>
            </w:r>
            <w:r w:rsidR="0045489B" w:rsidRPr="00D32D79">
              <w:t xml:space="preserve">675, </w:t>
            </w:r>
            <w:r w:rsidRPr="00D32D79">
              <w:t xml:space="preserve">otrās kārtas ietvaros – </w:t>
            </w:r>
            <w:r w:rsidR="0045489B" w:rsidRPr="00D32D79">
              <w:t>133 un trešās kārtas ietvaros - 332.</w:t>
            </w:r>
          </w:p>
          <w:p w14:paraId="4170A3EE" w14:textId="77777777" w:rsidR="00DF4C9D" w:rsidRPr="00D32D79" w:rsidRDefault="00DF4C9D" w:rsidP="00DF4C9D">
            <w:pPr>
              <w:tabs>
                <w:tab w:val="left" w:pos="1276"/>
              </w:tabs>
              <w:ind w:firstLine="516"/>
              <w:jc w:val="both"/>
            </w:pPr>
            <w:r w:rsidRPr="00D32D79">
              <w:t>2.</w:t>
            </w:r>
            <w:r w:rsidRPr="00D32D79">
              <w:tab/>
            </w:r>
            <w:r w:rsidRPr="00D32D79">
              <w:rPr>
                <w:b/>
              </w:rPr>
              <w:t>rezultāta rādītāji</w:t>
            </w:r>
            <w:r w:rsidRPr="00D32D79">
              <w:t>:</w:t>
            </w:r>
          </w:p>
          <w:p w14:paraId="7CE4D20B" w14:textId="738236A4" w:rsidR="00DF4C9D" w:rsidRPr="00D32D79" w:rsidRDefault="00DF4C9D" w:rsidP="00DF4C9D">
            <w:pPr>
              <w:tabs>
                <w:tab w:val="left" w:pos="1276"/>
              </w:tabs>
              <w:ind w:firstLine="516"/>
              <w:jc w:val="both"/>
            </w:pPr>
            <w:r w:rsidRPr="00D32D79">
              <w:t>2.1. atbalstu saņēmušo doktorantu skaits, kas ieguvuši doktora grādu un sešu mēnešu laikā pēc grāda iegūšanas strādā par akadēmisko personālu augstākās izglītības institūcijā - 378;</w:t>
            </w:r>
          </w:p>
          <w:p w14:paraId="715ADCF0" w14:textId="26218510" w:rsidR="00DF4C9D" w:rsidRPr="00D32D79" w:rsidRDefault="00DF4C9D" w:rsidP="00DF4C9D">
            <w:pPr>
              <w:tabs>
                <w:tab w:val="left" w:pos="1276"/>
              </w:tabs>
              <w:ind w:firstLine="516"/>
              <w:jc w:val="both"/>
            </w:pPr>
            <w:r w:rsidRPr="00D32D79">
              <w:t>2.2. atbalstu saņēmušo ārvalsts pasniedzēju skaits, kas sešu mēnešu laikā pēc atbalsta beigām turpina akadēmisko darbu Latvijas augstākās izglītības institūcijā - 90;</w:t>
            </w:r>
          </w:p>
          <w:p w14:paraId="777DC1F2" w14:textId="7B17815B" w:rsidR="00DF4C9D" w:rsidRPr="00D32D79" w:rsidRDefault="00DF4C9D" w:rsidP="00DF4C9D">
            <w:pPr>
              <w:tabs>
                <w:tab w:val="left" w:pos="1276"/>
              </w:tabs>
              <w:ind w:firstLine="516"/>
              <w:jc w:val="both"/>
            </w:pPr>
            <w:r w:rsidRPr="00D32D79">
              <w:t>2.3. akadēmiskā personāla skaits, kas pilnveidojuši kompetenci – 1 116.</w:t>
            </w:r>
          </w:p>
          <w:p w14:paraId="7712F2FA" w14:textId="5260F2A1" w:rsidR="00DF4C9D" w:rsidRPr="00D32D79" w:rsidRDefault="00DF4C9D" w:rsidP="00DF4C9D">
            <w:pPr>
              <w:tabs>
                <w:tab w:val="left" w:pos="1276"/>
              </w:tabs>
              <w:ind w:firstLine="516"/>
              <w:jc w:val="both"/>
            </w:pPr>
            <w:r w:rsidRPr="00D32D79">
              <w:t xml:space="preserve">3. </w:t>
            </w:r>
            <w:r w:rsidRPr="00D32D79">
              <w:rPr>
                <w:b/>
              </w:rPr>
              <w:t>finanšu rādītājs</w:t>
            </w:r>
            <w:r w:rsidRPr="00D32D79">
              <w:t xml:space="preserve"> līdz 2018. gada 31. decembrim – sertificēti izdevumi </w:t>
            </w:r>
            <w:r w:rsidR="00E53D23" w:rsidRPr="00D32D79">
              <w:t>700 000</w:t>
            </w:r>
            <w:r w:rsidRPr="00D32D79">
              <w:t xml:space="preserve"> </w:t>
            </w:r>
            <w:proofErr w:type="spellStart"/>
            <w:r w:rsidRPr="00D32D79">
              <w:rPr>
                <w:i/>
              </w:rPr>
              <w:t>euro</w:t>
            </w:r>
            <w:proofErr w:type="spellEnd"/>
            <w:r w:rsidRPr="00D32D79">
              <w:t xml:space="preserve"> apmērā.</w:t>
            </w:r>
          </w:p>
          <w:p w14:paraId="25403976" w14:textId="77777777" w:rsidR="00DF4C9D" w:rsidRPr="00D32D79" w:rsidRDefault="00DF4C9D" w:rsidP="00DF4C9D">
            <w:pPr>
              <w:tabs>
                <w:tab w:val="left" w:pos="1276"/>
              </w:tabs>
              <w:ind w:firstLine="516"/>
              <w:jc w:val="both"/>
            </w:pPr>
          </w:p>
          <w:p w14:paraId="5565D6E2" w14:textId="2BE92D39" w:rsidR="00DF4C9D" w:rsidRPr="00D32D79" w:rsidRDefault="00DF4C9D" w:rsidP="00DF4C9D">
            <w:pPr>
              <w:tabs>
                <w:tab w:val="left" w:pos="1276"/>
              </w:tabs>
              <w:ind w:firstLine="516"/>
              <w:jc w:val="both"/>
            </w:pPr>
            <w:r w:rsidRPr="00D32D79">
              <w:t>Noteikumu projekts paredz, ka specifiskā atbalsta ietvaros finansējuma saņēmējam izmaksas ir attiecināmas, ja tās atbilst noteikumos minētajām izmaksu pozīcijām, un ir radušās, sākot ar noteikumu spēkā stāšanās dienu.</w:t>
            </w:r>
          </w:p>
          <w:p w14:paraId="2B78B6E1" w14:textId="1D165E84" w:rsidR="00DF4C9D" w:rsidRPr="00D32D79" w:rsidRDefault="00DF4C9D" w:rsidP="00DF4C9D">
            <w:pPr>
              <w:tabs>
                <w:tab w:val="left" w:pos="1276"/>
              </w:tabs>
              <w:ind w:firstLine="516"/>
              <w:jc w:val="both"/>
            </w:pPr>
            <w:r w:rsidRPr="00D32D79">
              <w:t xml:space="preserve">Izmaksu </w:t>
            </w:r>
            <w:proofErr w:type="spellStart"/>
            <w:r w:rsidRPr="00D32D79">
              <w:t>attiecināmības</w:t>
            </w:r>
            <w:proofErr w:type="spellEnd"/>
            <w:r w:rsidRPr="00D32D79">
              <w:t xml:space="preserve"> termiņš no noteikumu projekta spēkā stāšanās dienas ir noteikts, lai paredzētu iespēju ātrāk uzsākt projekta darbības, tādējādi veicinot finanšu rādītāja līdz 2018.gadam sasniegšanu. </w:t>
            </w:r>
          </w:p>
          <w:p w14:paraId="0B234AA5" w14:textId="4176C04D" w:rsidR="00A905E2" w:rsidRPr="00D32D79" w:rsidRDefault="00A905E2" w:rsidP="00440ECE">
            <w:pPr>
              <w:ind w:firstLine="516"/>
              <w:jc w:val="both"/>
            </w:pPr>
            <w:r w:rsidRPr="00D32D79">
              <w:rPr>
                <w:rFonts w:eastAsia="MS Mincho"/>
                <w:lang w:eastAsia="zh-TW"/>
              </w:rPr>
              <w:t xml:space="preserve">Noteikumu projekts paredz, ka projekta iesniedzējs var paredzēt arī </w:t>
            </w:r>
            <w:r w:rsidRPr="00D32D79">
              <w:rPr>
                <w:rFonts w:eastAsia="MS Mincho"/>
                <w:b/>
                <w:lang w:eastAsia="zh-TW"/>
              </w:rPr>
              <w:t>neattiecināmās izmaksas</w:t>
            </w:r>
            <w:r w:rsidRPr="00D32D79">
              <w:rPr>
                <w:rFonts w:eastAsia="MS Mincho"/>
                <w:lang w:eastAsia="zh-TW"/>
              </w:rPr>
              <w:t>. Ja izmaksas, kas īstenojot projektu pārsniedz noteikumu projektā noteikto projekta maksimālo attiecināmo izmaksu kopsummu vai minētos izmaksu ierobežojumus, tās var iekļaut projekta kopējās izmaksās kā neattiecināmās izmaksas un segt tās no saviem līdzekļiem.</w:t>
            </w:r>
          </w:p>
          <w:p w14:paraId="5F8E1FF7" w14:textId="27F77E1D" w:rsidR="00440ECE" w:rsidRPr="00D32D79" w:rsidRDefault="00440ECE" w:rsidP="00440ECE">
            <w:pPr>
              <w:ind w:firstLine="516"/>
              <w:jc w:val="both"/>
            </w:pPr>
            <w:r w:rsidRPr="00D32D79">
              <w:t>8.2.2. SAM pirmās, otrās un trešās kārtas ietvaros komercdarbības atbalsta sniegšana nav paredzēta. Analizējot statistikas datus par AII</w:t>
            </w:r>
            <w:r w:rsidRPr="00D32D79">
              <w:rPr>
                <w:rStyle w:val="FootnoteReference"/>
              </w:rPr>
              <w:footnoteReference w:id="9"/>
            </w:r>
            <w:r w:rsidRPr="00D32D79">
              <w:t>, secināts, ka tajās ārvalsts studējošo skaits pēdējos 3 pārskata gados vidēji ir tikai 8% (2014.g. – 6%, 2015.gadā – 8%, 2016.gadā – 10%), kas nepārsniedz 15 % robežu un tādējādi uzskatāms, ka atbalstam ir vienīgi vietēja mēroga ietekme saskaņā ar Eiropas Komisijas dokumenta “Komisijas paziņojums par Līguma par Eiropas Savienības darbību 107. panta 1. punktā minēto valsts atbalsta jēdzienu”</w:t>
            </w:r>
            <w:r w:rsidRPr="00D32D79">
              <w:rPr>
                <w:rStyle w:val="FootnoteReference"/>
              </w:rPr>
              <w:footnoteReference w:id="10"/>
            </w:r>
            <w:r w:rsidRPr="00D32D79">
              <w:t xml:space="preserve"> 196. un 197.punktu. </w:t>
            </w:r>
          </w:p>
          <w:p w14:paraId="69F920E0" w14:textId="521DFC9E" w:rsidR="000E07E9" w:rsidRPr="00D32D79" w:rsidRDefault="000E07E9" w:rsidP="00440ECE">
            <w:pPr>
              <w:ind w:firstLine="516"/>
              <w:jc w:val="both"/>
              <w:rPr>
                <w:rFonts w:ascii="Open Sans" w:hAnsi="Open Sans" w:cs="Arial"/>
              </w:rPr>
            </w:pPr>
            <w:r w:rsidRPr="00D32D79">
              <w:rPr>
                <w:rFonts w:ascii="Open Sans" w:hAnsi="Open Sans" w:cs="Arial"/>
              </w:rPr>
              <w:t xml:space="preserve">Zināma veida salīdzinājumu sniedz arī pasaules augstskolu reitingi. </w:t>
            </w:r>
            <w:r w:rsidR="00440ECE" w:rsidRPr="00D32D79">
              <w:rPr>
                <w:rFonts w:ascii="Open Sans" w:hAnsi="Open Sans" w:cs="Arial"/>
              </w:rPr>
              <w:t>Šobrīd trīs ietekmīgākie universitāšu reitingi ir "</w:t>
            </w:r>
            <w:r w:rsidR="00440ECE" w:rsidRPr="00D32D79">
              <w:rPr>
                <w:rFonts w:ascii="Open Sans" w:hAnsi="Open Sans" w:cs="Arial"/>
                <w:i/>
              </w:rPr>
              <w:t xml:space="preserve">QS </w:t>
            </w:r>
            <w:proofErr w:type="spellStart"/>
            <w:r w:rsidR="00440ECE" w:rsidRPr="00D32D79">
              <w:rPr>
                <w:rFonts w:ascii="Open Sans" w:hAnsi="Open Sans" w:cs="Arial"/>
                <w:i/>
              </w:rPr>
              <w:t>World</w:t>
            </w:r>
            <w:proofErr w:type="spellEnd"/>
            <w:r w:rsidR="00440ECE" w:rsidRPr="00D32D79">
              <w:rPr>
                <w:rFonts w:ascii="Open Sans" w:hAnsi="Open Sans" w:cs="Arial"/>
                <w:i/>
              </w:rPr>
              <w:t xml:space="preserve"> </w:t>
            </w:r>
            <w:proofErr w:type="spellStart"/>
            <w:r w:rsidR="00440ECE" w:rsidRPr="00D32D79">
              <w:rPr>
                <w:rFonts w:ascii="Open Sans" w:hAnsi="Open Sans" w:cs="Arial"/>
                <w:i/>
              </w:rPr>
              <w:t>University</w:t>
            </w:r>
            <w:proofErr w:type="spellEnd"/>
            <w:r w:rsidR="00440ECE" w:rsidRPr="00D32D79">
              <w:rPr>
                <w:rFonts w:ascii="Open Sans" w:hAnsi="Open Sans" w:cs="Arial"/>
                <w:i/>
              </w:rPr>
              <w:t xml:space="preserve"> </w:t>
            </w:r>
            <w:proofErr w:type="spellStart"/>
            <w:r w:rsidR="00440ECE" w:rsidRPr="00D32D79">
              <w:rPr>
                <w:rFonts w:ascii="Open Sans" w:hAnsi="Open Sans" w:cs="Arial"/>
                <w:i/>
              </w:rPr>
              <w:t>Rankings</w:t>
            </w:r>
            <w:proofErr w:type="spellEnd"/>
            <w:r w:rsidR="00440ECE" w:rsidRPr="00D32D79">
              <w:rPr>
                <w:rFonts w:ascii="Open Sans" w:hAnsi="Open Sans" w:cs="Arial"/>
                <w:i/>
              </w:rPr>
              <w:t>"</w:t>
            </w:r>
            <w:r w:rsidR="00440ECE" w:rsidRPr="00D32D79">
              <w:rPr>
                <w:rStyle w:val="FootnoteReference"/>
                <w:rFonts w:cs="Arial"/>
              </w:rPr>
              <w:footnoteReference w:id="11"/>
            </w:r>
            <w:r w:rsidR="00440ECE" w:rsidRPr="00D32D79">
              <w:rPr>
                <w:rFonts w:ascii="Open Sans" w:hAnsi="Open Sans" w:cs="Arial"/>
              </w:rPr>
              <w:t>, "</w:t>
            </w:r>
            <w:proofErr w:type="spellStart"/>
            <w:r w:rsidR="00440ECE" w:rsidRPr="00D32D79">
              <w:rPr>
                <w:rFonts w:ascii="Open Sans" w:hAnsi="Open Sans" w:cs="Arial"/>
                <w:i/>
              </w:rPr>
              <w:t>Times</w:t>
            </w:r>
            <w:proofErr w:type="spellEnd"/>
            <w:r w:rsidR="00440ECE" w:rsidRPr="00D32D79">
              <w:rPr>
                <w:rFonts w:ascii="Open Sans" w:hAnsi="Open Sans" w:cs="Arial"/>
                <w:i/>
              </w:rPr>
              <w:t xml:space="preserve"> </w:t>
            </w:r>
            <w:proofErr w:type="spellStart"/>
            <w:r w:rsidR="00440ECE" w:rsidRPr="00D32D79">
              <w:rPr>
                <w:rFonts w:ascii="Open Sans" w:hAnsi="Open Sans" w:cs="Arial"/>
                <w:i/>
                <w:color w:val="2B292A"/>
              </w:rPr>
              <w:t>Higher</w:t>
            </w:r>
            <w:proofErr w:type="spellEnd"/>
            <w:r w:rsidR="00440ECE" w:rsidRPr="00D32D79">
              <w:rPr>
                <w:rFonts w:ascii="Open Sans" w:hAnsi="Open Sans" w:cs="Arial"/>
                <w:i/>
                <w:color w:val="2B292A"/>
              </w:rPr>
              <w:t xml:space="preserve"> </w:t>
            </w:r>
            <w:proofErr w:type="spellStart"/>
            <w:r w:rsidR="00440ECE" w:rsidRPr="00D32D79">
              <w:rPr>
                <w:rFonts w:ascii="Open Sans" w:hAnsi="Open Sans" w:cs="Arial"/>
                <w:i/>
                <w:color w:val="2B292A"/>
              </w:rPr>
              <w:t>Education</w:t>
            </w:r>
            <w:proofErr w:type="spellEnd"/>
            <w:r w:rsidR="00440ECE" w:rsidRPr="00D32D79">
              <w:rPr>
                <w:rFonts w:ascii="Open Sans" w:hAnsi="Open Sans" w:cs="Arial"/>
                <w:i/>
                <w:color w:val="2B292A"/>
              </w:rPr>
              <w:t xml:space="preserve"> </w:t>
            </w:r>
            <w:proofErr w:type="spellStart"/>
            <w:r w:rsidR="00440ECE" w:rsidRPr="00D32D79">
              <w:rPr>
                <w:rFonts w:ascii="Open Sans" w:hAnsi="Open Sans" w:cs="Arial"/>
                <w:i/>
                <w:color w:val="2B292A"/>
              </w:rPr>
              <w:t>World</w:t>
            </w:r>
            <w:proofErr w:type="spellEnd"/>
            <w:r w:rsidR="00440ECE" w:rsidRPr="00D32D79">
              <w:rPr>
                <w:rFonts w:ascii="Open Sans" w:hAnsi="Open Sans" w:cs="Arial"/>
                <w:i/>
                <w:color w:val="2B292A"/>
              </w:rPr>
              <w:t xml:space="preserve"> </w:t>
            </w:r>
            <w:proofErr w:type="spellStart"/>
            <w:r w:rsidR="00440ECE" w:rsidRPr="00D32D79">
              <w:rPr>
                <w:rFonts w:ascii="Open Sans" w:hAnsi="Open Sans" w:cs="Arial"/>
                <w:i/>
                <w:color w:val="2B292A"/>
              </w:rPr>
              <w:t>University</w:t>
            </w:r>
            <w:proofErr w:type="spellEnd"/>
            <w:r w:rsidR="00440ECE" w:rsidRPr="00D32D79">
              <w:rPr>
                <w:rFonts w:ascii="Open Sans" w:hAnsi="Open Sans" w:cs="Arial"/>
                <w:i/>
                <w:color w:val="2B292A"/>
              </w:rPr>
              <w:t xml:space="preserve"> </w:t>
            </w:r>
            <w:proofErr w:type="spellStart"/>
            <w:r w:rsidR="00440ECE" w:rsidRPr="00D32D79">
              <w:rPr>
                <w:rFonts w:ascii="Open Sans" w:hAnsi="Open Sans" w:cs="Arial"/>
                <w:i/>
                <w:color w:val="2B292A"/>
              </w:rPr>
              <w:t>Rankings</w:t>
            </w:r>
            <w:proofErr w:type="spellEnd"/>
            <w:r w:rsidR="00440ECE" w:rsidRPr="00D32D79">
              <w:rPr>
                <w:rFonts w:ascii="Open Sans" w:hAnsi="Open Sans" w:cs="Arial"/>
                <w:i/>
              </w:rPr>
              <w:t>"</w:t>
            </w:r>
            <w:r w:rsidR="00440ECE" w:rsidRPr="00D32D79">
              <w:rPr>
                <w:rStyle w:val="FootnoteReference"/>
                <w:rFonts w:cs="Arial"/>
              </w:rPr>
              <w:footnoteReference w:id="12"/>
            </w:r>
            <w:r w:rsidR="00440ECE" w:rsidRPr="00D32D79">
              <w:rPr>
                <w:rFonts w:ascii="Open Sans" w:hAnsi="Open Sans" w:cs="Arial"/>
              </w:rPr>
              <w:t xml:space="preserve">, kā arī Šanhajas </w:t>
            </w:r>
            <w:r w:rsidR="00440ECE" w:rsidRPr="00D32D79">
              <w:rPr>
                <w:rFonts w:ascii="Open Sans" w:hAnsi="Open Sans" w:cs="Arial"/>
                <w:i/>
              </w:rPr>
              <w:t>ARWU</w:t>
            </w:r>
            <w:r w:rsidR="00440ECE" w:rsidRPr="00D32D79">
              <w:rPr>
                <w:rFonts w:ascii="Open Sans" w:hAnsi="Open Sans" w:cs="Arial"/>
              </w:rPr>
              <w:t xml:space="preserve"> (</w:t>
            </w:r>
            <w:proofErr w:type="spellStart"/>
            <w:r w:rsidR="00440ECE" w:rsidRPr="00D32D79">
              <w:rPr>
                <w:rFonts w:ascii="Open Sans" w:hAnsi="Open Sans" w:cs="Arial"/>
                <w:i/>
              </w:rPr>
              <w:t>The</w:t>
            </w:r>
            <w:proofErr w:type="spellEnd"/>
            <w:r w:rsidR="00440ECE" w:rsidRPr="00D32D79">
              <w:rPr>
                <w:rFonts w:ascii="Open Sans" w:hAnsi="Open Sans" w:cs="Arial"/>
                <w:i/>
              </w:rPr>
              <w:t xml:space="preserve"> </w:t>
            </w:r>
            <w:proofErr w:type="spellStart"/>
            <w:r w:rsidR="00440ECE" w:rsidRPr="00D32D79">
              <w:rPr>
                <w:rFonts w:ascii="Open Sans" w:hAnsi="Open Sans" w:cs="Arial"/>
                <w:i/>
              </w:rPr>
              <w:t>Academic</w:t>
            </w:r>
            <w:proofErr w:type="spellEnd"/>
            <w:r w:rsidR="00440ECE" w:rsidRPr="00D32D79">
              <w:rPr>
                <w:rFonts w:ascii="Open Sans" w:hAnsi="Open Sans" w:cs="Arial"/>
                <w:i/>
              </w:rPr>
              <w:t xml:space="preserve"> </w:t>
            </w:r>
            <w:proofErr w:type="spellStart"/>
            <w:r w:rsidR="00440ECE" w:rsidRPr="00D32D79">
              <w:rPr>
                <w:rFonts w:ascii="Open Sans" w:hAnsi="Open Sans" w:cs="Arial"/>
                <w:i/>
              </w:rPr>
              <w:t>Ranking</w:t>
            </w:r>
            <w:proofErr w:type="spellEnd"/>
            <w:r w:rsidR="00440ECE" w:rsidRPr="00D32D79">
              <w:rPr>
                <w:rFonts w:ascii="Open Sans" w:hAnsi="Open Sans" w:cs="Arial"/>
                <w:i/>
              </w:rPr>
              <w:t xml:space="preserve"> </w:t>
            </w:r>
            <w:proofErr w:type="spellStart"/>
            <w:r w:rsidR="00440ECE" w:rsidRPr="00D32D79">
              <w:rPr>
                <w:rFonts w:ascii="Open Sans" w:hAnsi="Open Sans" w:cs="Arial"/>
                <w:i/>
              </w:rPr>
              <w:t>of</w:t>
            </w:r>
            <w:proofErr w:type="spellEnd"/>
            <w:r w:rsidR="00440ECE" w:rsidRPr="00D32D79">
              <w:rPr>
                <w:rFonts w:ascii="Open Sans" w:hAnsi="Open Sans" w:cs="Arial"/>
                <w:i/>
              </w:rPr>
              <w:t xml:space="preserve"> </w:t>
            </w:r>
            <w:proofErr w:type="spellStart"/>
            <w:r w:rsidR="00440ECE" w:rsidRPr="00D32D79">
              <w:rPr>
                <w:rFonts w:ascii="Open Sans" w:hAnsi="Open Sans" w:cs="Arial"/>
                <w:i/>
              </w:rPr>
              <w:t>World</w:t>
            </w:r>
            <w:proofErr w:type="spellEnd"/>
            <w:r w:rsidR="00440ECE" w:rsidRPr="00D32D79">
              <w:rPr>
                <w:rFonts w:ascii="Open Sans" w:hAnsi="Open Sans" w:cs="Arial"/>
                <w:i/>
              </w:rPr>
              <w:t xml:space="preserve"> </w:t>
            </w:r>
            <w:proofErr w:type="spellStart"/>
            <w:r w:rsidR="00440ECE" w:rsidRPr="00D32D79">
              <w:rPr>
                <w:rFonts w:ascii="Open Sans" w:hAnsi="Open Sans" w:cs="Arial"/>
                <w:i/>
              </w:rPr>
              <w:t>Universities</w:t>
            </w:r>
            <w:proofErr w:type="spellEnd"/>
            <w:r w:rsidR="00440ECE" w:rsidRPr="00D32D79">
              <w:rPr>
                <w:rFonts w:ascii="Open Sans" w:hAnsi="Open Sans" w:cs="Arial"/>
              </w:rPr>
              <w:t>)</w:t>
            </w:r>
            <w:r w:rsidR="00440ECE" w:rsidRPr="00D32D79">
              <w:rPr>
                <w:rStyle w:val="FootnoteReference"/>
                <w:rFonts w:cs="Arial"/>
              </w:rPr>
              <w:footnoteReference w:id="13"/>
            </w:r>
            <w:r w:rsidR="00440ECE" w:rsidRPr="00D32D79">
              <w:rPr>
                <w:rFonts w:ascii="Open Sans" w:hAnsi="Open Sans" w:cs="Arial"/>
              </w:rPr>
              <w:t xml:space="preserve"> reitings. "</w:t>
            </w:r>
            <w:r w:rsidR="00440ECE" w:rsidRPr="00D32D79">
              <w:rPr>
                <w:rFonts w:ascii="Open Sans" w:hAnsi="Open Sans" w:cs="Arial"/>
                <w:i/>
              </w:rPr>
              <w:t xml:space="preserve">QS </w:t>
            </w:r>
            <w:proofErr w:type="spellStart"/>
            <w:r w:rsidR="00440ECE" w:rsidRPr="00D32D79">
              <w:rPr>
                <w:rFonts w:ascii="Open Sans" w:hAnsi="Open Sans" w:cs="Arial"/>
                <w:i/>
              </w:rPr>
              <w:t>World</w:t>
            </w:r>
            <w:proofErr w:type="spellEnd"/>
            <w:r w:rsidR="00440ECE" w:rsidRPr="00D32D79">
              <w:rPr>
                <w:rFonts w:ascii="Open Sans" w:hAnsi="Open Sans" w:cs="Arial"/>
                <w:i/>
              </w:rPr>
              <w:t xml:space="preserve"> </w:t>
            </w:r>
            <w:proofErr w:type="spellStart"/>
            <w:r w:rsidR="00440ECE" w:rsidRPr="00D32D79">
              <w:rPr>
                <w:rFonts w:ascii="Open Sans" w:hAnsi="Open Sans" w:cs="Arial"/>
                <w:i/>
              </w:rPr>
              <w:t>University</w:t>
            </w:r>
            <w:proofErr w:type="spellEnd"/>
            <w:r w:rsidR="00440ECE" w:rsidRPr="00D32D79">
              <w:rPr>
                <w:rFonts w:ascii="Open Sans" w:hAnsi="Open Sans" w:cs="Arial"/>
                <w:i/>
              </w:rPr>
              <w:t xml:space="preserve"> </w:t>
            </w:r>
            <w:proofErr w:type="spellStart"/>
            <w:r w:rsidR="00440ECE" w:rsidRPr="00D32D79">
              <w:rPr>
                <w:rFonts w:ascii="Open Sans" w:hAnsi="Open Sans" w:cs="Arial"/>
                <w:i/>
              </w:rPr>
              <w:t>Rankings</w:t>
            </w:r>
            <w:proofErr w:type="spellEnd"/>
            <w:r w:rsidR="00440ECE" w:rsidRPr="00D32D79">
              <w:rPr>
                <w:rFonts w:ascii="Open Sans" w:hAnsi="Open Sans" w:cs="Arial"/>
                <w:i/>
              </w:rPr>
              <w:t>"</w:t>
            </w:r>
            <w:r w:rsidR="00440ECE" w:rsidRPr="00D32D79">
              <w:rPr>
                <w:rFonts w:ascii="Open Sans" w:hAnsi="Open Sans" w:cs="Arial"/>
              </w:rPr>
              <w:t xml:space="preserve"> tiek veidots kopš 2004.gada, vadoties pēc vairākiem indikatoriem: pasaules mēroga reputācijas, augstskolu mācībspēku un darba devēju aptauju rezultātiem, </w:t>
            </w:r>
            <w:proofErr w:type="spellStart"/>
            <w:r w:rsidR="00440ECE" w:rsidRPr="00D32D79">
              <w:rPr>
                <w:rFonts w:ascii="Open Sans" w:hAnsi="Open Sans" w:cs="Arial"/>
              </w:rPr>
              <w:t>citējamības</w:t>
            </w:r>
            <w:proofErr w:type="spellEnd"/>
            <w:r w:rsidR="00440ECE" w:rsidRPr="00D32D79">
              <w:rPr>
                <w:rFonts w:ascii="Open Sans" w:hAnsi="Open Sans" w:cs="Arial"/>
              </w:rPr>
              <w:t>, pasniedzēju un studentu skaita attiecības, kā arī ārvalstu studentu un mācībspēku īpatsvara. “</w:t>
            </w:r>
            <w:r w:rsidR="00440ECE" w:rsidRPr="00D32D79">
              <w:rPr>
                <w:rFonts w:ascii="Open Sans" w:hAnsi="Open Sans" w:cs="Arial"/>
                <w:i/>
              </w:rPr>
              <w:t xml:space="preserve">QS </w:t>
            </w:r>
            <w:proofErr w:type="spellStart"/>
            <w:r w:rsidR="00440ECE" w:rsidRPr="00D32D79">
              <w:rPr>
                <w:rFonts w:ascii="Open Sans" w:hAnsi="Open Sans" w:cs="Arial"/>
                <w:i/>
              </w:rPr>
              <w:t>World</w:t>
            </w:r>
            <w:proofErr w:type="spellEnd"/>
            <w:r w:rsidR="00440ECE" w:rsidRPr="00D32D79">
              <w:rPr>
                <w:rFonts w:ascii="Open Sans" w:hAnsi="Open Sans" w:cs="Arial"/>
                <w:i/>
              </w:rPr>
              <w:t xml:space="preserve"> </w:t>
            </w:r>
            <w:proofErr w:type="spellStart"/>
            <w:r w:rsidR="00440ECE" w:rsidRPr="00D32D79">
              <w:rPr>
                <w:rFonts w:ascii="Open Sans" w:hAnsi="Open Sans" w:cs="Arial"/>
                <w:i/>
              </w:rPr>
              <w:t>University</w:t>
            </w:r>
            <w:proofErr w:type="spellEnd"/>
            <w:r w:rsidR="00440ECE" w:rsidRPr="00D32D79">
              <w:rPr>
                <w:rFonts w:ascii="Open Sans" w:hAnsi="Open Sans" w:cs="Arial"/>
                <w:i/>
              </w:rPr>
              <w:t xml:space="preserve"> </w:t>
            </w:r>
            <w:proofErr w:type="spellStart"/>
            <w:r w:rsidR="00440ECE" w:rsidRPr="00D32D79">
              <w:rPr>
                <w:rFonts w:ascii="Open Sans" w:hAnsi="Open Sans" w:cs="Arial"/>
                <w:i/>
              </w:rPr>
              <w:t>Rankings</w:t>
            </w:r>
            <w:proofErr w:type="spellEnd"/>
            <w:r w:rsidR="00440ECE" w:rsidRPr="00D32D79">
              <w:rPr>
                <w:rFonts w:ascii="Open Sans" w:hAnsi="Open Sans" w:cs="Arial" w:hint="eastAsia"/>
                <w:i/>
              </w:rPr>
              <w:t>”</w:t>
            </w:r>
            <w:r w:rsidR="00440ECE" w:rsidRPr="00D32D79">
              <w:rPr>
                <w:rFonts w:ascii="Open Sans" w:hAnsi="Open Sans" w:cs="Arial"/>
              </w:rPr>
              <w:t xml:space="preserve"> 2018.gada reitingā ir iekļuvušas divas mūsu valsts universitātes - Rīgas Tehniskā universitāte, kas ierindojas 651 – 700 vietā, un Latvijas Universitāte, kas ierindojas 701 – 750 vietā. Savukārt “</w:t>
            </w:r>
            <w:proofErr w:type="spellStart"/>
            <w:r w:rsidR="00440ECE" w:rsidRPr="00D32D79">
              <w:rPr>
                <w:rFonts w:ascii="Open Sans" w:hAnsi="Open Sans" w:cs="Arial"/>
                <w:i/>
              </w:rPr>
              <w:t>Times</w:t>
            </w:r>
            <w:proofErr w:type="spellEnd"/>
            <w:r w:rsidR="00440ECE" w:rsidRPr="00D32D79">
              <w:rPr>
                <w:rFonts w:ascii="Open Sans" w:hAnsi="Open Sans" w:cs="Arial"/>
                <w:i/>
              </w:rPr>
              <w:t xml:space="preserve"> </w:t>
            </w:r>
            <w:proofErr w:type="spellStart"/>
            <w:r w:rsidR="00440ECE" w:rsidRPr="00D32D79">
              <w:rPr>
                <w:rFonts w:ascii="Open Sans" w:hAnsi="Open Sans" w:cs="Arial"/>
                <w:i/>
              </w:rPr>
              <w:t>Higher</w:t>
            </w:r>
            <w:proofErr w:type="spellEnd"/>
            <w:r w:rsidR="00440ECE" w:rsidRPr="00D32D79">
              <w:rPr>
                <w:rFonts w:ascii="Open Sans" w:hAnsi="Open Sans" w:cs="Arial"/>
                <w:i/>
              </w:rPr>
              <w:t xml:space="preserve"> </w:t>
            </w:r>
            <w:proofErr w:type="spellStart"/>
            <w:r w:rsidR="00440ECE" w:rsidRPr="00D32D79">
              <w:rPr>
                <w:rFonts w:ascii="Open Sans" w:hAnsi="Open Sans" w:cs="Arial"/>
                <w:i/>
              </w:rPr>
              <w:t>Education</w:t>
            </w:r>
            <w:proofErr w:type="spellEnd"/>
            <w:r w:rsidR="00440ECE" w:rsidRPr="00D32D79">
              <w:rPr>
                <w:rFonts w:ascii="Open Sans" w:hAnsi="Open Sans" w:cs="Arial"/>
                <w:i/>
              </w:rPr>
              <w:t>"</w:t>
            </w:r>
            <w:r w:rsidR="00440ECE" w:rsidRPr="00D32D79">
              <w:rPr>
                <w:rFonts w:ascii="Open Sans" w:hAnsi="Open Sans" w:cs="Arial"/>
              </w:rPr>
              <w:t xml:space="preserve"> 2018.gada reitingā Latvijas Universitāte un Rīgas Tehniskā universitāte ierindojas 801 – 1000 vietā, bet Šanhajas ARWU reitingā nav atrodama neviena no Latvijas augstskolām. </w:t>
            </w:r>
            <w:r w:rsidRPr="00D32D79">
              <w:rPr>
                <w:rFonts w:ascii="Open Sans" w:hAnsi="Open Sans" w:cs="Arial"/>
              </w:rPr>
              <w:t>Šāds augstskolu salīdzinošais vērtējums liecina par Latvijas AII kopumā vietēja mēroga ietekmi.</w:t>
            </w:r>
          </w:p>
          <w:p w14:paraId="7175442D" w14:textId="13D6EA25" w:rsidR="00440ECE" w:rsidRPr="00323800" w:rsidRDefault="00440ECE" w:rsidP="00440ECE">
            <w:pPr>
              <w:ind w:firstLine="516"/>
              <w:jc w:val="both"/>
              <w:rPr>
                <w:strike/>
              </w:rPr>
            </w:pPr>
            <w:r w:rsidRPr="00D32D79">
              <w:t>Līdz ar to var secināt, ka 8.2.2. SAM ietvaros sniegtajam atbalstam  augstākās izglītības institūcijām nav ietekmes uz  konkurenci un tirdzniecību Eiropas Savienības iekšējā tirgū, kā rezultātā neizpildās visas Komercdarbības atbalsta kontroles likuma 5.pantā minētās valsts atbalsta pazīmes</w:t>
            </w:r>
            <w:r w:rsidR="00323800">
              <w:t>.</w:t>
            </w:r>
            <w:r w:rsidRPr="00D32D79">
              <w:t xml:space="preserve"> </w:t>
            </w:r>
          </w:p>
          <w:p w14:paraId="012DEBAE" w14:textId="7E34B535" w:rsidR="00DF4C9D" w:rsidRPr="00D32D79" w:rsidRDefault="00DF4C9D" w:rsidP="000658CE">
            <w:pPr>
              <w:ind w:firstLine="720"/>
              <w:jc w:val="both"/>
              <w:rPr>
                <w:rFonts w:eastAsia="MS Mincho"/>
                <w:lang w:eastAsia="zh-TW"/>
              </w:rPr>
            </w:pPr>
            <w:r w:rsidRPr="00D32D79">
              <w:rPr>
                <w:rFonts w:eastAsia="MS Mincho"/>
                <w:lang w:eastAsia="zh-TW"/>
              </w:rPr>
              <w:t xml:space="preserve">Noteikumu projekts paredz, ja projekta īstenošanas laikā finansējuma saņēmējam ir paredzēts avanss, to var izmaksāt pa daļām. Viens avansa maksājums nepārsniedz 30 procentus no projektam piešķirtā Eiropas Sociālā fonda finansējuma un valsts budžeta līdzfinansējuma kopsummas. </w:t>
            </w:r>
          </w:p>
          <w:p w14:paraId="0B0BF8CD" w14:textId="737BC898" w:rsidR="00022AF0" w:rsidRPr="00D32D79" w:rsidRDefault="00022AF0" w:rsidP="00022AF0">
            <w:pPr>
              <w:ind w:firstLine="720"/>
              <w:jc w:val="both"/>
              <w:rPr>
                <w:rFonts w:eastAsia="MS Mincho"/>
                <w:lang w:eastAsia="zh-TW"/>
              </w:rPr>
            </w:pPr>
            <w:r w:rsidRPr="00D32D79">
              <w:rPr>
                <w:rFonts w:eastAsia="MS Mincho"/>
                <w:lang w:eastAsia="zh-TW"/>
              </w:rPr>
              <w:t>Finansējuma saņēmējiem, kuri ir atvasinātas publiskas personas</w:t>
            </w:r>
            <w:r w:rsidR="00440ECE" w:rsidRPr="00D32D79">
              <w:rPr>
                <w:rFonts w:eastAsia="MS Mincho"/>
                <w:lang w:eastAsia="zh-TW"/>
              </w:rPr>
              <w:t>,</w:t>
            </w:r>
            <w:r w:rsidRPr="00D32D79">
              <w:rPr>
                <w:rFonts w:eastAsia="MS Mincho"/>
                <w:lang w:eastAsia="zh-TW"/>
              </w:rPr>
              <w:t xml:space="preserve"> avansa un starpposma maksājumu kopsumma var būt 100 procenti no projektam piešķirtā ESF finansējuma un valsts budžeta līdzfinansējuma kopsummas. Finansējuma saņēmējiem, kas ir juridisko personu dibinātas augstākās izglītības institūcijas, avansa un starpposma maksājumu kopsumma var būt 90 procenti no projektā paredzētā ESF finansējuma un valsts budžeta līdzfinansējuma kopsummas. 100 procentu avansa apmērs valsts dibinātām augstskolām vai to aģentūrām – koledžām noteikts, pamatojoties uz MK 2015.gada 17.marta noteikumu Nr.130 “Noteikumi par valsts budžeta līdzekļu plānošanu Eiropas Savienības struktūrfondu un Kohēzijas fonda projektu īstenošanai un maksājumu veikšanu 2014.–2020.gada plānošanas periodā” 20.punktā ietverto regulējumu. Šāds regulējums ir noteikts, lai valsts dibinātās augstskolas un to aģentūras - koledžas, varētu nodrošināt nepārtrauktu finanšu plūsmu un mazinātu finanšu riskus, ņemot vērā to, ka laika posmā no 2018. – 2023.gadam tās vienlaikus īstenos vairākus projektus. Saskaņā ar Augstskolu likuma 7. pantu un 78.pantu šie finansējuma saņēmēji ir valsts budžeta daļēji finansētas atvasinātas publiskas personas. Tās īsteno projektu tām deleģēto valsts pārvaldes uzdevumu ietvaros. To darbības tiesiskais pamats ir Augstskolu likums, Zinātniskās darbības likums, augstskolu satversmes vai koledžu nolikumi un citi normatīvie akti. Augstskolu likumā ir noteikti augstskolu uzdevumi, kas tai skaitā paredz, ka augstskolas izstrādā studiju programmas, izraugās akadēmisko personālu, iekārto laboratorijas, darbnīcas, bibliotēkas un citas struktūras tā, lai studējošajiem dotu iespēju iegūt zināšanas, akadēmisko izglītību un profesionālo prasmi atbilstoši zinātnes attīstības līmenim un Latvijas kultūras tradīcijām, turklāt iespējami koncentrētā un didaktiski pilnvērtīgā veidā. Augstskolu mērķi un pamatdarbības virzieni ir noteikti katras augstskolas satversmē, savukārt koledžu - nolikumā.</w:t>
            </w:r>
          </w:p>
          <w:p w14:paraId="58E6AFDF" w14:textId="27E08662" w:rsidR="00E47B05" w:rsidRPr="00D32D79" w:rsidRDefault="00E47B05" w:rsidP="00E47B05">
            <w:pPr>
              <w:ind w:firstLine="720"/>
              <w:jc w:val="both"/>
              <w:rPr>
                <w:rFonts w:eastAsia="MS Mincho"/>
                <w:lang w:eastAsia="zh-TW"/>
              </w:rPr>
            </w:pPr>
            <w:r w:rsidRPr="00D32D79">
              <w:rPr>
                <w:rFonts w:eastAsia="MS Mincho"/>
                <w:lang w:eastAsia="zh-TW"/>
              </w:rPr>
              <w:t>8.2.2. SAM ietvaros plānotās atbalstāmās darbības papildinās līdz šim veiktos ieguldījumus ES struktūrfondu 2007.–2013. gada plānošanas periodā, kā arī 8.2.2. SAM ieviešanā tiks nodrošināta sinerģija un papildinātība ar šādiem ES struktūrfondu 2014.–2020.gada plānošanas perioda atbalsta instrumentiem:</w:t>
            </w:r>
          </w:p>
          <w:p w14:paraId="24F5DB60" w14:textId="77777777" w:rsidR="00E47B05" w:rsidRPr="00D32D79" w:rsidRDefault="00E47B05" w:rsidP="00E47B05">
            <w:pPr>
              <w:ind w:firstLine="720"/>
              <w:jc w:val="both"/>
              <w:rPr>
                <w:rFonts w:eastAsia="MS Mincho"/>
                <w:lang w:eastAsia="zh-TW"/>
              </w:rPr>
            </w:pPr>
            <w:r w:rsidRPr="00D32D79">
              <w:rPr>
                <w:rFonts w:eastAsia="MS Mincho"/>
                <w:lang w:eastAsia="zh-TW"/>
              </w:rPr>
              <w:t>‒</w:t>
            </w:r>
            <w:r w:rsidRPr="00D32D79">
              <w:rPr>
                <w:rFonts w:eastAsia="MS Mincho"/>
                <w:lang w:eastAsia="zh-TW"/>
              </w:rPr>
              <w:tab/>
              <w:t>8.2.1. SAM “Samazināt studiju programmu fragmentāciju un stiprināt resursu koplietošanu”;</w:t>
            </w:r>
          </w:p>
          <w:p w14:paraId="06EDB1CB" w14:textId="5286CF59" w:rsidR="00E47B05" w:rsidRPr="00D32D79" w:rsidRDefault="00E47B05" w:rsidP="00E47B05">
            <w:pPr>
              <w:ind w:firstLine="720"/>
              <w:jc w:val="both"/>
              <w:rPr>
                <w:rFonts w:eastAsia="MS Mincho"/>
                <w:lang w:eastAsia="zh-TW"/>
              </w:rPr>
            </w:pPr>
            <w:r w:rsidRPr="00D32D79">
              <w:rPr>
                <w:rFonts w:eastAsia="MS Mincho"/>
                <w:lang w:eastAsia="zh-TW"/>
              </w:rPr>
              <w:t>‒</w:t>
            </w:r>
            <w:r w:rsidRPr="00D32D79">
              <w:rPr>
                <w:rFonts w:eastAsia="MS Mincho"/>
                <w:lang w:eastAsia="zh-TW"/>
              </w:rPr>
              <w:tab/>
              <w:t>8.2.3. SAM “Nodrošināt labāku pārvaldību augstākās izglītības institūcijās”;</w:t>
            </w:r>
          </w:p>
          <w:p w14:paraId="67CA69E6" w14:textId="77777777" w:rsidR="00E47B05" w:rsidRPr="00D32D79" w:rsidRDefault="00E47B05" w:rsidP="00E47B05">
            <w:pPr>
              <w:ind w:firstLine="720"/>
              <w:jc w:val="both"/>
              <w:rPr>
                <w:rFonts w:eastAsia="MS Mincho"/>
                <w:lang w:eastAsia="zh-TW"/>
              </w:rPr>
            </w:pPr>
            <w:r w:rsidRPr="00D32D79">
              <w:rPr>
                <w:rFonts w:eastAsia="MS Mincho"/>
                <w:lang w:eastAsia="zh-TW"/>
              </w:rPr>
              <w:t>‒</w:t>
            </w:r>
            <w:r w:rsidRPr="00D32D79">
              <w:rPr>
                <w:rFonts w:eastAsia="MS Mincho"/>
                <w:lang w:eastAsia="zh-TW"/>
              </w:rPr>
              <w:tab/>
              <w:t>8.1.1. SAM “Palielināt modernizēto STEM, tajā skaitā medicīnas un radošās industrijas, studiju programmu skaitu”</w:t>
            </w:r>
          </w:p>
          <w:p w14:paraId="5B4D7C63" w14:textId="77777777" w:rsidR="00E47B05" w:rsidRPr="00D32D79" w:rsidRDefault="00E47B05" w:rsidP="00E47B05">
            <w:pPr>
              <w:ind w:firstLine="720"/>
              <w:jc w:val="both"/>
              <w:rPr>
                <w:rFonts w:eastAsia="MS Mincho"/>
                <w:lang w:eastAsia="zh-TW"/>
              </w:rPr>
            </w:pPr>
            <w:r w:rsidRPr="00D32D79">
              <w:rPr>
                <w:rFonts w:eastAsia="MS Mincho"/>
                <w:lang w:eastAsia="zh-TW"/>
              </w:rPr>
              <w:t>‒</w:t>
            </w:r>
            <w:r w:rsidRPr="00D32D79">
              <w:rPr>
                <w:rFonts w:eastAsia="MS Mincho"/>
                <w:lang w:eastAsia="zh-TW"/>
              </w:rPr>
              <w:tab/>
              <w:t>8.1.4. SAM “Uzlabot pirmā līmeņa profesionālās augstākās izglītības STEM, tajā skaitā medicīnas un radošās industrijas, studiju mācību vidi koledžās”</w:t>
            </w:r>
          </w:p>
          <w:p w14:paraId="630FA011" w14:textId="609A5AEB" w:rsidR="00E47B05" w:rsidRPr="00D32D79" w:rsidRDefault="00E47B05" w:rsidP="00E47B05">
            <w:pPr>
              <w:ind w:firstLine="720"/>
              <w:jc w:val="both"/>
              <w:rPr>
                <w:rFonts w:eastAsia="MS Mincho"/>
                <w:lang w:eastAsia="zh-TW"/>
              </w:rPr>
            </w:pPr>
            <w:r w:rsidRPr="00D32D79">
              <w:rPr>
                <w:rFonts w:eastAsia="MS Mincho"/>
                <w:lang w:eastAsia="zh-TW"/>
              </w:rPr>
              <w:t>8.2.2. SAM projektu iesniegumu vērtēšanas kritēriji izstrādāti, ievērojot  8.2.2. SAM sākotnējā novērtējumā sniegtos priekšlikumus , kā arī Eiropas Komisijas izstrādātās „</w:t>
            </w:r>
            <w:proofErr w:type="spellStart"/>
            <w:r w:rsidRPr="00D32D79">
              <w:rPr>
                <w:rFonts w:eastAsia="MS Mincho"/>
                <w:lang w:eastAsia="zh-TW"/>
              </w:rPr>
              <w:t>Erasmus</w:t>
            </w:r>
            <w:proofErr w:type="spellEnd"/>
            <w:r w:rsidRPr="00D32D79">
              <w:rPr>
                <w:rFonts w:eastAsia="MS Mincho"/>
                <w:lang w:eastAsia="zh-TW"/>
              </w:rPr>
              <w:t>+” program</w:t>
            </w:r>
            <w:r w:rsidR="00206C9D" w:rsidRPr="00D32D79">
              <w:rPr>
                <w:rFonts w:eastAsia="MS Mincho"/>
                <w:lang w:eastAsia="zh-TW"/>
              </w:rPr>
              <w:t>mas vadlīnijas</w:t>
            </w:r>
            <w:r w:rsidR="007460A0" w:rsidRPr="00D32D79">
              <w:rPr>
                <w:rStyle w:val="FootnoteReference"/>
                <w:rFonts w:eastAsia="MS Mincho"/>
                <w:lang w:eastAsia="zh-TW"/>
              </w:rPr>
              <w:footnoteReference w:id="14"/>
            </w:r>
            <w:r w:rsidR="00206C9D" w:rsidRPr="00D32D79">
              <w:rPr>
                <w:rFonts w:eastAsia="MS Mincho"/>
                <w:lang w:eastAsia="zh-TW"/>
              </w:rPr>
              <w:t xml:space="preserve"> par aktivitāti “</w:t>
            </w:r>
            <w:r w:rsidRPr="00D32D79">
              <w:rPr>
                <w:rFonts w:eastAsia="MS Mincho"/>
                <w:lang w:eastAsia="zh-TW"/>
              </w:rPr>
              <w:t xml:space="preserve">Mācību mobilitāte augstākās izglītības iestāžu personālam”. Plānots, ka projektu iesniegumu atbilstību kvalitātes </w:t>
            </w:r>
            <w:r w:rsidR="00206C9D" w:rsidRPr="00D32D79">
              <w:rPr>
                <w:rFonts w:eastAsia="MS Mincho"/>
                <w:lang w:eastAsia="zh-TW"/>
              </w:rPr>
              <w:t>vērtēšanu veiks</w:t>
            </w:r>
            <w:r w:rsidRPr="00D32D79">
              <w:rPr>
                <w:rFonts w:eastAsia="MS Mincho"/>
                <w:lang w:eastAsia="zh-TW"/>
              </w:rPr>
              <w:t xml:space="preserve"> starptautiski eksperti.</w:t>
            </w:r>
          </w:p>
          <w:p w14:paraId="74EAE03F" w14:textId="77777777" w:rsidR="00D55F8F" w:rsidRPr="00D55F8F" w:rsidRDefault="00D55F8F" w:rsidP="00D55F8F">
            <w:pPr>
              <w:ind w:firstLine="720"/>
              <w:jc w:val="both"/>
              <w:rPr>
                <w:rFonts w:eastAsia="MS Mincho"/>
                <w:lang w:eastAsia="zh-TW"/>
              </w:rPr>
            </w:pPr>
            <w:r w:rsidRPr="00D55F8F">
              <w:rPr>
                <w:rFonts w:eastAsia="MS Mincho"/>
                <w:lang w:eastAsia="zh-TW"/>
              </w:rPr>
              <w:t>Sadarbības iestāde projektu iesniegumu atlasē nodrošina atbilstošu Eiropas Komisijas ekspertu datubāzē iekļautu ekspertu piesaisti, izmantojot šādus atlases kritērijus:</w:t>
            </w:r>
          </w:p>
          <w:p w14:paraId="71A9C4F3" w14:textId="6A73B3ED" w:rsidR="00D55F8F" w:rsidRPr="00E33695" w:rsidRDefault="00D55F8F" w:rsidP="00E33695">
            <w:pPr>
              <w:pStyle w:val="ListParagraph"/>
              <w:numPr>
                <w:ilvl w:val="0"/>
                <w:numId w:val="40"/>
              </w:numPr>
              <w:rPr>
                <w:rFonts w:eastAsia="MS Mincho"/>
                <w:lang w:eastAsia="zh-TW"/>
              </w:rPr>
            </w:pPr>
            <w:r w:rsidRPr="00E33695">
              <w:rPr>
                <w:rFonts w:eastAsia="MS Mincho"/>
                <w:lang w:eastAsia="zh-TW"/>
              </w:rPr>
              <w:t>ekspertam ir doktora zinātniskais grāds;</w:t>
            </w:r>
          </w:p>
          <w:p w14:paraId="18F5860E" w14:textId="73CA7651" w:rsidR="00D55F8F" w:rsidRPr="00E33695" w:rsidRDefault="00D55F8F" w:rsidP="00E33695">
            <w:pPr>
              <w:pStyle w:val="ListParagraph"/>
              <w:numPr>
                <w:ilvl w:val="0"/>
                <w:numId w:val="40"/>
              </w:numPr>
              <w:rPr>
                <w:rFonts w:eastAsia="MS Mincho"/>
                <w:lang w:eastAsia="zh-TW"/>
              </w:rPr>
            </w:pPr>
            <w:r w:rsidRPr="00E33695">
              <w:rPr>
                <w:rFonts w:eastAsia="MS Mincho"/>
                <w:lang w:eastAsia="zh-TW"/>
              </w:rPr>
              <w:t>ekspertam ir augstākās izglītības akadēmiskā personāla profesionālās pilnveides, mobilitātes un karjeras attīstības stratēģiskās īstenošanas praktiskā vai pētnieciskā pieredze pēdējo četru gadu laikā;</w:t>
            </w:r>
          </w:p>
          <w:p w14:paraId="7BCBD1F6" w14:textId="3929FEDB" w:rsidR="00D55F8F" w:rsidRPr="00E33695" w:rsidRDefault="00D55F8F" w:rsidP="00E33695">
            <w:pPr>
              <w:pStyle w:val="ListParagraph"/>
              <w:numPr>
                <w:ilvl w:val="0"/>
                <w:numId w:val="40"/>
              </w:numPr>
              <w:rPr>
                <w:rFonts w:eastAsia="MS Mincho"/>
                <w:lang w:eastAsia="zh-TW"/>
              </w:rPr>
            </w:pPr>
            <w:r w:rsidRPr="00E33695">
              <w:rPr>
                <w:rFonts w:eastAsia="MS Mincho"/>
                <w:lang w:eastAsia="zh-TW"/>
              </w:rPr>
              <w:t>ekspertam ir vēlama pieredze Ekonomiskās sadarbības un attīstības organizācijas vai citu līdzvērtīgu starptautiska līmeņa pētījumos augstākajā izglītībā.</w:t>
            </w:r>
          </w:p>
          <w:p w14:paraId="0B7D4807" w14:textId="6B67C6D6" w:rsidR="00D55F8F" w:rsidRDefault="00D55F8F" w:rsidP="00E47B05">
            <w:pPr>
              <w:ind w:firstLine="720"/>
              <w:jc w:val="both"/>
              <w:rPr>
                <w:rFonts w:eastAsia="MS Mincho"/>
                <w:lang w:eastAsia="zh-TW"/>
              </w:rPr>
            </w:pPr>
            <w:r w:rsidRPr="00D55F8F">
              <w:rPr>
                <w:rFonts w:eastAsia="MS Mincho"/>
                <w:lang w:eastAsia="zh-TW"/>
              </w:rPr>
              <w:t>8.2.</w:t>
            </w:r>
            <w:r>
              <w:rPr>
                <w:rFonts w:eastAsia="MS Mincho"/>
                <w:lang w:eastAsia="zh-TW"/>
              </w:rPr>
              <w:t>2</w:t>
            </w:r>
            <w:r w:rsidRPr="00D55F8F">
              <w:rPr>
                <w:rFonts w:eastAsia="MS Mincho"/>
                <w:lang w:eastAsia="zh-TW"/>
              </w:rPr>
              <w:t xml:space="preserve">. SAM ietvaros paredzēts vērtēt projekta iesnieguma saturisko integritāti un kvalitāti. Tādējādi, ārvalstu ekspertam jābūt spējīgam veikt projektā plānoto darbību sistēmisku analīzi un sniegt savu vērtējumu par projekta iesnieguma saturisko integritāti un kvalitāti, līdzīgi kā </w:t>
            </w:r>
            <w:proofErr w:type="spellStart"/>
            <w:r w:rsidRPr="00D55F8F">
              <w:rPr>
                <w:rFonts w:eastAsia="MS Mincho"/>
                <w:lang w:eastAsia="zh-TW"/>
              </w:rPr>
              <w:t>Erasmus</w:t>
            </w:r>
            <w:proofErr w:type="spellEnd"/>
            <w:r w:rsidRPr="00D55F8F">
              <w:rPr>
                <w:rFonts w:eastAsia="MS Mincho"/>
                <w:lang w:eastAsia="zh-TW"/>
              </w:rPr>
              <w:t xml:space="preserve"> + ietvaros īstenotiem augstāko izglītības institūciju </w:t>
            </w:r>
            <w:r>
              <w:rPr>
                <w:rFonts w:eastAsia="MS Mincho"/>
                <w:lang w:eastAsia="zh-TW"/>
              </w:rPr>
              <w:t>m</w:t>
            </w:r>
            <w:r w:rsidRPr="00D55F8F">
              <w:rPr>
                <w:rFonts w:eastAsia="MS Mincho"/>
                <w:lang w:eastAsia="zh-TW"/>
              </w:rPr>
              <w:t>ācību mobilitāte</w:t>
            </w:r>
            <w:r>
              <w:rPr>
                <w:rFonts w:eastAsia="MS Mincho"/>
                <w:lang w:eastAsia="zh-TW"/>
              </w:rPr>
              <w:t>s</w:t>
            </w:r>
            <w:r w:rsidRPr="00D55F8F">
              <w:rPr>
                <w:rFonts w:eastAsia="MS Mincho"/>
                <w:lang w:eastAsia="zh-TW"/>
              </w:rPr>
              <w:t xml:space="preserve"> projektiem iestāžu personālam.</w:t>
            </w:r>
          </w:p>
          <w:p w14:paraId="33D115AD" w14:textId="150AEE7A" w:rsidR="00DF4C9D" w:rsidRPr="00D32D79" w:rsidRDefault="00E47B05" w:rsidP="00E47B05">
            <w:pPr>
              <w:ind w:firstLine="720"/>
              <w:jc w:val="both"/>
              <w:rPr>
                <w:rFonts w:eastAsia="MS Mincho"/>
                <w:lang w:eastAsia="zh-TW"/>
              </w:rPr>
            </w:pPr>
            <w:r w:rsidRPr="00D32D79">
              <w:rPr>
                <w:rFonts w:eastAsia="MS Mincho"/>
                <w:lang w:eastAsia="zh-TW"/>
              </w:rPr>
              <w:t>8.2.2. SAM ietvaros plānotās atbalstāmās darbības atbilst darbības programmas „Izaugsme un nodarbinātība” 8. prioritārajam virzienam “Izglītība, prasmes un mūžizglītība” noteiktajai intervences kategorijai – 116 “Terciārās izglītības vai pielīdzināma līmeņa izglītības kvalitātes, efektivitātes un pieejamības uzlabošana nolūkā palielināt līdzdalības un sasniegumu līmeni, jo īpaši nelabvēlīgā situācijā”. Minētajai  intervences kategorijai atbilst sekojošas plānotās atbalstāmās darbības: augstākās izglītības institūciju esošo studiju programmu satura salāgošana ar nozares attīstības vajadzībām; augstākās izglītības institūciju pārvaldības struktūru racionalizācija un organizatorisko procesu pilnveide; augstākās izglītības institūciju kvalitātes vadības sistēmas pilnveide; e-risinājumu pilnveide un ieviešana; augstākās izglītības institūciju vadības personāla kompetenču pilnveide.</w:t>
            </w:r>
          </w:p>
        </w:tc>
      </w:tr>
      <w:tr w:rsidR="0072604C" w:rsidRPr="00D32D79" w14:paraId="7C669880" w14:textId="77777777" w:rsidTr="00076158">
        <w:tc>
          <w:tcPr>
            <w:tcW w:w="206" w:type="pct"/>
            <w:tcBorders>
              <w:top w:val="outset" w:sz="6" w:space="0" w:color="000000"/>
              <w:left w:val="outset" w:sz="6" w:space="0" w:color="000000"/>
              <w:bottom w:val="outset" w:sz="6" w:space="0" w:color="000000"/>
              <w:right w:val="outset" w:sz="6" w:space="0" w:color="000000"/>
            </w:tcBorders>
            <w:shd w:val="clear" w:color="auto" w:fill="auto"/>
          </w:tcPr>
          <w:p w14:paraId="6DFE571E" w14:textId="47E9C393" w:rsidR="0072604C" w:rsidRPr="00D32D79" w:rsidRDefault="00B77F92" w:rsidP="0004595D">
            <w:r w:rsidRPr="00D32D79">
              <w:lastRenderedPageBreak/>
              <w:t>3.</w:t>
            </w:r>
          </w:p>
        </w:tc>
        <w:tc>
          <w:tcPr>
            <w:tcW w:w="1113" w:type="pct"/>
            <w:gridSpan w:val="2"/>
            <w:tcBorders>
              <w:top w:val="outset" w:sz="6" w:space="0" w:color="000000"/>
              <w:left w:val="outset" w:sz="6" w:space="0" w:color="000000"/>
              <w:bottom w:val="outset" w:sz="6" w:space="0" w:color="000000"/>
              <w:right w:val="outset" w:sz="6" w:space="0" w:color="000000"/>
            </w:tcBorders>
            <w:shd w:val="clear" w:color="auto" w:fill="auto"/>
          </w:tcPr>
          <w:p w14:paraId="51611A8D" w14:textId="77777777" w:rsidR="0072604C" w:rsidRPr="00D32D79" w:rsidRDefault="0072604C" w:rsidP="0004595D">
            <w:r w:rsidRPr="00D32D79">
              <w:t>Projekta izstrādē iesaistītās institūcijas</w:t>
            </w:r>
          </w:p>
        </w:tc>
        <w:tc>
          <w:tcPr>
            <w:tcW w:w="3680" w:type="pct"/>
            <w:gridSpan w:val="2"/>
            <w:tcBorders>
              <w:top w:val="outset" w:sz="6" w:space="0" w:color="000000"/>
              <w:left w:val="outset" w:sz="6" w:space="0" w:color="000000"/>
              <w:bottom w:val="outset" w:sz="6" w:space="0" w:color="000000"/>
              <w:right w:val="outset" w:sz="6" w:space="0" w:color="000000"/>
            </w:tcBorders>
            <w:shd w:val="clear" w:color="auto" w:fill="auto"/>
          </w:tcPr>
          <w:p w14:paraId="1544686B" w14:textId="6C05964F" w:rsidR="00D55D73" w:rsidRPr="00D32D79" w:rsidRDefault="00FB6C72" w:rsidP="00FB6C72">
            <w:pPr>
              <w:ind w:right="93"/>
              <w:jc w:val="both"/>
              <w:rPr>
                <w:bCs/>
                <w:iCs/>
              </w:rPr>
            </w:pPr>
            <w:r w:rsidRPr="00D32D79">
              <w:rPr>
                <w:bCs/>
                <w:iCs/>
              </w:rPr>
              <w:t>8.2.2. SAM plānošanas un noteikumu projekta izstrādes ietvaros tiek iesaistītas ES fondu vadībā iesaistītās iestādes un sociālie partneri.</w:t>
            </w:r>
          </w:p>
        </w:tc>
      </w:tr>
      <w:tr w:rsidR="0072604C" w:rsidRPr="00D32D79" w14:paraId="468F7701" w14:textId="77777777" w:rsidTr="00076158">
        <w:trPr>
          <w:trHeight w:val="35"/>
        </w:trPr>
        <w:tc>
          <w:tcPr>
            <w:tcW w:w="206" w:type="pct"/>
            <w:tcBorders>
              <w:top w:val="outset" w:sz="6" w:space="0" w:color="000000"/>
              <w:left w:val="outset" w:sz="6" w:space="0" w:color="000000"/>
              <w:bottom w:val="outset" w:sz="6" w:space="0" w:color="000000"/>
              <w:right w:val="outset" w:sz="6" w:space="0" w:color="000000"/>
            </w:tcBorders>
            <w:shd w:val="clear" w:color="auto" w:fill="auto"/>
          </w:tcPr>
          <w:p w14:paraId="06F55938" w14:textId="77777777" w:rsidR="0072604C" w:rsidRPr="00D32D79" w:rsidRDefault="00B77F92" w:rsidP="0004595D">
            <w:r w:rsidRPr="00D32D79">
              <w:t>4</w:t>
            </w:r>
            <w:r w:rsidR="0072604C" w:rsidRPr="00D32D79">
              <w:t>.</w:t>
            </w:r>
          </w:p>
        </w:tc>
        <w:tc>
          <w:tcPr>
            <w:tcW w:w="1113" w:type="pct"/>
            <w:gridSpan w:val="2"/>
            <w:tcBorders>
              <w:top w:val="outset" w:sz="6" w:space="0" w:color="000000"/>
              <w:left w:val="outset" w:sz="6" w:space="0" w:color="000000"/>
              <w:bottom w:val="outset" w:sz="6" w:space="0" w:color="000000"/>
              <w:right w:val="outset" w:sz="6" w:space="0" w:color="000000"/>
            </w:tcBorders>
            <w:shd w:val="clear" w:color="auto" w:fill="auto"/>
          </w:tcPr>
          <w:p w14:paraId="0D6C706B" w14:textId="77777777" w:rsidR="0072604C" w:rsidRPr="00D32D79" w:rsidRDefault="0072604C" w:rsidP="0004595D">
            <w:r w:rsidRPr="00D32D79">
              <w:t>Cita informācija</w:t>
            </w:r>
          </w:p>
        </w:tc>
        <w:tc>
          <w:tcPr>
            <w:tcW w:w="3680" w:type="pct"/>
            <w:gridSpan w:val="2"/>
            <w:tcBorders>
              <w:top w:val="outset" w:sz="6" w:space="0" w:color="000000"/>
              <w:left w:val="outset" w:sz="6" w:space="0" w:color="000000"/>
              <w:bottom w:val="outset" w:sz="6" w:space="0" w:color="000000"/>
              <w:right w:val="outset" w:sz="6" w:space="0" w:color="000000"/>
            </w:tcBorders>
            <w:shd w:val="clear" w:color="auto" w:fill="auto"/>
          </w:tcPr>
          <w:p w14:paraId="4253FA06" w14:textId="1C9EC1B7" w:rsidR="00D43BC0" w:rsidRPr="00D32D79" w:rsidRDefault="00FB6C72" w:rsidP="00FB6C72">
            <w:pPr>
              <w:ind w:right="93"/>
              <w:jc w:val="both"/>
              <w:rPr>
                <w:color w:val="000000" w:themeColor="text1"/>
              </w:rPr>
            </w:pPr>
            <w:r w:rsidRPr="00D32D79">
              <w:rPr>
                <w:color w:val="000000" w:themeColor="text1"/>
              </w:rPr>
              <w:t xml:space="preserve">8.2.2. SAM projektu iesniegumu </w:t>
            </w:r>
            <w:r w:rsidR="0045489B" w:rsidRPr="00D32D79">
              <w:rPr>
                <w:color w:val="000000" w:themeColor="text1"/>
              </w:rPr>
              <w:t xml:space="preserve">pirmās un otrās atlases kārtas </w:t>
            </w:r>
            <w:r w:rsidRPr="00D32D79">
              <w:rPr>
                <w:color w:val="000000" w:themeColor="text1"/>
              </w:rPr>
              <w:t>vērtēšanas kritēriji, kritēriju piemērošanas metodika un sākotnējais novērtējums tiks izskatīti ES struktūrfondu un Kohēzijas fonda 2014.–2020. gada plānošanas perioda Izglītības, prasmju un mūžizglītības prioritārā virziena apakškomitejas 2017. gada 16. novembra sēdē.</w:t>
            </w:r>
          </w:p>
          <w:p w14:paraId="270A05DB" w14:textId="47DC1F48" w:rsidR="00575AF7" w:rsidRPr="00D32D79" w:rsidRDefault="00B46A9B" w:rsidP="002C7D19">
            <w:pPr>
              <w:ind w:right="93"/>
              <w:jc w:val="both"/>
            </w:pPr>
            <w:r w:rsidRPr="00D32D79">
              <w:rPr>
                <w:color w:val="000000" w:themeColor="text1"/>
              </w:rPr>
              <w:t>N</w:t>
            </w:r>
            <w:r w:rsidR="00D43BC0" w:rsidRPr="00D32D79">
              <w:rPr>
                <w:color w:val="000000" w:themeColor="text1"/>
              </w:rPr>
              <w:t xml:space="preserve">oteikumu projektā iekļauts punkts par datu uzkrāšanu </w:t>
            </w:r>
            <w:r w:rsidR="00DD6EED" w:rsidRPr="00D32D79">
              <w:rPr>
                <w:color w:val="000000" w:themeColor="text1"/>
              </w:rPr>
              <w:t>nacionālajā līmenī</w:t>
            </w:r>
            <w:r w:rsidR="00D43BC0" w:rsidRPr="00D32D79">
              <w:rPr>
                <w:color w:val="000000" w:themeColor="text1"/>
              </w:rPr>
              <w:t xml:space="preserve">- Īstenojot projektu, finansējuma saņēmējs uzkrāj datus par projektu mērķa grupām atbilstoši Eiropas Parlamenta un Padomes 2013. gada 17. decembra Regulai (ES) Nr.1304/2013 un ar ko atceļ Padomes Regulas (EK) Nr. 1081/2006. </w:t>
            </w:r>
          </w:p>
        </w:tc>
      </w:tr>
      <w:tr w:rsidR="00FB6C72" w:rsidRPr="00D32D79" w14:paraId="38C08348" w14:textId="77777777" w:rsidTr="00FB6C72">
        <w:trPr>
          <w:trHeight w:val="35"/>
        </w:trPr>
        <w:tc>
          <w:tcPr>
            <w:tcW w:w="206" w:type="pct"/>
            <w:tcBorders>
              <w:top w:val="outset" w:sz="6" w:space="0" w:color="000000"/>
              <w:left w:val="nil"/>
              <w:bottom w:val="outset" w:sz="6" w:space="0" w:color="000000"/>
              <w:right w:val="nil"/>
            </w:tcBorders>
            <w:shd w:val="clear" w:color="auto" w:fill="auto"/>
          </w:tcPr>
          <w:p w14:paraId="4542425C" w14:textId="77777777" w:rsidR="00FB6C72" w:rsidRPr="00D32D79" w:rsidRDefault="00FB6C72" w:rsidP="0004595D"/>
        </w:tc>
        <w:tc>
          <w:tcPr>
            <w:tcW w:w="1113" w:type="pct"/>
            <w:gridSpan w:val="2"/>
            <w:tcBorders>
              <w:top w:val="outset" w:sz="6" w:space="0" w:color="000000"/>
              <w:left w:val="nil"/>
              <w:bottom w:val="outset" w:sz="6" w:space="0" w:color="000000"/>
              <w:right w:val="nil"/>
            </w:tcBorders>
            <w:shd w:val="clear" w:color="auto" w:fill="auto"/>
          </w:tcPr>
          <w:p w14:paraId="19F8A2E2" w14:textId="77777777" w:rsidR="00FB6C72" w:rsidRPr="00D32D79" w:rsidRDefault="00FB6C72" w:rsidP="0004595D"/>
        </w:tc>
        <w:tc>
          <w:tcPr>
            <w:tcW w:w="3680" w:type="pct"/>
            <w:gridSpan w:val="2"/>
            <w:tcBorders>
              <w:top w:val="outset" w:sz="6" w:space="0" w:color="000000"/>
              <w:left w:val="nil"/>
              <w:bottom w:val="outset" w:sz="6" w:space="0" w:color="000000"/>
              <w:right w:val="nil"/>
            </w:tcBorders>
            <w:shd w:val="clear" w:color="auto" w:fill="auto"/>
          </w:tcPr>
          <w:p w14:paraId="728D7B4F" w14:textId="77777777" w:rsidR="00FB6C72" w:rsidRPr="00D32D79" w:rsidRDefault="00FB6C72" w:rsidP="00FB6C72">
            <w:pPr>
              <w:ind w:right="93"/>
              <w:jc w:val="both"/>
              <w:rPr>
                <w:color w:val="000000" w:themeColor="text1"/>
              </w:rPr>
            </w:pPr>
          </w:p>
        </w:tc>
      </w:tr>
      <w:tr w:rsidR="0072604C" w:rsidRPr="00D32D79" w14:paraId="75A0BED4" w14:textId="77777777" w:rsidTr="00076158">
        <w:tc>
          <w:tcPr>
            <w:tcW w:w="5000" w:type="pct"/>
            <w:gridSpan w:val="5"/>
            <w:tcBorders>
              <w:top w:val="single" w:sz="4" w:space="0" w:color="auto"/>
              <w:left w:val="single" w:sz="4" w:space="0" w:color="auto"/>
              <w:bottom w:val="outset" w:sz="6" w:space="0" w:color="000000"/>
              <w:right w:val="single" w:sz="4" w:space="0" w:color="auto"/>
            </w:tcBorders>
            <w:shd w:val="clear" w:color="auto" w:fill="auto"/>
            <w:vAlign w:val="center"/>
          </w:tcPr>
          <w:p w14:paraId="08D5300B" w14:textId="77777777" w:rsidR="0072604C" w:rsidRPr="00D32D79" w:rsidRDefault="00B77F92" w:rsidP="0004595D">
            <w:pPr>
              <w:jc w:val="center"/>
              <w:rPr>
                <w:b/>
                <w:bCs/>
              </w:rPr>
            </w:pPr>
            <w:r w:rsidRPr="00D32D79">
              <w:rPr>
                <w:b/>
              </w:rPr>
              <w:t xml:space="preserve">II. </w:t>
            </w:r>
            <w:r w:rsidRPr="00D32D79">
              <w:rPr>
                <w:b/>
                <w:bCs/>
              </w:rPr>
              <w:t>Tiesību akta projekta ietekme uz sabiedrību, tautsaimniecības attīstību un administratīvo slogu</w:t>
            </w:r>
          </w:p>
        </w:tc>
      </w:tr>
      <w:tr w:rsidR="00BE7A14" w:rsidRPr="00D32D79" w14:paraId="1E936F22" w14:textId="77777777" w:rsidTr="00076158">
        <w:tc>
          <w:tcPr>
            <w:tcW w:w="251" w:type="pct"/>
            <w:gridSpan w:val="2"/>
            <w:tcBorders>
              <w:top w:val="outset" w:sz="6" w:space="0" w:color="000000"/>
              <w:left w:val="outset" w:sz="6" w:space="0" w:color="000000"/>
              <w:bottom w:val="outset" w:sz="6" w:space="0" w:color="000000"/>
              <w:right w:val="outset" w:sz="6" w:space="0" w:color="000000"/>
            </w:tcBorders>
            <w:shd w:val="clear" w:color="auto" w:fill="auto"/>
          </w:tcPr>
          <w:p w14:paraId="32C5CAFF" w14:textId="77777777" w:rsidR="0072604C" w:rsidRPr="00D32D79" w:rsidRDefault="0072604C" w:rsidP="0004595D">
            <w:pPr>
              <w:jc w:val="center"/>
            </w:pPr>
            <w:r w:rsidRPr="00D32D79">
              <w:t>1.</w:t>
            </w:r>
          </w:p>
        </w:tc>
        <w:tc>
          <w:tcPr>
            <w:tcW w:w="1336" w:type="pct"/>
            <w:gridSpan w:val="2"/>
            <w:tcBorders>
              <w:top w:val="outset" w:sz="6" w:space="0" w:color="000000"/>
              <w:left w:val="outset" w:sz="6" w:space="0" w:color="000000"/>
              <w:bottom w:val="outset" w:sz="6" w:space="0" w:color="000000"/>
              <w:right w:val="outset" w:sz="6" w:space="0" w:color="000000"/>
            </w:tcBorders>
            <w:shd w:val="clear" w:color="auto" w:fill="auto"/>
          </w:tcPr>
          <w:p w14:paraId="69095567" w14:textId="77777777" w:rsidR="0072604C" w:rsidRPr="00D32D79" w:rsidRDefault="00B77F92" w:rsidP="0004595D">
            <w:r w:rsidRPr="00D32D79">
              <w:t xml:space="preserve">Sabiedrības </w:t>
            </w:r>
            <w:proofErr w:type="spellStart"/>
            <w:r w:rsidRPr="00D32D79">
              <w:t>mērķgrupas</w:t>
            </w:r>
            <w:proofErr w:type="spellEnd"/>
            <w:r w:rsidRPr="00D32D79">
              <w:t>, kuras tiesiskais regulējums ietekmē vai varētu ietekmēt</w:t>
            </w:r>
          </w:p>
        </w:tc>
        <w:tc>
          <w:tcPr>
            <w:tcW w:w="3414" w:type="pct"/>
            <w:tcBorders>
              <w:top w:val="outset" w:sz="6" w:space="0" w:color="000000"/>
              <w:left w:val="outset" w:sz="6" w:space="0" w:color="000000"/>
              <w:bottom w:val="outset" w:sz="6" w:space="0" w:color="000000"/>
              <w:right w:val="outset" w:sz="6" w:space="0" w:color="000000"/>
            </w:tcBorders>
            <w:shd w:val="clear" w:color="auto" w:fill="auto"/>
          </w:tcPr>
          <w:p w14:paraId="3DB11F89" w14:textId="77777777" w:rsidR="00DC3BA1" w:rsidRPr="00D32D79" w:rsidRDefault="00FB6C72" w:rsidP="00206C9D">
            <w:r w:rsidRPr="00D32D79">
              <w:t>Tiesiskais regulējums ietekmē</w:t>
            </w:r>
            <w:r w:rsidR="00DC3BA1" w:rsidRPr="00D32D79">
              <w:t>:</w:t>
            </w:r>
          </w:p>
          <w:p w14:paraId="261E362C" w14:textId="4A77D021" w:rsidR="00DA3EA2" w:rsidRPr="00D32D79" w:rsidRDefault="00FB6C72" w:rsidP="00FB6C72">
            <w:pPr>
              <w:pStyle w:val="ListParagraph"/>
              <w:numPr>
                <w:ilvl w:val="1"/>
                <w:numId w:val="34"/>
              </w:numPr>
              <w:ind w:left="484" w:hanging="283"/>
              <w:rPr>
                <w:szCs w:val="24"/>
                <w:lang w:eastAsia="lv-LV"/>
              </w:rPr>
            </w:pPr>
            <w:r w:rsidRPr="00D32D79">
              <w:rPr>
                <w:szCs w:val="24"/>
                <w:lang w:eastAsia="lv-LV"/>
              </w:rPr>
              <w:t xml:space="preserve"> augstākās </w:t>
            </w:r>
            <w:proofErr w:type="spellStart"/>
            <w:r w:rsidRPr="00D32D79">
              <w:rPr>
                <w:szCs w:val="24"/>
                <w:lang w:eastAsia="lv-LV"/>
              </w:rPr>
              <w:t>izglītības</w:t>
            </w:r>
            <w:r w:rsidR="00DC3BA1" w:rsidRPr="00D32D79">
              <w:rPr>
                <w:szCs w:val="24"/>
                <w:lang w:eastAsia="lv-LV"/>
              </w:rPr>
              <w:t>institūcijas</w:t>
            </w:r>
            <w:proofErr w:type="spellEnd"/>
            <w:r w:rsidRPr="00D32D79">
              <w:rPr>
                <w:szCs w:val="24"/>
                <w:lang w:eastAsia="lv-LV"/>
              </w:rPr>
              <w:t>;</w:t>
            </w:r>
          </w:p>
          <w:p w14:paraId="5A00ADF4" w14:textId="71785D66" w:rsidR="00FB6C72" w:rsidRPr="00D32D79" w:rsidRDefault="00DC3BA1" w:rsidP="000C537B">
            <w:pPr>
              <w:pStyle w:val="ListParagraph"/>
              <w:numPr>
                <w:ilvl w:val="1"/>
                <w:numId w:val="34"/>
              </w:numPr>
              <w:ind w:left="484" w:hanging="283"/>
              <w:rPr>
                <w:szCs w:val="24"/>
                <w:lang w:eastAsia="lv-LV"/>
              </w:rPr>
            </w:pPr>
            <w:r w:rsidRPr="00D32D79">
              <w:rPr>
                <w:szCs w:val="24"/>
                <w:lang w:eastAsia="lv-LV"/>
              </w:rPr>
              <w:t>d</w:t>
            </w:r>
            <w:r w:rsidR="00FB6C72" w:rsidRPr="00D32D79">
              <w:rPr>
                <w:szCs w:val="24"/>
                <w:lang w:eastAsia="lv-LV"/>
              </w:rPr>
              <w:t>oktorantus;</w:t>
            </w:r>
          </w:p>
          <w:p w14:paraId="70110315" w14:textId="7A461ADE" w:rsidR="00DA3EA2" w:rsidRPr="00D32D79" w:rsidRDefault="00DC3BA1" w:rsidP="000C537B">
            <w:pPr>
              <w:pStyle w:val="ListParagraph"/>
              <w:numPr>
                <w:ilvl w:val="1"/>
                <w:numId w:val="34"/>
              </w:numPr>
              <w:ind w:left="484" w:hanging="283"/>
              <w:rPr>
                <w:szCs w:val="24"/>
                <w:lang w:eastAsia="lv-LV"/>
              </w:rPr>
            </w:pPr>
            <w:r w:rsidRPr="00D32D79">
              <w:rPr>
                <w:szCs w:val="24"/>
                <w:lang w:eastAsia="lv-LV"/>
              </w:rPr>
              <w:t>a</w:t>
            </w:r>
            <w:r w:rsidR="00FB6C72" w:rsidRPr="00D32D79">
              <w:rPr>
                <w:szCs w:val="24"/>
                <w:lang w:eastAsia="lv-LV"/>
              </w:rPr>
              <w:t xml:space="preserve">ugstāko </w:t>
            </w:r>
            <w:proofErr w:type="spellStart"/>
            <w:r w:rsidR="00FB6C72" w:rsidRPr="00D32D79">
              <w:rPr>
                <w:szCs w:val="24"/>
                <w:lang w:eastAsia="lv-LV"/>
              </w:rPr>
              <w:t>izglītības</w:t>
            </w:r>
            <w:r w:rsidRPr="00D32D79">
              <w:rPr>
                <w:szCs w:val="24"/>
                <w:lang w:eastAsia="lv-LV"/>
              </w:rPr>
              <w:t>institūciju</w:t>
            </w:r>
            <w:proofErr w:type="spellEnd"/>
            <w:r w:rsidRPr="00D32D79">
              <w:rPr>
                <w:szCs w:val="24"/>
                <w:lang w:eastAsia="lv-LV"/>
              </w:rPr>
              <w:t xml:space="preserve"> </w:t>
            </w:r>
            <w:r w:rsidR="00F13191" w:rsidRPr="00D32D79">
              <w:rPr>
                <w:szCs w:val="24"/>
                <w:lang w:eastAsia="lv-LV"/>
              </w:rPr>
              <w:t>a</w:t>
            </w:r>
            <w:r w:rsidR="00FB6C72" w:rsidRPr="00D32D79">
              <w:rPr>
                <w:szCs w:val="24"/>
                <w:lang w:eastAsia="lv-LV"/>
              </w:rPr>
              <w:t>kadēmisko personālu</w:t>
            </w:r>
            <w:r w:rsidR="00DA3EA2" w:rsidRPr="00D32D79">
              <w:rPr>
                <w:szCs w:val="24"/>
                <w:lang w:eastAsia="lv-LV"/>
              </w:rPr>
              <w:t>;</w:t>
            </w:r>
          </w:p>
          <w:p w14:paraId="57B0394F" w14:textId="7F063552" w:rsidR="00CD59F7" w:rsidRPr="00D32D79" w:rsidRDefault="00DC3BA1" w:rsidP="00CD59F7">
            <w:pPr>
              <w:pStyle w:val="ListParagraph"/>
              <w:numPr>
                <w:ilvl w:val="1"/>
                <w:numId w:val="34"/>
              </w:numPr>
              <w:ind w:left="484" w:hanging="283"/>
              <w:rPr>
                <w:szCs w:val="24"/>
              </w:rPr>
            </w:pPr>
            <w:r w:rsidRPr="00D32D79">
              <w:rPr>
                <w:szCs w:val="24"/>
                <w:lang w:eastAsia="lv-LV"/>
              </w:rPr>
              <w:t>ā</w:t>
            </w:r>
            <w:r w:rsidR="00CD59F7" w:rsidRPr="00D32D79">
              <w:rPr>
                <w:szCs w:val="24"/>
                <w:lang w:eastAsia="lv-LV"/>
              </w:rPr>
              <w:t>rvalstu pasniedzēj</w:t>
            </w:r>
            <w:r w:rsidRPr="00D32D79">
              <w:rPr>
                <w:szCs w:val="24"/>
                <w:lang w:eastAsia="lv-LV"/>
              </w:rPr>
              <w:t>us</w:t>
            </w:r>
            <w:r w:rsidR="00DA3EA2" w:rsidRPr="00D32D79">
              <w:rPr>
                <w:szCs w:val="24"/>
                <w:lang w:eastAsia="lv-LV"/>
              </w:rPr>
              <w:t>.</w:t>
            </w:r>
          </w:p>
        </w:tc>
      </w:tr>
      <w:tr w:rsidR="00BE7A14" w:rsidRPr="00D32D79" w14:paraId="35109F88" w14:textId="77777777" w:rsidTr="00076158">
        <w:tc>
          <w:tcPr>
            <w:tcW w:w="251" w:type="pct"/>
            <w:gridSpan w:val="2"/>
            <w:tcBorders>
              <w:top w:val="outset" w:sz="6" w:space="0" w:color="000000"/>
              <w:left w:val="outset" w:sz="6" w:space="0" w:color="000000"/>
              <w:bottom w:val="outset" w:sz="6" w:space="0" w:color="000000"/>
              <w:right w:val="outset" w:sz="6" w:space="0" w:color="000000"/>
            </w:tcBorders>
            <w:shd w:val="clear" w:color="auto" w:fill="auto"/>
          </w:tcPr>
          <w:p w14:paraId="191B2041" w14:textId="4F13A369" w:rsidR="00B77F92" w:rsidRPr="00D32D79" w:rsidRDefault="00B77F92" w:rsidP="0004595D">
            <w:pPr>
              <w:ind w:left="57" w:right="57"/>
              <w:jc w:val="center"/>
            </w:pPr>
            <w:r w:rsidRPr="00D32D79">
              <w:t>2.</w:t>
            </w:r>
          </w:p>
        </w:tc>
        <w:tc>
          <w:tcPr>
            <w:tcW w:w="1336" w:type="pct"/>
            <w:gridSpan w:val="2"/>
            <w:tcBorders>
              <w:top w:val="outset" w:sz="6" w:space="0" w:color="000000"/>
              <w:left w:val="outset" w:sz="6" w:space="0" w:color="000000"/>
              <w:bottom w:val="outset" w:sz="6" w:space="0" w:color="000000"/>
              <w:right w:val="outset" w:sz="6" w:space="0" w:color="000000"/>
            </w:tcBorders>
            <w:shd w:val="clear" w:color="auto" w:fill="auto"/>
          </w:tcPr>
          <w:p w14:paraId="40B11A3B" w14:textId="77777777" w:rsidR="00B77F92" w:rsidRPr="00D32D79" w:rsidRDefault="00B77F92" w:rsidP="0004595D">
            <w:pPr>
              <w:ind w:left="57" w:right="57"/>
            </w:pPr>
            <w:r w:rsidRPr="00D32D79">
              <w:t>Tiesiskā regulējuma ietekme uz tautsaimniecību un administratīvo slogu</w:t>
            </w:r>
          </w:p>
        </w:tc>
        <w:tc>
          <w:tcPr>
            <w:tcW w:w="3414" w:type="pct"/>
            <w:tcBorders>
              <w:top w:val="outset" w:sz="6" w:space="0" w:color="000000"/>
              <w:left w:val="outset" w:sz="6" w:space="0" w:color="000000"/>
              <w:bottom w:val="outset" w:sz="6" w:space="0" w:color="000000"/>
              <w:right w:val="outset" w:sz="6" w:space="0" w:color="000000"/>
            </w:tcBorders>
            <w:shd w:val="clear" w:color="auto" w:fill="auto"/>
          </w:tcPr>
          <w:p w14:paraId="4ECD4C1B" w14:textId="77777777" w:rsidR="00CD59F7" w:rsidRPr="00D32D79" w:rsidRDefault="00CD59F7" w:rsidP="00CD59F7">
            <w:pPr>
              <w:tabs>
                <w:tab w:val="left" w:pos="993"/>
                <w:tab w:val="left" w:pos="1276"/>
              </w:tabs>
              <w:jc w:val="both"/>
              <w:rPr>
                <w:rFonts w:eastAsia="Calibri"/>
                <w:b/>
                <w:color w:val="000000"/>
              </w:rPr>
            </w:pPr>
            <w:r w:rsidRPr="00D32D79">
              <w:rPr>
                <w:rFonts w:eastAsia="Calibri"/>
                <w:b/>
                <w:color w:val="000000"/>
              </w:rPr>
              <w:t>Ietekme uz makroekonomisko vidi un uzņēmējdarbības vidi:</w:t>
            </w:r>
          </w:p>
          <w:p w14:paraId="34ED74E9" w14:textId="5EC459C2" w:rsidR="00CD59F7" w:rsidRPr="00D32D79" w:rsidRDefault="00CD59F7" w:rsidP="00CD59F7">
            <w:pPr>
              <w:tabs>
                <w:tab w:val="left" w:pos="993"/>
                <w:tab w:val="left" w:pos="1276"/>
              </w:tabs>
              <w:jc w:val="both"/>
              <w:rPr>
                <w:rFonts w:eastAsia="Calibri"/>
                <w:color w:val="000000"/>
              </w:rPr>
            </w:pPr>
            <w:r w:rsidRPr="00D32D79">
              <w:rPr>
                <w:rFonts w:eastAsia="Calibri"/>
                <w:color w:val="000000"/>
              </w:rPr>
              <w:t>8.2.2. SAM īstenošana netiešā veidā pozitīvi ietekmēs makroekonomisko vidi. 8.2.2. SAM īstenošanas mērķis ir stiprināt augstākās izglītības institūciju akadēmisko personālu stratēģiskās specializācijas jomās. 8.2.2. SAM atbalstāmās darbības vērstas uz  augstākās izglītības institūciju akadēmiskā personāla pilnveidi, doktorantu iesaisti akadēmiskā darbā un ārvalstu pasniedzēju piesaisti, sekmētu uzlabojumus augstākajā izglītībā kopumā. Tādējādi veicinot studiju procesa kvalitātes paaugstināšanos,  augstākās izglītības institūciju internacionalizāciju, kā arī kvalificētu speciālistu skaita pieaugumu, kas sekmēs Latvijas augstākās izglītības konkurētspējas palielināšanās un veicinās tautsaimniecības attīstību valstī kopumā.</w:t>
            </w:r>
          </w:p>
          <w:p w14:paraId="14AAE4F7" w14:textId="77777777" w:rsidR="00CD59F7" w:rsidRPr="00D32D79" w:rsidRDefault="00CD59F7" w:rsidP="00CD59F7">
            <w:pPr>
              <w:tabs>
                <w:tab w:val="left" w:pos="993"/>
                <w:tab w:val="left" w:pos="1276"/>
              </w:tabs>
              <w:jc w:val="both"/>
              <w:rPr>
                <w:rFonts w:eastAsia="Calibri"/>
                <w:color w:val="000000"/>
              </w:rPr>
            </w:pPr>
          </w:p>
          <w:p w14:paraId="7B1E94CB" w14:textId="77777777" w:rsidR="00CD59F7" w:rsidRPr="00D32D79" w:rsidRDefault="00CD59F7" w:rsidP="00CD59F7">
            <w:pPr>
              <w:tabs>
                <w:tab w:val="left" w:pos="993"/>
                <w:tab w:val="left" w:pos="1276"/>
              </w:tabs>
              <w:jc w:val="both"/>
              <w:rPr>
                <w:rFonts w:eastAsia="Calibri"/>
                <w:b/>
                <w:color w:val="000000"/>
              </w:rPr>
            </w:pPr>
            <w:r w:rsidRPr="00D32D79">
              <w:rPr>
                <w:rFonts w:eastAsia="Calibri"/>
                <w:b/>
                <w:color w:val="000000"/>
              </w:rPr>
              <w:t xml:space="preserve">Ietekme uz administratīvajām procedūrām un to izmaksām: </w:t>
            </w:r>
          </w:p>
          <w:p w14:paraId="5F3F315F" w14:textId="77777777" w:rsidR="00CD59F7" w:rsidRPr="00D32D79" w:rsidRDefault="00CD59F7" w:rsidP="00CD59F7">
            <w:pPr>
              <w:tabs>
                <w:tab w:val="left" w:pos="993"/>
                <w:tab w:val="left" w:pos="1276"/>
              </w:tabs>
              <w:jc w:val="both"/>
              <w:rPr>
                <w:rFonts w:eastAsia="Calibri"/>
                <w:color w:val="000000"/>
              </w:rPr>
            </w:pPr>
            <w:r w:rsidRPr="00D32D79">
              <w:rPr>
                <w:rFonts w:eastAsia="Calibri"/>
                <w:color w:val="000000"/>
              </w:rPr>
              <w:t>Sabiedrības grupām un institūcijām tiesiskais regulējums nemaina tiesības, pienākumus un veicamās darbības.</w:t>
            </w:r>
          </w:p>
          <w:p w14:paraId="6F4494E2" w14:textId="77FB296E" w:rsidR="00003434" w:rsidRPr="00D32D79" w:rsidRDefault="00CD59F7" w:rsidP="00001E62">
            <w:pPr>
              <w:jc w:val="both"/>
              <w:rPr>
                <w:bCs/>
              </w:rPr>
            </w:pPr>
            <w:r w:rsidRPr="00D32D79">
              <w:rPr>
                <w:rFonts w:eastAsia="Calibri"/>
                <w:color w:val="000000"/>
              </w:rPr>
              <w:t>8.2.2. SAM ietvaros finansējuma saņēmējs nodrošina noteikumu projektā minētos informācijas un publicitātes pasākumus.</w:t>
            </w:r>
          </w:p>
        </w:tc>
      </w:tr>
      <w:tr w:rsidR="00BE7A14" w:rsidRPr="00D32D79" w14:paraId="764FB234" w14:textId="77777777" w:rsidTr="00076158">
        <w:tc>
          <w:tcPr>
            <w:tcW w:w="251" w:type="pct"/>
            <w:gridSpan w:val="2"/>
            <w:tcBorders>
              <w:top w:val="outset" w:sz="6" w:space="0" w:color="000000"/>
              <w:left w:val="outset" w:sz="6" w:space="0" w:color="000000"/>
              <w:bottom w:val="outset" w:sz="6" w:space="0" w:color="000000"/>
              <w:right w:val="outset" w:sz="6" w:space="0" w:color="000000"/>
            </w:tcBorders>
            <w:shd w:val="clear" w:color="auto" w:fill="auto"/>
          </w:tcPr>
          <w:p w14:paraId="59C500F1" w14:textId="77777777" w:rsidR="00B77F92" w:rsidRPr="00D32D79" w:rsidRDefault="00B77F92" w:rsidP="0004595D">
            <w:pPr>
              <w:ind w:left="57" w:right="57"/>
              <w:jc w:val="center"/>
            </w:pPr>
            <w:r w:rsidRPr="00D32D79">
              <w:t>3.</w:t>
            </w:r>
          </w:p>
        </w:tc>
        <w:tc>
          <w:tcPr>
            <w:tcW w:w="1336" w:type="pct"/>
            <w:gridSpan w:val="2"/>
            <w:tcBorders>
              <w:top w:val="outset" w:sz="6" w:space="0" w:color="000000"/>
              <w:left w:val="outset" w:sz="6" w:space="0" w:color="000000"/>
              <w:bottom w:val="outset" w:sz="6" w:space="0" w:color="000000"/>
              <w:right w:val="outset" w:sz="6" w:space="0" w:color="000000"/>
            </w:tcBorders>
            <w:shd w:val="clear" w:color="auto" w:fill="auto"/>
          </w:tcPr>
          <w:p w14:paraId="75C203E6" w14:textId="77777777" w:rsidR="00B77F92" w:rsidRPr="00D32D79" w:rsidRDefault="00B77F92" w:rsidP="0004595D">
            <w:pPr>
              <w:ind w:left="57" w:right="57"/>
            </w:pPr>
            <w:r w:rsidRPr="00D32D79">
              <w:t>Administratīvo izmaksu monetārs novērtējums</w:t>
            </w:r>
          </w:p>
        </w:tc>
        <w:tc>
          <w:tcPr>
            <w:tcW w:w="3414" w:type="pct"/>
            <w:tcBorders>
              <w:top w:val="outset" w:sz="6" w:space="0" w:color="000000"/>
              <w:left w:val="outset" w:sz="6" w:space="0" w:color="000000"/>
              <w:bottom w:val="outset" w:sz="6" w:space="0" w:color="000000"/>
              <w:right w:val="outset" w:sz="6" w:space="0" w:color="000000"/>
            </w:tcBorders>
            <w:shd w:val="clear" w:color="auto" w:fill="auto"/>
          </w:tcPr>
          <w:p w14:paraId="1B425513" w14:textId="77777777" w:rsidR="00CD59F7" w:rsidRPr="00D32D79" w:rsidRDefault="00CD59F7" w:rsidP="00CD59F7">
            <w:pPr>
              <w:ind w:right="57"/>
              <w:jc w:val="both"/>
              <w:rPr>
                <w:iCs/>
              </w:rPr>
            </w:pPr>
            <w:r w:rsidRPr="00D32D79">
              <w:rPr>
                <w:iCs/>
              </w:rPr>
              <w:t xml:space="preserve">Administratīvās izmaksas: </w:t>
            </w:r>
          </w:p>
          <w:p w14:paraId="5AC66B81" w14:textId="77777777" w:rsidR="00CD59F7" w:rsidRPr="00D32D79" w:rsidRDefault="00CD59F7" w:rsidP="00CD59F7">
            <w:pPr>
              <w:ind w:right="57"/>
              <w:jc w:val="both"/>
              <w:rPr>
                <w:iCs/>
              </w:rPr>
            </w:pPr>
            <w:r w:rsidRPr="00D32D79">
              <w:rPr>
                <w:iCs/>
              </w:rPr>
              <w:t xml:space="preserve">- ievietojot informāciju tīmekļa vietnē par piešķirto atbalstu: (darbaspēka atlīdzības vidējā likme * laiks, kas nepieciešams informācijas ievietošanai tīmekļvietnē) * (projekta īstenošanas personāla skaits, kas ievieto informāciju * informācijas sniegšanas biežums visā projekta īstenošanas laikā) = (6,12*0,5) * (1*20) = 3,06*20 = 61,20 </w:t>
            </w:r>
            <w:proofErr w:type="spellStart"/>
            <w:r w:rsidRPr="00D32D79">
              <w:rPr>
                <w:i/>
                <w:iCs/>
              </w:rPr>
              <w:t>euro</w:t>
            </w:r>
            <w:proofErr w:type="spellEnd"/>
            <w:r w:rsidRPr="00D32D79">
              <w:rPr>
                <w:iCs/>
              </w:rPr>
              <w:t xml:space="preserve">; </w:t>
            </w:r>
          </w:p>
          <w:p w14:paraId="09171726" w14:textId="0653EB27" w:rsidR="00CD59F7" w:rsidRPr="00D32D79" w:rsidRDefault="00CD59F7" w:rsidP="00CD59F7">
            <w:pPr>
              <w:ind w:right="57"/>
              <w:jc w:val="both"/>
              <w:rPr>
                <w:iCs/>
              </w:rPr>
            </w:pPr>
            <w:r w:rsidRPr="00D32D79">
              <w:rPr>
                <w:iCs/>
              </w:rPr>
              <w:t xml:space="preserve">- ievietojot informāciju tīmekļa vietnē par 8.2.2. SAM finansējuma saņēmēja projekta īstenošanu: (darbaspēka atlīdzības vidējā likme * laiks, kas nepieciešams informācijas ievietošanai tīmekļvietnē) * (projekta īstenošanas personāla skaits, kas ievieto informāciju * informācijas sniegšanas biežums visā projekta īstenošanas laikā) = (6,12*0,5) * (1*20) = 3,06*20 = 61,20 </w:t>
            </w:r>
            <w:proofErr w:type="spellStart"/>
            <w:r w:rsidRPr="00D32D79">
              <w:rPr>
                <w:i/>
                <w:iCs/>
              </w:rPr>
              <w:t>euro</w:t>
            </w:r>
            <w:proofErr w:type="spellEnd"/>
            <w:r w:rsidRPr="00D32D79">
              <w:rPr>
                <w:iCs/>
              </w:rPr>
              <w:t>.</w:t>
            </w:r>
          </w:p>
          <w:p w14:paraId="55DFB3C4" w14:textId="77777777" w:rsidR="00CD59F7" w:rsidRPr="00D32D79" w:rsidRDefault="00CD59F7" w:rsidP="00CD59F7">
            <w:pPr>
              <w:ind w:right="57"/>
              <w:jc w:val="both"/>
              <w:rPr>
                <w:iCs/>
              </w:rPr>
            </w:pPr>
            <w:r w:rsidRPr="00D32D79">
              <w:rPr>
                <w:iCs/>
              </w:rPr>
              <w:t>Administratīvo izmaksu monetārs novērtējums par ar datu uzkrāšanu/ievadīšanu, informācijas sagatavošanu un informācijas ievietošanu tīmekļa vietnē saistītajiem izdevumiem ir veikts indikatīvi.</w:t>
            </w:r>
          </w:p>
          <w:p w14:paraId="2F1C9367" w14:textId="0200516E" w:rsidR="00B77F92" w:rsidRPr="00D32D79" w:rsidRDefault="00CD59F7" w:rsidP="00CD59F7">
            <w:pPr>
              <w:ind w:right="57"/>
              <w:jc w:val="both"/>
              <w:rPr>
                <w:iCs/>
              </w:rPr>
            </w:pPr>
            <w:r w:rsidRPr="00D32D79">
              <w:rPr>
                <w:iCs/>
              </w:rPr>
              <w:t xml:space="preserve">Aprēķinam izmantots pieņēmums, ka informācijas sniegšanas un datu uzkrāšanas pienākumus veic darbinieki ar vidējo vienas stundas darba samaksu administratīvo un apkalpojošo dienestu darbības sektorā, kas 2017. gada I ceturksnī Latvijā bija 6,12 </w:t>
            </w:r>
            <w:proofErr w:type="spellStart"/>
            <w:r w:rsidRPr="00D32D79">
              <w:rPr>
                <w:i/>
                <w:iCs/>
              </w:rPr>
              <w:t>euro</w:t>
            </w:r>
            <w:proofErr w:type="spellEnd"/>
            <w:r w:rsidRPr="00D32D79">
              <w:rPr>
                <w:iCs/>
              </w:rPr>
              <w:t xml:space="preserve"> / stundā.  (http://www.csb.gov.lv/statistikas-temas/darba-samaksa-galvenie-raditaji-30270.html) un informācijas sniegšanas biežums visā projekta īstenošanas laikā ir 20 reizes (60 </w:t>
            </w:r>
            <w:proofErr w:type="spellStart"/>
            <w:r w:rsidRPr="00D32D79">
              <w:rPr>
                <w:iCs/>
              </w:rPr>
              <w:t>mēn</w:t>
            </w:r>
            <w:proofErr w:type="spellEnd"/>
            <w:r w:rsidRPr="00D32D79">
              <w:rPr>
                <w:iCs/>
              </w:rPr>
              <w:t xml:space="preserve"> / 3).</w:t>
            </w:r>
          </w:p>
        </w:tc>
      </w:tr>
      <w:tr w:rsidR="00BE7A14" w:rsidRPr="00D32D79" w14:paraId="4CE3A22D" w14:textId="77777777" w:rsidTr="00076158">
        <w:tc>
          <w:tcPr>
            <w:tcW w:w="251" w:type="pct"/>
            <w:gridSpan w:val="2"/>
            <w:tcBorders>
              <w:top w:val="outset" w:sz="6" w:space="0" w:color="000000"/>
              <w:left w:val="outset" w:sz="6" w:space="0" w:color="000000"/>
              <w:bottom w:val="outset" w:sz="6" w:space="0" w:color="000000"/>
              <w:right w:val="outset" w:sz="6" w:space="0" w:color="000000"/>
            </w:tcBorders>
            <w:shd w:val="clear" w:color="auto" w:fill="auto"/>
          </w:tcPr>
          <w:p w14:paraId="6A746249" w14:textId="77777777" w:rsidR="00B77F92" w:rsidRPr="00D32D79" w:rsidRDefault="00B77F92" w:rsidP="0004595D">
            <w:pPr>
              <w:ind w:left="57" w:right="57"/>
              <w:jc w:val="center"/>
            </w:pPr>
            <w:r w:rsidRPr="00D32D79">
              <w:t>4.</w:t>
            </w:r>
          </w:p>
        </w:tc>
        <w:tc>
          <w:tcPr>
            <w:tcW w:w="1336" w:type="pct"/>
            <w:gridSpan w:val="2"/>
            <w:tcBorders>
              <w:top w:val="outset" w:sz="6" w:space="0" w:color="000000"/>
              <w:left w:val="outset" w:sz="6" w:space="0" w:color="000000"/>
              <w:bottom w:val="outset" w:sz="6" w:space="0" w:color="000000"/>
              <w:right w:val="outset" w:sz="6" w:space="0" w:color="000000"/>
            </w:tcBorders>
            <w:shd w:val="clear" w:color="auto" w:fill="auto"/>
          </w:tcPr>
          <w:p w14:paraId="0DEB6BDB" w14:textId="77777777" w:rsidR="00B77F92" w:rsidRPr="00D32D79" w:rsidRDefault="00B77F92" w:rsidP="0004595D">
            <w:pPr>
              <w:ind w:left="57" w:right="57"/>
            </w:pPr>
            <w:r w:rsidRPr="00D32D79">
              <w:t> Cita informācija</w:t>
            </w:r>
          </w:p>
        </w:tc>
        <w:tc>
          <w:tcPr>
            <w:tcW w:w="3414" w:type="pct"/>
            <w:tcBorders>
              <w:top w:val="outset" w:sz="6" w:space="0" w:color="000000"/>
              <w:left w:val="outset" w:sz="6" w:space="0" w:color="000000"/>
              <w:bottom w:val="outset" w:sz="6" w:space="0" w:color="000000"/>
              <w:right w:val="outset" w:sz="6" w:space="0" w:color="000000"/>
            </w:tcBorders>
            <w:shd w:val="clear" w:color="auto" w:fill="auto"/>
          </w:tcPr>
          <w:p w14:paraId="1B95622A" w14:textId="4828DB56" w:rsidR="00245017" w:rsidRPr="00D32D79" w:rsidRDefault="00C60F1F" w:rsidP="0004595D">
            <w:pPr>
              <w:jc w:val="both"/>
              <w:rPr>
                <w:rFonts w:eastAsia="Calibri"/>
              </w:rPr>
            </w:pPr>
            <w:r w:rsidRPr="00D32D79">
              <w:rPr>
                <w:rFonts w:eastAsia="Calibri"/>
              </w:rPr>
              <w:t>P</w:t>
            </w:r>
            <w:r w:rsidR="005042CD" w:rsidRPr="00D32D79">
              <w:rPr>
                <w:rFonts w:eastAsia="Calibri"/>
              </w:rPr>
              <w:t xml:space="preserve">asākumam </w:t>
            </w:r>
            <w:r w:rsidR="00245017" w:rsidRPr="00D32D79">
              <w:rPr>
                <w:rFonts w:eastAsia="Calibri"/>
              </w:rPr>
              <w:t xml:space="preserve">ir netieša </w:t>
            </w:r>
            <w:r w:rsidR="00D367E6" w:rsidRPr="00D32D79">
              <w:rPr>
                <w:rFonts w:eastAsia="Calibri"/>
              </w:rPr>
              <w:t xml:space="preserve">pozitīva </w:t>
            </w:r>
            <w:r w:rsidR="00245017" w:rsidRPr="00D32D79">
              <w:rPr>
                <w:rFonts w:eastAsia="Calibri"/>
              </w:rPr>
              <w:t xml:space="preserve">ietekme uz horizontālo principu </w:t>
            </w:r>
            <w:r w:rsidR="001E0667" w:rsidRPr="00D32D79">
              <w:rPr>
                <w:bCs/>
              </w:rPr>
              <w:t>"</w:t>
            </w:r>
            <w:r w:rsidR="00245017" w:rsidRPr="00D32D79">
              <w:rPr>
                <w:rFonts w:eastAsia="Calibri"/>
              </w:rPr>
              <w:t>Vienlīdzīgas iespējas</w:t>
            </w:r>
            <w:r w:rsidR="001E0667" w:rsidRPr="00D32D79">
              <w:rPr>
                <w:bCs/>
              </w:rPr>
              <w:t>"</w:t>
            </w:r>
            <w:r w:rsidR="00245017" w:rsidRPr="00D32D79">
              <w:rPr>
                <w:rFonts w:eastAsia="Calibri"/>
              </w:rPr>
              <w:t xml:space="preserve"> un </w:t>
            </w:r>
            <w:r w:rsidR="001E0667" w:rsidRPr="00D32D79">
              <w:rPr>
                <w:bCs/>
              </w:rPr>
              <w:t>"</w:t>
            </w:r>
            <w:r w:rsidR="00245017" w:rsidRPr="00D32D79">
              <w:rPr>
                <w:rFonts w:eastAsia="Calibri"/>
              </w:rPr>
              <w:t>Ilgtspējīga attīstība</w:t>
            </w:r>
            <w:r w:rsidR="001E0667" w:rsidRPr="00D32D79">
              <w:rPr>
                <w:bCs/>
              </w:rPr>
              <w:t>"</w:t>
            </w:r>
            <w:r w:rsidR="00245017" w:rsidRPr="00D32D79">
              <w:rPr>
                <w:rFonts w:eastAsia="Calibri"/>
              </w:rPr>
              <w:t xml:space="preserve">. Projektos, kuros tiks realizēti specifiski pasākumi attiecībā uz šim horizontālajām prioritātēm, </w:t>
            </w:r>
            <w:r w:rsidR="00A50C0E" w:rsidRPr="00D32D79">
              <w:rPr>
                <w:rFonts w:eastAsia="Calibri"/>
              </w:rPr>
              <w:t>projekta iesniedzējs</w:t>
            </w:r>
            <w:r w:rsidR="005042CD" w:rsidRPr="00D32D79">
              <w:rPr>
                <w:rFonts w:eastAsia="Calibri"/>
              </w:rPr>
              <w:t xml:space="preserve"> </w:t>
            </w:r>
            <w:r w:rsidR="00245017" w:rsidRPr="00D32D79">
              <w:rPr>
                <w:rFonts w:eastAsia="Calibri"/>
              </w:rPr>
              <w:t>nodrošinās sasniegto rezultātu uzskaiti</w:t>
            </w:r>
            <w:r w:rsidR="005042CD" w:rsidRPr="00D32D79">
              <w:rPr>
                <w:rFonts w:eastAsia="Calibri"/>
              </w:rPr>
              <w:t>.</w:t>
            </w:r>
          </w:p>
        </w:tc>
      </w:tr>
    </w:tbl>
    <w:p w14:paraId="53D165AC" w14:textId="77777777" w:rsidR="00D46C2D" w:rsidRDefault="00D46C2D" w:rsidP="0004595D">
      <w:pPr>
        <w:rPr>
          <w:sz w:val="20"/>
          <w:szCs w:val="20"/>
        </w:rPr>
      </w:pPr>
    </w:p>
    <w:p w14:paraId="1484A282" w14:textId="77777777" w:rsidR="00E50C37" w:rsidRDefault="00E50C37" w:rsidP="0004595D">
      <w:pPr>
        <w:rPr>
          <w:sz w:val="20"/>
          <w:szCs w:val="20"/>
        </w:rPr>
      </w:pPr>
    </w:p>
    <w:p w14:paraId="3F5B10CC" w14:textId="77777777" w:rsidR="00E50C37" w:rsidRDefault="00E50C37" w:rsidP="0004595D">
      <w:pPr>
        <w:rPr>
          <w:sz w:val="20"/>
          <w:szCs w:val="20"/>
        </w:rPr>
      </w:pPr>
    </w:p>
    <w:p w14:paraId="23A02519" w14:textId="77777777" w:rsidR="00E50C37" w:rsidRDefault="00E50C37" w:rsidP="0004595D">
      <w:pPr>
        <w:rPr>
          <w:sz w:val="20"/>
          <w:szCs w:val="20"/>
        </w:rPr>
      </w:pPr>
    </w:p>
    <w:p w14:paraId="51BBF265" w14:textId="77777777" w:rsidR="00E50C37" w:rsidRDefault="00E50C37" w:rsidP="0004595D">
      <w:pPr>
        <w:rPr>
          <w:sz w:val="20"/>
          <w:szCs w:val="20"/>
        </w:rPr>
      </w:pPr>
    </w:p>
    <w:p w14:paraId="324EDD04" w14:textId="77777777" w:rsidR="00E50C37" w:rsidRDefault="00E50C37" w:rsidP="0004595D">
      <w:pPr>
        <w:rPr>
          <w:sz w:val="20"/>
          <w:szCs w:val="20"/>
        </w:rPr>
      </w:pPr>
    </w:p>
    <w:p w14:paraId="1681B181" w14:textId="77777777" w:rsidR="00E50C37" w:rsidRDefault="00E50C37" w:rsidP="0004595D">
      <w:pPr>
        <w:rPr>
          <w:sz w:val="20"/>
          <w:szCs w:val="20"/>
        </w:rPr>
      </w:pPr>
    </w:p>
    <w:p w14:paraId="08836D8B" w14:textId="77777777" w:rsidR="00E50C37" w:rsidRDefault="00E50C37" w:rsidP="0004595D">
      <w:pPr>
        <w:rPr>
          <w:sz w:val="20"/>
          <w:szCs w:val="20"/>
        </w:rPr>
      </w:pPr>
    </w:p>
    <w:p w14:paraId="350E3282" w14:textId="77777777" w:rsidR="00E50C37" w:rsidRDefault="00E50C37" w:rsidP="0004595D">
      <w:pPr>
        <w:rPr>
          <w:sz w:val="20"/>
          <w:szCs w:val="20"/>
        </w:rPr>
      </w:pPr>
    </w:p>
    <w:p w14:paraId="7CB463DD" w14:textId="77777777" w:rsidR="00E50C37" w:rsidRDefault="00E50C37" w:rsidP="0004595D">
      <w:pPr>
        <w:rPr>
          <w:sz w:val="20"/>
          <w:szCs w:val="20"/>
        </w:rPr>
      </w:pPr>
    </w:p>
    <w:p w14:paraId="2F680FCB" w14:textId="77777777" w:rsidR="00E50C37" w:rsidRDefault="00E50C37" w:rsidP="0004595D">
      <w:pPr>
        <w:rPr>
          <w:sz w:val="20"/>
          <w:szCs w:val="20"/>
        </w:rPr>
      </w:pPr>
    </w:p>
    <w:p w14:paraId="4632B7FC" w14:textId="77777777" w:rsidR="00E50C37" w:rsidRDefault="00E50C37" w:rsidP="0004595D">
      <w:pPr>
        <w:rPr>
          <w:sz w:val="20"/>
          <w:szCs w:val="20"/>
        </w:rPr>
      </w:pPr>
    </w:p>
    <w:p w14:paraId="22C92533" w14:textId="77777777" w:rsidR="00E50C37" w:rsidRDefault="00E50C37" w:rsidP="0004595D">
      <w:pPr>
        <w:rPr>
          <w:sz w:val="20"/>
          <w:szCs w:val="20"/>
        </w:rPr>
      </w:pPr>
    </w:p>
    <w:p w14:paraId="19A4E986" w14:textId="77777777" w:rsidR="00E50C37" w:rsidRPr="00D32D79" w:rsidRDefault="00E50C37" w:rsidP="0004595D">
      <w:pPr>
        <w:rPr>
          <w:sz w:val="20"/>
          <w:szCs w:val="20"/>
        </w:rPr>
      </w:pPr>
    </w:p>
    <w:tbl>
      <w:tblPr>
        <w:tblW w:w="8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2"/>
        <w:gridCol w:w="1120"/>
        <w:gridCol w:w="1210"/>
        <w:gridCol w:w="1615"/>
        <w:gridCol w:w="1276"/>
        <w:gridCol w:w="1355"/>
      </w:tblGrid>
      <w:tr w:rsidR="00BF3649" w:rsidRPr="00D32D79" w14:paraId="787590D1" w14:textId="77777777" w:rsidTr="00D32D79">
        <w:trPr>
          <w:trHeight w:val="361"/>
          <w:jc w:val="center"/>
        </w:trPr>
        <w:tc>
          <w:tcPr>
            <w:tcW w:w="8438" w:type="dxa"/>
            <w:gridSpan w:val="6"/>
            <w:vAlign w:val="center"/>
          </w:tcPr>
          <w:p w14:paraId="233662B5" w14:textId="77777777" w:rsidR="00BF3649" w:rsidRPr="00D32D79" w:rsidRDefault="00BF3649" w:rsidP="0004595D">
            <w:pPr>
              <w:pStyle w:val="naisnod"/>
              <w:spacing w:before="0" w:after="0"/>
              <w:rPr>
                <w:b w:val="0"/>
                <w:i/>
              </w:rPr>
            </w:pPr>
            <w:r w:rsidRPr="00D32D79">
              <w:br w:type="page"/>
              <w:t>III. Tiesību akta projekta ietekme uz valsts budžetu un pašvaldību budžetiem</w:t>
            </w:r>
          </w:p>
        </w:tc>
      </w:tr>
      <w:tr w:rsidR="00BF3649" w:rsidRPr="00D32D79" w14:paraId="174375A1" w14:textId="77777777" w:rsidTr="00D32D79">
        <w:trPr>
          <w:jc w:val="center"/>
        </w:trPr>
        <w:tc>
          <w:tcPr>
            <w:tcW w:w="1862" w:type="dxa"/>
            <w:vMerge w:val="restart"/>
            <w:vAlign w:val="center"/>
          </w:tcPr>
          <w:p w14:paraId="5141A4AD" w14:textId="77777777" w:rsidR="00BF3649" w:rsidRPr="00D32D79" w:rsidRDefault="00BF3649" w:rsidP="0004595D">
            <w:pPr>
              <w:pStyle w:val="naisf"/>
              <w:spacing w:before="0" w:after="0"/>
              <w:jc w:val="center"/>
              <w:rPr>
                <w:b/>
              </w:rPr>
            </w:pPr>
            <w:r w:rsidRPr="00D32D79">
              <w:rPr>
                <w:b/>
              </w:rPr>
              <w:t>Rādītāji</w:t>
            </w:r>
          </w:p>
          <w:p w14:paraId="5E575956" w14:textId="77777777" w:rsidR="00BF3649" w:rsidRPr="00D32D79" w:rsidRDefault="00BF3649" w:rsidP="0004595D"/>
          <w:p w14:paraId="580B25F0" w14:textId="77777777" w:rsidR="00BF3649" w:rsidRPr="00D32D79" w:rsidRDefault="00BF3649" w:rsidP="0004595D"/>
          <w:p w14:paraId="3EBB3F08" w14:textId="77777777" w:rsidR="00BF3649" w:rsidRPr="00D32D79" w:rsidRDefault="00BF3649" w:rsidP="0004595D"/>
        </w:tc>
        <w:tc>
          <w:tcPr>
            <w:tcW w:w="2330" w:type="dxa"/>
            <w:gridSpan w:val="2"/>
            <w:vMerge w:val="restart"/>
            <w:vAlign w:val="center"/>
          </w:tcPr>
          <w:p w14:paraId="306DDD64" w14:textId="1F133F84" w:rsidR="00BF3649" w:rsidRPr="00D32D79" w:rsidRDefault="00BF3649" w:rsidP="00E47B05">
            <w:pPr>
              <w:pStyle w:val="naisf"/>
              <w:spacing w:before="0" w:after="0"/>
              <w:jc w:val="center"/>
              <w:rPr>
                <w:b/>
              </w:rPr>
            </w:pPr>
            <w:r w:rsidRPr="00D32D79">
              <w:rPr>
                <w:b/>
              </w:rPr>
              <w:t>201</w:t>
            </w:r>
            <w:r w:rsidR="00E47B05" w:rsidRPr="00D32D79">
              <w:rPr>
                <w:b/>
              </w:rPr>
              <w:t>7</w:t>
            </w:r>
            <w:r w:rsidRPr="00D32D79">
              <w:rPr>
                <w:b/>
              </w:rPr>
              <w:t>.gads</w:t>
            </w:r>
          </w:p>
        </w:tc>
        <w:tc>
          <w:tcPr>
            <w:tcW w:w="4246" w:type="dxa"/>
            <w:gridSpan w:val="3"/>
            <w:vAlign w:val="center"/>
          </w:tcPr>
          <w:p w14:paraId="01D303BF" w14:textId="77777777" w:rsidR="00BF3649" w:rsidRPr="00D32D79" w:rsidRDefault="00BF3649" w:rsidP="0004595D">
            <w:pPr>
              <w:pStyle w:val="naisf"/>
              <w:spacing w:before="0" w:after="0"/>
              <w:jc w:val="center"/>
              <w:rPr>
                <w:b/>
                <w:i/>
              </w:rPr>
            </w:pPr>
            <w:r w:rsidRPr="00D32D79">
              <w:t>Turpmākie trīs gadi (</w:t>
            </w:r>
            <w:proofErr w:type="spellStart"/>
            <w:r w:rsidRPr="00D32D79">
              <w:rPr>
                <w:i/>
              </w:rPr>
              <w:t>euro</w:t>
            </w:r>
            <w:proofErr w:type="spellEnd"/>
            <w:r w:rsidRPr="00D32D79">
              <w:t>)</w:t>
            </w:r>
          </w:p>
        </w:tc>
      </w:tr>
      <w:tr w:rsidR="00BF3649" w:rsidRPr="00D32D79" w14:paraId="41D90D82" w14:textId="77777777" w:rsidTr="00D32D79">
        <w:trPr>
          <w:jc w:val="center"/>
        </w:trPr>
        <w:tc>
          <w:tcPr>
            <w:tcW w:w="1862" w:type="dxa"/>
            <w:vMerge/>
            <w:vAlign w:val="center"/>
          </w:tcPr>
          <w:p w14:paraId="120460A9" w14:textId="77777777" w:rsidR="00BF3649" w:rsidRPr="00D32D79" w:rsidRDefault="00BF3649" w:rsidP="0004595D">
            <w:pPr>
              <w:pStyle w:val="naisf"/>
              <w:spacing w:before="0" w:after="0"/>
              <w:jc w:val="center"/>
              <w:rPr>
                <w:b/>
                <w:i/>
              </w:rPr>
            </w:pPr>
          </w:p>
        </w:tc>
        <w:tc>
          <w:tcPr>
            <w:tcW w:w="2330" w:type="dxa"/>
            <w:gridSpan w:val="2"/>
            <w:vMerge/>
            <w:vAlign w:val="center"/>
          </w:tcPr>
          <w:p w14:paraId="4CFCDC3B" w14:textId="77777777" w:rsidR="00BF3649" w:rsidRPr="00D32D79" w:rsidRDefault="00BF3649" w:rsidP="0004595D">
            <w:pPr>
              <w:pStyle w:val="naisf"/>
              <w:spacing w:before="0" w:after="0"/>
              <w:jc w:val="center"/>
              <w:rPr>
                <w:b/>
                <w:i/>
              </w:rPr>
            </w:pPr>
          </w:p>
        </w:tc>
        <w:tc>
          <w:tcPr>
            <w:tcW w:w="1615" w:type="dxa"/>
            <w:vAlign w:val="center"/>
          </w:tcPr>
          <w:p w14:paraId="1B999D0D" w14:textId="6507D0EA" w:rsidR="00BF3649" w:rsidRPr="00D32D79" w:rsidRDefault="00BF3649" w:rsidP="00E47B05">
            <w:pPr>
              <w:pStyle w:val="naisf"/>
              <w:spacing w:before="0" w:after="0"/>
              <w:ind w:hanging="5"/>
              <w:jc w:val="center"/>
              <w:rPr>
                <w:b/>
                <w:i/>
              </w:rPr>
            </w:pPr>
            <w:r w:rsidRPr="00D32D79">
              <w:rPr>
                <w:b/>
                <w:bCs/>
              </w:rPr>
              <w:t>201</w:t>
            </w:r>
            <w:r w:rsidR="00E47B05" w:rsidRPr="00D32D79">
              <w:rPr>
                <w:b/>
                <w:bCs/>
              </w:rPr>
              <w:t>8</w:t>
            </w:r>
            <w:r w:rsidRPr="00D32D79">
              <w:rPr>
                <w:b/>
                <w:bCs/>
              </w:rPr>
              <w:t>.</w:t>
            </w:r>
          </w:p>
        </w:tc>
        <w:tc>
          <w:tcPr>
            <w:tcW w:w="1276" w:type="dxa"/>
            <w:vAlign w:val="center"/>
          </w:tcPr>
          <w:p w14:paraId="6F2AB87D" w14:textId="64399801" w:rsidR="00BF3649" w:rsidRPr="00D32D79" w:rsidRDefault="00BF3649" w:rsidP="00E47B05">
            <w:pPr>
              <w:pStyle w:val="naisf"/>
              <w:spacing w:before="0" w:after="0"/>
              <w:ind w:hanging="5"/>
              <w:jc w:val="center"/>
              <w:rPr>
                <w:b/>
                <w:i/>
              </w:rPr>
            </w:pPr>
            <w:r w:rsidRPr="00D32D79">
              <w:rPr>
                <w:b/>
                <w:bCs/>
              </w:rPr>
              <w:t>201</w:t>
            </w:r>
            <w:r w:rsidR="00E47B05" w:rsidRPr="00D32D79">
              <w:rPr>
                <w:b/>
                <w:bCs/>
              </w:rPr>
              <w:t>9</w:t>
            </w:r>
            <w:r w:rsidRPr="00D32D79">
              <w:rPr>
                <w:b/>
                <w:bCs/>
              </w:rPr>
              <w:t>.</w:t>
            </w:r>
          </w:p>
        </w:tc>
        <w:tc>
          <w:tcPr>
            <w:tcW w:w="1355" w:type="dxa"/>
            <w:vAlign w:val="center"/>
          </w:tcPr>
          <w:p w14:paraId="54F47929" w14:textId="7F4E85BE" w:rsidR="00BF3649" w:rsidRPr="00D32D79" w:rsidRDefault="00BF3649" w:rsidP="00E47B05">
            <w:pPr>
              <w:pStyle w:val="naisf"/>
              <w:spacing w:before="0" w:after="0"/>
              <w:ind w:hanging="5"/>
              <w:jc w:val="center"/>
              <w:rPr>
                <w:b/>
                <w:i/>
              </w:rPr>
            </w:pPr>
            <w:r w:rsidRPr="00D32D79">
              <w:rPr>
                <w:b/>
                <w:bCs/>
              </w:rPr>
              <w:t>20</w:t>
            </w:r>
            <w:r w:rsidR="00E47B05" w:rsidRPr="00D32D79">
              <w:rPr>
                <w:b/>
                <w:bCs/>
              </w:rPr>
              <w:t>20</w:t>
            </w:r>
            <w:r w:rsidRPr="00D32D79">
              <w:rPr>
                <w:b/>
                <w:bCs/>
              </w:rPr>
              <w:t>.</w:t>
            </w:r>
          </w:p>
        </w:tc>
      </w:tr>
      <w:tr w:rsidR="00BF3649" w:rsidRPr="00D32D79" w14:paraId="0B038D61" w14:textId="77777777" w:rsidTr="00D32D79">
        <w:trPr>
          <w:jc w:val="center"/>
        </w:trPr>
        <w:tc>
          <w:tcPr>
            <w:tcW w:w="1862" w:type="dxa"/>
            <w:vMerge/>
            <w:vAlign w:val="center"/>
          </w:tcPr>
          <w:p w14:paraId="3EE8187B" w14:textId="77777777" w:rsidR="00BF3649" w:rsidRPr="00D32D79" w:rsidRDefault="00BF3649" w:rsidP="0004595D">
            <w:pPr>
              <w:pStyle w:val="naisf"/>
              <w:spacing w:before="0" w:after="0"/>
              <w:jc w:val="center"/>
              <w:rPr>
                <w:b/>
                <w:i/>
              </w:rPr>
            </w:pPr>
          </w:p>
        </w:tc>
        <w:tc>
          <w:tcPr>
            <w:tcW w:w="1120" w:type="dxa"/>
            <w:vAlign w:val="center"/>
          </w:tcPr>
          <w:p w14:paraId="690001DF" w14:textId="77777777" w:rsidR="00BF3649" w:rsidRPr="00D32D79" w:rsidRDefault="00BF3649" w:rsidP="0004595D">
            <w:pPr>
              <w:pStyle w:val="naisf"/>
              <w:spacing w:before="0" w:after="0"/>
              <w:ind w:firstLine="0"/>
              <w:rPr>
                <w:b/>
                <w:i/>
              </w:rPr>
            </w:pPr>
            <w:r w:rsidRPr="00D32D79">
              <w:t>saskaņā ar valsts budžetu kārtējam gadam</w:t>
            </w:r>
          </w:p>
        </w:tc>
        <w:tc>
          <w:tcPr>
            <w:tcW w:w="1210" w:type="dxa"/>
            <w:vAlign w:val="center"/>
          </w:tcPr>
          <w:p w14:paraId="4054A406" w14:textId="77777777" w:rsidR="00BF3649" w:rsidRPr="00D32D79" w:rsidRDefault="00BF3649" w:rsidP="0004595D">
            <w:pPr>
              <w:pStyle w:val="naisf"/>
              <w:spacing w:before="0" w:after="0"/>
              <w:ind w:firstLine="0"/>
              <w:rPr>
                <w:b/>
                <w:i/>
              </w:rPr>
            </w:pPr>
            <w:r w:rsidRPr="00D32D79">
              <w:t>izmaiņas kārtējā gadā, salīdzinot ar valsts budžetu kārtējam gadam</w:t>
            </w:r>
          </w:p>
        </w:tc>
        <w:tc>
          <w:tcPr>
            <w:tcW w:w="1615" w:type="dxa"/>
            <w:vAlign w:val="center"/>
          </w:tcPr>
          <w:p w14:paraId="0A25561F" w14:textId="77777777" w:rsidR="00BF3649" w:rsidRPr="00D32D79" w:rsidRDefault="00BF3649" w:rsidP="0004595D">
            <w:pPr>
              <w:pStyle w:val="naisf"/>
              <w:spacing w:before="0" w:after="0"/>
              <w:ind w:firstLine="0"/>
              <w:rPr>
                <w:b/>
                <w:i/>
              </w:rPr>
            </w:pPr>
            <w:r w:rsidRPr="00D32D79">
              <w:t>izmaiņas, salīdzinot ar kārtējo (n) gadu</w:t>
            </w:r>
          </w:p>
        </w:tc>
        <w:tc>
          <w:tcPr>
            <w:tcW w:w="1276" w:type="dxa"/>
            <w:vAlign w:val="center"/>
          </w:tcPr>
          <w:p w14:paraId="556591DE" w14:textId="77777777" w:rsidR="00BF3649" w:rsidRPr="00D32D79" w:rsidRDefault="00BF3649" w:rsidP="0004595D">
            <w:pPr>
              <w:pStyle w:val="naisf"/>
              <w:spacing w:before="0" w:after="0"/>
              <w:ind w:firstLine="0"/>
              <w:rPr>
                <w:b/>
                <w:i/>
              </w:rPr>
            </w:pPr>
            <w:r w:rsidRPr="00D32D79">
              <w:t>izmaiņas, salīdzinot ar kārtējo (n) gadu</w:t>
            </w:r>
          </w:p>
        </w:tc>
        <w:tc>
          <w:tcPr>
            <w:tcW w:w="1355" w:type="dxa"/>
            <w:vAlign w:val="center"/>
          </w:tcPr>
          <w:p w14:paraId="3499CABD" w14:textId="77777777" w:rsidR="00BF3649" w:rsidRPr="00D32D79" w:rsidRDefault="00BF3649" w:rsidP="0004595D">
            <w:pPr>
              <w:pStyle w:val="naisf"/>
              <w:spacing w:before="0" w:after="0"/>
              <w:ind w:firstLine="0"/>
              <w:rPr>
                <w:b/>
                <w:i/>
              </w:rPr>
            </w:pPr>
            <w:r w:rsidRPr="00D32D79">
              <w:t>izmaiņas, salīdzinot ar kārtējo (n) gadu</w:t>
            </w:r>
          </w:p>
        </w:tc>
      </w:tr>
      <w:tr w:rsidR="00BF3649" w:rsidRPr="00D32D79" w14:paraId="37958C43" w14:textId="77777777" w:rsidTr="00D32D79">
        <w:trPr>
          <w:jc w:val="center"/>
        </w:trPr>
        <w:tc>
          <w:tcPr>
            <w:tcW w:w="1862" w:type="dxa"/>
            <w:vAlign w:val="center"/>
          </w:tcPr>
          <w:p w14:paraId="2253781D" w14:textId="77777777" w:rsidR="00BF3649" w:rsidRPr="00D32D79" w:rsidRDefault="00BF3649" w:rsidP="0004595D">
            <w:pPr>
              <w:pStyle w:val="naisf"/>
              <w:spacing w:before="0" w:after="0"/>
              <w:ind w:firstLine="0"/>
              <w:jc w:val="center"/>
              <w:rPr>
                <w:bCs/>
              </w:rPr>
            </w:pPr>
            <w:r w:rsidRPr="00D32D79">
              <w:rPr>
                <w:bCs/>
              </w:rPr>
              <w:t>1</w:t>
            </w:r>
          </w:p>
        </w:tc>
        <w:tc>
          <w:tcPr>
            <w:tcW w:w="1120" w:type="dxa"/>
            <w:vAlign w:val="center"/>
          </w:tcPr>
          <w:p w14:paraId="7733BB03" w14:textId="77777777" w:rsidR="00BF3649" w:rsidRPr="00D32D79" w:rsidRDefault="00BF3649" w:rsidP="0004595D">
            <w:pPr>
              <w:pStyle w:val="naisf"/>
              <w:spacing w:before="0" w:after="0"/>
              <w:ind w:firstLine="0"/>
              <w:jc w:val="center"/>
              <w:rPr>
                <w:bCs/>
              </w:rPr>
            </w:pPr>
            <w:r w:rsidRPr="00D32D79">
              <w:rPr>
                <w:bCs/>
              </w:rPr>
              <w:t>2</w:t>
            </w:r>
          </w:p>
        </w:tc>
        <w:tc>
          <w:tcPr>
            <w:tcW w:w="1210" w:type="dxa"/>
            <w:vAlign w:val="center"/>
          </w:tcPr>
          <w:p w14:paraId="169A5110" w14:textId="77777777" w:rsidR="00BF3649" w:rsidRPr="00D32D79" w:rsidRDefault="00BF3649" w:rsidP="0004595D">
            <w:pPr>
              <w:pStyle w:val="naisf"/>
              <w:spacing w:before="0" w:after="0"/>
              <w:ind w:firstLine="0"/>
              <w:jc w:val="center"/>
              <w:rPr>
                <w:bCs/>
              </w:rPr>
            </w:pPr>
            <w:r w:rsidRPr="00D32D79">
              <w:rPr>
                <w:bCs/>
              </w:rPr>
              <w:t>3</w:t>
            </w:r>
          </w:p>
        </w:tc>
        <w:tc>
          <w:tcPr>
            <w:tcW w:w="1615" w:type="dxa"/>
            <w:vAlign w:val="center"/>
          </w:tcPr>
          <w:p w14:paraId="392486BD" w14:textId="77777777" w:rsidR="00BF3649" w:rsidRPr="00D32D79" w:rsidRDefault="00BF3649" w:rsidP="0004595D">
            <w:pPr>
              <w:pStyle w:val="naisf"/>
              <w:spacing w:before="0" w:after="0"/>
              <w:ind w:firstLine="0"/>
              <w:jc w:val="center"/>
              <w:rPr>
                <w:bCs/>
              </w:rPr>
            </w:pPr>
            <w:r w:rsidRPr="00D32D79">
              <w:rPr>
                <w:bCs/>
              </w:rPr>
              <w:t>4</w:t>
            </w:r>
          </w:p>
        </w:tc>
        <w:tc>
          <w:tcPr>
            <w:tcW w:w="1276" w:type="dxa"/>
            <w:vAlign w:val="center"/>
          </w:tcPr>
          <w:p w14:paraId="4951D5C7" w14:textId="77777777" w:rsidR="00BF3649" w:rsidRPr="00D32D79" w:rsidRDefault="00BF3649" w:rsidP="0004595D">
            <w:pPr>
              <w:pStyle w:val="naisf"/>
              <w:spacing w:before="0" w:after="0"/>
              <w:ind w:firstLine="0"/>
              <w:jc w:val="center"/>
              <w:rPr>
                <w:bCs/>
              </w:rPr>
            </w:pPr>
            <w:r w:rsidRPr="00D32D79">
              <w:rPr>
                <w:bCs/>
              </w:rPr>
              <w:t>5</w:t>
            </w:r>
          </w:p>
        </w:tc>
        <w:tc>
          <w:tcPr>
            <w:tcW w:w="1355" w:type="dxa"/>
            <w:vAlign w:val="center"/>
          </w:tcPr>
          <w:p w14:paraId="63831A51" w14:textId="77777777" w:rsidR="00BF3649" w:rsidRPr="00D32D79" w:rsidRDefault="00BF3649" w:rsidP="0004595D">
            <w:pPr>
              <w:pStyle w:val="naisf"/>
              <w:spacing w:before="0" w:after="0"/>
              <w:ind w:firstLine="0"/>
              <w:jc w:val="center"/>
              <w:rPr>
                <w:bCs/>
              </w:rPr>
            </w:pPr>
            <w:r w:rsidRPr="00D32D79">
              <w:rPr>
                <w:bCs/>
              </w:rPr>
              <w:t>6</w:t>
            </w:r>
          </w:p>
        </w:tc>
      </w:tr>
      <w:tr w:rsidR="00BF3649" w:rsidRPr="00D32D79" w14:paraId="053AB33B" w14:textId="77777777" w:rsidTr="00D32D79">
        <w:trPr>
          <w:trHeight w:val="379"/>
          <w:jc w:val="center"/>
        </w:trPr>
        <w:tc>
          <w:tcPr>
            <w:tcW w:w="1862" w:type="dxa"/>
          </w:tcPr>
          <w:p w14:paraId="7F32C353" w14:textId="77777777" w:rsidR="00BF3649" w:rsidRPr="00D32D79" w:rsidRDefault="00BF3649" w:rsidP="0004595D">
            <w:pPr>
              <w:pStyle w:val="naisf"/>
              <w:spacing w:before="0" w:after="0"/>
              <w:ind w:firstLine="0"/>
              <w:rPr>
                <w:i/>
              </w:rPr>
            </w:pPr>
            <w:r w:rsidRPr="00D32D79">
              <w:t>1.Budžeta ieņēmumi:</w:t>
            </w:r>
          </w:p>
        </w:tc>
        <w:tc>
          <w:tcPr>
            <w:tcW w:w="1120" w:type="dxa"/>
            <w:vAlign w:val="center"/>
          </w:tcPr>
          <w:p w14:paraId="597C30F3" w14:textId="77777777" w:rsidR="00BF3649" w:rsidRPr="00D32D79" w:rsidRDefault="00E53DB2" w:rsidP="0004595D">
            <w:pPr>
              <w:pStyle w:val="naisf"/>
              <w:spacing w:before="0" w:after="0"/>
              <w:ind w:firstLine="0"/>
              <w:jc w:val="center"/>
            </w:pPr>
            <w:r w:rsidRPr="00D32D79">
              <w:t>0</w:t>
            </w:r>
          </w:p>
        </w:tc>
        <w:tc>
          <w:tcPr>
            <w:tcW w:w="1210" w:type="dxa"/>
            <w:vAlign w:val="center"/>
          </w:tcPr>
          <w:p w14:paraId="0C6EC667" w14:textId="77777777" w:rsidR="00BF3649" w:rsidRPr="00D32D79" w:rsidRDefault="004966EF" w:rsidP="0004595D">
            <w:pPr>
              <w:pStyle w:val="naisf"/>
              <w:spacing w:before="0" w:after="0"/>
              <w:ind w:firstLine="0"/>
              <w:jc w:val="center"/>
            </w:pPr>
            <w:r w:rsidRPr="00D32D79">
              <w:t>0</w:t>
            </w:r>
          </w:p>
        </w:tc>
        <w:tc>
          <w:tcPr>
            <w:tcW w:w="1615" w:type="dxa"/>
            <w:vAlign w:val="center"/>
          </w:tcPr>
          <w:p w14:paraId="10BE1505" w14:textId="33A2B95E" w:rsidR="00BF3649" w:rsidRPr="00D32D79" w:rsidRDefault="00545B50" w:rsidP="00393B19">
            <w:pPr>
              <w:pStyle w:val="naisf"/>
              <w:spacing w:before="0" w:after="0"/>
              <w:ind w:firstLine="0"/>
              <w:jc w:val="center"/>
            </w:pPr>
            <w:r w:rsidRPr="00D32D79">
              <w:t>1 034 479</w:t>
            </w:r>
          </w:p>
        </w:tc>
        <w:tc>
          <w:tcPr>
            <w:tcW w:w="1276" w:type="dxa"/>
            <w:vAlign w:val="center"/>
          </w:tcPr>
          <w:p w14:paraId="67390BC0" w14:textId="04AE0E83" w:rsidR="00BF3649" w:rsidRPr="00D32D79" w:rsidRDefault="00545B50" w:rsidP="00545B50">
            <w:pPr>
              <w:pStyle w:val="naisf"/>
              <w:spacing w:before="0" w:after="0"/>
              <w:ind w:firstLine="0"/>
              <w:jc w:val="center"/>
            </w:pPr>
            <w:r w:rsidRPr="00D32D79">
              <w:t>6 206 875</w:t>
            </w:r>
          </w:p>
        </w:tc>
        <w:tc>
          <w:tcPr>
            <w:tcW w:w="1355" w:type="dxa"/>
            <w:vAlign w:val="center"/>
          </w:tcPr>
          <w:p w14:paraId="1284A1AA" w14:textId="246F7662" w:rsidR="00BF3649" w:rsidRPr="00D32D79" w:rsidRDefault="00545B50" w:rsidP="0004595D">
            <w:pPr>
              <w:pStyle w:val="naisf"/>
              <w:spacing w:before="0" w:after="0"/>
              <w:ind w:firstLine="0"/>
              <w:jc w:val="center"/>
            </w:pPr>
            <w:r w:rsidRPr="00D32D79">
              <w:t>8 331 875</w:t>
            </w:r>
          </w:p>
        </w:tc>
      </w:tr>
      <w:tr w:rsidR="00545B50" w:rsidRPr="00D32D79" w14:paraId="39E820FE" w14:textId="77777777" w:rsidTr="00D32D79">
        <w:trPr>
          <w:jc w:val="center"/>
        </w:trPr>
        <w:tc>
          <w:tcPr>
            <w:tcW w:w="1862" w:type="dxa"/>
          </w:tcPr>
          <w:p w14:paraId="37FA81F3" w14:textId="77777777" w:rsidR="00545B50" w:rsidRPr="00D32D79" w:rsidRDefault="00545B50" w:rsidP="00545B50">
            <w:r w:rsidRPr="00D32D79">
              <w:rPr>
                <w:rFonts w:eastAsia="Calibri"/>
              </w:rPr>
              <w:t>1.1. valsts pamatbudžets, tai skaitā ieņēmumi no maksas pakalpojumiem un citi pašu ieņēmumi</w:t>
            </w:r>
          </w:p>
        </w:tc>
        <w:tc>
          <w:tcPr>
            <w:tcW w:w="1120" w:type="dxa"/>
            <w:vAlign w:val="center"/>
          </w:tcPr>
          <w:p w14:paraId="205824DD" w14:textId="77777777" w:rsidR="00545B50" w:rsidRPr="00D32D79" w:rsidRDefault="00545B50" w:rsidP="00545B50">
            <w:pPr>
              <w:pStyle w:val="naisf"/>
              <w:spacing w:before="0" w:after="0"/>
              <w:ind w:firstLine="0"/>
              <w:jc w:val="center"/>
            </w:pPr>
            <w:r w:rsidRPr="00D32D79">
              <w:rPr>
                <w:rFonts w:eastAsia="Calibri"/>
              </w:rPr>
              <w:t>0</w:t>
            </w:r>
          </w:p>
        </w:tc>
        <w:tc>
          <w:tcPr>
            <w:tcW w:w="1210" w:type="dxa"/>
            <w:vAlign w:val="center"/>
          </w:tcPr>
          <w:p w14:paraId="708B071A" w14:textId="77777777" w:rsidR="00545B50" w:rsidRPr="00D32D79" w:rsidRDefault="00545B50" w:rsidP="00545B50">
            <w:pPr>
              <w:pStyle w:val="naisf"/>
              <w:spacing w:before="0" w:after="0"/>
              <w:ind w:firstLine="0"/>
              <w:jc w:val="center"/>
            </w:pPr>
            <w:r w:rsidRPr="00D32D79">
              <w:t>0</w:t>
            </w:r>
          </w:p>
        </w:tc>
        <w:tc>
          <w:tcPr>
            <w:tcW w:w="1615" w:type="dxa"/>
            <w:vAlign w:val="center"/>
          </w:tcPr>
          <w:p w14:paraId="209C61F7" w14:textId="75929FB5" w:rsidR="00545B50" w:rsidRPr="00D32D79" w:rsidRDefault="00545B50" w:rsidP="00545B50">
            <w:pPr>
              <w:pStyle w:val="naisf"/>
              <w:spacing w:before="0" w:after="0"/>
              <w:ind w:firstLine="0"/>
              <w:jc w:val="center"/>
            </w:pPr>
            <w:r w:rsidRPr="00D32D79">
              <w:t>1 034 479</w:t>
            </w:r>
          </w:p>
        </w:tc>
        <w:tc>
          <w:tcPr>
            <w:tcW w:w="1276" w:type="dxa"/>
            <w:vAlign w:val="center"/>
          </w:tcPr>
          <w:p w14:paraId="2A66FB67" w14:textId="1505E98E" w:rsidR="00545B50" w:rsidRPr="00D32D79" w:rsidRDefault="00545B50" w:rsidP="00545B50">
            <w:pPr>
              <w:pStyle w:val="naisf"/>
              <w:spacing w:before="0" w:after="0"/>
              <w:ind w:firstLine="0"/>
              <w:jc w:val="center"/>
            </w:pPr>
            <w:r w:rsidRPr="00D32D79">
              <w:t>6 206 875</w:t>
            </w:r>
          </w:p>
        </w:tc>
        <w:tc>
          <w:tcPr>
            <w:tcW w:w="1355" w:type="dxa"/>
            <w:vAlign w:val="center"/>
          </w:tcPr>
          <w:p w14:paraId="4BC75A83" w14:textId="1EDD975F" w:rsidR="00545B50" w:rsidRPr="00D32D79" w:rsidRDefault="00545B50" w:rsidP="00545B50">
            <w:pPr>
              <w:pStyle w:val="naisf"/>
              <w:spacing w:before="0" w:after="0"/>
              <w:ind w:firstLine="0"/>
              <w:jc w:val="center"/>
            </w:pPr>
            <w:r w:rsidRPr="00D32D79">
              <w:t>8 331 875</w:t>
            </w:r>
          </w:p>
        </w:tc>
      </w:tr>
      <w:tr w:rsidR="002B1603" w:rsidRPr="00D32D79" w14:paraId="68D6B831" w14:textId="77777777" w:rsidTr="00D32D79">
        <w:trPr>
          <w:jc w:val="center"/>
        </w:trPr>
        <w:tc>
          <w:tcPr>
            <w:tcW w:w="1862" w:type="dxa"/>
          </w:tcPr>
          <w:p w14:paraId="19467C1B" w14:textId="77777777" w:rsidR="002B1603" w:rsidRPr="00D32D79" w:rsidRDefault="002B1603" w:rsidP="002B1603">
            <w:r w:rsidRPr="00D32D79">
              <w:rPr>
                <w:rFonts w:eastAsia="Calibri"/>
              </w:rPr>
              <w:t>1.2. valsts speciālais budžets</w:t>
            </w:r>
          </w:p>
        </w:tc>
        <w:tc>
          <w:tcPr>
            <w:tcW w:w="1120" w:type="dxa"/>
            <w:vAlign w:val="center"/>
          </w:tcPr>
          <w:p w14:paraId="4013C464" w14:textId="77777777" w:rsidR="002B1603" w:rsidRPr="00D32D79" w:rsidRDefault="002B1603" w:rsidP="002B1603">
            <w:pPr>
              <w:pStyle w:val="naisf"/>
              <w:spacing w:before="0" w:after="0"/>
              <w:ind w:firstLine="0"/>
              <w:jc w:val="center"/>
            </w:pPr>
            <w:r w:rsidRPr="00D32D79">
              <w:rPr>
                <w:rFonts w:eastAsia="Calibri"/>
              </w:rPr>
              <w:t>0</w:t>
            </w:r>
          </w:p>
        </w:tc>
        <w:tc>
          <w:tcPr>
            <w:tcW w:w="1210" w:type="dxa"/>
            <w:vAlign w:val="center"/>
          </w:tcPr>
          <w:p w14:paraId="51620D17" w14:textId="77777777" w:rsidR="002B1603" w:rsidRPr="00D32D79" w:rsidRDefault="002B1603" w:rsidP="002B1603">
            <w:pPr>
              <w:pStyle w:val="naisf"/>
              <w:spacing w:before="0" w:after="0"/>
              <w:ind w:firstLine="0"/>
              <w:jc w:val="center"/>
            </w:pPr>
            <w:r w:rsidRPr="00D32D79">
              <w:rPr>
                <w:rFonts w:eastAsia="Calibri"/>
              </w:rPr>
              <w:t>0</w:t>
            </w:r>
          </w:p>
        </w:tc>
        <w:tc>
          <w:tcPr>
            <w:tcW w:w="1615" w:type="dxa"/>
            <w:vAlign w:val="center"/>
          </w:tcPr>
          <w:p w14:paraId="399D0040" w14:textId="77777777" w:rsidR="002B1603" w:rsidRPr="00D32D79" w:rsidRDefault="002B1603" w:rsidP="002B1603">
            <w:pPr>
              <w:pStyle w:val="naisf"/>
              <w:spacing w:before="0" w:after="0"/>
              <w:ind w:firstLine="0"/>
              <w:jc w:val="center"/>
            </w:pPr>
            <w:r w:rsidRPr="00D32D79">
              <w:rPr>
                <w:rFonts w:eastAsia="Calibri"/>
              </w:rPr>
              <w:t>0</w:t>
            </w:r>
          </w:p>
        </w:tc>
        <w:tc>
          <w:tcPr>
            <w:tcW w:w="1276" w:type="dxa"/>
            <w:vAlign w:val="center"/>
          </w:tcPr>
          <w:p w14:paraId="571F695F" w14:textId="77777777" w:rsidR="002B1603" w:rsidRPr="00D32D79" w:rsidRDefault="002B1603" w:rsidP="002B1603">
            <w:pPr>
              <w:pStyle w:val="naisf"/>
              <w:spacing w:before="0" w:after="0"/>
              <w:ind w:firstLine="0"/>
              <w:jc w:val="center"/>
            </w:pPr>
            <w:r w:rsidRPr="00D32D79">
              <w:rPr>
                <w:rFonts w:eastAsia="Calibri"/>
              </w:rPr>
              <w:t>0</w:t>
            </w:r>
          </w:p>
        </w:tc>
        <w:tc>
          <w:tcPr>
            <w:tcW w:w="1355" w:type="dxa"/>
            <w:vAlign w:val="center"/>
          </w:tcPr>
          <w:p w14:paraId="6B1A3E58" w14:textId="77777777" w:rsidR="002B1603" w:rsidRPr="00D32D79" w:rsidRDefault="002B1603" w:rsidP="002B1603">
            <w:pPr>
              <w:pStyle w:val="naisf"/>
              <w:spacing w:before="0" w:after="0"/>
              <w:ind w:firstLine="0"/>
              <w:jc w:val="center"/>
            </w:pPr>
            <w:r w:rsidRPr="00D32D79">
              <w:rPr>
                <w:rFonts w:eastAsia="Calibri"/>
              </w:rPr>
              <w:t>0</w:t>
            </w:r>
          </w:p>
        </w:tc>
      </w:tr>
      <w:tr w:rsidR="002B1603" w:rsidRPr="00D32D79" w14:paraId="38957040" w14:textId="77777777" w:rsidTr="00D32D79">
        <w:trPr>
          <w:jc w:val="center"/>
        </w:trPr>
        <w:tc>
          <w:tcPr>
            <w:tcW w:w="1862" w:type="dxa"/>
          </w:tcPr>
          <w:p w14:paraId="10652451" w14:textId="77777777" w:rsidR="002B1603" w:rsidRPr="00D32D79" w:rsidRDefault="002B1603" w:rsidP="002B1603">
            <w:r w:rsidRPr="00D32D79">
              <w:rPr>
                <w:rFonts w:eastAsia="Calibri"/>
              </w:rPr>
              <w:t>1.3. pašvaldību budžets</w:t>
            </w:r>
          </w:p>
        </w:tc>
        <w:tc>
          <w:tcPr>
            <w:tcW w:w="1120" w:type="dxa"/>
            <w:vAlign w:val="center"/>
          </w:tcPr>
          <w:p w14:paraId="132EFC37" w14:textId="77777777" w:rsidR="002B1603" w:rsidRPr="00D32D79" w:rsidRDefault="002B1603" w:rsidP="002B1603">
            <w:pPr>
              <w:pStyle w:val="naisf"/>
              <w:spacing w:before="0" w:after="0"/>
              <w:ind w:firstLine="0"/>
              <w:jc w:val="center"/>
            </w:pPr>
            <w:r w:rsidRPr="00D32D79">
              <w:rPr>
                <w:rFonts w:eastAsia="Calibri"/>
              </w:rPr>
              <w:t>0</w:t>
            </w:r>
          </w:p>
        </w:tc>
        <w:tc>
          <w:tcPr>
            <w:tcW w:w="1210" w:type="dxa"/>
            <w:vAlign w:val="center"/>
          </w:tcPr>
          <w:p w14:paraId="0C8E73B8" w14:textId="77777777" w:rsidR="002B1603" w:rsidRPr="00D32D79" w:rsidRDefault="002B1603" w:rsidP="002B1603">
            <w:pPr>
              <w:pStyle w:val="naisf"/>
              <w:spacing w:before="0" w:after="0"/>
              <w:ind w:firstLine="0"/>
              <w:jc w:val="center"/>
            </w:pPr>
            <w:r w:rsidRPr="00D32D79">
              <w:rPr>
                <w:rFonts w:eastAsia="Calibri"/>
              </w:rPr>
              <w:t>0</w:t>
            </w:r>
          </w:p>
        </w:tc>
        <w:tc>
          <w:tcPr>
            <w:tcW w:w="1615" w:type="dxa"/>
            <w:vAlign w:val="center"/>
          </w:tcPr>
          <w:p w14:paraId="4FFA13FD" w14:textId="77777777" w:rsidR="002B1603" w:rsidRPr="00D32D79" w:rsidRDefault="002B1603" w:rsidP="002B1603">
            <w:pPr>
              <w:pStyle w:val="naisf"/>
              <w:spacing w:before="0" w:after="0"/>
              <w:ind w:firstLine="0"/>
              <w:jc w:val="center"/>
            </w:pPr>
            <w:r w:rsidRPr="00D32D79">
              <w:t>0</w:t>
            </w:r>
          </w:p>
        </w:tc>
        <w:tc>
          <w:tcPr>
            <w:tcW w:w="1276" w:type="dxa"/>
            <w:vAlign w:val="center"/>
          </w:tcPr>
          <w:p w14:paraId="47DDA8F3" w14:textId="77777777" w:rsidR="002B1603" w:rsidRPr="00D32D79" w:rsidRDefault="002B1603" w:rsidP="002B1603">
            <w:pPr>
              <w:pStyle w:val="naisf"/>
              <w:spacing w:before="0" w:after="0"/>
              <w:ind w:firstLine="0"/>
              <w:jc w:val="center"/>
            </w:pPr>
            <w:r w:rsidRPr="00D32D79">
              <w:t>0</w:t>
            </w:r>
          </w:p>
        </w:tc>
        <w:tc>
          <w:tcPr>
            <w:tcW w:w="1355" w:type="dxa"/>
            <w:vAlign w:val="center"/>
          </w:tcPr>
          <w:p w14:paraId="1DA75C87" w14:textId="77777777" w:rsidR="002B1603" w:rsidRPr="00D32D79" w:rsidRDefault="002B1603" w:rsidP="002B1603">
            <w:pPr>
              <w:pStyle w:val="naisf"/>
              <w:spacing w:before="0" w:after="0"/>
              <w:ind w:firstLine="0"/>
              <w:jc w:val="center"/>
            </w:pPr>
            <w:r w:rsidRPr="00D32D79">
              <w:t>0</w:t>
            </w:r>
          </w:p>
        </w:tc>
      </w:tr>
      <w:tr w:rsidR="002B1603" w:rsidRPr="00D32D79" w14:paraId="2C618904" w14:textId="77777777" w:rsidTr="00D32D79">
        <w:trPr>
          <w:jc w:val="center"/>
        </w:trPr>
        <w:tc>
          <w:tcPr>
            <w:tcW w:w="1862" w:type="dxa"/>
          </w:tcPr>
          <w:p w14:paraId="58000C7C" w14:textId="77777777" w:rsidR="002B1603" w:rsidRPr="00D32D79" w:rsidRDefault="002B1603" w:rsidP="002B1603">
            <w:r w:rsidRPr="00D32D79">
              <w:t>2. Budžeta izdevumi:</w:t>
            </w:r>
          </w:p>
        </w:tc>
        <w:tc>
          <w:tcPr>
            <w:tcW w:w="1120" w:type="dxa"/>
            <w:vAlign w:val="center"/>
          </w:tcPr>
          <w:p w14:paraId="14EBC498" w14:textId="77777777" w:rsidR="002B1603" w:rsidRPr="00D32D79" w:rsidRDefault="002B1603" w:rsidP="002B1603">
            <w:pPr>
              <w:pStyle w:val="naisf"/>
              <w:spacing w:before="0" w:after="0"/>
              <w:ind w:firstLine="0"/>
              <w:jc w:val="center"/>
            </w:pPr>
            <w:r w:rsidRPr="00D32D79">
              <w:t>0</w:t>
            </w:r>
          </w:p>
        </w:tc>
        <w:tc>
          <w:tcPr>
            <w:tcW w:w="1210" w:type="dxa"/>
            <w:vAlign w:val="center"/>
          </w:tcPr>
          <w:p w14:paraId="33E1C300" w14:textId="77777777" w:rsidR="002B1603" w:rsidRPr="00D32D79" w:rsidRDefault="002B1603" w:rsidP="002B1603">
            <w:pPr>
              <w:pStyle w:val="naisf"/>
              <w:spacing w:before="0" w:after="0"/>
              <w:ind w:firstLine="0"/>
              <w:jc w:val="center"/>
            </w:pPr>
            <w:r w:rsidRPr="00D32D79">
              <w:t>0</w:t>
            </w:r>
          </w:p>
        </w:tc>
        <w:tc>
          <w:tcPr>
            <w:tcW w:w="1615" w:type="dxa"/>
            <w:vAlign w:val="center"/>
          </w:tcPr>
          <w:p w14:paraId="7702B149" w14:textId="3604E67D" w:rsidR="002B1603" w:rsidRPr="00D32D79" w:rsidRDefault="00545B50" w:rsidP="00772C1B">
            <w:pPr>
              <w:pStyle w:val="naisf"/>
              <w:spacing w:before="0" w:after="0"/>
              <w:ind w:firstLine="0"/>
              <w:jc w:val="center"/>
            </w:pPr>
            <w:r w:rsidRPr="00D32D79">
              <w:t>1 217 034</w:t>
            </w:r>
          </w:p>
        </w:tc>
        <w:tc>
          <w:tcPr>
            <w:tcW w:w="1276" w:type="dxa"/>
            <w:vAlign w:val="center"/>
          </w:tcPr>
          <w:p w14:paraId="3D583900" w14:textId="750B0E1E" w:rsidR="002B1603" w:rsidRPr="00D32D79" w:rsidRDefault="00545B50" w:rsidP="002B1603">
            <w:pPr>
              <w:pStyle w:val="naisf"/>
              <w:spacing w:before="0" w:after="0"/>
              <w:ind w:firstLine="0"/>
              <w:jc w:val="center"/>
            </w:pPr>
            <w:r w:rsidRPr="00D32D79">
              <w:t>7 302 206</w:t>
            </w:r>
          </w:p>
        </w:tc>
        <w:tc>
          <w:tcPr>
            <w:tcW w:w="1355" w:type="dxa"/>
            <w:vAlign w:val="center"/>
          </w:tcPr>
          <w:p w14:paraId="7C8F9C06" w14:textId="44298464" w:rsidR="002B1603" w:rsidRPr="00D32D79" w:rsidRDefault="00545B50" w:rsidP="002B1603">
            <w:pPr>
              <w:pStyle w:val="naisf"/>
              <w:spacing w:before="0" w:after="0"/>
              <w:ind w:firstLine="0"/>
              <w:jc w:val="center"/>
            </w:pPr>
            <w:r w:rsidRPr="00D32D79">
              <w:t>9 802 206</w:t>
            </w:r>
          </w:p>
        </w:tc>
      </w:tr>
      <w:tr w:rsidR="00545B50" w:rsidRPr="00D32D79" w14:paraId="016EE961" w14:textId="77777777" w:rsidTr="00D32D79">
        <w:trPr>
          <w:jc w:val="center"/>
        </w:trPr>
        <w:tc>
          <w:tcPr>
            <w:tcW w:w="1862" w:type="dxa"/>
          </w:tcPr>
          <w:p w14:paraId="34D23B97" w14:textId="77777777" w:rsidR="00545B50" w:rsidRPr="00D32D79" w:rsidRDefault="00545B50" w:rsidP="00545B50">
            <w:r w:rsidRPr="00D32D79">
              <w:rPr>
                <w:rFonts w:eastAsia="Calibri"/>
              </w:rPr>
              <w:t>2.1. valsts pamatbudžets</w:t>
            </w:r>
          </w:p>
        </w:tc>
        <w:tc>
          <w:tcPr>
            <w:tcW w:w="1120" w:type="dxa"/>
            <w:shd w:val="clear" w:color="auto" w:fill="auto"/>
            <w:vAlign w:val="center"/>
          </w:tcPr>
          <w:p w14:paraId="0044E13B" w14:textId="77777777" w:rsidR="00545B50" w:rsidRPr="00D32D79" w:rsidRDefault="00545B50" w:rsidP="00545B50">
            <w:pPr>
              <w:pStyle w:val="naisf"/>
              <w:spacing w:before="0" w:after="0"/>
              <w:ind w:firstLine="0"/>
              <w:jc w:val="center"/>
            </w:pPr>
            <w:r w:rsidRPr="00D32D79">
              <w:rPr>
                <w:rFonts w:eastAsia="Calibri"/>
              </w:rPr>
              <w:t>0</w:t>
            </w:r>
          </w:p>
        </w:tc>
        <w:tc>
          <w:tcPr>
            <w:tcW w:w="1210" w:type="dxa"/>
            <w:shd w:val="clear" w:color="auto" w:fill="auto"/>
            <w:vAlign w:val="center"/>
          </w:tcPr>
          <w:p w14:paraId="6D8151F3" w14:textId="77777777" w:rsidR="00545B50" w:rsidRPr="00D32D79" w:rsidRDefault="00545B50" w:rsidP="00545B50">
            <w:pPr>
              <w:pStyle w:val="naisf"/>
              <w:spacing w:before="0" w:after="0"/>
              <w:ind w:firstLine="0"/>
              <w:jc w:val="center"/>
            </w:pPr>
            <w:r w:rsidRPr="00D32D79">
              <w:t>0</w:t>
            </w:r>
          </w:p>
        </w:tc>
        <w:tc>
          <w:tcPr>
            <w:tcW w:w="1615" w:type="dxa"/>
            <w:vAlign w:val="center"/>
          </w:tcPr>
          <w:p w14:paraId="1531B5FE" w14:textId="07C8D4F6" w:rsidR="00545B50" w:rsidRPr="00D32D79" w:rsidRDefault="00545B50" w:rsidP="00545B50">
            <w:pPr>
              <w:pStyle w:val="naisf"/>
              <w:spacing w:before="0" w:after="0"/>
              <w:ind w:firstLine="0"/>
              <w:jc w:val="center"/>
            </w:pPr>
            <w:r w:rsidRPr="00D32D79">
              <w:t>1 217 034</w:t>
            </w:r>
          </w:p>
        </w:tc>
        <w:tc>
          <w:tcPr>
            <w:tcW w:w="1276" w:type="dxa"/>
            <w:vAlign w:val="center"/>
          </w:tcPr>
          <w:p w14:paraId="2F1F838D" w14:textId="3E9E92AC" w:rsidR="00545B50" w:rsidRPr="00D32D79" w:rsidRDefault="00545B50" w:rsidP="00545B50">
            <w:pPr>
              <w:pStyle w:val="naisf"/>
              <w:spacing w:before="0" w:after="0"/>
              <w:ind w:firstLine="0"/>
              <w:jc w:val="center"/>
            </w:pPr>
            <w:r w:rsidRPr="00D32D79">
              <w:t>7 302 206</w:t>
            </w:r>
          </w:p>
        </w:tc>
        <w:tc>
          <w:tcPr>
            <w:tcW w:w="1355" w:type="dxa"/>
            <w:vAlign w:val="center"/>
          </w:tcPr>
          <w:p w14:paraId="67068D7D" w14:textId="646D97E4" w:rsidR="00545B50" w:rsidRPr="00D32D79" w:rsidRDefault="00545B50" w:rsidP="00545B50">
            <w:pPr>
              <w:pStyle w:val="naisf"/>
              <w:spacing w:before="0" w:after="0"/>
              <w:ind w:firstLine="0"/>
              <w:jc w:val="center"/>
            </w:pPr>
            <w:r w:rsidRPr="00D32D79">
              <w:t>9 802 206</w:t>
            </w:r>
          </w:p>
        </w:tc>
      </w:tr>
      <w:tr w:rsidR="002B1603" w:rsidRPr="00D32D79" w14:paraId="65A25A02" w14:textId="77777777" w:rsidTr="00D32D79">
        <w:trPr>
          <w:jc w:val="center"/>
        </w:trPr>
        <w:tc>
          <w:tcPr>
            <w:tcW w:w="1862" w:type="dxa"/>
          </w:tcPr>
          <w:p w14:paraId="16FBD01C" w14:textId="77777777" w:rsidR="002B1603" w:rsidRPr="00D32D79" w:rsidRDefault="002B1603" w:rsidP="002B1603">
            <w:r w:rsidRPr="00D32D79">
              <w:rPr>
                <w:rFonts w:eastAsia="Calibri"/>
              </w:rPr>
              <w:t>2.2. valsts speciālais budžets</w:t>
            </w:r>
          </w:p>
        </w:tc>
        <w:tc>
          <w:tcPr>
            <w:tcW w:w="1120" w:type="dxa"/>
            <w:shd w:val="clear" w:color="auto" w:fill="auto"/>
            <w:vAlign w:val="center"/>
          </w:tcPr>
          <w:p w14:paraId="556B798B" w14:textId="77777777" w:rsidR="002B1603" w:rsidRPr="00D32D79" w:rsidRDefault="002B1603" w:rsidP="002B1603">
            <w:pPr>
              <w:pStyle w:val="naisf"/>
              <w:spacing w:before="0" w:after="0"/>
              <w:ind w:firstLine="0"/>
              <w:jc w:val="center"/>
            </w:pPr>
            <w:r w:rsidRPr="00D32D79">
              <w:rPr>
                <w:rFonts w:eastAsia="Calibri"/>
              </w:rPr>
              <w:t>0</w:t>
            </w:r>
          </w:p>
        </w:tc>
        <w:tc>
          <w:tcPr>
            <w:tcW w:w="1210" w:type="dxa"/>
            <w:shd w:val="clear" w:color="auto" w:fill="auto"/>
            <w:vAlign w:val="center"/>
          </w:tcPr>
          <w:p w14:paraId="1722B7C2" w14:textId="77777777" w:rsidR="002B1603" w:rsidRPr="00D32D79" w:rsidRDefault="002B1603" w:rsidP="002B1603">
            <w:pPr>
              <w:pStyle w:val="naisf"/>
              <w:spacing w:before="0" w:after="0"/>
              <w:ind w:firstLine="0"/>
              <w:jc w:val="center"/>
            </w:pPr>
            <w:r w:rsidRPr="00D32D79">
              <w:rPr>
                <w:rFonts w:eastAsia="Calibri"/>
              </w:rPr>
              <w:t>0</w:t>
            </w:r>
          </w:p>
        </w:tc>
        <w:tc>
          <w:tcPr>
            <w:tcW w:w="1615" w:type="dxa"/>
            <w:vAlign w:val="center"/>
          </w:tcPr>
          <w:p w14:paraId="29F038A3" w14:textId="77777777" w:rsidR="002B1603" w:rsidRPr="00D32D79" w:rsidRDefault="002B1603" w:rsidP="002B1603">
            <w:pPr>
              <w:pStyle w:val="naisf"/>
              <w:spacing w:before="0" w:after="0"/>
              <w:ind w:firstLine="0"/>
              <w:jc w:val="center"/>
            </w:pPr>
            <w:r w:rsidRPr="00D32D79">
              <w:rPr>
                <w:rFonts w:eastAsia="Calibri"/>
              </w:rPr>
              <w:t>0</w:t>
            </w:r>
          </w:p>
        </w:tc>
        <w:tc>
          <w:tcPr>
            <w:tcW w:w="1276" w:type="dxa"/>
            <w:vAlign w:val="center"/>
          </w:tcPr>
          <w:p w14:paraId="7FB990AA" w14:textId="77777777" w:rsidR="002B1603" w:rsidRPr="00D32D79" w:rsidRDefault="002B1603" w:rsidP="002B1603">
            <w:pPr>
              <w:pStyle w:val="naisf"/>
              <w:spacing w:before="0" w:after="0"/>
              <w:ind w:firstLine="0"/>
              <w:jc w:val="center"/>
            </w:pPr>
            <w:r w:rsidRPr="00D32D79">
              <w:rPr>
                <w:rFonts w:eastAsia="Calibri"/>
              </w:rPr>
              <w:t>0</w:t>
            </w:r>
          </w:p>
        </w:tc>
        <w:tc>
          <w:tcPr>
            <w:tcW w:w="1355" w:type="dxa"/>
            <w:vAlign w:val="center"/>
          </w:tcPr>
          <w:p w14:paraId="0CEFC698" w14:textId="77777777" w:rsidR="002B1603" w:rsidRPr="00D32D79" w:rsidRDefault="002B1603" w:rsidP="002B1603">
            <w:pPr>
              <w:pStyle w:val="naisf"/>
              <w:spacing w:before="0" w:after="0"/>
              <w:ind w:firstLine="0"/>
              <w:jc w:val="center"/>
            </w:pPr>
            <w:r w:rsidRPr="00D32D79">
              <w:rPr>
                <w:rFonts w:eastAsia="Calibri"/>
              </w:rPr>
              <w:t>0</w:t>
            </w:r>
          </w:p>
        </w:tc>
      </w:tr>
      <w:tr w:rsidR="002B1603" w:rsidRPr="00D32D79" w14:paraId="31970CD2" w14:textId="77777777" w:rsidTr="00D32D79">
        <w:trPr>
          <w:jc w:val="center"/>
        </w:trPr>
        <w:tc>
          <w:tcPr>
            <w:tcW w:w="1862" w:type="dxa"/>
          </w:tcPr>
          <w:p w14:paraId="2063DFB0" w14:textId="77777777" w:rsidR="002B1603" w:rsidRPr="00D32D79" w:rsidRDefault="002B1603" w:rsidP="002B1603">
            <w:r w:rsidRPr="00D32D79">
              <w:rPr>
                <w:rFonts w:eastAsia="Calibri"/>
              </w:rPr>
              <w:t>2.3. pašvaldību budžets</w:t>
            </w:r>
          </w:p>
        </w:tc>
        <w:tc>
          <w:tcPr>
            <w:tcW w:w="1120" w:type="dxa"/>
            <w:shd w:val="clear" w:color="auto" w:fill="auto"/>
            <w:vAlign w:val="center"/>
          </w:tcPr>
          <w:p w14:paraId="32891810" w14:textId="77777777" w:rsidR="002B1603" w:rsidRPr="00D32D79" w:rsidRDefault="002B1603" w:rsidP="002B1603">
            <w:pPr>
              <w:pStyle w:val="naisf"/>
              <w:spacing w:before="0" w:after="0"/>
              <w:ind w:firstLine="0"/>
              <w:jc w:val="center"/>
            </w:pPr>
            <w:r w:rsidRPr="00D32D79">
              <w:rPr>
                <w:rFonts w:eastAsia="Calibri"/>
              </w:rPr>
              <w:t>0</w:t>
            </w:r>
          </w:p>
        </w:tc>
        <w:tc>
          <w:tcPr>
            <w:tcW w:w="1210" w:type="dxa"/>
            <w:shd w:val="clear" w:color="auto" w:fill="auto"/>
            <w:vAlign w:val="center"/>
          </w:tcPr>
          <w:p w14:paraId="506CEF55" w14:textId="77777777" w:rsidR="002B1603" w:rsidRPr="00D32D79" w:rsidRDefault="002B1603" w:rsidP="002B1603">
            <w:pPr>
              <w:pStyle w:val="naisf"/>
              <w:spacing w:before="0" w:after="0"/>
              <w:ind w:firstLine="0"/>
              <w:jc w:val="center"/>
            </w:pPr>
            <w:r w:rsidRPr="00D32D79">
              <w:rPr>
                <w:rFonts w:eastAsia="Calibri"/>
              </w:rPr>
              <w:t>0</w:t>
            </w:r>
          </w:p>
        </w:tc>
        <w:tc>
          <w:tcPr>
            <w:tcW w:w="1615" w:type="dxa"/>
            <w:vAlign w:val="center"/>
          </w:tcPr>
          <w:p w14:paraId="7E2681B1" w14:textId="77777777" w:rsidR="002B1603" w:rsidRPr="00D32D79" w:rsidRDefault="002B1603" w:rsidP="002B1603">
            <w:pPr>
              <w:pStyle w:val="naisf"/>
              <w:spacing w:before="0" w:after="0"/>
              <w:ind w:firstLine="0"/>
              <w:jc w:val="center"/>
            </w:pPr>
            <w:r w:rsidRPr="00D32D79">
              <w:rPr>
                <w:rFonts w:eastAsia="Calibri"/>
              </w:rPr>
              <w:t>0</w:t>
            </w:r>
          </w:p>
        </w:tc>
        <w:tc>
          <w:tcPr>
            <w:tcW w:w="1276" w:type="dxa"/>
            <w:vAlign w:val="center"/>
          </w:tcPr>
          <w:p w14:paraId="264A6022" w14:textId="77777777" w:rsidR="002B1603" w:rsidRPr="00D32D79" w:rsidRDefault="002B1603" w:rsidP="002B1603">
            <w:pPr>
              <w:pStyle w:val="naisf"/>
              <w:spacing w:before="0" w:after="0"/>
              <w:ind w:firstLine="0"/>
              <w:jc w:val="center"/>
            </w:pPr>
            <w:r w:rsidRPr="00D32D79">
              <w:rPr>
                <w:rFonts w:eastAsia="Calibri"/>
              </w:rPr>
              <w:t>0</w:t>
            </w:r>
          </w:p>
        </w:tc>
        <w:tc>
          <w:tcPr>
            <w:tcW w:w="1355" w:type="dxa"/>
            <w:vAlign w:val="center"/>
          </w:tcPr>
          <w:p w14:paraId="0E56C382" w14:textId="77777777" w:rsidR="002B1603" w:rsidRPr="00D32D79" w:rsidRDefault="002B1603" w:rsidP="002B1603">
            <w:pPr>
              <w:pStyle w:val="naisf"/>
              <w:spacing w:before="0" w:after="0"/>
              <w:ind w:firstLine="0"/>
              <w:jc w:val="center"/>
            </w:pPr>
            <w:r w:rsidRPr="00D32D79">
              <w:rPr>
                <w:rFonts w:eastAsia="Calibri"/>
              </w:rPr>
              <w:t>0</w:t>
            </w:r>
          </w:p>
        </w:tc>
      </w:tr>
      <w:tr w:rsidR="002B1603" w:rsidRPr="00D32D79" w14:paraId="1233AD12" w14:textId="77777777" w:rsidTr="00D32D79">
        <w:trPr>
          <w:jc w:val="center"/>
        </w:trPr>
        <w:tc>
          <w:tcPr>
            <w:tcW w:w="1862" w:type="dxa"/>
          </w:tcPr>
          <w:p w14:paraId="0AD3AFC8" w14:textId="77777777" w:rsidR="002B1603" w:rsidRPr="00D32D79" w:rsidRDefault="002B1603" w:rsidP="002B1603">
            <w:r w:rsidRPr="00D32D79">
              <w:t>3. Finansiālā ietekme:</w:t>
            </w:r>
          </w:p>
        </w:tc>
        <w:tc>
          <w:tcPr>
            <w:tcW w:w="1120" w:type="dxa"/>
            <w:shd w:val="clear" w:color="auto" w:fill="auto"/>
            <w:vAlign w:val="center"/>
          </w:tcPr>
          <w:p w14:paraId="760B36D0" w14:textId="77777777" w:rsidR="002B1603" w:rsidRPr="00D32D79" w:rsidRDefault="002B1603" w:rsidP="002B1603">
            <w:pPr>
              <w:pStyle w:val="naisf"/>
              <w:spacing w:before="0" w:after="0"/>
              <w:ind w:firstLine="0"/>
              <w:jc w:val="center"/>
            </w:pPr>
            <w:r w:rsidRPr="00D32D79">
              <w:t>0</w:t>
            </w:r>
          </w:p>
        </w:tc>
        <w:tc>
          <w:tcPr>
            <w:tcW w:w="1210" w:type="dxa"/>
            <w:shd w:val="clear" w:color="auto" w:fill="auto"/>
            <w:vAlign w:val="center"/>
          </w:tcPr>
          <w:p w14:paraId="2742BB61" w14:textId="77777777" w:rsidR="002B1603" w:rsidRPr="00D32D79" w:rsidRDefault="002B1603" w:rsidP="002B1603">
            <w:pPr>
              <w:pStyle w:val="naisf"/>
              <w:spacing w:before="0" w:after="0"/>
              <w:ind w:firstLine="0"/>
              <w:jc w:val="center"/>
            </w:pPr>
            <w:r w:rsidRPr="00D32D79">
              <w:t>0</w:t>
            </w:r>
          </w:p>
        </w:tc>
        <w:tc>
          <w:tcPr>
            <w:tcW w:w="1615" w:type="dxa"/>
            <w:vAlign w:val="center"/>
          </w:tcPr>
          <w:p w14:paraId="461B4EC8" w14:textId="14765558" w:rsidR="002B1603" w:rsidRPr="00D32D79" w:rsidRDefault="002B1603" w:rsidP="00545B50">
            <w:pPr>
              <w:pStyle w:val="naisf"/>
              <w:spacing w:before="0" w:after="0"/>
              <w:ind w:firstLine="0"/>
              <w:jc w:val="center"/>
            </w:pPr>
            <w:r w:rsidRPr="00D32D79">
              <w:t>-</w:t>
            </w:r>
            <w:r w:rsidR="00545B50" w:rsidRPr="00D32D79">
              <w:t>182 555</w:t>
            </w:r>
            <w:r w:rsidR="00772C1B" w:rsidRPr="00D32D79">
              <w:t xml:space="preserve"> </w:t>
            </w:r>
          </w:p>
        </w:tc>
        <w:tc>
          <w:tcPr>
            <w:tcW w:w="1276" w:type="dxa"/>
            <w:vAlign w:val="center"/>
          </w:tcPr>
          <w:p w14:paraId="20AA20A1" w14:textId="251D4CDD" w:rsidR="002B1603" w:rsidRPr="00D32D79" w:rsidRDefault="002B1603" w:rsidP="00545B50">
            <w:pPr>
              <w:pStyle w:val="naisf"/>
              <w:spacing w:before="0" w:after="0"/>
              <w:ind w:firstLine="0"/>
              <w:jc w:val="center"/>
            </w:pPr>
            <w:r w:rsidRPr="00D32D79">
              <w:t>-</w:t>
            </w:r>
            <w:r w:rsidR="00545B50" w:rsidRPr="00D32D79">
              <w:t>1 095 331</w:t>
            </w:r>
          </w:p>
        </w:tc>
        <w:tc>
          <w:tcPr>
            <w:tcW w:w="1355" w:type="dxa"/>
            <w:vAlign w:val="center"/>
          </w:tcPr>
          <w:p w14:paraId="39B28F63" w14:textId="794F1881" w:rsidR="002B1603" w:rsidRPr="00D32D79" w:rsidRDefault="002B1603" w:rsidP="00545B50">
            <w:pPr>
              <w:pStyle w:val="naisf"/>
              <w:spacing w:before="0" w:after="0"/>
              <w:ind w:firstLine="0"/>
              <w:jc w:val="center"/>
            </w:pPr>
            <w:r w:rsidRPr="00D32D79">
              <w:t>-</w:t>
            </w:r>
            <w:r w:rsidR="00545B50" w:rsidRPr="00D32D79">
              <w:t>1 470 331</w:t>
            </w:r>
          </w:p>
        </w:tc>
      </w:tr>
      <w:tr w:rsidR="00545B50" w:rsidRPr="00D32D79" w14:paraId="57CDA4C5" w14:textId="77777777" w:rsidTr="00D32D79">
        <w:trPr>
          <w:jc w:val="center"/>
        </w:trPr>
        <w:tc>
          <w:tcPr>
            <w:tcW w:w="1862" w:type="dxa"/>
          </w:tcPr>
          <w:p w14:paraId="638358CA" w14:textId="77777777" w:rsidR="00545B50" w:rsidRPr="00D32D79" w:rsidRDefault="00545B50" w:rsidP="00545B50">
            <w:r w:rsidRPr="00D32D79">
              <w:rPr>
                <w:rFonts w:eastAsia="Calibri"/>
              </w:rPr>
              <w:t>3.1. valsts pamatbudžets</w:t>
            </w:r>
          </w:p>
        </w:tc>
        <w:tc>
          <w:tcPr>
            <w:tcW w:w="1120" w:type="dxa"/>
            <w:shd w:val="clear" w:color="auto" w:fill="auto"/>
            <w:vAlign w:val="center"/>
          </w:tcPr>
          <w:p w14:paraId="40F221A3" w14:textId="77777777" w:rsidR="00545B50" w:rsidRPr="00D32D79" w:rsidRDefault="00545B50" w:rsidP="00545B50">
            <w:pPr>
              <w:pStyle w:val="naisf"/>
              <w:spacing w:before="0" w:after="0"/>
              <w:ind w:firstLine="0"/>
              <w:jc w:val="center"/>
            </w:pPr>
            <w:r w:rsidRPr="00D32D79">
              <w:rPr>
                <w:rFonts w:eastAsia="Calibri"/>
              </w:rPr>
              <w:t>0</w:t>
            </w:r>
          </w:p>
        </w:tc>
        <w:tc>
          <w:tcPr>
            <w:tcW w:w="1210" w:type="dxa"/>
            <w:shd w:val="clear" w:color="auto" w:fill="auto"/>
            <w:vAlign w:val="center"/>
          </w:tcPr>
          <w:p w14:paraId="24014568" w14:textId="77777777" w:rsidR="00545B50" w:rsidRPr="00D32D79" w:rsidRDefault="00545B50" w:rsidP="00545B50">
            <w:pPr>
              <w:pStyle w:val="naisf"/>
              <w:spacing w:before="0" w:after="0"/>
              <w:ind w:firstLine="0"/>
              <w:jc w:val="center"/>
            </w:pPr>
            <w:r w:rsidRPr="00D32D79">
              <w:t>0</w:t>
            </w:r>
          </w:p>
        </w:tc>
        <w:tc>
          <w:tcPr>
            <w:tcW w:w="1615" w:type="dxa"/>
            <w:vAlign w:val="center"/>
          </w:tcPr>
          <w:p w14:paraId="5FD05C6E" w14:textId="6A6C09FE" w:rsidR="00545B50" w:rsidRPr="00D32D79" w:rsidRDefault="00545B50" w:rsidP="00545B50">
            <w:pPr>
              <w:pStyle w:val="naisf"/>
              <w:spacing w:before="0" w:after="0"/>
              <w:ind w:firstLine="0"/>
              <w:jc w:val="center"/>
            </w:pPr>
            <w:r w:rsidRPr="00D32D79">
              <w:t xml:space="preserve">-182 555 </w:t>
            </w:r>
          </w:p>
        </w:tc>
        <w:tc>
          <w:tcPr>
            <w:tcW w:w="1276" w:type="dxa"/>
            <w:vAlign w:val="center"/>
          </w:tcPr>
          <w:p w14:paraId="5776C3E6" w14:textId="4DC83C4D" w:rsidR="00545B50" w:rsidRPr="00D32D79" w:rsidRDefault="00545B50" w:rsidP="00545B50">
            <w:pPr>
              <w:pStyle w:val="naisf"/>
              <w:spacing w:before="0" w:after="0"/>
              <w:ind w:firstLine="0"/>
              <w:jc w:val="center"/>
            </w:pPr>
            <w:r w:rsidRPr="00D32D79">
              <w:t>-1 095 331</w:t>
            </w:r>
          </w:p>
        </w:tc>
        <w:tc>
          <w:tcPr>
            <w:tcW w:w="1355" w:type="dxa"/>
            <w:vAlign w:val="center"/>
          </w:tcPr>
          <w:p w14:paraId="02462387" w14:textId="15BE2673" w:rsidR="00545B50" w:rsidRPr="00D32D79" w:rsidRDefault="00545B50" w:rsidP="00545B50">
            <w:pPr>
              <w:pStyle w:val="naisf"/>
              <w:spacing w:before="0" w:after="0"/>
              <w:ind w:firstLine="0"/>
              <w:jc w:val="center"/>
            </w:pPr>
            <w:r w:rsidRPr="00D32D79">
              <w:t>-1 470 331</w:t>
            </w:r>
          </w:p>
        </w:tc>
      </w:tr>
      <w:tr w:rsidR="002B1603" w:rsidRPr="00D32D79" w14:paraId="776B273B" w14:textId="77777777" w:rsidTr="00D32D79">
        <w:trPr>
          <w:jc w:val="center"/>
        </w:trPr>
        <w:tc>
          <w:tcPr>
            <w:tcW w:w="1862" w:type="dxa"/>
          </w:tcPr>
          <w:p w14:paraId="0736F24A" w14:textId="77777777" w:rsidR="002B1603" w:rsidRPr="00D32D79" w:rsidRDefault="002B1603" w:rsidP="002B1603">
            <w:r w:rsidRPr="00D32D79">
              <w:rPr>
                <w:rFonts w:eastAsia="Calibri"/>
              </w:rPr>
              <w:t>3.2. speciālais budžets</w:t>
            </w:r>
          </w:p>
        </w:tc>
        <w:tc>
          <w:tcPr>
            <w:tcW w:w="1120" w:type="dxa"/>
            <w:shd w:val="clear" w:color="auto" w:fill="auto"/>
            <w:vAlign w:val="center"/>
          </w:tcPr>
          <w:p w14:paraId="61F9A765" w14:textId="77777777" w:rsidR="002B1603" w:rsidRPr="00D32D79" w:rsidRDefault="002B1603" w:rsidP="002B1603">
            <w:pPr>
              <w:pStyle w:val="naisf"/>
              <w:spacing w:before="0" w:after="0"/>
              <w:ind w:firstLine="0"/>
              <w:jc w:val="center"/>
            </w:pPr>
            <w:r w:rsidRPr="00D32D79">
              <w:rPr>
                <w:rFonts w:eastAsia="Calibri"/>
              </w:rPr>
              <w:t>0</w:t>
            </w:r>
          </w:p>
        </w:tc>
        <w:tc>
          <w:tcPr>
            <w:tcW w:w="1210" w:type="dxa"/>
            <w:shd w:val="clear" w:color="auto" w:fill="auto"/>
            <w:vAlign w:val="center"/>
          </w:tcPr>
          <w:p w14:paraId="4197B578" w14:textId="77777777" w:rsidR="002B1603" w:rsidRPr="00D32D79" w:rsidRDefault="002B1603" w:rsidP="002B1603">
            <w:pPr>
              <w:pStyle w:val="naisf"/>
              <w:spacing w:before="0" w:after="0"/>
              <w:ind w:firstLine="0"/>
              <w:jc w:val="center"/>
            </w:pPr>
            <w:r w:rsidRPr="00D32D79">
              <w:rPr>
                <w:rFonts w:eastAsia="Calibri"/>
              </w:rPr>
              <w:t>0</w:t>
            </w:r>
          </w:p>
        </w:tc>
        <w:tc>
          <w:tcPr>
            <w:tcW w:w="1615" w:type="dxa"/>
            <w:vAlign w:val="center"/>
          </w:tcPr>
          <w:p w14:paraId="74198605" w14:textId="77777777" w:rsidR="002B1603" w:rsidRPr="00D32D79" w:rsidRDefault="002B1603" w:rsidP="002B1603">
            <w:pPr>
              <w:pStyle w:val="naisf"/>
              <w:spacing w:before="0" w:after="0"/>
              <w:ind w:firstLine="0"/>
              <w:jc w:val="center"/>
            </w:pPr>
            <w:r w:rsidRPr="00D32D79">
              <w:rPr>
                <w:rFonts w:eastAsia="Calibri"/>
              </w:rPr>
              <w:t>0</w:t>
            </w:r>
          </w:p>
        </w:tc>
        <w:tc>
          <w:tcPr>
            <w:tcW w:w="1276" w:type="dxa"/>
            <w:vAlign w:val="center"/>
          </w:tcPr>
          <w:p w14:paraId="12376E52" w14:textId="77777777" w:rsidR="002B1603" w:rsidRPr="00D32D79" w:rsidRDefault="002B1603" w:rsidP="002B1603">
            <w:pPr>
              <w:pStyle w:val="naisf"/>
              <w:spacing w:before="0" w:after="0"/>
              <w:ind w:firstLine="0"/>
              <w:jc w:val="center"/>
            </w:pPr>
            <w:r w:rsidRPr="00D32D79">
              <w:rPr>
                <w:rFonts w:eastAsia="Calibri"/>
              </w:rPr>
              <w:t>0</w:t>
            </w:r>
          </w:p>
        </w:tc>
        <w:tc>
          <w:tcPr>
            <w:tcW w:w="1355" w:type="dxa"/>
            <w:vAlign w:val="center"/>
          </w:tcPr>
          <w:p w14:paraId="7390070B" w14:textId="77777777" w:rsidR="002B1603" w:rsidRPr="00D32D79" w:rsidRDefault="002B1603" w:rsidP="002B1603">
            <w:pPr>
              <w:pStyle w:val="naisf"/>
              <w:spacing w:before="0" w:after="0"/>
              <w:ind w:firstLine="0"/>
              <w:jc w:val="center"/>
            </w:pPr>
            <w:r w:rsidRPr="00D32D79">
              <w:rPr>
                <w:rFonts w:eastAsia="Calibri"/>
              </w:rPr>
              <w:t>0</w:t>
            </w:r>
          </w:p>
        </w:tc>
      </w:tr>
      <w:tr w:rsidR="002B1603" w:rsidRPr="00D32D79" w14:paraId="3F8CAC3F" w14:textId="77777777" w:rsidTr="00D32D79">
        <w:trPr>
          <w:jc w:val="center"/>
        </w:trPr>
        <w:tc>
          <w:tcPr>
            <w:tcW w:w="1862" w:type="dxa"/>
          </w:tcPr>
          <w:p w14:paraId="64CCF48C" w14:textId="77777777" w:rsidR="002B1603" w:rsidRPr="00D32D79" w:rsidRDefault="002B1603" w:rsidP="002B1603">
            <w:r w:rsidRPr="00D32D79">
              <w:rPr>
                <w:rFonts w:eastAsia="Calibri"/>
              </w:rPr>
              <w:t>3.3. pašvaldību budžets</w:t>
            </w:r>
          </w:p>
        </w:tc>
        <w:tc>
          <w:tcPr>
            <w:tcW w:w="1120" w:type="dxa"/>
            <w:shd w:val="clear" w:color="auto" w:fill="auto"/>
            <w:vAlign w:val="center"/>
          </w:tcPr>
          <w:p w14:paraId="25CE9147" w14:textId="77777777" w:rsidR="002B1603" w:rsidRPr="00D32D79" w:rsidRDefault="002B1603" w:rsidP="002B1603">
            <w:pPr>
              <w:pStyle w:val="naisf"/>
              <w:spacing w:before="0" w:after="0"/>
              <w:ind w:firstLine="0"/>
              <w:jc w:val="center"/>
            </w:pPr>
            <w:r w:rsidRPr="00D32D79">
              <w:rPr>
                <w:rFonts w:eastAsia="Calibri"/>
              </w:rPr>
              <w:t>0</w:t>
            </w:r>
          </w:p>
        </w:tc>
        <w:tc>
          <w:tcPr>
            <w:tcW w:w="1210" w:type="dxa"/>
            <w:shd w:val="clear" w:color="auto" w:fill="auto"/>
            <w:vAlign w:val="center"/>
          </w:tcPr>
          <w:p w14:paraId="00A81249" w14:textId="77777777" w:rsidR="002B1603" w:rsidRPr="00D32D79" w:rsidRDefault="002B1603" w:rsidP="002B1603">
            <w:pPr>
              <w:pStyle w:val="naisf"/>
              <w:spacing w:before="0" w:after="0"/>
              <w:ind w:firstLine="0"/>
              <w:jc w:val="center"/>
            </w:pPr>
            <w:r w:rsidRPr="00D32D79">
              <w:rPr>
                <w:rFonts w:eastAsia="Calibri"/>
              </w:rPr>
              <w:t>0</w:t>
            </w:r>
          </w:p>
        </w:tc>
        <w:tc>
          <w:tcPr>
            <w:tcW w:w="1615" w:type="dxa"/>
            <w:vAlign w:val="center"/>
          </w:tcPr>
          <w:p w14:paraId="4AD2248E" w14:textId="77777777" w:rsidR="002B1603" w:rsidRPr="00D32D79" w:rsidRDefault="002B1603" w:rsidP="002B1603">
            <w:pPr>
              <w:pStyle w:val="naisf"/>
              <w:spacing w:before="0" w:after="0"/>
              <w:ind w:firstLine="0"/>
              <w:jc w:val="center"/>
            </w:pPr>
            <w:r w:rsidRPr="00D32D79">
              <w:rPr>
                <w:rFonts w:eastAsia="Calibri"/>
              </w:rPr>
              <w:t>0</w:t>
            </w:r>
          </w:p>
        </w:tc>
        <w:tc>
          <w:tcPr>
            <w:tcW w:w="1276" w:type="dxa"/>
            <w:vAlign w:val="center"/>
          </w:tcPr>
          <w:p w14:paraId="7AD1319A" w14:textId="77777777" w:rsidR="002B1603" w:rsidRPr="00D32D79" w:rsidRDefault="002B1603" w:rsidP="002B1603">
            <w:pPr>
              <w:pStyle w:val="naisf"/>
              <w:spacing w:before="0" w:after="0"/>
              <w:ind w:firstLine="0"/>
              <w:jc w:val="center"/>
            </w:pPr>
            <w:r w:rsidRPr="00D32D79">
              <w:rPr>
                <w:rFonts w:eastAsia="Calibri"/>
              </w:rPr>
              <w:t>0</w:t>
            </w:r>
          </w:p>
        </w:tc>
        <w:tc>
          <w:tcPr>
            <w:tcW w:w="1355" w:type="dxa"/>
            <w:vAlign w:val="center"/>
          </w:tcPr>
          <w:p w14:paraId="4668DA54" w14:textId="77777777" w:rsidR="002B1603" w:rsidRPr="00D32D79" w:rsidRDefault="002B1603" w:rsidP="002B1603">
            <w:pPr>
              <w:pStyle w:val="naisf"/>
              <w:spacing w:before="0" w:after="0"/>
              <w:ind w:firstLine="0"/>
              <w:jc w:val="center"/>
            </w:pPr>
            <w:r w:rsidRPr="00D32D79">
              <w:rPr>
                <w:rFonts w:eastAsia="Calibri"/>
              </w:rPr>
              <w:t>0</w:t>
            </w:r>
          </w:p>
        </w:tc>
      </w:tr>
      <w:tr w:rsidR="00545B50" w:rsidRPr="00D32D79" w14:paraId="6B28D4B9" w14:textId="77777777" w:rsidTr="00D32D79">
        <w:trPr>
          <w:trHeight w:val="1380"/>
          <w:jc w:val="center"/>
        </w:trPr>
        <w:tc>
          <w:tcPr>
            <w:tcW w:w="1862" w:type="dxa"/>
          </w:tcPr>
          <w:p w14:paraId="12B8BDAA" w14:textId="77777777" w:rsidR="00545B50" w:rsidRPr="00D32D79" w:rsidRDefault="00545B50" w:rsidP="00545B50">
            <w:r w:rsidRPr="00D32D79">
              <w:t>4. Finanšu līdzekļi papildu izdevumu finansēšanai (kompensējošu izdevumu samazinājumu norāda ar "+" zīmi)</w:t>
            </w:r>
          </w:p>
        </w:tc>
        <w:tc>
          <w:tcPr>
            <w:tcW w:w="1120" w:type="dxa"/>
            <w:vAlign w:val="center"/>
          </w:tcPr>
          <w:p w14:paraId="5450CEE4" w14:textId="77777777" w:rsidR="00545B50" w:rsidRPr="00D32D79" w:rsidRDefault="00545B50" w:rsidP="00545B50">
            <w:pPr>
              <w:pStyle w:val="naisf"/>
              <w:spacing w:before="0" w:after="0"/>
              <w:ind w:firstLine="0"/>
              <w:jc w:val="center"/>
            </w:pPr>
            <w:r w:rsidRPr="00D32D79">
              <w:t>0</w:t>
            </w:r>
          </w:p>
        </w:tc>
        <w:tc>
          <w:tcPr>
            <w:tcW w:w="1210" w:type="dxa"/>
            <w:vAlign w:val="center"/>
          </w:tcPr>
          <w:p w14:paraId="3B1DDA25" w14:textId="77777777" w:rsidR="00545B50" w:rsidRPr="00D32D79" w:rsidRDefault="00545B50" w:rsidP="00545B50">
            <w:pPr>
              <w:pStyle w:val="naisf"/>
              <w:spacing w:before="0" w:after="0"/>
              <w:ind w:firstLine="0"/>
              <w:jc w:val="center"/>
            </w:pPr>
            <w:r w:rsidRPr="00D32D79">
              <w:t>0</w:t>
            </w:r>
          </w:p>
        </w:tc>
        <w:tc>
          <w:tcPr>
            <w:tcW w:w="1615" w:type="dxa"/>
            <w:vAlign w:val="center"/>
          </w:tcPr>
          <w:p w14:paraId="034684B4" w14:textId="3AD5C067" w:rsidR="00545B50" w:rsidRPr="00D32D79" w:rsidRDefault="00545B50" w:rsidP="00545B50">
            <w:pPr>
              <w:pStyle w:val="naisf"/>
              <w:spacing w:before="0" w:after="0"/>
              <w:ind w:firstLine="0"/>
              <w:jc w:val="center"/>
            </w:pPr>
            <w:r w:rsidRPr="00D32D79">
              <w:t xml:space="preserve">182 555 </w:t>
            </w:r>
          </w:p>
        </w:tc>
        <w:tc>
          <w:tcPr>
            <w:tcW w:w="1276" w:type="dxa"/>
            <w:vAlign w:val="center"/>
          </w:tcPr>
          <w:p w14:paraId="435D96E7" w14:textId="3542F2DB" w:rsidR="00545B50" w:rsidRPr="00D32D79" w:rsidRDefault="00545B50" w:rsidP="00545B50">
            <w:pPr>
              <w:pStyle w:val="naisf"/>
              <w:spacing w:before="0" w:after="0"/>
              <w:ind w:firstLine="0"/>
              <w:jc w:val="center"/>
            </w:pPr>
            <w:r w:rsidRPr="00D32D79">
              <w:t>1 095 331</w:t>
            </w:r>
          </w:p>
        </w:tc>
        <w:tc>
          <w:tcPr>
            <w:tcW w:w="1355" w:type="dxa"/>
            <w:vAlign w:val="center"/>
          </w:tcPr>
          <w:p w14:paraId="7872E785" w14:textId="646B8151" w:rsidR="00545B50" w:rsidRPr="00D32D79" w:rsidRDefault="00545B50" w:rsidP="00545B50">
            <w:pPr>
              <w:pStyle w:val="naisf"/>
              <w:spacing w:before="0" w:after="0"/>
              <w:ind w:firstLine="0"/>
              <w:jc w:val="center"/>
            </w:pPr>
            <w:r w:rsidRPr="00D32D79">
              <w:t>1 470 331</w:t>
            </w:r>
          </w:p>
        </w:tc>
      </w:tr>
      <w:tr w:rsidR="00FE5F6C" w:rsidRPr="00D32D79" w14:paraId="4358E298" w14:textId="77777777" w:rsidTr="00D32D79">
        <w:trPr>
          <w:jc w:val="center"/>
        </w:trPr>
        <w:tc>
          <w:tcPr>
            <w:tcW w:w="1862" w:type="dxa"/>
          </w:tcPr>
          <w:p w14:paraId="18759D58" w14:textId="77777777" w:rsidR="00FE5F6C" w:rsidRPr="00D32D79" w:rsidRDefault="00FE5F6C" w:rsidP="00FE5F6C">
            <w:r w:rsidRPr="00D32D79">
              <w:t>5. Precizēta finansiālā ietekme:</w:t>
            </w:r>
          </w:p>
        </w:tc>
        <w:tc>
          <w:tcPr>
            <w:tcW w:w="1120" w:type="dxa"/>
            <w:vAlign w:val="center"/>
          </w:tcPr>
          <w:p w14:paraId="7321EE3D" w14:textId="77777777" w:rsidR="00FE5F6C" w:rsidRPr="00D32D79" w:rsidRDefault="00FE5F6C" w:rsidP="00FE5F6C">
            <w:pPr>
              <w:pStyle w:val="naisf"/>
              <w:spacing w:before="0" w:after="0"/>
              <w:ind w:firstLine="0"/>
              <w:jc w:val="center"/>
            </w:pPr>
            <w:r w:rsidRPr="00D32D79">
              <w:t>N/A</w:t>
            </w:r>
          </w:p>
        </w:tc>
        <w:tc>
          <w:tcPr>
            <w:tcW w:w="1210" w:type="dxa"/>
            <w:vAlign w:val="center"/>
          </w:tcPr>
          <w:p w14:paraId="77BD9FFB" w14:textId="77777777" w:rsidR="00FE5F6C" w:rsidRPr="00D32D79" w:rsidRDefault="00FE5F6C" w:rsidP="00FE5F6C">
            <w:pPr>
              <w:pStyle w:val="naisf"/>
              <w:spacing w:before="0" w:after="0"/>
              <w:ind w:firstLine="0"/>
              <w:jc w:val="center"/>
            </w:pPr>
            <w:r w:rsidRPr="00D32D79">
              <w:t>N/A</w:t>
            </w:r>
          </w:p>
        </w:tc>
        <w:tc>
          <w:tcPr>
            <w:tcW w:w="1615" w:type="dxa"/>
            <w:vAlign w:val="center"/>
          </w:tcPr>
          <w:p w14:paraId="40AF49E8" w14:textId="77777777" w:rsidR="00FE5F6C" w:rsidRPr="00D32D79" w:rsidRDefault="00FE5F6C" w:rsidP="00FE5F6C">
            <w:pPr>
              <w:jc w:val="center"/>
            </w:pPr>
            <w:r w:rsidRPr="00D32D79">
              <w:t>N/A</w:t>
            </w:r>
          </w:p>
        </w:tc>
        <w:tc>
          <w:tcPr>
            <w:tcW w:w="1276" w:type="dxa"/>
            <w:vAlign w:val="center"/>
          </w:tcPr>
          <w:p w14:paraId="1FB32E83" w14:textId="77777777" w:rsidR="00FE5F6C" w:rsidRPr="00D32D79" w:rsidRDefault="00FE5F6C" w:rsidP="00FE5F6C">
            <w:pPr>
              <w:jc w:val="center"/>
            </w:pPr>
            <w:r w:rsidRPr="00D32D79">
              <w:t>N/A</w:t>
            </w:r>
          </w:p>
        </w:tc>
        <w:tc>
          <w:tcPr>
            <w:tcW w:w="1355" w:type="dxa"/>
            <w:vAlign w:val="center"/>
          </w:tcPr>
          <w:p w14:paraId="380C1A47" w14:textId="77777777" w:rsidR="00FE5F6C" w:rsidRPr="00D32D79" w:rsidRDefault="00FE5F6C" w:rsidP="00FE5F6C">
            <w:pPr>
              <w:jc w:val="center"/>
            </w:pPr>
            <w:r w:rsidRPr="00D32D79">
              <w:t>N/A</w:t>
            </w:r>
          </w:p>
        </w:tc>
      </w:tr>
      <w:tr w:rsidR="00FE5F6C" w:rsidRPr="00D32D79" w14:paraId="0E01439C" w14:textId="77777777" w:rsidTr="00D32D79">
        <w:trPr>
          <w:jc w:val="center"/>
        </w:trPr>
        <w:tc>
          <w:tcPr>
            <w:tcW w:w="1862" w:type="dxa"/>
            <w:shd w:val="clear" w:color="auto" w:fill="auto"/>
          </w:tcPr>
          <w:p w14:paraId="43F9C207" w14:textId="77777777" w:rsidR="00FE5F6C" w:rsidRPr="00D32D79" w:rsidRDefault="00FE5F6C" w:rsidP="00FE5F6C">
            <w:r w:rsidRPr="00D32D79">
              <w:t>6. Detalizēts ieņēmumu un izdevumu aprēķins (ja nepie</w:t>
            </w:r>
            <w:r w:rsidRPr="00D32D79">
              <w:softHyphen/>
              <w:t>ciešams, detalizētu ieņēmumu un izdevumu aprēķinu var pie</w:t>
            </w:r>
            <w:r w:rsidRPr="00D32D79">
              <w:softHyphen/>
              <w:t>vienot anotācijas pielikumā):</w:t>
            </w:r>
          </w:p>
        </w:tc>
        <w:tc>
          <w:tcPr>
            <w:tcW w:w="6576" w:type="dxa"/>
            <w:gridSpan w:val="5"/>
            <w:vMerge w:val="restart"/>
            <w:shd w:val="clear" w:color="auto" w:fill="auto"/>
            <w:vAlign w:val="center"/>
          </w:tcPr>
          <w:p w14:paraId="245663FB" w14:textId="6475AE3F" w:rsidR="00FE5F6C" w:rsidRPr="00D32D79" w:rsidRDefault="00FE5F6C" w:rsidP="003E15D2">
            <w:pPr>
              <w:ind w:firstLine="720"/>
              <w:jc w:val="both"/>
              <w:rPr>
                <w:lang w:bidi="lo-LA"/>
              </w:rPr>
            </w:pPr>
            <w:r w:rsidRPr="00D32D79">
              <w:rPr>
                <w:lang w:bidi="lo-LA"/>
              </w:rPr>
              <w:t>8.2.</w:t>
            </w:r>
            <w:r w:rsidR="003E15D2" w:rsidRPr="00D32D79">
              <w:rPr>
                <w:lang w:bidi="lo-LA"/>
              </w:rPr>
              <w:t>2</w:t>
            </w:r>
            <w:r w:rsidRPr="00D32D79">
              <w:rPr>
                <w:lang w:bidi="lo-LA"/>
              </w:rPr>
              <w:t>. SAM plānotais kopējais finansējums (kopējās attiecināmās izmaksas) ir</w:t>
            </w:r>
            <w:r w:rsidRPr="00D32D79">
              <w:t xml:space="preserve"> </w:t>
            </w:r>
            <w:r w:rsidR="003E15D2" w:rsidRPr="00D32D79">
              <w:rPr>
                <w:lang w:bidi="lo-LA"/>
              </w:rPr>
              <w:t xml:space="preserve"> 34 340 686 </w:t>
            </w:r>
            <w:proofErr w:type="spellStart"/>
            <w:r w:rsidR="003E15D2" w:rsidRPr="00D32D79">
              <w:rPr>
                <w:i/>
                <w:lang w:bidi="lo-LA"/>
              </w:rPr>
              <w:t>euro</w:t>
            </w:r>
            <w:proofErr w:type="spellEnd"/>
            <w:r w:rsidR="003E15D2" w:rsidRPr="00D32D79">
              <w:rPr>
                <w:lang w:bidi="lo-LA"/>
              </w:rPr>
              <w:t xml:space="preserve">, </w:t>
            </w:r>
            <w:r w:rsidR="00206C9D" w:rsidRPr="00D32D79">
              <w:rPr>
                <w:lang w:bidi="lo-LA"/>
              </w:rPr>
              <w:t>ko veido</w:t>
            </w:r>
            <w:r w:rsidR="003E15D2" w:rsidRPr="00D32D79">
              <w:rPr>
                <w:lang w:bidi="lo-LA"/>
              </w:rPr>
              <w:t xml:space="preserve"> Eiropas Sociālā fonda (turpmāk – ESF) finansējums 29 189 583 </w:t>
            </w:r>
            <w:proofErr w:type="spellStart"/>
            <w:r w:rsidR="003E15D2" w:rsidRPr="00D32D79">
              <w:rPr>
                <w:i/>
                <w:lang w:bidi="lo-LA"/>
              </w:rPr>
              <w:t>euro</w:t>
            </w:r>
            <w:proofErr w:type="spellEnd"/>
            <w:r w:rsidR="003E15D2" w:rsidRPr="00D32D79">
              <w:rPr>
                <w:lang w:bidi="lo-LA"/>
              </w:rPr>
              <w:t xml:space="preserve"> un valsts budžeta līdzfinansējums 5 151 103 </w:t>
            </w:r>
            <w:proofErr w:type="spellStart"/>
            <w:r w:rsidR="003E15D2" w:rsidRPr="00D32D79">
              <w:rPr>
                <w:i/>
                <w:lang w:bidi="lo-LA"/>
              </w:rPr>
              <w:t>euro</w:t>
            </w:r>
            <w:proofErr w:type="spellEnd"/>
            <w:r w:rsidR="003E15D2" w:rsidRPr="00D32D79">
              <w:rPr>
                <w:lang w:bidi="lo-LA"/>
              </w:rPr>
              <w:t>.</w:t>
            </w:r>
          </w:p>
          <w:p w14:paraId="21465DFD" w14:textId="77777777" w:rsidR="00FE5F6C" w:rsidRPr="00D32D79" w:rsidRDefault="00FE5F6C" w:rsidP="003E15D2">
            <w:pPr>
              <w:ind w:firstLine="720"/>
              <w:jc w:val="both"/>
              <w:rPr>
                <w:lang w:bidi="lo-LA"/>
              </w:rPr>
            </w:pPr>
            <w:r w:rsidRPr="00D32D79">
              <w:rPr>
                <w:lang w:bidi="lo-LA"/>
              </w:rPr>
              <w:t xml:space="preserve">Budžeta ieņēmumi ir finansējuma ESF daļa 85 procentu apmērā no projektu attiecināmām izmaksām. Budžeta izdevumi ir kopējie projektu ieviešanai nepieciešamie publiskā finansējuma (ESF un valsts budžeta) līdzekļi 100 procentu apmērā no projektu attiecināmām izmaksām. </w:t>
            </w:r>
          </w:p>
          <w:p w14:paraId="7CDA71DE" w14:textId="0E82BBDD" w:rsidR="003E15D2" w:rsidRPr="00D32D79" w:rsidRDefault="003E15D2" w:rsidP="003E15D2">
            <w:pPr>
              <w:ind w:firstLine="720"/>
              <w:jc w:val="both"/>
              <w:rPr>
                <w:rFonts w:eastAsia="MS Mincho"/>
                <w:lang w:eastAsia="zh-TW"/>
              </w:rPr>
            </w:pPr>
            <w:r w:rsidRPr="00D32D79">
              <w:rPr>
                <w:rFonts w:eastAsia="MS Mincho"/>
                <w:u w:val="single"/>
                <w:lang w:eastAsia="zh-TW"/>
              </w:rPr>
              <w:t>Pirmajai kārtai</w:t>
            </w:r>
            <w:r w:rsidRPr="00D32D79">
              <w:rPr>
                <w:rFonts w:eastAsia="MS Mincho"/>
                <w:lang w:eastAsia="zh-TW"/>
              </w:rPr>
              <w:t xml:space="preserve"> pieejamais kopējais attiecināmais finansējums ir </w:t>
            </w:r>
            <w:r w:rsidR="00001E62" w:rsidRPr="00D32D79">
              <w:rPr>
                <w:rFonts w:eastAsia="MS Mincho"/>
                <w:lang w:eastAsia="zh-TW"/>
              </w:rPr>
              <w:t>20 </w:t>
            </w:r>
            <w:r w:rsidRPr="00D32D79">
              <w:rPr>
                <w:rFonts w:eastAsia="MS Mincho"/>
                <w:lang w:eastAsia="zh-TW"/>
              </w:rPr>
              <w:t xml:space="preserve">340 686 </w:t>
            </w:r>
            <w:proofErr w:type="spellStart"/>
            <w:r w:rsidRPr="00D32D79">
              <w:rPr>
                <w:rFonts w:eastAsia="MS Mincho"/>
                <w:i/>
                <w:lang w:eastAsia="zh-TW"/>
              </w:rPr>
              <w:t>euro</w:t>
            </w:r>
            <w:proofErr w:type="spellEnd"/>
            <w:r w:rsidRPr="00D32D79">
              <w:rPr>
                <w:rFonts w:eastAsia="MS Mincho"/>
                <w:lang w:eastAsia="zh-TW"/>
              </w:rPr>
              <w:t xml:space="preserve">, </w:t>
            </w:r>
            <w:r w:rsidR="00206C9D" w:rsidRPr="00D32D79">
              <w:rPr>
                <w:rFonts w:eastAsia="MS Mincho"/>
                <w:lang w:eastAsia="zh-TW"/>
              </w:rPr>
              <w:t>ko veido</w:t>
            </w:r>
            <w:r w:rsidRPr="00D32D79">
              <w:rPr>
                <w:rFonts w:eastAsia="MS Mincho"/>
                <w:lang w:eastAsia="zh-TW"/>
              </w:rPr>
              <w:t xml:space="preserve"> Eiropas Sociālā fonda finansējums </w:t>
            </w:r>
            <w:r w:rsidR="00001E62" w:rsidRPr="00D32D79">
              <w:rPr>
                <w:rFonts w:eastAsia="MS Mincho"/>
                <w:lang w:eastAsia="zh-TW"/>
              </w:rPr>
              <w:t>17 289 </w:t>
            </w:r>
            <w:r w:rsidRPr="00D32D79">
              <w:rPr>
                <w:rFonts w:eastAsia="MS Mincho"/>
                <w:lang w:eastAsia="zh-TW"/>
              </w:rPr>
              <w:t xml:space="preserve">583 </w:t>
            </w:r>
            <w:proofErr w:type="spellStart"/>
            <w:r w:rsidRPr="00D32D79">
              <w:rPr>
                <w:rFonts w:eastAsia="MS Mincho"/>
                <w:i/>
                <w:lang w:eastAsia="zh-TW"/>
              </w:rPr>
              <w:t>euro</w:t>
            </w:r>
            <w:proofErr w:type="spellEnd"/>
            <w:r w:rsidRPr="00D32D79">
              <w:rPr>
                <w:rFonts w:eastAsia="MS Mincho"/>
                <w:lang w:eastAsia="zh-TW"/>
              </w:rPr>
              <w:t xml:space="preserve"> un valsts budžeta līdzfinansējums </w:t>
            </w:r>
            <w:r w:rsidR="00001E62" w:rsidRPr="00D32D79">
              <w:rPr>
                <w:rFonts w:eastAsia="MS Mincho"/>
                <w:lang w:eastAsia="zh-TW"/>
              </w:rPr>
              <w:t>3 051 </w:t>
            </w:r>
            <w:r w:rsidRPr="00D32D79">
              <w:rPr>
                <w:rFonts w:eastAsia="MS Mincho"/>
                <w:lang w:eastAsia="zh-TW"/>
              </w:rPr>
              <w:t xml:space="preserve">103 </w:t>
            </w:r>
            <w:proofErr w:type="spellStart"/>
            <w:r w:rsidRPr="00D32D79">
              <w:rPr>
                <w:rFonts w:eastAsia="MS Mincho"/>
                <w:i/>
                <w:lang w:eastAsia="zh-TW"/>
              </w:rPr>
              <w:t>euro</w:t>
            </w:r>
            <w:proofErr w:type="spellEnd"/>
            <w:r w:rsidRPr="00D32D79">
              <w:rPr>
                <w:rFonts w:eastAsia="MS Mincho"/>
                <w:lang w:eastAsia="zh-TW"/>
              </w:rPr>
              <w:t>.</w:t>
            </w:r>
          </w:p>
          <w:p w14:paraId="51BBC9C3" w14:textId="220D0EF4" w:rsidR="003E15D2" w:rsidRPr="00D32D79" w:rsidRDefault="003E15D2" w:rsidP="003E15D2">
            <w:pPr>
              <w:ind w:firstLine="720"/>
              <w:jc w:val="both"/>
              <w:rPr>
                <w:rFonts w:eastAsia="MS Mincho"/>
                <w:lang w:eastAsia="zh-TW"/>
              </w:rPr>
            </w:pPr>
            <w:r w:rsidRPr="00D32D79">
              <w:rPr>
                <w:rFonts w:eastAsia="MS Mincho"/>
                <w:u w:val="single"/>
                <w:lang w:eastAsia="zh-TW"/>
              </w:rPr>
              <w:t>Otrajai kārtai</w:t>
            </w:r>
            <w:r w:rsidRPr="00D32D79">
              <w:rPr>
                <w:rFonts w:eastAsia="MS Mincho"/>
                <w:lang w:eastAsia="zh-TW"/>
              </w:rPr>
              <w:t xml:space="preserve"> pieejamais kopējais attiecināmais finansējums ir 4 000 000  </w:t>
            </w:r>
            <w:proofErr w:type="spellStart"/>
            <w:r w:rsidRPr="00D32D79">
              <w:rPr>
                <w:rFonts w:eastAsia="MS Mincho"/>
                <w:i/>
                <w:lang w:eastAsia="zh-TW"/>
              </w:rPr>
              <w:t>euro</w:t>
            </w:r>
            <w:proofErr w:type="spellEnd"/>
            <w:r w:rsidRPr="00D32D79">
              <w:rPr>
                <w:rFonts w:eastAsia="MS Mincho"/>
                <w:lang w:eastAsia="zh-TW"/>
              </w:rPr>
              <w:t xml:space="preserve">, </w:t>
            </w:r>
            <w:r w:rsidR="00206C9D" w:rsidRPr="00D32D79">
              <w:rPr>
                <w:rFonts w:eastAsia="MS Mincho"/>
                <w:lang w:eastAsia="zh-TW"/>
              </w:rPr>
              <w:t>ko veido</w:t>
            </w:r>
            <w:r w:rsidRPr="00D32D79">
              <w:rPr>
                <w:rFonts w:eastAsia="MS Mincho"/>
                <w:lang w:eastAsia="zh-TW"/>
              </w:rPr>
              <w:t xml:space="preserve"> Eiropas Sociālā fonda finansējums 3 400 000 </w:t>
            </w:r>
            <w:proofErr w:type="spellStart"/>
            <w:r w:rsidRPr="00D32D79">
              <w:rPr>
                <w:rFonts w:eastAsia="MS Mincho"/>
                <w:i/>
                <w:lang w:eastAsia="zh-TW"/>
              </w:rPr>
              <w:t>euro</w:t>
            </w:r>
            <w:proofErr w:type="spellEnd"/>
            <w:r w:rsidRPr="00D32D79">
              <w:rPr>
                <w:rFonts w:eastAsia="MS Mincho"/>
                <w:lang w:eastAsia="zh-TW"/>
              </w:rPr>
              <w:t xml:space="preserve"> un valsts budžeta līdzfinansējums</w:t>
            </w:r>
            <w:r w:rsidR="00206C9D" w:rsidRPr="00D32D79">
              <w:rPr>
                <w:rFonts w:eastAsia="MS Mincho"/>
                <w:lang w:eastAsia="zh-TW"/>
              </w:rPr>
              <w:t xml:space="preserve"> </w:t>
            </w:r>
            <w:r w:rsidRPr="00D32D79">
              <w:rPr>
                <w:rFonts w:eastAsia="MS Mincho"/>
                <w:lang w:eastAsia="zh-TW"/>
              </w:rPr>
              <w:t xml:space="preserve">600 000 </w:t>
            </w:r>
            <w:proofErr w:type="spellStart"/>
            <w:r w:rsidRPr="00D32D79">
              <w:rPr>
                <w:rFonts w:eastAsia="MS Mincho"/>
                <w:i/>
                <w:lang w:eastAsia="zh-TW"/>
              </w:rPr>
              <w:t>euro</w:t>
            </w:r>
            <w:proofErr w:type="spellEnd"/>
            <w:r w:rsidRPr="00D32D79">
              <w:rPr>
                <w:rFonts w:eastAsia="MS Mincho"/>
                <w:lang w:eastAsia="zh-TW"/>
              </w:rPr>
              <w:t>.</w:t>
            </w:r>
          </w:p>
          <w:p w14:paraId="4806205A" w14:textId="36C2EFDE" w:rsidR="00393B19" w:rsidRPr="00D32D79" w:rsidRDefault="00393B19" w:rsidP="00393B19">
            <w:pPr>
              <w:ind w:firstLine="720"/>
              <w:jc w:val="both"/>
              <w:rPr>
                <w:rFonts w:eastAsia="MS Mincho"/>
                <w:lang w:eastAsia="zh-TW"/>
              </w:rPr>
            </w:pPr>
            <w:r w:rsidRPr="00D32D79">
              <w:rPr>
                <w:rFonts w:eastAsia="MS Mincho"/>
                <w:u w:val="single"/>
                <w:lang w:eastAsia="zh-TW"/>
              </w:rPr>
              <w:t>Trešajai kārtai</w:t>
            </w:r>
            <w:r w:rsidRPr="00D32D79">
              <w:rPr>
                <w:rFonts w:eastAsia="MS Mincho"/>
                <w:lang w:eastAsia="zh-TW"/>
              </w:rPr>
              <w:t xml:space="preserve"> </w:t>
            </w:r>
            <w:r w:rsidR="00205B80" w:rsidRPr="00D32D79">
              <w:rPr>
                <w:rFonts w:eastAsia="MS Mincho"/>
                <w:lang w:eastAsia="zh-TW"/>
              </w:rPr>
              <w:t xml:space="preserve">plānotais </w:t>
            </w:r>
            <w:r w:rsidRPr="00D32D79">
              <w:rPr>
                <w:rFonts w:eastAsia="MS Mincho"/>
                <w:lang w:eastAsia="zh-TW"/>
              </w:rPr>
              <w:t xml:space="preserve">kopējais attiecināmais finansējums ir 10 000 000  </w:t>
            </w:r>
            <w:proofErr w:type="spellStart"/>
            <w:r w:rsidRPr="00D32D79">
              <w:rPr>
                <w:rFonts w:eastAsia="MS Mincho"/>
                <w:i/>
                <w:lang w:eastAsia="zh-TW"/>
              </w:rPr>
              <w:t>euro</w:t>
            </w:r>
            <w:proofErr w:type="spellEnd"/>
            <w:r w:rsidRPr="00D32D79">
              <w:rPr>
                <w:rFonts w:eastAsia="MS Mincho"/>
                <w:lang w:eastAsia="zh-TW"/>
              </w:rPr>
              <w:t xml:space="preserve">, ko veido Eiropas Sociālā fonda finansējums 8 500 000 </w:t>
            </w:r>
            <w:proofErr w:type="spellStart"/>
            <w:r w:rsidRPr="00D32D79">
              <w:rPr>
                <w:rFonts w:eastAsia="MS Mincho"/>
                <w:i/>
                <w:lang w:eastAsia="zh-TW"/>
              </w:rPr>
              <w:t>euro</w:t>
            </w:r>
            <w:proofErr w:type="spellEnd"/>
            <w:r w:rsidRPr="00D32D79">
              <w:rPr>
                <w:rFonts w:eastAsia="MS Mincho"/>
                <w:lang w:eastAsia="zh-TW"/>
              </w:rPr>
              <w:t xml:space="preserve"> un valsts budžeta līdzfinansējums 1 500 000 </w:t>
            </w:r>
            <w:proofErr w:type="spellStart"/>
            <w:r w:rsidRPr="00D32D79">
              <w:rPr>
                <w:rFonts w:eastAsia="MS Mincho"/>
                <w:i/>
                <w:lang w:eastAsia="zh-TW"/>
              </w:rPr>
              <w:t>euro</w:t>
            </w:r>
            <w:proofErr w:type="spellEnd"/>
            <w:r w:rsidRPr="00D32D79">
              <w:rPr>
                <w:rFonts w:eastAsia="MS Mincho"/>
                <w:lang w:eastAsia="zh-TW"/>
              </w:rPr>
              <w:t>.</w:t>
            </w:r>
          </w:p>
          <w:p w14:paraId="1CCC5F16" w14:textId="77777777" w:rsidR="00393B19" w:rsidRPr="00D32D79" w:rsidRDefault="00393B19" w:rsidP="003E15D2">
            <w:pPr>
              <w:ind w:firstLine="720"/>
              <w:jc w:val="both"/>
              <w:rPr>
                <w:rFonts w:eastAsia="MS Mincho"/>
                <w:b/>
                <w:lang w:eastAsia="zh-TW"/>
              </w:rPr>
            </w:pPr>
          </w:p>
          <w:p w14:paraId="7AF8D8FB" w14:textId="6830B3C1" w:rsidR="00FE5F6C" w:rsidRPr="00D32D79" w:rsidRDefault="00FE5F6C" w:rsidP="00FE5F6C">
            <w:pPr>
              <w:jc w:val="both"/>
              <w:rPr>
                <w:lang w:bidi="lo-LA"/>
              </w:rPr>
            </w:pPr>
            <w:r w:rsidRPr="00D32D79">
              <w:rPr>
                <w:lang w:bidi="lo-LA"/>
              </w:rPr>
              <w:t xml:space="preserve">Projektus plānots indikatīvi ieviest no 2018.gada III </w:t>
            </w:r>
            <w:r w:rsidR="001B48AA" w:rsidRPr="00D32D79">
              <w:rPr>
                <w:lang w:bidi="lo-LA"/>
              </w:rPr>
              <w:t xml:space="preserve">- </w:t>
            </w:r>
            <w:proofErr w:type="spellStart"/>
            <w:r w:rsidR="001B48AA" w:rsidRPr="00D32D79">
              <w:rPr>
                <w:lang w:bidi="lo-LA"/>
              </w:rPr>
              <w:t>IV</w:t>
            </w:r>
            <w:r w:rsidRPr="00D32D79">
              <w:rPr>
                <w:lang w:bidi="lo-LA"/>
              </w:rPr>
              <w:t>ceturkšņa</w:t>
            </w:r>
            <w:proofErr w:type="spellEnd"/>
            <w:r w:rsidRPr="00D32D79">
              <w:rPr>
                <w:lang w:bidi="lo-LA"/>
              </w:rPr>
              <w:t xml:space="preserve"> līdz 2023.gada IV ceturksnim (projektu īstenošanas laiks indikatīvi 3gadi). </w:t>
            </w:r>
          </w:p>
          <w:p w14:paraId="3DBA4213" w14:textId="296C11D5" w:rsidR="003E15D2" w:rsidRPr="00D32D79" w:rsidRDefault="00FE5F6C" w:rsidP="00FE5F6C">
            <w:pPr>
              <w:autoSpaceDE w:val="0"/>
              <w:autoSpaceDN w:val="0"/>
              <w:adjustRightInd w:val="0"/>
              <w:jc w:val="both"/>
            </w:pPr>
            <w:r w:rsidRPr="00D32D79">
              <w:rPr>
                <w:b/>
              </w:rPr>
              <w:t>2018. gadā</w:t>
            </w:r>
            <w:r w:rsidRPr="00D32D79">
              <w:t xml:space="preserve"> tiek plānots finansējums </w:t>
            </w:r>
            <w:r w:rsidR="00E53D23" w:rsidRPr="00D32D79">
              <w:t xml:space="preserve">5 </w:t>
            </w:r>
            <w:r w:rsidRPr="00D32D79">
              <w:t>procentu apmērā no kopējā plānotā finansējuma</w:t>
            </w:r>
            <w:r w:rsidR="003E15D2" w:rsidRPr="00D32D79">
              <w:t xml:space="preserve"> pirmajai</w:t>
            </w:r>
            <w:r w:rsidR="00E53D23" w:rsidRPr="00D32D79">
              <w:t xml:space="preserve"> un otrajai </w:t>
            </w:r>
            <w:r w:rsidR="003E15D2" w:rsidRPr="00D32D79">
              <w:t>atlases kārtai</w:t>
            </w:r>
            <w:r w:rsidRPr="00D32D79">
              <w:t>,</w:t>
            </w:r>
            <w:r w:rsidR="00B71805" w:rsidRPr="00D32D79">
              <w:t xml:space="preserve"> </w:t>
            </w:r>
            <w:r w:rsidRPr="00D32D79">
              <w:t xml:space="preserve">t.i., </w:t>
            </w:r>
            <w:r w:rsidR="00E53D23" w:rsidRPr="00D32D79">
              <w:rPr>
                <w:color w:val="000000"/>
              </w:rPr>
              <w:t>1 217</w:t>
            </w:r>
            <w:r w:rsidR="00545B50" w:rsidRPr="00D32D79">
              <w:rPr>
                <w:color w:val="000000"/>
              </w:rPr>
              <w:t> </w:t>
            </w:r>
            <w:r w:rsidR="00E53D23" w:rsidRPr="00D32D79">
              <w:rPr>
                <w:color w:val="000000"/>
              </w:rPr>
              <w:t>034</w:t>
            </w:r>
            <w:r w:rsidR="00545B50" w:rsidRPr="00D32D79">
              <w:rPr>
                <w:color w:val="000000"/>
              </w:rPr>
              <w:t xml:space="preserve"> </w:t>
            </w:r>
            <w:proofErr w:type="spellStart"/>
            <w:r w:rsidRPr="00D32D79">
              <w:rPr>
                <w:i/>
              </w:rPr>
              <w:t>euro</w:t>
            </w:r>
            <w:proofErr w:type="spellEnd"/>
            <w:r w:rsidRPr="00D32D79">
              <w:t xml:space="preserve"> gadā</w:t>
            </w:r>
            <w:r w:rsidRPr="00D32D79">
              <w:rPr>
                <w:i/>
              </w:rPr>
              <w:t xml:space="preserve"> </w:t>
            </w:r>
            <w:r w:rsidRPr="00D32D79">
              <w:t xml:space="preserve">(t.sk. ESF </w:t>
            </w:r>
            <w:r w:rsidR="00E53D23" w:rsidRPr="00D32D79">
              <w:rPr>
                <w:color w:val="000000"/>
              </w:rPr>
              <w:t>1 034 479</w:t>
            </w:r>
            <w:r w:rsidR="003E15D2" w:rsidRPr="00D32D79">
              <w:rPr>
                <w:color w:val="000000"/>
              </w:rPr>
              <w:t xml:space="preserve"> </w:t>
            </w:r>
            <w:proofErr w:type="spellStart"/>
            <w:r w:rsidRPr="00D32D79">
              <w:rPr>
                <w:i/>
              </w:rPr>
              <w:t>euro</w:t>
            </w:r>
            <w:proofErr w:type="spellEnd"/>
            <w:r w:rsidRPr="00D32D79">
              <w:t xml:space="preserve">, valsts budžets </w:t>
            </w:r>
            <w:r w:rsidR="00E53D23" w:rsidRPr="00D32D79">
              <w:rPr>
                <w:color w:val="000000"/>
              </w:rPr>
              <w:t>182 555</w:t>
            </w:r>
            <w:r w:rsidR="003E15D2" w:rsidRPr="00D32D79">
              <w:rPr>
                <w:color w:val="000000"/>
              </w:rPr>
              <w:t xml:space="preserve"> </w:t>
            </w:r>
            <w:proofErr w:type="spellStart"/>
            <w:r w:rsidRPr="00D32D79">
              <w:rPr>
                <w:i/>
              </w:rPr>
              <w:t>euro</w:t>
            </w:r>
            <w:proofErr w:type="spellEnd"/>
            <w:r w:rsidR="003E15D2" w:rsidRPr="00D32D79">
              <w:t>);</w:t>
            </w:r>
            <w:r w:rsidRPr="00D32D79">
              <w:t xml:space="preserve"> </w:t>
            </w:r>
          </w:p>
          <w:p w14:paraId="488D7950" w14:textId="300D6FEE" w:rsidR="00B71805" w:rsidRPr="00D32D79" w:rsidRDefault="00FE5F6C" w:rsidP="00FE5F6C">
            <w:pPr>
              <w:autoSpaceDE w:val="0"/>
              <w:autoSpaceDN w:val="0"/>
              <w:adjustRightInd w:val="0"/>
              <w:jc w:val="both"/>
            </w:pPr>
            <w:r w:rsidRPr="00D32D79">
              <w:rPr>
                <w:b/>
              </w:rPr>
              <w:t>2019. gadā</w:t>
            </w:r>
            <w:r w:rsidRPr="00D32D79">
              <w:t xml:space="preserve"> </w:t>
            </w:r>
            <w:r w:rsidR="00B71805" w:rsidRPr="00D32D79">
              <w:t>–</w:t>
            </w:r>
            <w:r w:rsidRPr="00D32D79">
              <w:t xml:space="preserve"> </w:t>
            </w:r>
            <w:r w:rsidR="00B71805" w:rsidRPr="00D32D79">
              <w:t xml:space="preserve">tiek plānots finansējums </w:t>
            </w:r>
            <w:r w:rsidR="00C27ECC" w:rsidRPr="00D32D79">
              <w:t>2</w:t>
            </w:r>
            <w:r w:rsidR="00545B50" w:rsidRPr="00D32D79">
              <w:t>1</w:t>
            </w:r>
            <w:r w:rsidR="00C27ECC" w:rsidRPr="00D32D79">
              <w:t>,</w:t>
            </w:r>
            <w:r w:rsidR="00545B50" w:rsidRPr="00D32D79">
              <w:t>1</w:t>
            </w:r>
            <w:r w:rsidR="00E53D23" w:rsidRPr="00D32D79">
              <w:t xml:space="preserve"> </w:t>
            </w:r>
            <w:r w:rsidR="00B71805" w:rsidRPr="00D32D79">
              <w:t>procentu apmērā no kopējā plānotā finansējuma</w:t>
            </w:r>
            <w:r w:rsidRPr="00D32D79">
              <w:t xml:space="preserve">, t.i., </w:t>
            </w:r>
            <w:r w:rsidR="00545B50" w:rsidRPr="00D32D79">
              <w:rPr>
                <w:color w:val="000000"/>
              </w:rPr>
              <w:t xml:space="preserve">7 302 206 </w:t>
            </w:r>
            <w:proofErr w:type="spellStart"/>
            <w:r w:rsidRPr="00D32D79">
              <w:rPr>
                <w:i/>
              </w:rPr>
              <w:t>euro</w:t>
            </w:r>
            <w:proofErr w:type="spellEnd"/>
            <w:r w:rsidRPr="00D32D79">
              <w:t xml:space="preserve"> (t.sk. ESF </w:t>
            </w:r>
            <w:r w:rsidR="00545B50" w:rsidRPr="00D32D79">
              <w:rPr>
                <w:color w:val="000000"/>
              </w:rPr>
              <w:t xml:space="preserve">6 206 875 </w:t>
            </w:r>
            <w:proofErr w:type="spellStart"/>
            <w:r w:rsidRPr="00D32D79">
              <w:rPr>
                <w:i/>
              </w:rPr>
              <w:t>euro</w:t>
            </w:r>
            <w:proofErr w:type="spellEnd"/>
            <w:r w:rsidRPr="00D32D79">
              <w:t xml:space="preserve">, valsts budžets </w:t>
            </w:r>
            <w:r w:rsidR="00545B50" w:rsidRPr="00D32D79">
              <w:rPr>
                <w:color w:val="000000"/>
              </w:rPr>
              <w:t xml:space="preserve">1 095 331 </w:t>
            </w:r>
            <w:proofErr w:type="spellStart"/>
            <w:r w:rsidRPr="00D32D79">
              <w:rPr>
                <w:i/>
              </w:rPr>
              <w:t>euro</w:t>
            </w:r>
            <w:proofErr w:type="spellEnd"/>
            <w:r w:rsidR="00B71805" w:rsidRPr="00D32D79">
              <w:t>);</w:t>
            </w:r>
            <w:r w:rsidRPr="00D32D79">
              <w:t xml:space="preserve"> </w:t>
            </w:r>
          </w:p>
          <w:p w14:paraId="356EE9F8" w14:textId="4AF27E63" w:rsidR="00B71805" w:rsidRPr="00D32D79" w:rsidRDefault="00FE5F6C" w:rsidP="00FE5F6C">
            <w:pPr>
              <w:autoSpaceDE w:val="0"/>
              <w:autoSpaceDN w:val="0"/>
              <w:adjustRightInd w:val="0"/>
              <w:jc w:val="both"/>
            </w:pPr>
            <w:r w:rsidRPr="00D32D79">
              <w:rPr>
                <w:b/>
              </w:rPr>
              <w:t>2020. gadā</w:t>
            </w:r>
            <w:r w:rsidRPr="00D32D79">
              <w:t xml:space="preserve"> </w:t>
            </w:r>
            <w:r w:rsidR="00B71805" w:rsidRPr="00D32D79">
              <w:t>–</w:t>
            </w:r>
            <w:r w:rsidRPr="00D32D79">
              <w:t xml:space="preserve"> </w:t>
            </w:r>
            <w:r w:rsidR="00545B50" w:rsidRPr="00D32D79">
              <w:t>28</w:t>
            </w:r>
            <w:r w:rsidR="00C27ECC" w:rsidRPr="00D32D79">
              <w:t>,</w:t>
            </w:r>
            <w:r w:rsidR="00545B50" w:rsidRPr="00D32D79">
              <w:t>5</w:t>
            </w:r>
            <w:r w:rsidR="00E53D23" w:rsidRPr="00D32D79">
              <w:t xml:space="preserve"> </w:t>
            </w:r>
            <w:r w:rsidRPr="00D32D79">
              <w:t xml:space="preserve">procenti, t.i., </w:t>
            </w:r>
            <w:r w:rsidR="00545B50" w:rsidRPr="00D32D79">
              <w:rPr>
                <w:color w:val="000000"/>
              </w:rPr>
              <w:t>9 802 206</w:t>
            </w:r>
            <w:r w:rsidR="00C27ECC" w:rsidRPr="00D32D79">
              <w:rPr>
                <w:color w:val="000000"/>
              </w:rPr>
              <w:t xml:space="preserve"> </w:t>
            </w:r>
            <w:proofErr w:type="spellStart"/>
            <w:r w:rsidRPr="00D32D79">
              <w:rPr>
                <w:i/>
              </w:rPr>
              <w:t>euro</w:t>
            </w:r>
            <w:proofErr w:type="spellEnd"/>
            <w:r w:rsidRPr="00D32D79">
              <w:t xml:space="preserve"> (t.sk. ESF </w:t>
            </w:r>
            <w:r w:rsidR="00545B50" w:rsidRPr="00D32D79">
              <w:rPr>
                <w:color w:val="000000"/>
              </w:rPr>
              <w:t xml:space="preserve">8 331 875 </w:t>
            </w:r>
            <w:proofErr w:type="spellStart"/>
            <w:r w:rsidRPr="00D32D79">
              <w:rPr>
                <w:i/>
              </w:rPr>
              <w:t>euro</w:t>
            </w:r>
            <w:proofErr w:type="spellEnd"/>
            <w:r w:rsidRPr="00D32D79">
              <w:t xml:space="preserve">, valsts budžets </w:t>
            </w:r>
            <w:r w:rsidR="00545B50" w:rsidRPr="00D32D79">
              <w:rPr>
                <w:color w:val="000000"/>
              </w:rPr>
              <w:t xml:space="preserve">1 470 331 </w:t>
            </w:r>
            <w:proofErr w:type="spellStart"/>
            <w:r w:rsidRPr="00D32D79">
              <w:rPr>
                <w:i/>
              </w:rPr>
              <w:t>euro</w:t>
            </w:r>
            <w:proofErr w:type="spellEnd"/>
            <w:r w:rsidR="00B71805" w:rsidRPr="00D32D79">
              <w:t>);</w:t>
            </w:r>
            <w:r w:rsidRPr="00D32D79">
              <w:t xml:space="preserve"> </w:t>
            </w:r>
          </w:p>
          <w:p w14:paraId="476F6E59" w14:textId="687D8D37" w:rsidR="00B71805" w:rsidRPr="00D32D79" w:rsidRDefault="00FE5F6C" w:rsidP="00FE5F6C">
            <w:pPr>
              <w:autoSpaceDE w:val="0"/>
              <w:autoSpaceDN w:val="0"/>
              <w:adjustRightInd w:val="0"/>
              <w:jc w:val="both"/>
            </w:pPr>
            <w:r w:rsidRPr="00D32D79">
              <w:rPr>
                <w:b/>
              </w:rPr>
              <w:t>2021. gadā</w:t>
            </w:r>
            <w:r w:rsidRPr="00D32D79">
              <w:t xml:space="preserve"> – </w:t>
            </w:r>
            <w:r w:rsidR="00545B50" w:rsidRPr="00D32D79">
              <w:t>21,5</w:t>
            </w:r>
            <w:r w:rsidR="00C27ECC" w:rsidRPr="00D32D79">
              <w:t xml:space="preserve">procenti, t.i., </w:t>
            </w:r>
            <w:r w:rsidR="00545B50" w:rsidRPr="00D32D79">
              <w:t xml:space="preserve">7 368 137 </w:t>
            </w:r>
            <w:proofErr w:type="spellStart"/>
            <w:r w:rsidR="00C27ECC" w:rsidRPr="00D32D79">
              <w:rPr>
                <w:i/>
              </w:rPr>
              <w:t>euro</w:t>
            </w:r>
            <w:proofErr w:type="spellEnd"/>
            <w:r w:rsidR="00C27ECC" w:rsidRPr="00D32D79">
              <w:t xml:space="preserve"> (t.sk. ESF </w:t>
            </w:r>
            <w:r w:rsidR="00545B50" w:rsidRPr="00D32D79">
              <w:t xml:space="preserve">6 262 916 </w:t>
            </w:r>
            <w:proofErr w:type="spellStart"/>
            <w:r w:rsidR="00C27ECC" w:rsidRPr="00D32D79">
              <w:rPr>
                <w:i/>
              </w:rPr>
              <w:t>euro</w:t>
            </w:r>
            <w:proofErr w:type="spellEnd"/>
            <w:r w:rsidR="00C27ECC" w:rsidRPr="00D32D79">
              <w:t xml:space="preserve">, valsts budžets </w:t>
            </w:r>
            <w:r w:rsidR="00545B50" w:rsidRPr="00D32D79">
              <w:t xml:space="preserve">1 105 221 </w:t>
            </w:r>
            <w:proofErr w:type="spellStart"/>
            <w:r w:rsidR="00C27ECC" w:rsidRPr="00D32D79">
              <w:rPr>
                <w:i/>
              </w:rPr>
              <w:t>euro</w:t>
            </w:r>
            <w:proofErr w:type="spellEnd"/>
            <w:r w:rsidR="00C27ECC" w:rsidRPr="00D32D79">
              <w:t>);</w:t>
            </w:r>
          </w:p>
          <w:p w14:paraId="0CD1CDCC" w14:textId="396638F3" w:rsidR="00B71805" w:rsidRPr="00D32D79" w:rsidRDefault="00FE5F6C" w:rsidP="00FE5F6C">
            <w:pPr>
              <w:autoSpaceDE w:val="0"/>
              <w:autoSpaceDN w:val="0"/>
              <w:adjustRightInd w:val="0"/>
              <w:jc w:val="both"/>
            </w:pPr>
            <w:r w:rsidRPr="00D32D79">
              <w:rPr>
                <w:b/>
              </w:rPr>
              <w:t>2022. gadā</w:t>
            </w:r>
            <w:r w:rsidRPr="00D32D79">
              <w:t xml:space="preserve"> – </w:t>
            </w:r>
            <w:r w:rsidR="00545B50" w:rsidRPr="00D32D79">
              <w:t>17,9</w:t>
            </w:r>
            <w:r w:rsidR="00C27ECC" w:rsidRPr="00D32D79">
              <w:t xml:space="preserve"> </w:t>
            </w:r>
            <w:r w:rsidR="00B71805" w:rsidRPr="00D32D79">
              <w:t xml:space="preserve">procenti, t.i., </w:t>
            </w:r>
            <w:r w:rsidR="006C138A" w:rsidRPr="00D32D79">
              <w:t xml:space="preserve">6 151 103 </w:t>
            </w:r>
            <w:proofErr w:type="spellStart"/>
            <w:r w:rsidR="00001E62" w:rsidRPr="00D32D79">
              <w:rPr>
                <w:i/>
              </w:rPr>
              <w:t>euro</w:t>
            </w:r>
            <w:proofErr w:type="spellEnd"/>
            <w:r w:rsidR="00001E62" w:rsidRPr="00D32D79">
              <w:t xml:space="preserve"> (t.sk. ESF </w:t>
            </w:r>
            <w:r w:rsidR="006C138A" w:rsidRPr="00D32D79">
              <w:t xml:space="preserve">5 228 438 </w:t>
            </w:r>
            <w:proofErr w:type="spellStart"/>
            <w:r w:rsidR="00001E62" w:rsidRPr="00D32D79">
              <w:rPr>
                <w:i/>
              </w:rPr>
              <w:t>euro</w:t>
            </w:r>
            <w:proofErr w:type="spellEnd"/>
            <w:r w:rsidR="00001E62" w:rsidRPr="00D32D79">
              <w:t xml:space="preserve">, valsts budžets </w:t>
            </w:r>
            <w:r w:rsidR="006C138A" w:rsidRPr="00D32D79">
              <w:t xml:space="preserve">922 665 </w:t>
            </w:r>
            <w:proofErr w:type="spellStart"/>
            <w:r w:rsidR="00001E62" w:rsidRPr="00D32D79">
              <w:rPr>
                <w:i/>
              </w:rPr>
              <w:t>euro</w:t>
            </w:r>
            <w:proofErr w:type="spellEnd"/>
            <w:r w:rsidR="00001E62" w:rsidRPr="00D32D79">
              <w:t>)</w:t>
            </w:r>
            <w:r w:rsidR="00B71805" w:rsidRPr="00D32D79">
              <w:t xml:space="preserve">; </w:t>
            </w:r>
          </w:p>
          <w:p w14:paraId="38C24676" w14:textId="3F8F2218" w:rsidR="00F53EAD" w:rsidRPr="00D32D79" w:rsidRDefault="00FE5F6C" w:rsidP="00FE5F6C">
            <w:pPr>
              <w:autoSpaceDE w:val="0"/>
              <w:autoSpaceDN w:val="0"/>
              <w:adjustRightInd w:val="0"/>
              <w:jc w:val="both"/>
            </w:pPr>
            <w:r w:rsidRPr="00D32D79">
              <w:rPr>
                <w:b/>
              </w:rPr>
              <w:t>2023. gadā</w:t>
            </w:r>
            <w:r w:rsidRPr="00D32D79">
              <w:t xml:space="preserve"> – </w:t>
            </w:r>
            <w:r w:rsidR="00C27ECC" w:rsidRPr="00D32D79">
              <w:t xml:space="preserve">7,3 procenti, t.i., 2 500 000 </w:t>
            </w:r>
            <w:proofErr w:type="spellStart"/>
            <w:r w:rsidR="00C27ECC" w:rsidRPr="00D32D79">
              <w:t>euro</w:t>
            </w:r>
            <w:proofErr w:type="spellEnd"/>
            <w:r w:rsidR="00C27ECC" w:rsidRPr="00D32D79">
              <w:t xml:space="preserve"> (t.sk. ESF 2 125 000 </w:t>
            </w:r>
            <w:proofErr w:type="spellStart"/>
            <w:r w:rsidR="00C27ECC" w:rsidRPr="00D32D79">
              <w:t>euro</w:t>
            </w:r>
            <w:proofErr w:type="spellEnd"/>
            <w:r w:rsidR="00C27ECC" w:rsidRPr="00D32D79">
              <w:t xml:space="preserve">, valsts budžets 375 000 </w:t>
            </w:r>
            <w:proofErr w:type="spellStart"/>
            <w:r w:rsidR="00C27ECC" w:rsidRPr="00D32D79">
              <w:t>euro</w:t>
            </w:r>
            <w:proofErr w:type="spellEnd"/>
            <w:r w:rsidR="00C27ECC" w:rsidRPr="00D32D79">
              <w:t>).</w:t>
            </w:r>
          </w:p>
          <w:p w14:paraId="3555D30C" w14:textId="77777777" w:rsidR="00F53EAD" w:rsidRPr="00D32D79" w:rsidRDefault="00F53EAD" w:rsidP="00FE5F6C">
            <w:pPr>
              <w:autoSpaceDE w:val="0"/>
              <w:autoSpaceDN w:val="0"/>
              <w:adjustRightInd w:val="0"/>
              <w:jc w:val="both"/>
            </w:pPr>
          </w:p>
          <w:p w14:paraId="50572A36" w14:textId="77777777" w:rsidR="00F53EAD" w:rsidRPr="00D32D79" w:rsidRDefault="00F53EAD" w:rsidP="00FE5F6C">
            <w:pPr>
              <w:autoSpaceDE w:val="0"/>
              <w:autoSpaceDN w:val="0"/>
              <w:adjustRightInd w:val="0"/>
              <w:jc w:val="both"/>
            </w:pPr>
            <w:r w:rsidRPr="00D32D79">
              <w:t>Finansējuma sadalījums pa gadiem un kārtām:</w:t>
            </w:r>
          </w:p>
          <w:p w14:paraId="37A90653" w14:textId="711BCB5B" w:rsidR="00FE5F6C" w:rsidRPr="00D32D79" w:rsidRDefault="00F53EAD" w:rsidP="00FE5F6C">
            <w:pPr>
              <w:autoSpaceDE w:val="0"/>
              <w:autoSpaceDN w:val="0"/>
              <w:adjustRightInd w:val="0"/>
              <w:jc w:val="both"/>
              <w:rPr>
                <w:lang w:bidi="lo-LA"/>
              </w:rPr>
            </w:pPr>
            <w:r w:rsidRPr="00D32D79">
              <w:rPr>
                <w:noProof/>
              </w:rPr>
              <w:drawing>
                <wp:inline distT="0" distB="0" distL="0" distR="0" wp14:anchorId="23A585C3" wp14:editId="3F93680D">
                  <wp:extent cx="4059342" cy="1783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2237" cy="1793137"/>
                          </a:xfrm>
                          <a:prstGeom prst="rect">
                            <a:avLst/>
                          </a:prstGeom>
                          <a:noFill/>
                        </pic:spPr>
                      </pic:pic>
                    </a:graphicData>
                  </a:graphic>
                </wp:inline>
              </w:drawing>
            </w:r>
          </w:p>
          <w:p w14:paraId="6A6482C7" w14:textId="77777777" w:rsidR="00FE5F6C" w:rsidRPr="00D32D79" w:rsidRDefault="00FE5F6C" w:rsidP="00FE5F6C">
            <w:pPr>
              <w:jc w:val="both"/>
              <w:rPr>
                <w:lang w:bidi="lo-LA"/>
              </w:rPr>
            </w:pPr>
          </w:p>
          <w:p w14:paraId="08DB7624" w14:textId="0DBFD7B4" w:rsidR="00B71805" w:rsidRPr="00D32D79" w:rsidRDefault="00FE5F6C" w:rsidP="00FE5F6C">
            <w:pPr>
              <w:autoSpaceDE w:val="0"/>
              <w:autoSpaceDN w:val="0"/>
              <w:adjustRightInd w:val="0"/>
              <w:jc w:val="both"/>
              <w:rPr>
                <w:color w:val="000000" w:themeColor="text1"/>
              </w:rPr>
            </w:pPr>
            <w:r w:rsidRPr="00D32D79">
              <w:rPr>
                <w:color w:val="000000" w:themeColor="text1"/>
              </w:rPr>
              <w:t>Budžeta ilgtermiņa saistībās no 2017. – 2023. gadam šobrīd finansējums 8.2.</w:t>
            </w:r>
            <w:r w:rsidR="00B71805" w:rsidRPr="00D32D79">
              <w:rPr>
                <w:color w:val="000000" w:themeColor="text1"/>
              </w:rPr>
              <w:t>2</w:t>
            </w:r>
            <w:r w:rsidRPr="00D32D79">
              <w:rPr>
                <w:color w:val="000000" w:themeColor="text1"/>
              </w:rPr>
              <w:t xml:space="preserve">. SAM nav paredzēts. </w:t>
            </w:r>
          </w:p>
          <w:p w14:paraId="26BABFDA" w14:textId="77777777" w:rsidR="00B71805" w:rsidRPr="00D32D79" w:rsidRDefault="00B71805" w:rsidP="00FE5F6C">
            <w:pPr>
              <w:autoSpaceDE w:val="0"/>
              <w:autoSpaceDN w:val="0"/>
              <w:adjustRightInd w:val="0"/>
              <w:jc w:val="both"/>
              <w:rPr>
                <w:color w:val="000000" w:themeColor="text1"/>
              </w:rPr>
            </w:pPr>
          </w:p>
          <w:p w14:paraId="3024C75F" w14:textId="0F6AD990" w:rsidR="00FE5F6C" w:rsidRPr="00D32D79" w:rsidRDefault="00FE5F6C" w:rsidP="00FE5F6C">
            <w:pPr>
              <w:autoSpaceDE w:val="0"/>
              <w:autoSpaceDN w:val="0"/>
              <w:adjustRightInd w:val="0"/>
              <w:jc w:val="both"/>
            </w:pPr>
            <w:r w:rsidRPr="00D32D79">
              <w:rPr>
                <w:color w:val="000000" w:themeColor="text1"/>
              </w:rPr>
              <w:t xml:space="preserve">Finansējuma sadalījums pa gadiem norādīts indikatīvi un var tikt precizēts, ņemot vērā faktiski izlietoto finansējumu un atlases kārtu ietvaros apstiprināto projektu iesniegumu </w:t>
            </w:r>
            <w:r w:rsidRPr="00D32D79">
              <w:t>skaitu.</w:t>
            </w:r>
          </w:p>
        </w:tc>
      </w:tr>
      <w:tr w:rsidR="00FE5F6C" w:rsidRPr="00D32D79" w14:paraId="081811DD" w14:textId="77777777" w:rsidTr="00D32D79">
        <w:trPr>
          <w:jc w:val="center"/>
        </w:trPr>
        <w:tc>
          <w:tcPr>
            <w:tcW w:w="1862" w:type="dxa"/>
          </w:tcPr>
          <w:p w14:paraId="618B5EB5" w14:textId="77777777" w:rsidR="00FE5F6C" w:rsidRPr="00D32D79" w:rsidRDefault="00FE5F6C" w:rsidP="00FE5F6C">
            <w:r w:rsidRPr="00D32D79">
              <w:t>6.1. detalizēts ieņēmumu aprēķins</w:t>
            </w:r>
          </w:p>
        </w:tc>
        <w:tc>
          <w:tcPr>
            <w:tcW w:w="6576" w:type="dxa"/>
            <w:gridSpan w:val="5"/>
            <w:vMerge/>
          </w:tcPr>
          <w:p w14:paraId="3ABD37F2" w14:textId="77777777" w:rsidR="00FE5F6C" w:rsidRPr="00D32D79" w:rsidRDefault="00FE5F6C" w:rsidP="00FE5F6C">
            <w:pPr>
              <w:pStyle w:val="naisf"/>
              <w:spacing w:before="0" w:after="0"/>
              <w:ind w:left="57" w:right="113"/>
              <w:rPr>
                <w:b/>
                <w:i/>
              </w:rPr>
            </w:pPr>
          </w:p>
        </w:tc>
      </w:tr>
      <w:tr w:rsidR="00FE5F6C" w:rsidRPr="00D32D79" w14:paraId="15A2ACB8" w14:textId="77777777" w:rsidTr="00D32D79">
        <w:trPr>
          <w:jc w:val="center"/>
        </w:trPr>
        <w:tc>
          <w:tcPr>
            <w:tcW w:w="1862" w:type="dxa"/>
          </w:tcPr>
          <w:p w14:paraId="1E7201AF" w14:textId="77777777" w:rsidR="00FE5F6C" w:rsidRPr="00D32D79" w:rsidRDefault="00FE5F6C" w:rsidP="00FE5F6C">
            <w:r w:rsidRPr="00D32D79">
              <w:t>6.2. detalizēts izdevumu aprēķins</w:t>
            </w:r>
          </w:p>
        </w:tc>
        <w:tc>
          <w:tcPr>
            <w:tcW w:w="6576" w:type="dxa"/>
            <w:gridSpan w:val="5"/>
            <w:vMerge/>
          </w:tcPr>
          <w:p w14:paraId="16B76B79" w14:textId="77777777" w:rsidR="00FE5F6C" w:rsidRPr="00D32D79" w:rsidRDefault="00FE5F6C" w:rsidP="00FE5F6C">
            <w:pPr>
              <w:pStyle w:val="naisf"/>
              <w:spacing w:before="0" w:after="0"/>
              <w:ind w:left="57" w:right="113"/>
              <w:rPr>
                <w:b/>
                <w:i/>
              </w:rPr>
            </w:pPr>
          </w:p>
        </w:tc>
      </w:tr>
      <w:tr w:rsidR="00FE5F6C" w:rsidRPr="00D32D79" w14:paraId="12CB9868" w14:textId="77777777" w:rsidTr="00D32D79">
        <w:trPr>
          <w:trHeight w:val="556"/>
          <w:jc w:val="center"/>
        </w:trPr>
        <w:tc>
          <w:tcPr>
            <w:tcW w:w="1862" w:type="dxa"/>
          </w:tcPr>
          <w:p w14:paraId="1CC8C552" w14:textId="77777777" w:rsidR="00FE5F6C" w:rsidRPr="00D32D79" w:rsidRDefault="00FE5F6C" w:rsidP="00FE5F6C">
            <w:r w:rsidRPr="00D32D79">
              <w:t>7. Cita informācija</w:t>
            </w:r>
          </w:p>
        </w:tc>
        <w:tc>
          <w:tcPr>
            <w:tcW w:w="6576" w:type="dxa"/>
            <w:gridSpan w:val="5"/>
          </w:tcPr>
          <w:p w14:paraId="436B9F50" w14:textId="505F8573" w:rsidR="00FE5F6C" w:rsidRPr="00D32D79" w:rsidRDefault="00FE5F6C" w:rsidP="00FE5F6C">
            <w:pPr>
              <w:ind w:right="85"/>
              <w:jc w:val="both"/>
              <w:rPr>
                <w:color w:val="000000" w:themeColor="text1"/>
              </w:rPr>
            </w:pPr>
            <w:r w:rsidRPr="00D32D79">
              <w:rPr>
                <w:color w:val="000000" w:themeColor="text1"/>
              </w:rPr>
              <w:t>Nepieciešamais finansējums 8.2.2. SAM īstenošanai pēc projektu iesniegumu apstiprināšanas tiks piesaistīts normatīvajos aktos noteiktajā kārtībā no 74. resora “Gadskārtējā valsts budžeta izpildes procesā pārdalāmais finansējums” budžeta programmas 80.00.00 “Nesadalītais finansējums Eiropas Savienības politiku instrumentu un pārējās ārvalstu finanšu palīdzības līdzfinansēto projektu un pasākumu īstenošanai”.</w:t>
            </w:r>
          </w:p>
        </w:tc>
      </w:tr>
    </w:tbl>
    <w:p w14:paraId="27A2872E" w14:textId="77777777" w:rsidR="002764B8" w:rsidRPr="00D32D79" w:rsidRDefault="002764B8" w:rsidP="0004595D">
      <w:pPr>
        <w:rPr>
          <w:sz w:val="20"/>
          <w:szCs w:val="20"/>
        </w:rPr>
      </w:pPr>
    </w:p>
    <w:tbl>
      <w:tblPr>
        <w:tblW w:w="4853" w:type="pct"/>
        <w:tblInd w:w="134"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789"/>
      </w:tblGrid>
      <w:tr w:rsidR="00CD59F7" w:rsidRPr="00D32D79" w14:paraId="43EDFD20" w14:textId="77777777" w:rsidTr="00CD59F7">
        <w:trPr>
          <w:trHeight w:val="45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19B97F" w14:textId="77777777" w:rsidR="00CD59F7" w:rsidRPr="00D32D79" w:rsidRDefault="00CD59F7" w:rsidP="00CD59F7">
            <w:pPr>
              <w:jc w:val="center"/>
              <w:rPr>
                <w:b/>
              </w:rPr>
            </w:pPr>
            <w:r w:rsidRPr="00D32D79">
              <w:rPr>
                <w:b/>
              </w:rPr>
              <w:t>IV. Tiesību akta projekta ietekme uz spēkā esošo tiesību normu sistēmu</w:t>
            </w:r>
          </w:p>
        </w:tc>
      </w:tr>
      <w:tr w:rsidR="00CD59F7" w:rsidRPr="00D32D79" w14:paraId="5C5C74E2" w14:textId="77777777" w:rsidTr="00CD59F7">
        <w:trPr>
          <w:trHeight w:val="425"/>
        </w:trPr>
        <w:tc>
          <w:tcPr>
            <w:tcW w:w="5000" w:type="pct"/>
            <w:tcBorders>
              <w:top w:val="outset" w:sz="6" w:space="0" w:color="414142"/>
              <w:left w:val="outset" w:sz="6" w:space="0" w:color="414142"/>
              <w:bottom w:val="outset" w:sz="6" w:space="0" w:color="414142"/>
              <w:right w:val="outset" w:sz="6" w:space="0" w:color="414142"/>
            </w:tcBorders>
            <w:shd w:val="clear" w:color="auto" w:fill="FFFFFF"/>
          </w:tcPr>
          <w:p w14:paraId="1C14931D" w14:textId="77777777" w:rsidR="00CD59F7" w:rsidRPr="00D32D79" w:rsidRDefault="00CD59F7" w:rsidP="00CD59F7">
            <w:pPr>
              <w:jc w:val="center"/>
            </w:pPr>
            <w:r w:rsidRPr="00D32D79">
              <w:t>Noteikumu projekts šo jomu neskar.</w:t>
            </w:r>
          </w:p>
        </w:tc>
      </w:tr>
    </w:tbl>
    <w:p w14:paraId="4DA6F3AC" w14:textId="77777777" w:rsidR="00CD59F7" w:rsidRPr="00D32D79" w:rsidRDefault="00CD59F7" w:rsidP="0004595D">
      <w:pPr>
        <w:rPr>
          <w:sz w:val="20"/>
          <w:szCs w:val="20"/>
        </w:rPr>
      </w:pPr>
    </w:p>
    <w:tbl>
      <w:tblPr>
        <w:tblW w:w="8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20" w:firstRow="1" w:lastRow="0" w:firstColumn="0" w:lastColumn="0" w:noHBand="0" w:noVBand="0"/>
      </w:tblPr>
      <w:tblGrid>
        <w:gridCol w:w="369"/>
        <w:gridCol w:w="1615"/>
        <w:gridCol w:w="361"/>
        <w:gridCol w:w="963"/>
        <w:gridCol w:w="1694"/>
        <w:gridCol w:w="1111"/>
        <w:gridCol w:w="643"/>
        <w:gridCol w:w="2043"/>
      </w:tblGrid>
      <w:tr w:rsidR="00745849" w:rsidRPr="00D32D79" w14:paraId="2FD2710F" w14:textId="77777777" w:rsidTr="004B2DA8">
        <w:trPr>
          <w:trHeight w:val="421"/>
          <w:jc w:val="center"/>
        </w:trPr>
        <w:tc>
          <w:tcPr>
            <w:tcW w:w="8799" w:type="dxa"/>
            <w:gridSpan w:val="8"/>
            <w:tcBorders>
              <w:top w:val="single" w:sz="4" w:space="0" w:color="auto"/>
              <w:left w:val="single" w:sz="4" w:space="0" w:color="auto"/>
              <w:bottom w:val="single" w:sz="4" w:space="0" w:color="auto"/>
              <w:right w:val="single" w:sz="4" w:space="0" w:color="auto"/>
            </w:tcBorders>
            <w:vAlign w:val="center"/>
          </w:tcPr>
          <w:p w14:paraId="2128A86F" w14:textId="77777777" w:rsidR="00016659" w:rsidRPr="00D32D79" w:rsidRDefault="00016659" w:rsidP="00CF4C64">
            <w:pPr>
              <w:jc w:val="center"/>
              <w:rPr>
                <w:b/>
              </w:rPr>
            </w:pPr>
            <w:r w:rsidRPr="00D32D79">
              <w:rPr>
                <w:b/>
              </w:rPr>
              <w:t>V. Tiesību akta projekta atbilstība Latvijas Republikas starptautiskajām saistībām</w:t>
            </w:r>
          </w:p>
        </w:tc>
      </w:tr>
      <w:tr w:rsidR="00745849" w:rsidRPr="00D32D79" w14:paraId="75C1FFD2" w14:textId="77777777" w:rsidTr="00A4480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jc w:val="center"/>
        </w:trPr>
        <w:tc>
          <w:tcPr>
            <w:tcW w:w="369" w:type="dxa"/>
            <w:tcBorders>
              <w:top w:val="outset" w:sz="6" w:space="0" w:color="auto"/>
              <w:left w:val="outset" w:sz="6" w:space="0" w:color="auto"/>
              <w:bottom w:val="outset" w:sz="6" w:space="0" w:color="auto"/>
              <w:right w:val="outset" w:sz="6" w:space="0" w:color="auto"/>
            </w:tcBorders>
            <w:shd w:val="clear" w:color="auto" w:fill="auto"/>
          </w:tcPr>
          <w:p w14:paraId="374811E9" w14:textId="77777777" w:rsidR="00016659" w:rsidRPr="00D32D79" w:rsidRDefault="00016659" w:rsidP="0004595D">
            <w:r w:rsidRPr="00D32D79">
              <w:t>1.</w:t>
            </w:r>
          </w:p>
        </w:tc>
        <w:tc>
          <w:tcPr>
            <w:tcW w:w="2939" w:type="dxa"/>
            <w:gridSpan w:val="3"/>
            <w:tcBorders>
              <w:top w:val="outset" w:sz="6" w:space="0" w:color="auto"/>
              <w:left w:val="outset" w:sz="6" w:space="0" w:color="auto"/>
              <w:bottom w:val="outset" w:sz="6" w:space="0" w:color="auto"/>
              <w:right w:val="outset" w:sz="6" w:space="0" w:color="auto"/>
            </w:tcBorders>
            <w:shd w:val="clear" w:color="auto" w:fill="auto"/>
          </w:tcPr>
          <w:p w14:paraId="62E3D9BB" w14:textId="77777777" w:rsidR="00016659" w:rsidRPr="00D32D79" w:rsidRDefault="00016659" w:rsidP="0004595D">
            <w:r w:rsidRPr="00D32D79">
              <w:t>Saistības pret Eiropas Savienību</w:t>
            </w:r>
          </w:p>
        </w:tc>
        <w:tc>
          <w:tcPr>
            <w:tcW w:w="5491" w:type="dxa"/>
            <w:gridSpan w:val="4"/>
            <w:tcBorders>
              <w:top w:val="outset" w:sz="6" w:space="0" w:color="auto"/>
              <w:left w:val="outset" w:sz="6" w:space="0" w:color="auto"/>
              <w:bottom w:val="outset" w:sz="6" w:space="0" w:color="auto"/>
              <w:right w:val="outset" w:sz="6" w:space="0" w:color="auto"/>
            </w:tcBorders>
            <w:shd w:val="clear" w:color="auto" w:fill="auto"/>
          </w:tcPr>
          <w:p w14:paraId="6EFF5958" w14:textId="77777777" w:rsidR="0085793B" w:rsidRDefault="00CD59F7" w:rsidP="00001E62">
            <w:pPr>
              <w:ind w:right="113"/>
            </w:pPr>
            <w:r w:rsidRPr="00D32D79">
              <w:t>Eiropas Parlamenta un Padomes 2013. gada 17. decembra regula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 Regula Nr. 1303/2013)</w:t>
            </w:r>
            <w:r w:rsidR="00DC3BA1" w:rsidRPr="00D32D79">
              <w:t>.</w:t>
            </w:r>
          </w:p>
          <w:p w14:paraId="2E0878F6" w14:textId="15F00AAA" w:rsidR="00A44806" w:rsidRPr="00D32D79" w:rsidRDefault="00A44806" w:rsidP="00001E62">
            <w:pPr>
              <w:ind w:right="113"/>
            </w:pPr>
            <w:r w:rsidRPr="00E33695">
              <w:t>Eiropas Parlamenta un Padomes 2013.gada 17.decembra regula (ES) Nr. 1304/2013 par Eiropas Sociālo fondu un ar ko atceļ Padomes Regulu (EK) Nr. 1081/2006.</w:t>
            </w:r>
          </w:p>
          <w:p w14:paraId="65046C77" w14:textId="1A1F94DB" w:rsidR="00CB223C" w:rsidRPr="00D32D79" w:rsidRDefault="00CB223C" w:rsidP="00001E62">
            <w:pPr>
              <w:ind w:right="113"/>
            </w:pPr>
          </w:p>
        </w:tc>
      </w:tr>
      <w:tr w:rsidR="00745849" w:rsidRPr="00D32D79" w14:paraId="7EC8E97E" w14:textId="77777777" w:rsidTr="00A4480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jc w:val="center"/>
        </w:trPr>
        <w:tc>
          <w:tcPr>
            <w:tcW w:w="369" w:type="dxa"/>
            <w:tcBorders>
              <w:top w:val="outset" w:sz="6" w:space="0" w:color="auto"/>
              <w:left w:val="outset" w:sz="6" w:space="0" w:color="auto"/>
              <w:bottom w:val="outset" w:sz="6" w:space="0" w:color="auto"/>
              <w:right w:val="outset" w:sz="6" w:space="0" w:color="auto"/>
            </w:tcBorders>
            <w:shd w:val="clear" w:color="auto" w:fill="auto"/>
          </w:tcPr>
          <w:p w14:paraId="2E801F64" w14:textId="77777777" w:rsidR="00016659" w:rsidRPr="00D32D79" w:rsidRDefault="00016659" w:rsidP="0004595D">
            <w:r w:rsidRPr="00D32D79">
              <w:t>2.</w:t>
            </w:r>
          </w:p>
        </w:tc>
        <w:tc>
          <w:tcPr>
            <w:tcW w:w="2939" w:type="dxa"/>
            <w:gridSpan w:val="3"/>
            <w:tcBorders>
              <w:top w:val="outset" w:sz="6" w:space="0" w:color="auto"/>
              <w:left w:val="outset" w:sz="6" w:space="0" w:color="auto"/>
              <w:bottom w:val="outset" w:sz="6" w:space="0" w:color="auto"/>
              <w:right w:val="outset" w:sz="6" w:space="0" w:color="auto"/>
            </w:tcBorders>
            <w:shd w:val="clear" w:color="auto" w:fill="auto"/>
          </w:tcPr>
          <w:p w14:paraId="0440FBCD" w14:textId="77777777" w:rsidR="00016659" w:rsidRPr="00D32D79" w:rsidRDefault="00016659" w:rsidP="0004595D">
            <w:r w:rsidRPr="00D32D79">
              <w:t>Citas starptautiskās saistības</w:t>
            </w:r>
          </w:p>
        </w:tc>
        <w:tc>
          <w:tcPr>
            <w:tcW w:w="5491" w:type="dxa"/>
            <w:gridSpan w:val="4"/>
            <w:tcBorders>
              <w:top w:val="outset" w:sz="6" w:space="0" w:color="auto"/>
              <w:left w:val="outset" w:sz="6" w:space="0" w:color="auto"/>
              <w:bottom w:val="outset" w:sz="6" w:space="0" w:color="auto"/>
              <w:right w:val="outset" w:sz="6" w:space="0" w:color="auto"/>
            </w:tcBorders>
            <w:shd w:val="clear" w:color="auto" w:fill="auto"/>
          </w:tcPr>
          <w:p w14:paraId="4C088AFD" w14:textId="77777777" w:rsidR="00016659" w:rsidRPr="00D32D79" w:rsidRDefault="00016659" w:rsidP="0004595D">
            <w:pPr>
              <w:ind w:left="57" w:right="113"/>
              <w:jc w:val="both"/>
            </w:pPr>
            <w:r w:rsidRPr="00D32D79">
              <w:t>Noteikumu projekts šo jomu neskar.</w:t>
            </w:r>
          </w:p>
        </w:tc>
      </w:tr>
      <w:tr w:rsidR="00745849" w:rsidRPr="00D32D79" w14:paraId="5A3510C4" w14:textId="77777777" w:rsidTr="00A4480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jc w:val="center"/>
        </w:trPr>
        <w:tc>
          <w:tcPr>
            <w:tcW w:w="369" w:type="dxa"/>
            <w:tcBorders>
              <w:top w:val="outset" w:sz="6" w:space="0" w:color="auto"/>
              <w:left w:val="outset" w:sz="6" w:space="0" w:color="auto"/>
              <w:bottom w:val="outset" w:sz="6" w:space="0" w:color="auto"/>
              <w:right w:val="outset" w:sz="6" w:space="0" w:color="auto"/>
            </w:tcBorders>
            <w:shd w:val="clear" w:color="auto" w:fill="auto"/>
          </w:tcPr>
          <w:p w14:paraId="7CB281F4" w14:textId="77777777" w:rsidR="00016659" w:rsidRPr="00D32D79" w:rsidRDefault="00016659" w:rsidP="0004595D">
            <w:r w:rsidRPr="00D32D79">
              <w:t>3.</w:t>
            </w:r>
          </w:p>
        </w:tc>
        <w:tc>
          <w:tcPr>
            <w:tcW w:w="2939" w:type="dxa"/>
            <w:gridSpan w:val="3"/>
            <w:tcBorders>
              <w:top w:val="outset" w:sz="6" w:space="0" w:color="auto"/>
              <w:left w:val="outset" w:sz="6" w:space="0" w:color="auto"/>
              <w:bottom w:val="outset" w:sz="6" w:space="0" w:color="auto"/>
              <w:right w:val="outset" w:sz="6" w:space="0" w:color="auto"/>
            </w:tcBorders>
            <w:shd w:val="clear" w:color="auto" w:fill="auto"/>
          </w:tcPr>
          <w:p w14:paraId="67305F28" w14:textId="77777777" w:rsidR="00016659" w:rsidRPr="00D32D79" w:rsidRDefault="00016659" w:rsidP="0004595D">
            <w:r w:rsidRPr="00D32D79">
              <w:t>Cita informācija</w:t>
            </w:r>
          </w:p>
        </w:tc>
        <w:tc>
          <w:tcPr>
            <w:tcW w:w="5491" w:type="dxa"/>
            <w:gridSpan w:val="4"/>
            <w:tcBorders>
              <w:top w:val="outset" w:sz="6" w:space="0" w:color="auto"/>
              <w:left w:val="outset" w:sz="6" w:space="0" w:color="auto"/>
              <w:bottom w:val="outset" w:sz="6" w:space="0" w:color="auto"/>
              <w:right w:val="outset" w:sz="6" w:space="0" w:color="auto"/>
            </w:tcBorders>
            <w:shd w:val="clear" w:color="auto" w:fill="auto"/>
          </w:tcPr>
          <w:p w14:paraId="45BF6290" w14:textId="669F84E8" w:rsidR="00016659" w:rsidRPr="00D32D79" w:rsidRDefault="00016659" w:rsidP="00FC47E5">
            <w:pPr>
              <w:ind w:left="57" w:right="113"/>
              <w:jc w:val="both"/>
            </w:pPr>
          </w:p>
        </w:tc>
      </w:tr>
      <w:tr w:rsidR="00745849" w:rsidRPr="00D32D79" w14:paraId="0F01E3AF" w14:textId="77777777" w:rsidTr="004B2DA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trHeight w:val="364"/>
          <w:jc w:val="center"/>
        </w:trPr>
        <w:tc>
          <w:tcPr>
            <w:tcW w:w="8799" w:type="dxa"/>
            <w:gridSpan w:val="8"/>
            <w:tcBorders>
              <w:top w:val="outset" w:sz="6" w:space="0" w:color="auto"/>
              <w:left w:val="outset" w:sz="6" w:space="0" w:color="auto"/>
              <w:bottom w:val="outset" w:sz="6" w:space="0" w:color="auto"/>
              <w:right w:val="outset" w:sz="6" w:space="0" w:color="auto"/>
            </w:tcBorders>
            <w:shd w:val="clear" w:color="auto" w:fill="auto"/>
            <w:vAlign w:val="center"/>
          </w:tcPr>
          <w:p w14:paraId="40D122F8" w14:textId="0A796A78" w:rsidR="00016659" w:rsidRPr="00D32D79" w:rsidRDefault="00016659" w:rsidP="0004595D">
            <w:pPr>
              <w:rPr>
                <w:b/>
              </w:rPr>
            </w:pPr>
            <w:r w:rsidRPr="00D32D79">
              <w:rPr>
                <w:b/>
              </w:rPr>
              <w:t>1.</w:t>
            </w:r>
            <w:r w:rsidR="00EB22E4" w:rsidRPr="00D32D79">
              <w:rPr>
                <w:b/>
              </w:rPr>
              <w:t xml:space="preserve"> </w:t>
            </w:r>
            <w:r w:rsidRPr="00D32D79">
              <w:rPr>
                <w:b/>
              </w:rPr>
              <w:t>tabula</w:t>
            </w:r>
          </w:p>
          <w:p w14:paraId="32374FEC" w14:textId="77777777" w:rsidR="00016659" w:rsidRPr="00D32D79" w:rsidRDefault="00016659" w:rsidP="00CD59F7">
            <w:pPr>
              <w:jc w:val="center"/>
            </w:pPr>
            <w:r w:rsidRPr="00D32D79">
              <w:rPr>
                <w:b/>
              </w:rPr>
              <w:t>Tiesību akta projekta atbilstība ES tiesību aktiem</w:t>
            </w:r>
          </w:p>
        </w:tc>
      </w:tr>
      <w:tr w:rsidR="00745849" w:rsidRPr="00D32D79" w14:paraId="14E3BD7A" w14:textId="77777777" w:rsidTr="00A4480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jc w:val="center"/>
        </w:trPr>
        <w:tc>
          <w:tcPr>
            <w:tcW w:w="1984" w:type="dxa"/>
            <w:gridSpan w:val="2"/>
            <w:tcBorders>
              <w:top w:val="outset" w:sz="6" w:space="0" w:color="auto"/>
              <w:left w:val="outset" w:sz="6" w:space="0" w:color="auto"/>
              <w:bottom w:val="outset" w:sz="6" w:space="0" w:color="auto"/>
              <w:right w:val="outset" w:sz="6" w:space="0" w:color="auto"/>
            </w:tcBorders>
            <w:shd w:val="clear" w:color="auto" w:fill="auto"/>
          </w:tcPr>
          <w:p w14:paraId="568866F9" w14:textId="77777777" w:rsidR="00016659" w:rsidRPr="00D32D79" w:rsidRDefault="00016659" w:rsidP="0004595D">
            <w:r w:rsidRPr="00D32D79">
              <w:t>Attiecīgā ES tiesību akta datums, numurs un nosaukums</w:t>
            </w:r>
          </w:p>
        </w:tc>
        <w:tc>
          <w:tcPr>
            <w:tcW w:w="6815" w:type="dxa"/>
            <w:gridSpan w:val="6"/>
            <w:tcBorders>
              <w:top w:val="outset" w:sz="6" w:space="0" w:color="auto"/>
              <w:left w:val="outset" w:sz="6" w:space="0" w:color="auto"/>
              <w:bottom w:val="outset" w:sz="6" w:space="0" w:color="auto"/>
              <w:right w:val="outset" w:sz="6" w:space="0" w:color="auto"/>
            </w:tcBorders>
            <w:shd w:val="clear" w:color="auto" w:fill="auto"/>
          </w:tcPr>
          <w:p w14:paraId="34944053" w14:textId="4097336C" w:rsidR="00630D80" w:rsidRDefault="00CD59F7" w:rsidP="0004595D">
            <w:r w:rsidRPr="00D32D79">
              <w:t>Regula Nr. 1303/2013</w:t>
            </w:r>
          </w:p>
          <w:p w14:paraId="0759A38B" w14:textId="370AAE96" w:rsidR="00CB223C" w:rsidRPr="00D32D79" w:rsidRDefault="00A44806" w:rsidP="0004595D">
            <w:r w:rsidRPr="00E33695">
              <w:t>Regula Nr. 1304/2013</w:t>
            </w:r>
          </w:p>
        </w:tc>
      </w:tr>
      <w:tr w:rsidR="00745849" w:rsidRPr="00D32D79" w14:paraId="40F9CD49" w14:textId="77777777" w:rsidTr="00A4480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jc w:val="center"/>
        </w:trPr>
        <w:tc>
          <w:tcPr>
            <w:tcW w:w="1984" w:type="dxa"/>
            <w:gridSpan w:val="2"/>
            <w:tcBorders>
              <w:top w:val="outset" w:sz="6" w:space="0" w:color="auto"/>
              <w:left w:val="outset" w:sz="6" w:space="0" w:color="auto"/>
              <w:bottom w:val="outset" w:sz="6" w:space="0" w:color="auto"/>
              <w:right w:val="outset" w:sz="6" w:space="0" w:color="auto"/>
            </w:tcBorders>
            <w:vAlign w:val="center"/>
          </w:tcPr>
          <w:p w14:paraId="7FE8AAB6" w14:textId="77777777" w:rsidR="00016659" w:rsidRPr="00D32D79" w:rsidRDefault="00016659" w:rsidP="0004595D">
            <w:r w:rsidRPr="00D32D79">
              <w:t>A</w:t>
            </w:r>
          </w:p>
        </w:tc>
        <w:tc>
          <w:tcPr>
            <w:tcW w:w="3018" w:type="dxa"/>
            <w:gridSpan w:val="3"/>
            <w:tcBorders>
              <w:top w:val="outset" w:sz="6" w:space="0" w:color="auto"/>
              <w:left w:val="outset" w:sz="6" w:space="0" w:color="auto"/>
              <w:bottom w:val="outset" w:sz="6" w:space="0" w:color="auto"/>
              <w:right w:val="outset" w:sz="6" w:space="0" w:color="auto"/>
            </w:tcBorders>
            <w:vAlign w:val="center"/>
          </w:tcPr>
          <w:p w14:paraId="1BEA0D91" w14:textId="77777777" w:rsidR="00016659" w:rsidRPr="00D32D79" w:rsidRDefault="00016659" w:rsidP="0004595D">
            <w:r w:rsidRPr="00D32D79">
              <w:t>B</w:t>
            </w:r>
          </w:p>
        </w:tc>
        <w:tc>
          <w:tcPr>
            <w:tcW w:w="1754" w:type="dxa"/>
            <w:gridSpan w:val="2"/>
            <w:tcBorders>
              <w:top w:val="outset" w:sz="6" w:space="0" w:color="auto"/>
              <w:left w:val="outset" w:sz="6" w:space="0" w:color="auto"/>
              <w:bottom w:val="outset" w:sz="6" w:space="0" w:color="auto"/>
              <w:right w:val="outset" w:sz="6" w:space="0" w:color="auto"/>
            </w:tcBorders>
            <w:vAlign w:val="center"/>
          </w:tcPr>
          <w:p w14:paraId="7D173A7B" w14:textId="77777777" w:rsidR="00016659" w:rsidRPr="00D32D79" w:rsidRDefault="00016659" w:rsidP="0004595D">
            <w:r w:rsidRPr="00D32D79">
              <w:t>C</w:t>
            </w:r>
          </w:p>
        </w:tc>
        <w:tc>
          <w:tcPr>
            <w:tcW w:w="2043" w:type="dxa"/>
            <w:tcBorders>
              <w:top w:val="outset" w:sz="6" w:space="0" w:color="auto"/>
              <w:left w:val="outset" w:sz="6" w:space="0" w:color="auto"/>
              <w:bottom w:val="outset" w:sz="6" w:space="0" w:color="auto"/>
              <w:right w:val="outset" w:sz="6" w:space="0" w:color="auto"/>
            </w:tcBorders>
            <w:vAlign w:val="center"/>
          </w:tcPr>
          <w:p w14:paraId="7F2B7378" w14:textId="77777777" w:rsidR="00016659" w:rsidRPr="00D32D79" w:rsidRDefault="00016659" w:rsidP="0004595D">
            <w:r w:rsidRPr="00D32D79">
              <w:t>D</w:t>
            </w:r>
          </w:p>
        </w:tc>
      </w:tr>
      <w:tr w:rsidR="00745849" w:rsidRPr="00D32D79" w14:paraId="4C104AA4" w14:textId="77777777" w:rsidTr="00A4480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jc w:val="center"/>
        </w:trPr>
        <w:tc>
          <w:tcPr>
            <w:tcW w:w="1984" w:type="dxa"/>
            <w:gridSpan w:val="2"/>
            <w:tcBorders>
              <w:top w:val="outset" w:sz="6" w:space="0" w:color="auto"/>
              <w:left w:val="outset" w:sz="6" w:space="0" w:color="auto"/>
              <w:bottom w:val="outset" w:sz="6" w:space="0" w:color="auto"/>
              <w:right w:val="outset" w:sz="6" w:space="0" w:color="auto"/>
            </w:tcBorders>
          </w:tcPr>
          <w:p w14:paraId="4A454BC0" w14:textId="77777777" w:rsidR="00016659" w:rsidRPr="00D32D79" w:rsidRDefault="00016659" w:rsidP="0004595D">
            <w:r w:rsidRPr="00D32D79">
              <w:t>Attiecīgā ES tiesību akta panta numurs (uzskaitot katru tiesību akta vienību – pantu, daļu, punktu, apakšpunktu)</w:t>
            </w:r>
          </w:p>
        </w:tc>
        <w:tc>
          <w:tcPr>
            <w:tcW w:w="3018" w:type="dxa"/>
            <w:gridSpan w:val="3"/>
            <w:tcBorders>
              <w:top w:val="outset" w:sz="6" w:space="0" w:color="auto"/>
              <w:left w:val="outset" w:sz="6" w:space="0" w:color="auto"/>
              <w:bottom w:val="outset" w:sz="6" w:space="0" w:color="auto"/>
              <w:right w:val="outset" w:sz="6" w:space="0" w:color="auto"/>
            </w:tcBorders>
          </w:tcPr>
          <w:p w14:paraId="5F77E39C" w14:textId="77777777" w:rsidR="00016659" w:rsidRPr="00D32D79" w:rsidRDefault="00016659" w:rsidP="0004595D">
            <w:r w:rsidRPr="00D32D79">
              <w:t>Projekta vienība, kas pārņem vai ievieš katru šīs tabulas A ailē minēto ES tiesību akta vienību, vai tiesību akts, kur attiecīgā ES tiesību akta vienība pārņemta vai ieviesta</w:t>
            </w:r>
          </w:p>
        </w:tc>
        <w:tc>
          <w:tcPr>
            <w:tcW w:w="1754" w:type="dxa"/>
            <w:gridSpan w:val="2"/>
            <w:tcBorders>
              <w:top w:val="outset" w:sz="6" w:space="0" w:color="auto"/>
              <w:left w:val="outset" w:sz="6" w:space="0" w:color="auto"/>
              <w:bottom w:val="outset" w:sz="6" w:space="0" w:color="auto"/>
              <w:right w:val="outset" w:sz="6" w:space="0" w:color="auto"/>
            </w:tcBorders>
          </w:tcPr>
          <w:p w14:paraId="1563AFDE" w14:textId="77777777" w:rsidR="00016659" w:rsidRPr="00D32D79" w:rsidRDefault="00016659" w:rsidP="0004595D">
            <w:r w:rsidRPr="00D32D79">
              <w:t>Informācija par to, vai šīs tabulas A ailē minētās ES tiesību akta vienības tiek pārņemtas vai ieviestas pilnībā vai daļēji.</w:t>
            </w:r>
          </w:p>
          <w:p w14:paraId="2C5E831C" w14:textId="77777777" w:rsidR="00016659" w:rsidRPr="00D32D79" w:rsidRDefault="00016659" w:rsidP="0004595D">
            <w:r w:rsidRPr="00D32D79">
              <w:t>Ja attiecīgā ES tiesību akta vienība tiek pārņemta vai ieviesta daļēji, sniedz attiecīgu skaidrojumu, kā arī precīzi norāda, kad un kādā veidā ES tiesību akta vienība tiks pārņemta vai ieviesta pilnībā.</w:t>
            </w:r>
          </w:p>
          <w:p w14:paraId="40D88A23" w14:textId="77777777" w:rsidR="00016659" w:rsidRPr="00D32D79" w:rsidRDefault="00016659" w:rsidP="0004595D">
            <w:r w:rsidRPr="00D32D79">
              <w:t>Norāda institūciju, kas ir atbildīga par šo saistību izpildi pilnībā</w:t>
            </w:r>
          </w:p>
        </w:tc>
        <w:tc>
          <w:tcPr>
            <w:tcW w:w="2043" w:type="dxa"/>
            <w:tcBorders>
              <w:top w:val="outset" w:sz="6" w:space="0" w:color="auto"/>
              <w:left w:val="outset" w:sz="6" w:space="0" w:color="auto"/>
              <w:bottom w:val="outset" w:sz="6" w:space="0" w:color="auto"/>
              <w:right w:val="outset" w:sz="6" w:space="0" w:color="auto"/>
            </w:tcBorders>
          </w:tcPr>
          <w:p w14:paraId="4E3826B3" w14:textId="77777777" w:rsidR="00016659" w:rsidRPr="00D32D79" w:rsidRDefault="00016659" w:rsidP="0004595D">
            <w:r w:rsidRPr="00D32D79">
              <w:t>Informācija par to, vai šīs tabulas B ailē minētās projekta vienības paredz stingrākas prasības nekā šīs tabulas A ailē minētās ES tiesību akta vienības.</w:t>
            </w:r>
          </w:p>
          <w:p w14:paraId="5B316D87" w14:textId="4D46DEF2" w:rsidR="00016659" w:rsidRPr="00D32D79" w:rsidRDefault="00CD59F7" w:rsidP="0004595D">
            <w:r w:rsidRPr="00D32D79">
              <w:t>Ja projekts satur stingrā</w:t>
            </w:r>
            <w:r w:rsidR="00016659" w:rsidRPr="00D32D79">
              <w:t>kas prasības nekā attiecīgais ES tiesību akts, norāda pamatojumu un samērīgumu.</w:t>
            </w:r>
          </w:p>
          <w:p w14:paraId="1243BF58" w14:textId="77777777" w:rsidR="00016659" w:rsidRPr="00D32D79" w:rsidRDefault="00016659" w:rsidP="0004595D">
            <w:r w:rsidRPr="00D32D79">
              <w:t>Norāda iespējamās alternatīvas (t.sk. alternatīvas, kas neparedz tiesiskā regulējuma izstrādi) – kādos gadījumos būtu iespējams izvairīties no stingrāku prasību noteikšanas, nekā paredzēts attiecīgajos ES tiesību aktos</w:t>
            </w:r>
          </w:p>
        </w:tc>
      </w:tr>
      <w:tr w:rsidR="00CD59F7" w:rsidRPr="002436BC" w14:paraId="6603874D" w14:textId="77777777" w:rsidTr="00A4480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jc w:val="center"/>
        </w:trPr>
        <w:tc>
          <w:tcPr>
            <w:tcW w:w="1984" w:type="dxa"/>
            <w:gridSpan w:val="2"/>
            <w:tcBorders>
              <w:top w:val="outset" w:sz="6" w:space="0" w:color="auto"/>
              <w:left w:val="outset" w:sz="6" w:space="0" w:color="auto"/>
              <w:bottom w:val="outset" w:sz="6" w:space="0" w:color="auto"/>
              <w:right w:val="outset" w:sz="6" w:space="0" w:color="auto"/>
            </w:tcBorders>
          </w:tcPr>
          <w:p w14:paraId="1CF4D773" w14:textId="77777777" w:rsidR="00CD59F7" w:rsidRPr="002436BC" w:rsidRDefault="00CD59F7" w:rsidP="00CD59F7">
            <w:pPr>
              <w:ind w:left="106" w:right="215"/>
              <w:jc w:val="both"/>
            </w:pPr>
            <w:r w:rsidRPr="002436BC">
              <w:t>Regula Nr. 1303/2013</w:t>
            </w:r>
          </w:p>
          <w:p w14:paraId="280C4DD8" w14:textId="77FA1950" w:rsidR="00CD59F7" w:rsidRPr="002436BC" w:rsidRDefault="00CD59F7" w:rsidP="00CD59F7">
            <w:pPr>
              <w:ind w:left="113" w:right="113"/>
            </w:pPr>
            <w:r w:rsidRPr="002436BC">
              <w:t>XII pielikuma 2.2. apakšpunkts.</w:t>
            </w:r>
          </w:p>
        </w:tc>
        <w:tc>
          <w:tcPr>
            <w:tcW w:w="3018" w:type="dxa"/>
            <w:gridSpan w:val="3"/>
            <w:tcBorders>
              <w:top w:val="outset" w:sz="6" w:space="0" w:color="auto"/>
              <w:left w:val="outset" w:sz="6" w:space="0" w:color="auto"/>
              <w:bottom w:val="outset" w:sz="6" w:space="0" w:color="auto"/>
              <w:right w:val="outset" w:sz="6" w:space="0" w:color="auto"/>
            </w:tcBorders>
          </w:tcPr>
          <w:p w14:paraId="7B133041" w14:textId="7D849FBA" w:rsidR="00CD59F7" w:rsidRPr="00232E02" w:rsidRDefault="00CD59F7" w:rsidP="002436BC">
            <w:pPr>
              <w:ind w:left="113" w:right="113"/>
            </w:pPr>
            <w:r w:rsidRPr="00232E02">
              <w:t xml:space="preserve">Noteikumu projekta </w:t>
            </w:r>
            <w:r w:rsidR="002436BC" w:rsidRPr="00E33695">
              <w:t>51</w:t>
            </w:r>
            <w:r w:rsidRPr="00E33695">
              <w:t>. punkts.</w:t>
            </w:r>
          </w:p>
        </w:tc>
        <w:tc>
          <w:tcPr>
            <w:tcW w:w="1754" w:type="dxa"/>
            <w:gridSpan w:val="2"/>
            <w:tcBorders>
              <w:top w:val="outset" w:sz="6" w:space="0" w:color="auto"/>
              <w:left w:val="outset" w:sz="6" w:space="0" w:color="auto"/>
              <w:bottom w:val="outset" w:sz="6" w:space="0" w:color="auto"/>
              <w:right w:val="outset" w:sz="6" w:space="0" w:color="auto"/>
            </w:tcBorders>
          </w:tcPr>
          <w:p w14:paraId="21FC01C6" w14:textId="77777777" w:rsidR="00CD59F7" w:rsidRPr="00232E02" w:rsidRDefault="00CD59F7" w:rsidP="00CD59F7">
            <w:pPr>
              <w:ind w:left="113" w:right="113"/>
            </w:pPr>
            <w:r w:rsidRPr="00232E02">
              <w:t>Ieviesta pilnībā.</w:t>
            </w:r>
          </w:p>
          <w:p w14:paraId="2A2F372F" w14:textId="4EBDB155" w:rsidR="002436BC" w:rsidRPr="00232E02" w:rsidRDefault="002436BC" w:rsidP="00CD59F7">
            <w:pPr>
              <w:ind w:left="113" w:right="113"/>
            </w:pPr>
            <w:r w:rsidRPr="00E33695">
              <w:t>Atbildīgā institūcija –finansējuma saņēmējs.</w:t>
            </w:r>
          </w:p>
        </w:tc>
        <w:tc>
          <w:tcPr>
            <w:tcW w:w="2043" w:type="dxa"/>
            <w:tcBorders>
              <w:top w:val="outset" w:sz="6" w:space="0" w:color="auto"/>
              <w:left w:val="outset" w:sz="6" w:space="0" w:color="auto"/>
              <w:bottom w:val="outset" w:sz="6" w:space="0" w:color="auto"/>
              <w:right w:val="outset" w:sz="6" w:space="0" w:color="auto"/>
            </w:tcBorders>
          </w:tcPr>
          <w:p w14:paraId="7064CC6E" w14:textId="55438F02" w:rsidR="00CD59F7" w:rsidRPr="00232E02" w:rsidRDefault="00CD59F7" w:rsidP="00CD59F7">
            <w:pPr>
              <w:ind w:left="113" w:right="113"/>
            </w:pPr>
            <w:r w:rsidRPr="00232E02">
              <w:t>Neparedz stingrākas prasības.</w:t>
            </w:r>
          </w:p>
        </w:tc>
      </w:tr>
      <w:tr w:rsidR="00D46C8B" w:rsidRPr="002436BC" w14:paraId="53122BBB" w14:textId="77777777" w:rsidTr="00A4480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jc w:val="center"/>
        </w:trPr>
        <w:tc>
          <w:tcPr>
            <w:tcW w:w="1984" w:type="dxa"/>
            <w:gridSpan w:val="2"/>
            <w:tcBorders>
              <w:top w:val="outset" w:sz="6" w:space="0" w:color="auto"/>
              <w:left w:val="outset" w:sz="6" w:space="0" w:color="auto"/>
              <w:bottom w:val="outset" w:sz="6" w:space="0" w:color="auto"/>
              <w:right w:val="outset" w:sz="6" w:space="0" w:color="auto"/>
            </w:tcBorders>
          </w:tcPr>
          <w:p w14:paraId="187E9E35" w14:textId="02B2B036" w:rsidR="00D46C8B" w:rsidRPr="002436BC" w:rsidRDefault="00D46C8B" w:rsidP="00D46C8B">
            <w:pPr>
              <w:ind w:left="106" w:right="215"/>
              <w:jc w:val="both"/>
            </w:pPr>
            <w:r w:rsidRPr="002436BC">
              <w:t>Regula Nr. 130</w:t>
            </w:r>
            <w:r>
              <w:t>4</w:t>
            </w:r>
            <w:r w:rsidRPr="002436BC">
              <w:t>/2013</w:t>
            </w:r>
          </w:p>
          <w:p w14:paraId="067A53B8" w14:textId="4309695B" w:rsidR="00D46C8B" w:rsidRPr="002436BC" w:rsidRDefault="00D46C8B" w:rsidP="00D46C8B">
            <w:pPr>
              <w:ind w:left="106" w:right="215"/>
              <w:jc w:val="both"/>
            </w:pPr>
            <w:r w:rsidRPr="00D46C8B">
              <w:t>5.pants un I pielikums.</w:t>
            </w:r>
          </w:p>
        </w:tc>
        <w:tc>
          <w:tcPr>
            <w:tcW w:w="3018" w:type="dxa"/>
            <w:gridSpan w:val="3"/>
            <w:tcBorders>
              <w:top w:val="outset" w:sz="6" w:space="0" w:color="auto"/>
              <w:left w:val="outset" w:sz="6" w:space="0" w:color="auto"/>
              <w:bottom w:val="outset" w:sz="6" w:space="0" w:color="auto"/>
              <w:right w:val="outset" w:sz="6" w:space="0" w:color="auto"/>
            </w:tcBorders>
          </w:tcPr>
          <w:p w14:paraId="783F3754" w14:textId="77777777" w:rsidR="00D46C8B" w:rsidRPr="00232E02" w:rsidRDefault="00D46C8B" w:rsidP="00D46C8B">
            <w:pPr>
              <w:ind w:right="113"/>
            </w:pPr>
            <w:r w:rsidRPr="00232E02">
              <w:t xml:space="preserve">Noteikumu projekta </w:t>
            </w:r>
          </w:p>
          <w:p w14:paraId="1DEA6096" w14:textId="0688A2B4" w:rsidR="00D46C8B" w:rsidRPr="00232E02" w:rsidRDefault="00D46C8B" w:rsidP="00D46C8B">
            <w:pPr>
              <w:ind w:right="113"/>
            </w:pPr>
            <w:r w:rsidRPr="00E33695">
              <w:t>52.punkts.</w:t>
            </w:r>
          </w:p>
        </w:tc>
        <w:tc>
          <w:tcPr>
            <w:tcW w:w="1754" w:type="dxa"/>
            <w:gridSpan w:val="2"/>
            <w:tcBorders>
              <w:top w:val="outset" w:sz="6" w:space="0" w:color="auto"/>
              <w:left w:val="outset" w:sz="6" w:space="0" w:color="auto"/>
              <w:bottom w:val="outset" w:sz="6" w:space="0" w:color="auto"/>
              <w:right w:val="outset" w:sz="6" w:space="0" w:color="auto"/>
            </w:tcBorders>
          </w:tcPr>
          <w:p w14:paraId="04569C7D" w14:textId="77777777" w:rsidR="00D46C8B" w:rsidRPr="00232E02" w:rsidRDefault="00D46C8B" w:rsidP="00D46C8B">
            <w:pPr>
              <w:ind w:left="113" w:right="113"/>
            </w:pPr>
            <w:r w:rsidRPr="00232E02">
              <w:t>Ieviesta pilnībā.</w:t>
            </w:r>
          </w:p>
          <w:p w14:paraId="43880A72" w14:textId="09BE18CB" w:rsidR="00D46C8B" w:rsidRPr="00232E02" w:rsidRDefault="00D46C8B" w:rsidP="00D46C8B">
            <w:pPr>
              <w:ind w:left="113" w:right="113"/>
            </w:pPr>
            <w:r w:rsidRPr="00E33695">
              <w:t>Atbildīgā institūcija –finansējuma saņēmējs.</w:t>
            </w:r>
          </w:p>
        </w:tc>
        <w:tc>
          <w:tcPr>
            <w:tcW w:w="2043" w:type="dxa"/>
            <w:tcBorders>
              <w:top w:val="outset" w:sz="6" w:space="0" w:color="auto"/>
              <w:left w:val="outset" w:sz="6" w:space="0" w:color="auto"/>
              <w:bottom w:val="outset" w:sz="6" w:space="0" w:color="auto"/>
              <w:right w:val="outset" w:sz="6" w:space="0" w:color="auto"/>
            </w:tcBorders>
          </w:tcPr>
          <w:p w14:paraId="55059AD8" w14:textId="5CC9CBC2" w:rsidR="00D46C8B" w:rsidRPr="00232E02" w:rsidRDefault="00D46C8B" w:rsidP="00D46C8B">
            <w:pPr>
              <w:ind w:left="113" w:right="113"/>
            </w:pPr>
            <w:r w:rsidRPr="00232E02">
              <w:t>Neparedz stingrākas prasības.</w:t>
            </w:r>
          </w:p>
        </w:tc>
      </w:tr>
      <w:tr w:rsidR="00D46C8B" w:rsidRPr="00D32D79" w14:paraId="4CDE05C1" w14:textId="77777777" w:rsidTr="00A4480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jc w:val="center"/>
        </w:trPr>
        <w:tc>
          <w:tcPr>
            <w:tcW w:w="1984" w:type="dxa"/>
            <w:gridSpan w:val="2"/>
            <w:tcBorders>
              <w:top w:val="outset" w:sz="6" w:space="0" w:color="auto"/>
              <w:left w:val="outset" w:sz="6" w:space="0" w:color="auto"/>
              <w:bottom w:val="outset" w:sz="6" w:space="0" w:color="auto"/>
              <w:right w:val="outset" w:sz="6" w:space="0" w:color="auto"/>
            </w:tcBorders>
            <w:shd w:val="clear" w:color="auto" w:fill="auto"/>
          </w:tcPr>
          <w:p w14:paraId="76EEBFDB" w14:textId="2C3A7985" w:rsidR="00D46C8B" w:rsidRPr="00D32D79" w:rsidRDefault="00D46C8B" w:rsidP="00D46C8B">
            <w:r w:rsidRPr="00D32D79">
              <w:t>Kā ir izmantota ES tiesību aktā paredzētā rīcības brīvība dalīb</w:t>
            </w:r>
            <w:r w:rsidRPr="00D32D79">
              <w:softHyphen/>
              <w:t>valstij pārņemt vai ieviest noteiktas ES tiesību akta normas?</w:t>
            </w:r>
          </w:p>
          <w:p w14:paraId="40431A03" w14:textId="77777777" w:rsidR="00D46C8B" w:rsidRPr="00D32D79" w:rsidRDefault="00D46C8B" w:rsidP="00D46C8B">
            <w:r w:rsidRPr="00D32D79">
              <w:t>Kādēļ?</w:t>
            </w:r>
          </w:p>
        </w:tc>
        <w:tc>
          <w:tcPr>
            <w:tcW w:w="6815" w:type="dxa"/>
            <w:gridSpan w:val="6"/>
            <w:tcBorders>
              <w:top w:val="outset" w:sz="6" w:space="0" w:color="auto"/>
              <w:left w:val="outset" w:sz="6" w:space="0" w:color="auto"/>
              <w:bottom w:val="outset" w:sz="6" w:space="0" w:color="auto"/>
              <w:right w:val="outset" w:sz="6" w:space="0" w:color="auto"/>
            </w:tcBorders>
            <w:shd w:val="clear" w:color="auto" w:fill="auto"/>
          </w:tcPr>
          <w:p w14:paraId="6949BCD4" w14:textId="77777777" w:rsidR="00D46C8B" w:rsidRPr="00D32D79" w:rsidRDefault="00D46C8B" w:rsidP="00D46C8B">
            <w:r w:rsidRPr="00D32D79">
              <w:t>Noteikumu projekts šo jomu neskar.</w:t>
            </w:r>
          </w:p>
        </w:tc>
      </w:tr>
      <w:tr w:rsidR="00D46C8B" w:rsidRPr="00D32D79" w14:paraId="4289092A" w14:textId="77777777" w:rsidTr="00A4480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jc w:val="center"/>
        </w:trPr>
        <w:tc>
          <w:tcPr>
            <w:tcW w:w="1984" w:type="dxa"/>
            <w:gridSpan w:val="2"/>
            <w:tcBorders>
              <w:top w:val="outset" w:sz="6" w:space="0" w:color="auto"/>
              <w:left w:val="outset" w:sz="6" w:space="0" w:color="auto"/>
              <w:bottom w:val="outset" w:sz="6" w:space="0" w:color="auto"/>
              <w:right w:val="outset" w:sz="6" w:space="0" w:color="auto"/>
            </w:tcBorders>
            <w:shd w:val="clear" w:color="auto" w:fill="auto"/>
          </w:tcPr>
          <w:p w14:paraId="7C8F96CD" w14:textId="3CB4A99C" w:rsidR="00D46C8B" w:rsidRPr="00D32D79" w:rsidRDefault="00D46C8B" w:rsidP="00D46C8B">
            <w:r w:rsidRPr="00D32D79">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815" w:type="dxa"/>
            <w:gridSpan w:val="6"/>
            <w:tcBorders>
              <w:top w:val="outset" w:sz="6" w:space="0" w:color="auto"/>
              <w:left w:val="outset" w:sz="6" w:space="0" w:color="auto"/>
              <w:bottom w:val="outset" w:sz="6" w:space="0" w:color="auto"/>
              <w:right w:val="outset" w:sz="6" w:space="0" w:color="auto"/>
            </w:tcBorders>
            <w:shd w:val="clear" w:color="auto" w:fill="auto"/>
          </w:tcPr>
          <w:p w14:paraId="476D2DF6" w14:textId="63735AF2" w:rsidR="00D46C8B" w:rsidRPr="00D32D79" w:rsidRDefault="00D46C8B" w:rsidP="00D46C8B">
            <w:pPr>
              <w:ind w:right="85"/>
              <w:jc w:val="both"/>
            </w:pPr>
            <w:r w:rsidRPr="00D32D79">
              <w:rPr>
                <w:iCs/>
              </w:rPr>
              <w:t>Noteikumu projekts šo jomu neskar.</w:t>
            </w:r>
          </w:p>
        </w:tc>
      </w:tr>
      <w:tr w:rsidR="00D46C8B" w:rsidRPr="00D32D79" w14:paraId="592D8193" w14:textId="77777777" w:rsidTr="00A4480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jc w:val="center"/>
        </w:trPr>
        <w:tc>
          <w:tcPr>
            <w:tcW w:w="1984" w:type="dxa"/>
            <w:gridSpan w:val="2"/>
            <w:tcBorders>
              <w:top w:val="outset" w:sz="6" w:space="0" w:color="auto"/>
              <w:left w:val="outset" w:sz="6" w:space="0" w:color="auto"/>
              <w:bottom w:val="outset" w:sz="6" w:space="0" w:color="auto"/>
              <w:right w:val="outset" w:sz="6" w:space="0" w:color="auto"/>
            </w:tcBorders>
            <w:shd w:val="clear" w:color="auto" w:fill="auto"/>
          </w:tcPr>
          <w:p w14:paraId="1E315F16" w14:textId="77777777" w:rsidR="00D46C8B" w:rsidRPr="00D32D79" w:rsidRDefault="00D46C8B" w:rsidP="00D46C8B">
            <w:r w:rsidRPr="00D32D79">
              <w:t>Cita informācija</w:t>
            </w:r>
          </w:p>
        </w:tc>
        <w:tc>
          <w:tcPr>
            <w:tcW w:w="6815" w:type="dxa"/>
            <w:gridSpan w:val="6"/>
            <w:tcBorders>
              <w:top w:val="outset" w:sz="6" w:space="0" w:color="auto"/>
              <w:left w:val="outset" w:sz="6" w:space="0" w:color="auto"/>
              <w:bottom w:val="outset" w:sz="6" w:space="0" w:color="auto"/>
              <w:right w:val="outset" w:sz="6" w:space="0" w:color="auto"/>
            </w:tcBorders>
            <w:shd w:val="clear" w:color="auto" w:fill="auto"/>
          </w:tcPr>
          <w:p w14:paraId="671985C3" w14:textId="736DB7FF" w:rsidR="00D46C8B" w:rsidRPr="00D32D79" w:rsidRDefault="00D46C8B" w:rsidP="00D46C8B">
            <w:pPr>
              <w:ind w:right="85"/>
              <w:jc w:val="both"/>
              <w:rPr>
                <w:b/>
                <w:color w:val="000000" w:themeColor="text1"/>
              </w:rPr>
            </w:pPr>
            <w:r w:rsidRPr="00D32D79">
              <w:rPr>
                <w:color w:val="000000" w:themeColor="text1"/>
              </w:rPr>
              <w:t>Nav.</w:t>
            </w:r>
          </w:p>
        </w:tc>
      </w:tr>
      <w:tr w:rsidR="00D46C8B" w:rsidRPr="00D32D79" w14:paraId="22ED5DFC" w14:textId="77777777" w:rsidTr="004B2DA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jc w:val="center"/>
        </w:trPr>
        <w:tc>
          <w:tcPr>
            <w:tcW w:w="8799" w:type="dxa"/>
            <w:gridSpan w:val="8"/>
            <w:tcBorders>
              <w:top w:val="outset" w:sz="6" w:space="0" w:color="auto"/>
              <w:left w:val="outset" w:sz="6" w:space="0" w:color="auto"/>
              <w:bottom w:val="outset" w:sz="6" w:space="0" w:color="auto"/>
              <w:right w:val="outset" w:sz="6" w:space="0" w:color="auto"/>
            </w:tcBorders>
            <w:vAlign w:val="center"/>
          </w:tcPr>
          <w:p w14:paraId="41D0C848" w14:textId="6D705BAA" w:rsidR="00D46C8B" w:rsidRPr="00D32D79" w:rsidRDefault="00D46C8B" w:rsidP="00D46C8B">
            <w:pPr>
              <w:jc w:val="both"/>
              <w:rPr>
                <w:b/>
              </w:rPr>
            </w:pPr>
            <w:r w:rsidRPr="00D32D79">
              <w:rPr>
                <w:b/>
              </w:rPr>
              <w:t>2. tabula</w:t>
            </w:r>
          </w:p>
          <w:p w14:paraId="01A050DF" w14:textId="77777777" w:rsidR="00D46C8B" w:rsidRPr="00D32D79" w:rsidRDefault="00D46C8B" w:rsidP="00D46C8B">
            <w:pPr>
              <w:jc w:val="center"/>
              <w:rPr>
                <w:b/>
              </w:rPr>
            </w:pPr>
            <w:r w:rsidRPr="00D32D79">
              <w:rPr>
                <w:b/>
              </w:rPr>
              <w:t>Ar tiesību akta projektu izpildītās vai uzņemtās saistības, kas izriet no starptautiskajiem tiesību aktiem vai starptautiskas institūcijas vai organizācijas dokumentiem.</w:t>
            </w:r>
          </w:p>
          <w:p w14:paraId="7E4B1EE6" w14:textId="77777777" w:rsidR="00D46C8B" w:rsidRPr="00D32D79" w:rsidRDefault="00D46C8B" w:rsidP="00D46C8B">
            <w:pPr>
              <w:jc w:val="center"/>
              <w:rPr>
                <w:b/>
              </w:rPr>
            </w:pPr>
            <w:r w:rsidRPr="00D32D79">
              <w:rPr>
                <w:b/>
              </w:rPr>
              <w:t>Pasākumi šo saistību izpildei</w:t>
            </w:r>
          </w:p>
        </w:tc>
      </w:tr>
      <w:tr w:rsidR="00D46C8B" w:rsidRPr="00D32D79" w14:paraId="35364429" w14:textId="77777777" w:rsidTr="00A4480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jc w:val="center"/>
        </w:trPr>
        <w:tc>
          <w:tcPr>
            <w:tcW w:w="2345"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073B584E" w14:textId="77777777" w:rsidR="00D46C8B" w:rsidRPr="00D32D79" w:rsidRDefault="00D46C8B" w:rsidP="00D46C8B">
            <w:r w:rsidRPr="00D32D79">
              <w:t>Attiecīgā starptautiskā tiesību akta vai starptautiskas institūcijas vai organizācijas dokumenta (turpmāk – starptautiskais dokuments) datums, numurs un nosaukums</w:t>
            </w:r>
          </w:p>
        </w:tc>
        <w:tc>
          <w:tcPr>
            <w:tcW w:w="6454" w:type="dxa"/>
            <w:gridSpan w:val="5"/>
            <w:tcBorders>
              <w:top w:val="outset" w:sz="6" w:space="0" w:color="auto"/>
              <w:left w:val="outset" w:sz="6" w:space="0" w:color="auto"/>
              <w:bottom w:val="outset" w:sz="6" w:space="0" w:color="auto"/>
              <w:right w:val="outset" w:sz="6" w:space="0" w:color="auto"/>
            </w:tcBorders>
            <w:shd w:val="clear" w:color="auto" w:fill="auto"/>
          </w:tcPr>
          <w:p w14:paraId="0AB74DF4" w14:textId="77777777" w:rsidR="00D46C8B" w:rsidRPr="00D32D79" w:rsidRDefault="00D46C8B" w:rsidP="00D46C8B">
            <w:r w:rsidRPr="00D32D79">
              <w:t>Noteikumu projekts šo jomu neskar.</w:t>
            </w:r>
          </w:p>
        </w:tc>
      </w:tr>
      <w:tr w:rsidR="00D46C8B" w:rsidRPr="00D32D79" w14:paraId="56053ABF" w14:textId="77777777" w:rsidTr="00A4480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jc w:val="center"/>
        </w:trPr>
        <w:tc>
          <w:tcPr>
            <w:tcW w:w="2345"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7DE1AD69" w14:textId="77777777" w:rsidR="00D46C8B" w:rsidRPr="00D32D79" w:rsidRDefault="00D46C8B" w:rsidP="00D46C8B">
            <w:r w:rsidRPr="00D32D79">
              <w:t>A</w:t>
            </w:r>
          </w:p>
        </w:tc>
        <w:tc>
          <w:tcPr>
            <w:tcW w:w="3768" w:type="dxa"/>
            <w:gridSpan w:val="3"/>
            <w:tcBorders>
              <w:top w:val="outset" w:sz="6" w:space="0" w:color="auto"/>
              <w:left w:val="outset" w:sz="6" w:space="0" w:color="auto"/>
              <w:bottom w:val="outset" w:sz="6" w:space="0" w:color="auto"/>
              <w:right w:val="outset" w:sz="6" w:space="0" w:color="auto"/>
            </w:tcBorders>
            <w:shd w:val="clear" w:color="auto" w:fill="auto"/>
            <w:vAlign w:val="center"/>
          </w:tcPr>
          <w:p w14:paraId="55C69126" w14:textId="77777777" w:rsidR="00D46C8B" w:rsidRPr="00D32D79" w:rsidRDefault="00D46C8B" w:rsidP="00D46C8B">
            <w:r w:rsidRPr="00D32D79">
              <w:t>B</w:t>
            </w:r>
          </w:p>
        </w:tc>
        <w:tc>
          <w:tcPr>
            <w:tcW w:w="268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DBB5052" w14:textId="77777777" w:rsidR="00D46C8B" w:rsidRPr="00D32D79" w:rsidRDefault="00D46C8B" w:rsidP="00D46C8B">
            <w:r w:rsidRPr="00D32D79">
              <w:t>C</w:t>
            </w:r>
          </w:p>
        </w:tc>
      </w:tr>
      <w:tr w:rsidR="00D46C8B" w:rsidRPr="00D32D79" w14:paraId="779D444E" w14:textId="77777777" w:rsidTr="00A4480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jc w:val="center"/>
        </w:trPr>
        <w:tc>
          <w:tcPr>
            <w:tcW w:w="2345" w:type="dxa"/>
            <w:gridSpan w:val="3"/>
            <w:tcBorders>
              <w:top w:val="outset" w:sz="6" w:space="0" w:color="auto"/>
              <w:left w:val="outset" w:sz="6" w:space="0" w:color="auto"/>
              <w:bottom w:val="outset" w:sz="6" w:space="0" w:color="auto"/>
              <w:right w:val="outset" w:sz="6" w:space="0" w:color="auto"/>
            </w:tcBorders>
            <w:shd w:val="clear" w:color="auto" w:fill="auto"/>
          </w:tcPr>
          <w:p w14:paraId="21AB8CE0" w14:textId="77777777" w:rsidR="00D46C8B" w:rsidRPr="00D32D79" w:rsidRDefault="00D46C8B" w:rsidP="00D46C8B">
            <w:r w:rsidRPr="00D32D79">
              <w:t>Starptautiskās saistības (pēc būtības), kas izriet no norādītā starptautiskā dokumenta.</w:t>
            </w:r>
          </w:p>
          <w:p w14:paraId="4D483EE6" w14:textId="77777777" w:rsidR="00D46C8B" w:rsidRPr="00D32D79" w:rsidRDefault="00D46C8B" w:rsidP="00D46C8B">
            <w:r w:rsidRPr="00D32D79">
              <w:t>Konkrēti veicamie pasākumi vai uzdevumi, kas nepieciešami šo starptautisko saistību izpildei</w:t>
            </w:r>
          </w:p>
        </w:tc>
        <w:tc>
          <w:tcPr>
            <w:tcW w:w="3768" w:type="dxa"/>
            <w:gridSpan w:val="3"/>
            <w:tcBorders>
              <w:top w:val="outset" w:sz="6" w:space="0" w:color="auto"/>
              <w:left w:val="outset" w:sz="6" w:space="0" w:color="auto"/>
              <w:bottom w:val="outset" w:sz="6" w:space="0" w:color="auto"/>
              <w:right w:val="outset" w:sz="6" w:space="0" w:color="auto"/>
            </w:tcBorders>
            <w:shd w:val="clear" w:color="auto" w:fill="auto"/>
          </w:tcPr>
          <w:p w14:paraId="67A1C901" w14:textId="77777777" w:rsidR="00D46C8B" w:rsidRPr="00D32D79" w:rsidRDefault="00D46C8B" w:rsidP="00D46C8B">
            <w:r w:rsidRPr="00D32D79">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686" w:type="dxa"/>
            <w:gridSpan w:val="2"/>
            <w:tcBorders>
              <w:top w:val="outset" w:sz="6" w:space="0" w:color="auto"/>
              <w:left w:val="outset" w:sz="6" w:space="0" w:color="auto"/>
              <w:bottom w:val="outset" w:sz="6" w:space="0" w:color="auto"/>
              <w:right w:val="outset" w:sz="6" w:space="0" w:color="auto"/>
            </w:tcBorders>
            <w:shd w:val="clear" w:color="auto" w:fill="auto"/>
          </w:tcPr>
          <w:p w14:paraId="44A92832" w14:textId="77777777" w:rsidR="00D46C8B" w:rsidRPr="00D32D79" w:rsidRDefault="00D46C8B" w:rsidP="00D46C8B">
            <w:r w:rsidRPr="00D32D79">
              <w:t>Informācija par to, vai starptautiskās saistības, kas minētas šīs tabulas A ailē, tiek izpildītas pilnībā vai daļēji.</w:t>
            </w:r>
          </w:p>
          <w:p w14:paraId="2877D12B" w14:textId="77777777" w:rsidR="00D46C8B" w:rsidRPr="00D32D79" w:rsidRDefault="00D46C8B" w:rsidP="00D46C8B">
            <w:r w:rsidRPr="00D32D79">
              <w:t>Ja attiecīgās starptautiskās saistības tiek izpildītas daļēji, sniedz skaidrojumu, kā arī precīzi norāda, kad un kādā veidā starptautiskās saistības tiks izpildītas pilnībā.</w:t>
            </w:r>
          </w:p>
          <w:p w14:paraId="17A031A5" w14:textId="77777777" w:rsidR="00D46C8B" w:rsidRPr="00D32D79" w:rsidRDefault="00D46C8B" w:rsidP="00D46C8B">
            <w:r w:rsidRPr="00D32D79">
              <w:t>Norāda institūciju, kas ir atbildīga par šo saistību izpildi pilnībā</w:t>
            </w:r>
          </w:p>
        </w:tc>
      </w:tr>
      <w:tr w:rsidR="00D46C8B" w:rsidRPr="00D32D79" w14:paraId="5C8DED8A" w14:textId="77777777" w:rsidTr="00A4480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jc w:val="center"/>
        </w:trPr>
        <w:tc>
          <w:tcPr>
            <w:tcW w:w="2345" w:type="dxa"/>
            <w:gridSpan w:val="3"/>
            <w:tcBorders>
              <w:top w:val="outset" w:sz="6" w:space="0" w:color="auto"/>
              <w:left w:val="outset" w:sz="6" w:space="0" w:color="auto"/>
              <w:bottom w:val="outset" w:sz="6" w:space="0" w:color="auto"/>
              <w:right w:val="outset" w:sz="6" w:space="0" w:color="auto"/>
            </w:tcBorders>
            <w:shd w:val="clear" w:color="auto" w:fill="auto"/>
          </w:tcPr>
          <w:p w14:paraId="67525B78" w14:textId="77777777" w:rsidR="00D46C8B" w:rsidRPr="00D32D79" w:rsidRDefault="00D46C8B" w:rsidP="00D46C8B">
            <w:r w:rsidRPr="00D32D79">
              <w:t>Noteikumu projekts šo jomu neskar.</w:t>
            </w:r>
          </w:p>
        </w:tc>
        <w:tc>
          <w:tcPr>
            <w:tcW w:w="3768" w:type="dxa"/>
            <w:gridSpan w:val="3"/>
            <w:tcBorders>
              <w:top w:val="outset" w:sz="6" w:space="0" w:color="auto"/>
              <w:left w:val="outset" w:sz="6" w:space="0" w:color="auto"/>
              <w:bottom w:val="outset" w:sz="6" w:space="0" w:color="auto"/>
              <w:right w:val="outset" w:sz="6" w:space="0" w:color="auto"/>
            </w:tcBorders>
            <w:shd w:val="clear" w:color="auto" w:fill="auto"/>
          </w:tcPr>
          <w:p w14:paraId="5D8C039A" w14:textId="77777777" w:rsidR="00D46C8B" w:rsidRPr="00D32D79" w:rsidRDefault="00D46C8B" w:rsidP="00D46C8B">
            <w:r w:rsidRPr="00D32D79">
              <w:t>Noteikumu projekts šo jomu neskar.</w:t>
            </w:r>
          </w:p>
        </w:tc>
        <w:tc>
          <w:tcPr>
            <w:tcW w:w="2686" w:type="dxa"/>
            <w:gridSpan w:val="2"/>
            <w:tcBorders>
              <w:top w:val="outset" w:sz="6" w:space="0" w:color="auto"/>
              <w:left w:val="outset" w:sz="6" w:space="0" w:color="auto"/>
              <w:bottom w:val="outset" w:sz="6" w:space="0" w:color="auto"/>
              <w:right w:val="outset" w:sz="6" w:space="0" w:color="auto"/>
            </w:tcBorders>
            <w:shd w:val="clear" w:color="auto" w:fill="auto"/>
          </w:tcPr>
          <w:p w14:paraId="5F731232" w14:textId="77777777" w:rsidR="00D46C8B" w:rsidRPr="00D32D79" w:rsidRDefault="00D46C8B" w:rsidP="00D46C8B">
            <w:r w:rsidRPr="00D32D79">
              <w:t>Noteikumu projekts šo jomu neskar.</w:t>
            </w:r>
          </w:p>
        </w:tc>
      </w:tr>
      <w:tr w:rsidR="00D46C8B" w:rsidRPr="00D32D79" w14:paraId="4C3EACD8" w14:textId="77777777" w:rsidTr="00A4480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jc w:val="center"/>
        </w:trPr>
        <w:tc>
          <w:tcPr>
            <w:tcW w:w="2345" w:type="dxa"/>
            <w:gridSpan w:val="3"/>
            <w:tcBorders>
              <w:top w:val="outset" w:sz="6" w:space="0" w:color="auto"/>
              <w:left w:val="outset" w:sz="6" w:space="0" w:color="auto"/>
              <w:bottom w:val="outset" w:sz="6" w:space="0" w:color="auto"/>
              <w:right w:val="outset" w:sz="6" w:space="0" w:color="auto"/>
            </w:tcBorders>
            <w:shd w:val="clear" w:color="auto" w:fill="auto"/>
          </w:tcPr>
          <w:p w14:paraId="4BDEBE1E" w14:textId="77777777" w:rsidR="00D46C8B" w:rsidRPr="00D32D79" w:rsidRDefault="00D46C8B" w:rsidP="00D46C8B">
            <w:r w:rsidRPr="00D32D79">
              <w:t>Vai starptautiskajā dokumentā paredzētās saistības nav pretrunā ar jau esošajām Latvijas Republikas starptautis</w:t>
            </w:r>
            <w:r w:rsidRPr="00D32D79">
              <w:softHyphen/>
              <w:t>kajām saistībām</w:t>
            </w:r>
          </w:p>
        </w:tc>
        <w:tc>
          <w:tcPr>
            <w:tcW w:w="6454" w:type="dxa"/>
            <w:gridSpan w:val="5"/>
            <w:tcBorders>
              <w:top w:val="outset" w:sz="6" w:space="0" w:color="auto"/>
              <w:left w:val="outset" w:sz="6" w:space="0" w:color="auto"/>
              <w:bottom w:val="outset" w:sz="6" w:space="0" w:color="auto"/>
              <w:right w:val="outset" w:sz="6" w:space="0" w:color="auto"/>
            </w:tcBorders>
            <w:shd w:val="clear" w:color="auto" w:fill="auto"/>
          </w:tcPr>
          <w:p w14:paraId="3B306FD2" w14:textId="77777777" w:rsidR="00D46C8B" w:rsidRPr="00D32D79" w:rsidRDefault="00D46C8B" w:rsidP="00D46C8B">
            <w:r w:rsidRPr="00D32D79">
              <w:t>Noteikumu projekts šo jomu neskar.</w:t>
            </w:r>
          </w:p>
        </w:tc>
      </w:tr>
      <w:tr w:rsidR="00D46C8B" w:rsidRPr="00D32D79" w14:paraId="3E4F8221" w14:textId="77777777" w:rsidTr="00A44806">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PrEx>
        <w:trPr>
          <w:jc w:val="center"/>
        </w:trPr>
        <w:tc>
          <w:tcPr>
            <w:tcW w:w="2345" w:type="dxa"/>
            <w:gridSpan w:val="3"/>
            <w:tcBorders>
              <w:top w:val="outset" w:sz="6" w:space="0" w:color="auto"/>
              <w:left w:val="outset" w:sz="6" w:space="0" w:color="auto"/>
              <w:bottom w:val="outset" w:sz="6" w:space="0" w:color="auto"/>
              <w:right w:val="outset" w:sz="6" w:space="0" w:color="auto"/>
            </w:tcBorders>
            <w:shd w:val="clear" w:color="auto" w:fill="auto"/>
          </w:tcPr>
          <w:p w14:paraId="1B79C758" w14:textId="77777777" w:rsidR="00D46C8B" w:rsidRPr="00D32D79" w:rsidRDefault="00D46C8B" w:rsidP="00D46C8B">
            <w:r w:rsidRPr="00D32D79">
              <w:t>Cita informācija</w:t>
            </w:r>
          </w:p>
        </w:tc>
        <w:tc>
          <w:tcPr>
            <w:tcW w:w="6454" w:type="dxa"/>
            <w:gridSpan w:val="5"/>
            <w:tcBorders>
              <w:top w:val="outset" w:sz="6" w:space="0" w:color="auto"/>
              <w:left w:val="outset" w:sz="6" w:space="0" w:color="auto"/>
              <w:bottom w:val="outset" w:sz="6" w:space="0" w:color="auto"/>
              <w:right w:val="outset" w:sz="6" w:space="0" w:color="auto"/>
            </w:tcBorders>
            <w:shd w:val="clear" w:color="auto" w:fill="auto"/>
          </w:tcPr>
          <w:p w14:paraId="29E12B86" w14:textId="77777777" w:rsidR="00D46C8B" w:rsidRPr="00D32D79" w:rsidRDefault="00D46C8B" w:rsidP="00D46C8B">
            <w:r w:rsidRPr="00D32D79">
              <w:t>Nav.</w:t>
            </w:r>
          </w:p>
        </w:tc>
      </w:tr>
    </w:tbl>
    <w:p w14:paraId="0B400CA6" w14:textId="77777777" w:rsidR="00016659" w:rsidRPr="00D32D79" w:rsidRDefault="00016659" w:rsidP="0004595D">
      <w:pPr>
        <w:rPr>
          <w:sz w:val="20"/>
          <w:szCs w:val="20"/>
        </w:rPr>
      </w:pPr>
    </w:p>
    <w:tbl>
      <w:tblPr>
        <w:tblW w:w="4968" w:type="pct"/>
        <w:tblInd w:w="-11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507"/>
        <w:gridCol w:w="2904"/>
        <w:gridCol w:w="5586"/>
      </w:tblGrid>
      <w:tr w:rsidR="00BF3649" w:rsidRPr="00D32D79" w14:paraId="1F9A4861" w14:textId="77777777" w:rsidTr="00D151FA">
        <w:tc>
          <w:tcPr>
            <w:tcW w:w="9073" w:type="dxa"/>
            <w:gridSpan w:val="3"/>
            <w:tcBorders>
              <w:top w:val="outset" w:sz="6" w:space="0" w:color="000000"/>
              <w:left w:val="outset" w:sz="6" w:space="0" w:color="000000"/>
              <w:bottom w:val="outset" w:sz="6" w:space="0" w:color="000000"/>
              <w:right w:val="outset" w:sz="6" w:space="0" w:color="000000"/>
            </w:tcBorders>
            <w:shd w:val="clear" w:color="auto" w:fill="auto"/>
          </w:tcPr>
          <w:p w14:paraId="3331FBEB" w14:textId="77777777" w:rsidR="00BF3649" w:rsidRPr="00D32D79" w:rsidRDefault="00BF3649" w:rsidP="0004595D">
            <w:pPr>
              <w:jc w:val="center"/>
              <w:rPr>
                <w:b/>
                <w:bCs/>
              </w:rPr>
            </w:pPr>
            <w:r w:rsidRPr="00D32D79">
              <w:rPr>
                <w:b/>
                <w:bCs/>
              </w:rPr>
              <w:t xml:space="preserve">VI. </w:t>
            </w:r>
            <w:r w:rsidRPr="00D32D79">
              <w:rPr>
                <w:b/>
              </w:rPr>
              <w:t>Sabiedrības līdzdalība un komunikācijas aktivitātes</w:t>
            </w:r>
          </w:p>
        </w:tc>
      </w:tr>
      <w:tr w:rsidR="00BF3649" w:rsidRPr="00D32D79" w14:paraId="56D208A7" w14:textId="77777777" w:rsidTr="00D151FA">
        <w:tc>
          <w:tcPr>
            <w:tcW w:w="510" w:type="dxa"/>
            <w:tcBorders>
              <w:top w:val="outset" w:sz="6" w:space="0" w:color="000000"/>
              <w:left w:val="outset" w:sz="6" w:space="0" w:color="000000"/>
              <w:bottom w:val="outset" w:sz="6" w:space="0" w:color="000000"/>
              <w:right w:val="outset" w:sz="6" w:space="0" w:color="000000"/>
            </w:tcBorders>
            <w:shd w:val="clear" w:color="auto" w:fill="auto"/>
          </w:tcPr>
          <w:p w14:paraId="7CD77B30" w14:textId="77777777" w:rsidR="00BF3649" w:rsidRPr="00D32D79" w:rsidRDefault="00BF3649" w:rsidP="0004595D">
            <w:pPr>
              <w:jc w:val="center"/>
            </w:pPr>
            <w:r w:rsidRPr="00D32D79">
              <w:t>1.</w:t>
            </w:r>
          </w:p>
        </w:tc>
        <w:tc>
          <w:tcPr>
            <w:tcW w:w="2929" w:type="dxa"/>
            <w:tcBorders>
              <w:top w:val="outset" w:sz="6" w:space="0" w:color="000000"/>
              <w:left w:val="outset" w:sz="6" w:space="0" w:color="000000"/>
              <w:bottom w:val="outset" w:sz="6" w:space="0" w:color="000000"/>
              <w:right w:val="outset" w:sz="6" w:space="0" w:color="000000"/>
            </w:tcBorders>
            <w:shd w:val="clear" w:color="auto" w:fill="auto"/>
          </w:tcPr>
          <w:p w14:paraId="719DEB5A" w14:textId="77777777" w:rsidR="00BF3649" w:rsidRPr="00D32D79" w:rsidRDefault="00BF3649" w:rsidP="0004595D">
            <w:r w:rsidRPr="00D32D79">
              <w:t>Plānotās sabiedrības līdzdalības un komunikācijas aktivitātes saistībā ar projektu</w:t>
            </w:r>
          </w:p>
        </w:tc>
        <w:tc>
          <w:tcPr>
            <w:tcW w:w="5634" w:type="dxa"/>
            <w:tcBorders>
              <w:top w:val="outset" w:sz="6" w:space="0" w:color="000000"/>
              <w:left w:val="outset" w:sz="6" w:space="0" w:color="000000"/>
              <w:bottom w:val="outset" w:sz="6" w:space="0" w:color="000000"/>
              <w:right w:val="outset" w:sz="6" w:space="0" w:color="000000"/>
            </w:tcBorders>
            <w:shd w:val="clear" w:color="auto" w:fill="auto"/>
          </w:tcPr>
          <w:p w14:paraId="5B0DAF5C" w14:textId="77777777" w:rsidR="00CB223C" w:rsidRPr="00D32D79" w:rsidRDefault="00CB223C" w:rsidP="00CB223C">
            <w:pPr>
              <w:ind w:right="85"/>
              <w:jc w:val="both"/>
            </w:pPr>
            <w:r w:rsidRPr="00D32D79">
              <w:t>8.2.2. SAM ietvaros plānotās atbalstāmās darbības, kas tajā skaitā veicinās jaunas pedagogu izglītības sistēmas veidošanu, tika apspriestas 2017. gada 6. septembra IZM izveidotās darba grupas “Par darba grupas izveidi konceptuāli jaunas skolotāju izglītības sistēmas izveidošanai” (izveidota saskaņā ar Ministru kabineta 2017.gada 28.marta sēdes prot. Nr. 16. 52. § 3. punktu) trešās sanāksmes ietvaros, kā arī 2017. gada 13. septembrī publiskajā diskusijā “Skolotāju izglītības modernizācija viedās specializācijas stratēģijas īstenošanai”.</w:t>
            </w:r>
          </w:p>
          <w:p w14:paraId="711F3F73" w14:textId="12DBA383" w:rsidR="00BF3649" w:rsidRPr="00D32D79" w:rsidRDefault="00CB223C" w:rsidP="00CB223C">
            <w:pPr>
              <w:ind w:right="85"/>
              <w:jc w:val="both"/>
            </w:pPr>
            <w:r w:rsidRPr="00D32D79">
              <w:t>Īstenojot 8.2.2. SAM projektu, finansējuma saņēmēji nodrošina informācijas un publicitātes pasākumus atbilstoši normatīvajiem aktiem par kārtību, kādā ES struktūrfondu un Kohēzijas fonda ieviešanā 2014.–2020. gada plānošanas periodā nodrošināma komunikācijas un vizuālās identitātes prasību ievērošana.</w:t>
            </w:r>
          </w:p>
        </w:tc>
      </w:tr>
      <w:tr w:rsidR="00BF3649" w:rsidRPr="00D32D79" w14:paraId="39307216" w14:textId="77777777" w:rsidTr="00D151FA">
        <w:tc>
          <w:tcPr>
            <w:tcW w:w="510" w:type="dxa"/>
            <w:tcBorders>
              <w:top w:val="outset" w:sz="6" w:space="0" w:color="000000"/>
              <w:left w:val="outset" w:sz="6" w:space="0" w:color="000000"/>
              <w:bottom w:val="outset" w:sz="6" w:space="0" w:color="000000"/>
              <w:right w:val="outset" w:sz="6" w:space="0" w:color="000000"/>
            </w:tcBorders>
            <w:shd w:val="clear" w:color="auto" w:fill="auto"/>
          </w:tcPr>
          <w:p w14:paraId="52A2C702" w14:textId="77777777" w:rsidR="00BF3649" w:rsidRPr="00D32D79" w:rsidRDefault="00BF3649" w:rsidP="0004595D">
            <w:pPr>
              <w:jc w:val="center"/>
            </w:pPr>
            <w:r w:rsidRPr="00D32D79">
              <w:t>2.</w:t>
            </w:r>
          </w:p>
        </w:tc>
        <w:tc>
          <w:tcPr>
            <w:tcW w:w="2929" w:type="dxa"/>
            <w:tcBorders>
              <w:top w:val="outset" w:sz="6" w:space="0" w:color="000000"/>
              <w:left w:val="outset" w:sz="6" w:space="0" w:color="000000"/>
              <w:bottom w:val="outset" w:sz="6" w:space="0" w:color="000000"/>
              <w:right w:val="outset" w:sz="6" w:space="0" w:color="000000"/>
            </w:tcBorders>
            <w:shd w:val="clear" w:color="auto" w:fill="auto"/>
          </w:tcPr>
          <w:p w14:paraId="49B9777C" w14:textId="77777777" w:rsidR="00BF3649" w:rsidRPr="00D32D79" w:rsidRDefault="007D27E5" w:rsidP="0004595D">
            <w:r w:rsidRPr="00D32D79">
              <w:t>Sabiedrības līdzdalība projekta izstrādē</w:t>
            </w:r>
          </w:p>
        </w:tc>
        <w:tc>
          <w:tcPr>
            <w:tcW w:w="5634" w:type="dxa"/>
            <w:tcBorders>
              <w:top w:val="outset" w:sz="6" w:space="0" w:color="000000"/>
              <w:left w:val="outset" w:sz="6" w:space="0" w:color="000000"/>
              <w:bottom w:val="outset" w:sz="6" w:space="0" w:color="000000"/>
              <w:right w:val="outset" w:sz="6" w:space="0" w:color="000000"/>
            </w:tcBorders>
            <w:shd w:val="clear" w:color="auto" w:fill="auto"/>
          </w:tcPr>
          <w:p w14:paraId="6B29AF21" w14:textId="7DBFC2CF" w:rsidR="008200DE" w:rsidRPr="00D32D79" w:rsidRDefault="002C7707" w:rsidP="00D151FA">
            <w:pPr>
              <w:jc w:val="both"/>
            </w:pPr>
            <w:r w:rsidRPr="00D32D79">
              <w:rPr>
                <w:bCs/>
              </w:rPr>
              <w:t>Sabiedrības līdzdalība noteikumu projekta izstrādē nodrošināta, ievietojot noteikumu projektu ministrijas tīmekļa vietnē</w:t>
            </w:r>
            <w:r w:rsidRPr="00D32D79">
              <w:rPr>
                <w:rStyle w:val="FootnoteReference"/>
                <w:bCs/>
              </w:rPr>
              <w:footnoteReference w:id="15"/>
            </w:r>
            <w:r w:rsidRPr="00D32D79">
              <w:rPr>
                <w:bCs/>
              </w:rPr>
              <w:t xml:space="preserve">  un aicinot sabiedrības pārstāvjus rakstiski sniegt viedokli par noteikumu projektu tā izstrādes stadijā – nosūtot elektroniski uz e-pastu: pasts@izm.gov.lv, esf@izm.gov.lv vai sniedzot viedokli klātienē</w:t>
            </w:r>
            <w:r w:rsidR="007E1B57" w:rsidRPr="00D32D79">
              <w:rPr>
                <w:bCs/>
              </w:rPr>
              <w:t xml:space="preserve"> IZM</w:t>
            </w:r>
            <w:r w:rsidRPr="00D32D79">
              <w:rPr>
                <w:bCs/>
              </w:rPr>
              <w:t>.</w:t>
            </w:r>
            <w:r w:rsidR="00F50935" w:rsidRPr="00D32D79">
              <w:t xml:space="preserve"> </w:t>
            </w:r>
          </w:p>
        </w:tc>
      </w:tr>
      <w:tr w:rsidR="00BF3649" w:rsidRPr="00D32D79" w14:paraId="12F13B9C" w14:textId="77777777" w:rsidTr="00D151FA">
        <w:tc>
          <w:tcPr>
            <w:tcW w:w="510" w:type="dxa"/>
            <w:tcBorders>
              <w:top w:val="outset" w:sz="6" w:space="0" w:color="000000"/>
              <w:left w:val="outset" w:sz="6" w:space="0" w:color="000000"/>
              <w:bottom w:val="outset" w:sz="6" w:space="0" w:color="000000"/>
              <w:right w:val="outset" w:sz="6" w:space="0" w:color="000000"/>
            </w:tcBorders>
            <w:shd w:val="clear" w:color="auto" w:fill="auto"/>
          </w:tcPr>
          <w:p w14:paraId="12957B74" w14:textId="77777777" w:rsidR="00BF3649" w:rsidRPr="00D32D79" w:rsidRDefault="00BF3649" w:rsidP="0004595D">
            <w:pPr>
              <w:jc w:val="center"/>
            </w:pPr>
            <w:r w:rsidRPr="00D32D79">
              <w:t>3.</w:t>
            </w:r>
          </w:p>
        </w:tc>
        <w:tc>
          <w:tcPr>
            <w:tcW w:w="2929" w:type="dxa"/>
            <w:tcBorders>
              <w:top w:val="outset" w:sz="6" w:space="0" w:color="000000"/>
              <w:left w:val="outset" w:sz="6" w:space="0" w:color="000000"/>
              <w:bottom w:val="outset" w:sz="6" w:space="0" w:color="000000"/>
              <w:right w:val="outset" w:sz="6" w:space="0" w:color="000000"/>
            </w:tcBorders>
            <w:shd w:val="clear" w:color="auto" w:fill="auto"/>
          </w:tcPr>
          <w:p w14:paraId="0BADD33B" w14:textId="77777777" w:rsidR="00BF3649" w:rsidRPr="00D32D79" w:rsidRDefault="007D27E5" w:rsidP="0004595D">
            <w:r w:rsidRPr="00D32D79">
              <w:t>Sabiedrības līdzdalības rezultāti</w:t>
            </w:r>
          </w:p>
        </w:tc>
        <w:tc>
          <w:tcPr>
            <w:tcW w:w="5634" w:type="dxa"/>
            <w:tcBorders>
              <w:top w:val="outset" w:sz="6" w:space="0" w:color="000000"/>
              <w:left w:val="outset" w:sz="6" w:space="0" w:color="000000"/>
              <w:bottom w:val="outset" w:sz="6" w:space="0" w:color="000000"/>
              <w:right w:val="outset" w:sz="6" w:space="0" w:color="000000"/>
            </w:tcBorders>
            <w:shd w:val="clear" w:color="auto" w:fill="auto"/>
          </w:tcPr>
          <w:p w14:paraId="268D39DB" w14:textId="0871BDBD" w:rsidR="00BF3649" w:rsidRPr="00D32D79" w:rsidRDefault="007A2017" w:rsidP="007E1B57">
            <w:pPr>
              <w:jc w:val="both"/>
              <w:rPr>
                <w:b/>
              </w:rPr>
            </w:pPr>
            <w:r w:rsidRPr="00D32D79">
              <w:t>Noteikumu projekt</w:t>
            </w:r>
            <w:r w:rsidR="007E1B57" w:rsidRPr="00D32D79">
              <w:t>u</w:t>
            </w:r>
            <w:r w:rsidRPr="00D32D79">
              <w:t xml:space="preserve"> izsludinās </w:t>
            </w:r>
            <w:r w:rsidRPr="00D32D79">
              <w:rPr>
                <w:bCs/>
              </w:rPr>
              <w:t xml:space="preserve">Valsts sekretāru sanāksmē. </w:t>
            </w:r>
            <w:r w:rsidRPr="00D32D79">
              <w:t>Partneru un ieinteresēto organizāciju izteiktie iebildumi un priekšlikumi tiks analizēti un iestrādāti noteikumu projektā.</w:t>
            </w:r>
          </w:p>
        </w:tc>
      </w:tr>
      <w:tr w:rsidR="00BF3649" w:rsidRPr="00D32D79" w14:paraId="4E6FF9CB" w14:textId="77777777" w:rsidTr="00D151FA">
        <w:tc>
          <w:tcPr>
            <w:tcW w:w="510" w:type="dxa"/>
            <w:tcBorders>
              <w:top w:val="outset" w:sz="6" w:space="0" w:color="000000"/>
              <w:left w:val="outset" w:sz="6" w:space="0" w:color="000000"/>
              <w:bottom w:val="outset" w:sz="6" w:space="0" w:color="000000"/>
              <w:right w:val="outset" w:sz="6" w:space="0" w:color="000000"/>
            </w:tcBorders>
            <w:shd w:val="clear" w:color="auto" w:fill="auto"/>
          </w:tcPr>
          <w:p w14:paraId="4B889A3A" w14:textId="77777777" w:rsidR="00BF3649" w:rsidRPr="00D32D79" w:rsidRDefault="00BF3649" w:rsidP="0004595D">
            <w:pPr>
              <w:jc w:val="center"/>
            </w:pPr>
            <w:r w:rsidRPr="00D32D79">
              <w:t>4.</w:t>
            </w:r>
          </w:p>
        </w:tc>
        <w:tc>
          <w:tcPr>
            <w:tcW w:w="2929" w:type="dxa"/>
            <w:tcBorders>
              <w:top w:val="outset" w:sz="6" w:space="0" w:color="000000"/>
              <w:left w:val="outset" w:sz="6" w:space="0" w:color="000000"/>
              <w:bottom w:val="outset" w:sz="6" w:space="0" w:color="000000"/>
              <w:right w:val="outset" w:sz="6" w:space="0" w:color="000000"/>
            </w:tcBorders>
            <w:shd w:val="clear" w:color="auto" w:fill="auto"/>
          </w:tcPr>
          <w:p w14:paraId="529172A5" w14:textId="77777777" w:rsidR="00BF3649" w:rsidRPr="00D32D79" w:rsidRDefault="00BF3649" w:rsidP="0004595D">
            <w:r w:rsidRPr="00D32D79">
              <w:t>Cita informācija</w:t>
            </w:r>
          </w:p>
        </w:tc>
        <w:tc>
          <w:tcPr>
            <w:tcW w:w="5634" w:type="dxa"/>
            <w:tcBorders>
              <w:top w:val="outset" w:sz="6" w:space="0" w:color="000000"/>
              <w:left w:val="outset" w:sz="6" w:space="0" w:color="000000"/>
              <w:bottom w:val="outset" w:sz="6" w:space="0" w:color="000000"/>
              <w:right w:val="outset" w:sz="6" w:space="0" w:color="000000"/>
            </w:tcBorders>
            <w:shd w:val="clear" w:color="auto" w:fill="auto"/>
          </w:tcPr>
          <w:p w14:paraId="7028E4BD" w14:textId="4B94F392" w:rsidR="002C7707" w:rsidRPr="00D32D79" w:rsidRDefault="002C7707" w:rsidP="002C7707">
            <w:pPr>
              <w:rPr>
                <w:iCs/>
              </w:rPr>
            </w:pPr>
            <w:r w:rsidRPr="00D32D79">
              <w:rPr>
                <w:iCs/>
              </w:rPr>
              <w:t>Noteikumu projektu plānots izsludināt Valsts sekretāru sanāksmē 2017. gada 26. oktobrī.</w:t>
            </w:r>
          </w:p>
          <w:p w14:paraId="30E7FA09" w14:textId="3E511A05" w:rsidR="00BF3649" w:rsidRPr="00D32D79" w:rsidRDefault="002C7707" w:rsidP="002C7707">
            <w:pPr>
              <w:rPr>
                <w:iCs/>
              </w:rPr>
            </w:pPr>
            <w:r w:rsidRPr="00D32D79">
              <w:rPr>
                <w:iCs/>
              </w:rPr>
              <w:t>8.2.2. SAM projekta iesniegumu vērtēšanas kritēriji tiks izskatīti ES struktūrfondu un Kohēzijas fonda 2014.–2020. gada plānošanas perioda Izglītības, prasmju un mūžizglītības prioritārā virziena apakškomitejas 2017. gada 16.novembra sēdē.</w:t>
            </w:r>
          </w:p>
        </w:tc>
      </w:tr>
    </w:tbl>
    <w:p w14:paraId="38CEC85F" w14:textId="77777777" w:rsidR="00BF3649" w:rsidRPr="00D32D79" w:rsidRDefault="00BF3649" w:rsidP="0004595D">
      <w:pPr>
        <w:rPr>
          <w:sz w:val="20"/>
          <w:szCs w:val="20"/>
        </w:rPr>
      </w:pPr>
    </w:p>
    <w:tbl>
      <w:tblPr>
        <w:tblW w:w="5045"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85"/>
        <w:gridCol w:w="3654"/>
        <w:gridCol w:w="4997"/>
      </w:tblGrid>
      <w:tr w:rsidR="0063775D" w:rsidRPr="00D32D79" w14:paraId="766BE687" w14:textId="77777777" w:rsidTr="00D151FA">
        <w:tc>
          <w:tcPr>
            <w:tcW w:w="5000" w:type="pct"/>
            <w:gridSpan w:val="3"/>
            <w:tcBorders>
              <w:top w:val="outset" w:sz="6" w:space="0" w:color="000000"/>
              <w:left w:val="outset" w:sz="6" w:space="0" w:color="000000"/>
              <w:bottom w:val="outset" w:sz="6" w:space="0" w:color="000000"/>
              <w:right w:val="outset" w:sz="6" w:space="0" w:color="000000"/>
            </w:tcBorders>
            <w:shd w:val="clear" w:color="auto" w:fill="auto"/>
          </w:tcPr>
          <w:p w14:paraId="6FE9C65E" w14:textId="77777777" w:rsidR="0063775D" w:rsidRPr="00D32D79" w:rsidRDefault="0063775D" w:rsidP="00CF4C64">
            <w:pPr>
              <w:pStyle w:val="NormalWeb"/>
              <w:spacing w:before="0" w:after="0"/>
              <w:jc w:val="center"/>
              <w:rPr>
                <w:b/>
                <w:bCs/>
              </w:rPr>
            </w:pPr>
            <w:r w:rsidRPr="00D32D79">
              <w:rPr>
                <w:b/>
                <w:bCs/>
              </w:rPr>
              <w:t xml:space="preserve">VII. </w:t>
            </w:r>
            <w:r w:rsidR="002358F8" w:rsidRPr="00D32D79">
              <w:rPr>
                <w:b/>
              </w:rPr>
              <w:t>Tiesību akta projekta izpildes nodrošināšana un tās ietekme uz institūcijām</w:t>
            </w:r>
          </w:p>
        </w:tc>
      </w:tr>
      <w:tr w:rsidR="0063775D" w:rsidRPr="00D32D79" w14:paraId="1007F769" w14:textId="77777777" w:rsidTr="00D151FA">
        <w:tc>
          <w:tcPr>
            <w:tcW w:w="265" w:type="pct"/>
            <w:tcBorders>
              <w:top w:val="outset" w:sz="6" w:space="0" w:color="000000"/>
              <w:left w:val="outset" w:sz="6" w:space="0" w:color="000000"/>
              <w:bottom w:val="outset" w:sz="6" w:space="0" w:color="000000"/>
              <w:right w:val="outset" w:sz="6" w:space="0" w:color="000000"/>
            </w:tcBorders>
            <w:shd w:val="clear" w:color="auto" w:fill="auto"/>
          </w:tcPr>
          <w:p w14:paraId="2477B5EA" w14:textId="77777777" w:rsidR="0063775D" w:rsidRPr="00D32D79" w:rsidRDefault="0063775D" w:rsidP="0004595D">
            <w:pPr>
              <w:jc w:val="center"/>
            </w:pPr>
            <w:r w:rsidRPr="00D32D79">
              <w:t>1.</w:t>
            </w:r>
          </w:p>
        </w:tc>
        <w:tc>
          <w:tcPr>
            <w:tcW w:w="2000" w:type="pct"/>
            <w:tcBorders>
              <w:top w:val="outset" w:sz="6" w:space="0" w:color="000000"/>
              <w:left w:val="outset" w:sz="6" w:space="0" w:color="000000"/>
              <w:bottom w:val="outset" w:sz="6" w:space="0" w:color="000000"/>
              <w:right w:val="outset" w:sz="6" w:space="0" w:color="000000"/>
            </w:tcBorders>
            <w:shd w:val="clear" w:color="auto" w:fill="auto"/>
          </w:tcPr>
          <w:p w14:paraId="1F8AA900" w14:textId="77777777" w:rsidR="0063775D" w:rsidRPr="00D32D79" w:rsidRDefault="0063775D" w:rsidP="0004595D">
            <w:r w:rsidRPr="00D32D79">
              <w:t>Projekta izpildē iesaistītās institūcijas</w:t>
            </w:r>
          </w:p>
        </w:tc>
        <w:tc>
          <w:tcPr>
            <w:tcW w:w="2734" w:type="pct"/>
            <w:tcBorders>
              <w:top w:val="outset" w:sz="6" w:space="0" w:color="000000"/>
              <w:left w:val="outset" w:sz="6" w:space="0" w:color="000000"/>
              <w:bottom w:val="outset" w:sz="6" w:space="0" w:color="000000"/>
              <w:right w:val="outset" w:sz="6" w:space="0" w:color="000000"/>
            </w:tcBorders>
            <w:shd w:val="clear" w:color="auto" w:fill="auto"/>
          </w:tcPr>
          <w:p w14:paraId="5D5B7016" w14:textId="77777777" w:rsidR="002C7707" w:rsidRPr="00D32D79" w:rsidRDefault="002C7707" w:rsidP="002C7707">
            <w:pPr>
              <w:jc w:val="both"/>
            </w:pPr>
            <w:r w:rsidRPr="00D32D79">
              <w:t>Ministrija kā atbildīgā iestāde, Centrālā finanšu un līgumu aģentūra kā sadarbības iestāde.</w:t>
            </w:r>
          </w:p>
          <w:p w14:paraId="25823A6C" w14:textId="17E7E15F" w:rsidR="0063775D" w:rsidRPr="00D32D79" w:rsidRDefault="002C7707" w:rsidP="002C7707">
            <w:pPr>
              <w:jc w:val="both"/>
            </w:pPr>
            <w:r w:rsidRPr="00D32D79">
              <w:t>Augstākās izglītības institūcijas kā ES fondu finansējuma saņēmējs.</w:t>
            </w:r>
          </w:p>
        </w:tc>
      </w:tr>
      <w:tr w:rsidR="0063775D" w:rsidRPr="00D32D79" w14:paraId="44849221" w14:textId="77777777" w:rsidTr="00D151FA">
        <w:tc>
          <w:tcPr>
            <w:tcW w:w="265" w:type="pct"/>
            <w:tcBorders>
              <w:top w:val="outset" w:sz="6" w:space="0" w:color="000000"/>
              <w:left w:val="outset" w:sz="6" w:space="0" w:color="000000"/>
              <w:bottom w:val="outset" w:sz="6" w:space="0" w:color="000000"/>
              <w:right w:val="outset" w:sz="6" w:space="0" w:color="000000"/>
            </w:tcBorders>
            <w:shd w:val="clear" w:color="auto" w:fill="auto"/>
          </w:tcPr>
          <w:p w14:paraId="1CAB3723" w14:textId="77777777" w:rsidR="0063775D" w:rsidRPr="00D32D79" w:rsidRDefault="0063775D" w:rsidP="0004595D">
            <w:pPr>
              <w:jc w:val="center"/>
            </w:pPr>
            <w:r w:rsidRPr="00D32D79">
              <w:t>2.</w:t>
            </w:r>
          </w:p>
        </w:tc>
        <w:tc>
          <w:tcPr>
            <w:tcW w:w="2000" w:type="pct"/>
            <w:tcBorders>
              <w:top w:val="outset" w:sz="6" w:space="0" w:color="000000"/>
              <w:left w:val="outset" w:sz="6" w:space="0" w:color="000000"/>
              <w:bottom w:val="outset" w:sz="6" w:space="0" w:color="000000"/>
              <w:right w:val="outset" w:sz="6" w:space="0" w:color="000000"/>
            </w:tcBorders>
            <w:shd w:val="clear" w:color="auto" w:fill="auto"/>
          </w:tcPr>
          <w:p w14:paraId="6F6EF1D5" w14:textId="77777777" w:rsidR="002358F8" w:rsidRPr="00D32D79" w:rsidRDefault="002358F8" w:rsidP="00E50C37">
            <w:r w:rsidRPr="00D32D79">
              <w:t xml:space="preserve">Projekta izpildes ietekme uz pārvaldes funkcijām un institucionālo struktūru. </w:t>
            </w:r>
          </w:p>
          <w:p w14:paraId="0E407A75" w14:textId="77777777" w:rsidR="0063775D" w:rsidRPr="00D32D79" w:rsidRDefault="002358F8" w:rsidP="00E50C37">
            <w:r w:rsidRPr="00D32D79">
              <w:t>Jaunu institūciju izveide, esošu institūciju likvidācija vai reorganizācija, to ietekme uz institūcijas cilvēkresursiem</w:t>
            </w:r>
          </w:p>
        </w:tc>
        <w:tc>
          <w:tcPr>
            <w:tcW w:w="2734" w:type="pct"/>
            <w:tcBorders>
              <w:top w:val="outset" w:sz="6" w:space="0" w:color="000000"/>
              <w:left w:val="outset" w:sz="6" w:space="0" w:color="000000"/>
              <w:bottom w:val="outset" w:sz="6" w:space="0" w:color="000000"/>
              <w:right w:val="outset" w:sz="6" w:space="0" w:color="000000"/>
            </w:tcBorders>
            <w:shd w:val="clear" w:color="auto" w:fill="auto"/>
          </w:tcPr>
          <w:p w14:paraId="5AA69A91" w14:textId="14E1A500" w:rsidR="00091842" w:rsidRPr="00D32D79" w:rsidRDefault="002C7707" w:rsidP="0004595D">
            <w:pPr>
              <w:jc w:val="both"/>
              <w:rPr>
                <w:b/>
              </w:rPr>
            </w:pPr>
            <w:r w:rsidRPr="00D32D79">
              <w:t>Netiek paplašinātas vai sašaurinātas esošo institūciju funkcijas, kā arī nav plānota jaunu institūciju izveide, esošo institūciju likvidācija vai reorganizācija.</w:t>
            </w:r>
          </w:p>
        </w:tc>
      </w:tr>
      <w:tr w:rsidR="0063775D" w:rsidRPr="00D32D79" w14:paraId="5887A2A8" w14:textId="77777777" w:rsidTr="00D151FA">
        <w:tc>
          <w:tcPr>
            <w:tcW w:w="265" w:type="pct"/>
            <w:tcBorders>
              <w:top w:val="outset" w:sz="6" w:space="0" w:color="000000"/>
              <w:left w:val="outset" w:sz="6" w:space="0" w:color="000000"/>
              <w:bottom w:val="outset" w:sz="6" w:space="0" w:color="000000"/>
              <w:right w:val="outset" w:sz="6" w:space="0" w:color="000000"/>
            </w:tcBorders>
            <w:shd w:val="clear" w:color="auto" w:fill="auto"/>
          </w:tcPr>
          <w:p w14:paraId="2CE6D395" w14:textId="77777777" w:rsidR="0063775D" w:rsidRPr="00D32D79" w:rsidRDefault="002358F8" w:rsidP="0004595D">
            <w:pPr>
              <w:jc w:val="center"/>
            </w:pPr>
            <w:r w:rsidRPr="00D32D79">
              <w:t>3</w:t>
            </w:r>
            <w:r w:rsidR="0063775D" w:rsidRPr="00D32D79">
              <w:t>.</w:t>
            </w:r>
          </w:p>
        </w:tc>
        <w:tc>
          <w:tcPr>
            <w:tcW w:w="2000" w:type="pct"/>
            <w:tcBorders>
              <w:top w:val="outset" w:sz="6" w:space="0" w:color="000000"/>
              <w:left w:val="outset" w:sz="6" w:space="0" w:color="000000"/>
              <w:bottom w:val="outset" w:sz="6" w:space="0" w:color="000000"/>
              <w:right w:val="outset" w:sz="6" w:space="0" w:color="000000"/>
            </w:tcBorders>
            <w:shd w:val="clear" w:color="auto" w:fill="auto"/>
          </w:tcPr>
          <w:p w14:paraId="2E4FBB92" w14:textId="77777777" w:rsidR="0063775D" w:rsidRPr="00D32D79" w:rsidRDefault="0063775D" w:rsidP="0004595D">
            <w:r w:rsidRPr="00D32D79">
              <w:t>Cita informācija</w:t>
            </w:r>
          </w:p>
        </w:tc>
        <w:tc>
          <w:tcPr>
            <w:tcW w:w="2734" w:type="pct"/>
            <w:tcBorders>
              <w:top w:val="outset" w:sz="6" w:space="0" w:color="000000"/>
              <w:left w:val="outset" w:sz="6" w:space="0" w:color="000000"/>
              <w:bottom w:val="outset" w:sz="6" w:space="0" w:color="000000"/>
              <w:right w:val="outset" w:sz="6" w:space="0" w:color="000000"/>
            </w:tcBorders>
            <w:shd w:val="clear" w:color="auto" w:fill="auto"/>
          </w:tcPr>
          <w:p w14:paraId="43DB8B9B" w14:textId="77777777" w:rsidR="0063775D" w:rsidRPr="00D32D79" w:rsidRDefault="0063775D" w:rsidP="0004595D">
            <w:r w:rsidRPr="00D32D79">
              <w:t>Nav</w:t>
            </w:r>
          </w:p>
        </w:tc>
      </w:tr>
    </w:tbl>
    <w:p w14:paraId="6677EFB4" w14:textId="77777777" w:rsidR="00A57AA7" w:rsidRPr="00D32D79" w:rsidRDefault="00A57AA7" w:rsidP="0004595D">
      <w:pPr>
        <w:rPr>
          <w:sz w:val="20"/>
          <w:szCs w:val="20"/>
        </w:rPr>
      </w:pPr>
    </w:p>
    <w:p w14:paraId="2B353453" w14:textId="77777777" w:rsidR="00E549F9" w:rsidRPr="00D32D79" w:rsidRDefault="00E549F9" w:rsidP="005D501A">
      <w:pPr>
        <w:jc w:val="both"/>
      </w:pPr>
    </w:p>
    <w:p w14:paraId="792DF0F7" w14:textId="0F1C9775" w:rsidR="002C7707" w:rsidRPr="00D32D79" w:rsidRDefault="002C7707" w:rsidP="002C7707">
      <w:pPr>
        <w:jc w:val="both"/>
        <w:rPr>
          <w:sz w:val="28"/>
        </w:rPr>
      </w:pPr>
      <w:r w:rsidRPr="00D32D79">
        <w:rPr>
          <w:sz w:val="28"/>
        </w:rPr>
        <w:t>Izglītības un zinātnes ministrs</w:t>
      </w:r>
      <w:r w:rsidRPr="00D32D79">
        <w:rPr>
          <w:sz w:val="28"/>
        </w:rPr>
        <w:tab/>
      </w:r>
      <w:r w:rsidRPr="00D32D79">
        <w:rPr>
          <w:sz w:val="28"/>
        </w:rPr>
        <w:tab/>
      </w:r>
      <w:r w:rsidRPr="00D32D79">
        <w:rPr>
          <w:sz w:val="28"/>
        </w:rPr>
        <w:tab/>
      </w:r>
      <w:r w:rsidRPr="00D32D79">
        <w:rPr>
          <w:sz w:val="28"/>
        </w:rPr>
        <w:tab/>
      </w:r>
      <w:r w:rsidRPr="00D32D79">
        <w:rPr>
          <w:sz w:val="28"/>
        </w:rPr>
        <w:tab/>
      </w:r>
      <w:r w:rsidRPr="00D32D79">
        <w:rPr>
          <w:sz w:val="28"/>
        </w:rPr>
        <w:tab/>
        <w:t>K. Šadurskis</w:t>
      </w:r>
    </w:p>
    <w:p w14:paraId="72823AF9" w14:textId="77777777" w:rsidR="002C7707" w:rsidRPr="00D32D79" w:rsidRDefault="002C7707" w:rsidP="002C7707">
      <w:pPr>
        <w:jc w:val="both"/>
        <w:rPr>
          <w:sz w:val="28"/>
        </w:rPr>
      </w:pPr>
    </w:p>
    <w:p w14:paraId="091D5D6B" w14:textId="77777777" w:rsidR="002C7707" w:rsidRPr="00D32D79" w:rsidRDefault="002C7707" w:rsidP="002C7707">
      <w:pPr>
        <w:jc w:val="both"/>
        <w:rPr>
          <w:sz w:val="28"/>
        </w:rPr>
      </w:pPr>
    </w:p>
    <w:p w14:paraId="46958832" w14:textId="72F85C5F" w:rsidR="002C7707" w:rsidRPr="00D32D79" w:rsidRDefault="002C7707" w:rsidP="002C7707">
      <w:pPr>
        <w:jc w:val="both"/>
        <w:rPr>
          <w:sz w:val="28"/>
        </w:rPr>
      </w:pPr>
      <w:r w:rsidRPr="00D32D79">
        <w:rPr>
          <w:sz w:val="28"/>
        </w:rPr>
        <w:t>Vizē: valsts sekretāre</w:t>
      </w:r>
      <w:r w:rsidRPr="00D32D79">
        <w:rPr>
          <w:sz w:val="28"/>
        </w:rPr>
        <w:tab/>
      </w:r>
      <w:r w:rsidRPr="00D32D79">
        <w:rPr>
          <w:sz w:val="28"/>
        </w:rPr>
        <w:tab/>
      </w:r>
      <w:r w:rsidRPr="00D32D79">
        <w:rPr>
          <w:sz w:val="28"/>
        </w:rPr>
        <w:tab/>
      </w:r>
      <w:r w:rsidRPr="00D32D79">
        <w:rPr>
          <w:sz w:val="28"/>
        </w:rPr>
        <w:tab/>
      </w:r>
      <w:r w:rsidRPr="00D32D79">
        <w:rPr>
          <w:sz w:val="28"/>
        </w:rPr>
        <w:tab/>
      </w:r>
      <w:r w:rsidRPr="00D32D79">
        <w:rPr>
          <w:sz w:val="28"/>
        </w:rPr>
        <w:tab/>
      </w:r>
      <w:r w:rsidRPr="00D32D79">
        <w:rPr>
          <w:sz w:val="28"/>
        </w:rPr>
        <w:tab/>
      </w:r>
      <w:r w:rsidRPr="00D32D79">
        <w:rPr>
          <w:sz w:val="28"/>
        </w:rPr>
        <w:tab/>
        <w:t>L. Lejiņa</w:t>
      </w:r>
    </w:p>
    <w:p w14:paraId="7196B416" w14:textId="77777777" w:rsidR="002C7707" w:rsidRPr="00D32D79" w:rsidRDefault="002C7707" w:rsidP="002C7707">
      <w:pPr>
        <w:jc w:val="both"/>
      </w:pPr>
    </w:p>
    <w:p w14:paraId="2022CC12" w14:textId="4B3008B3" w:rsidR="00491495" w:rsidRPr="00D32D79" w:rsidRDefault="007166BC" w:rsidP="002C7707">
      <w:pPr>
        <w:jc w:val="both"/>
        <w:rPr>
          <w:sz w:val="20"/>
        </w:rPr>
      </w:pPr>
      <w:r>
        <w:rPr>
          <w:sz w:val="20"/>
        </w:rPr>
        <w:t>03</w:t>
      </w:r>
      <w:r w:rsidR="00CB223C" w:rsidRPr="00D32D79">
        <w:rPr>
          <w:sz w:val="20"/>
        </w:rPr>
        <w:t>.</w:t>
      </w:r>
      <w:r>
        <w:rPr>
          <w:sz w:val="20"/>
        </w:rPr>
        <w:t>01</w:t>
      </w:r>
      <w:r w:rsidR="00483834" w:rsidRPr="00D32D79">
        <w:rPr>
          <w:sz w:val="20"/>
        </w:rPr>
        <w:t>.</w:t>
      </w:r>
      <w:r w:rsidR="00CB223C" w:rsidRPr="00D32D79">
        <w:rPr>
          <w:sz w:val="20"/>
        </w:rPr>
        <w:t>201</w:t>
      </w:r>
      <w:r>
        <w:rPr>
          <w:sz w:val="20"/>
        </w:rPr>
        <w:t>8</w:t>
      </w:r>
      <w:r w:rsidR="00CB223C" w:rsidRPr="00D32D79">
        <w:rPr>
          <w:sz w:val="20"/>
        </w:rPr>
        <w:t xml:space="preserve"> </w:t>
      </w:r>
      <w:r>
        <w:rPr>
          <w:sz w:val="20"/>
        </w:rPr>
        <w:t>09</w:t>
      </w:r>
      <w:r w:rsidR="00636EDF">
        <w:rPr>
          <w:sz w:val="20"/>
        </w:rPr>
        <w:t>:</w:t>
      </w:r>
      <w:r>
        <w:rPr>
          <w:sz w:val="20"/>
        </w:rPr>
        <w:t>08</w:t>
      </w:r>
    </w:p>
    <w:p w14:paraId="18F5461F" w14:textId="55028032" w:rsidR="002C7707" w:rsidRPr="00D32D79" w:rsidRDefault="00636EDF" w:rsidP="002C7707">
      <w:pPr>
        <w:jc w:val="both"/>
        <w:rPr>
          <w:sz w:val="20"/>
        </w:rPr>
      </w:pPr>
      <w:r>
        <w:rPr>
          <w:sz w:val="20"/>
        </w:rPr>
        <w:t>67</w:t>
      </w:r>
      <w:r w:rsidR="007166BC">
        <w:rPr>
          <w:sz w:val="20"/>
        </w:rPr>
        <w:t>4</w:t>
      </w:r>
      <w:r>
        <w:rPr>
          <w:sz w:val="20"/>
        </w:rPr>
        <w:t>9</w:t>
      </w:r>
    </w:p>
    <w:p w14:paraId="148FD341" w14:textId="298DBE17" w:rsidR="002C7707" w:rsidRPr="00D32D79" w:rsidRDefault="002C7707" w:rsidP="002C7707">
      <w:pPr>
        <w:jc w:val="both"/>
        <w:rPr>
          <w:sz w:val="20"/>
        </w:rPr>
      </w:pPr>
      <w:proofErr w:type="spellStart"/>
      <w:r w:rsidRPr="00D32D79">
        <w:rPr>
          <w:sz w:val="20"/>
        </w:rPr>
        <w:t>N.Grīnbergs</w:t>
      </w:r>
      <w:proofErr w:type="spellEnd"/>
    </w:p>
    <w:p w14:paraId="6CA81CBB" w14:textId="77777777" w:rsidR="002C7707" w:rsidRPr="00D32D79" w:rsidRDefault="002C7707" w:rsidP="002C7707">
      <w:pPr>
        <w:jc w:val="both"/>
        <w:rPr>
          <w:sz w:val="20"/>
        </w:rPr>
      </w:pPr>
      <w:r w:rsidRPr="00D32D79">
        <w:rPr>
          <w:sz w:val="20"/>
        </w:rPr>
        <w:t>Izglītības un zinātnes ministrijas</w:t>
      </w:r>
    </w:p>
    <w:p w14:paraId="08633403" w14:textId="77777777" w:rsidR="002C7707" w:rsidRPr="00D32D79" w:rsidRDefault="002C7707" w:rsidP="002C7707">
      <w:pPr>
        <w:jc w:val="both"/>
        <w:rPr>
          <w:sz w:val="20"/>
        </w:rPr>
      </w:pPr>
      <w:r w:rsidRPr="00D32D79">
        <w:rPr>
          <w:sz w:val="20"/>
        </w:rPr>
        <w:t>Struktūrfondu departamenta</w:t>
      </w:r>
    </w:p>
    <w:p w14:paraId="60CF1727" w14:textId="3F0C8BD0" w:rsidR="002C7707" w:rsidRPr="00D32D79" w:rsidRDefault="002C7707" w:rsidP="002C7707">
      <w:pPr>
        <w:jc w:val="both"/>
        <w:rPr>
          <w:sz w:val="20"/>
        </w:rPr>
      </w:pPr>
      <w:r w:rsidRPr="00D32D79">
        <w:rPr>
          <w:sz w:val="20"/>
        </w:rPr>
        <w:t>vecākais eksperts</w:t>
      </w:r>
    </w:p>
    <w:p w14:paraId="47551C84" w14:textId="10BAA036" w:rsidR="005D501A" w:rsidRPr="00CB223C" w:rsidRDefault="002C7707" w:rsidP="00E50C37">
      <w:pPr>
        <w:jc w:val="both"/>
        <w:rPr>
          <w:sz w:val="20"/>
        </w:rPr>
      </w:pPr>
      <w:r w:rsidRPr="00D32D79">
        <w:rPr>
          <w:sz w:val="20"/>
        </w:rPr>
        <w:t>67047883, Nauris.Grīnbergs@izm.gov.lv</w:t>
      </w:r>
      <w:bookmarkStart w:id="0" w:name="_GoBack"/>
      <w:bookmarkEnd w:id="0"/>
    </w:p>
    <w:sectPr w:rsidR="005D501A" w:rsidRPr="00CB223C" w:rsidSect="00131D90">
      <w:headerReference w:type="even" r:id="rId9"/>
      <w:headerReference w:type="default" r:id="rId10"/>
      <w:footerReference w:type="default" r:id="rId11"/>
      <w:footerReference w:type="first" r:id="rId12"/>
      <w:pgSz w:w="11906" w:h="16838"/>
      <w:pgMar w:top="1418" w:right="1134" w:bottom="1134" w:left="1701" w:header="709" w:footer="9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4BED4" w14:textId="77777777" w:rsidR="002208AE" w:rsidRDefault="002208AE">
      <w:r>
        <w:separator/>
      </w:r>
    </w:p>
  </w:endnote>
  <w:endnote w:type="continuationSeparator" w:id="0">
    <w:p w14:paraId="40ADFF31" w14:textId="77777777" w:rsidR="002208AE" w:rsidRDefault="00220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A4F3C" w14:textId="22102437" w:rsidR="002208AE" w:rsidRPr="002222BA" w:rsidRDefault="002208AE" w:rsidP="0070022E">
    <w:pPr>
      <w:jc w:val="both"/>
      <w:rPr>
        <w:bCs/>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IZMAnot_SAM822_</w:t>
    </w:r>
    <w:r w:rsidR="007166BC">
      <w:rPr>
        <w:noProof/>
        <w:sz w:val="20"/>
        <w:szCs w:val="20"/>
      </w:rPr>
      <w:t>0301</w:t>
    </w:r>
    <w:r>
      <w:rPr>
        <w:noProof/>
        <w:sz w:val="20"/>
        <w:szCs w:val="20"/>
      </w:rPr>
      <w:t>1</w:t>
    </w:r>
    <w:r>
      <w:rPr>
        <w:sz w:val="20"/>
        <w:szCs w:val="20"/>
      </w:rPr>
      <w:fldChar w:fldCharType="end"/>
    </w:r>
    <w:r w:rsidR="007166BC">
      <w:rPr>
        <w:sz w:val="20"/>
        <w:szCs w:val="20"/>
      </w:rPr>
      <w:t>8</w:t>
    </w:r>
    <w:r w:rsidRPr="00510A0C">
      <w:rPr>
        <w:sz w:val="20"/>
        <w:szCs w:val="20"/>
      </w:rPr>
      <w:t xml:space="preserve">; Ministru kabineta noteikumu projekta </w:t>
    </w:r>
    <w:r>
      <w:rPr>
        <w:sz w:val="20"/>
        <w:szCs w:val="20"/>
      </w:rPr>
      <w:t>“</w:t>
    </w:r>
    <w:r w:rsidRPr="00510A0C">
      <w:rPr>
        <w:bCs/>
        <w:sz w:val="20"/>
        <w:szCs w:val="20"/>
      </w:rPr>
      <w:t xml:space="preserve">Darbības programmas </w:t>
    </w:r>
    <w:r>
      <w:rPr>
        <w:bCs/>
        <w:sz w:val="20"/>
        <w:szCs w:val="20"/>
      </w:rPr>
      <w:t>“</w:t>
    </w:r>
    <w:r w:rsidRPr="00510A0C">
      <w:rPr>
        <w:bCs/>
        <w:sz w:val="20"/>
        <w:szCs w:val="20"/>
      </w:rPr>
      <w:t>Izaugsme un nodarbinātība</w:t>
    </w:r>
    <w:r>
      <w:rPr>
        <w:bCs/>
        <w:sz w:val="20"/>
        <w:szCs w:val="20"/>
      </w:rPr>
      <w:t>” 8.2.2. specifiskā atbalsta mērķa</w:t>
    </w:r>
    <w:r w:rsidRPr="0070022E">
      <w:rPr>
        <w:bCs/>
        <w:sz w:val="20"/>
        <w:szCs w:val="20"/>
      </w:rPr>
      <w:t xml:space="preserve"> </w:t>
    </w:r>
    <w:r>
      <w:rPr>
        <w:bCs/>
        <w:sz w:val="20"/>
        <w:szCs w:val="20"/>
      </w:rPr>
      <w:t>“</w:t>
    </w:r>
    <w:r w:rsidRPr="0070022E">
      <w:rPr>
        <w:bCs/>
        <w:sz w:val="20"/>
        <w:szCs w:val="20"/>
      </w:rPr>
      <w:t>Stiprināt augstākās izglītības institūciju akadēmisko personālu stra</w:t>
    </w:r>
    <w:r>
      <w:rPr>
        <w:bCs/>
        <w:sz w:val="20"/>
        <w:szCs w:val="20"/>
      </w:rPr>
      <w:t>tēģiskās specializācijas jomās”</w:t>
    </w:r>
    <w:r w:rsidRPr="00C33DF0">
      <w:t xml:space="preserve"> </w:t>
    </w:r>
    <w:r w:rsidRPr="00C33DF0">
      <w:rPr>
        <w:bCs/>
        <w:sz w:val="20"/>
        <w:szCs w:val="20"/>
      </w:rPr>
      <w:t>pirmās, otrās un trešās projektu iesniegumu atlases kārtas</w:t>
    </w:r>
    <w:r w:rsidRPr="002222BA">
      <w:rPr>
        <w:bCs/>
        <w:sz w:val="20"/>
        <w:szCs w:val="20"/>
      </w:rPr>
      <w:t xml:space="preserve"> </w:t>
    </w:r>
    <w:r w:rsidRPr="00001E62">
      <w:rPr>
        <w:bCs/>
        <w:sz w:val="20"/>
        <w:szCs w:val="20"/>
      </w:rPr>
      <w:t>īstenošanas noteikumi</w:t>
    </w:r>
    <w:r>
      <w:rPr>
        <w:bCs/>
        <w:sz w:val="20"/>
        <w:szCs w:val="20"/>
      </w:rPr>
      <w:t xml:space="preserve">” </w:t>
    </w:r>
    <w:r w:rsidRPr="002222BA">
      <w:rPr>
        <w:bCs/>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13B94" w14:textId="4346E4DA" w:rsidR="002208AE" w:rsidRPr="002222BA" w:rsidRDefault="002208AE" w:rsidP="00737586">
    <w:pPr>
      <w:jc w:val="both"/>
      <w:rPr>
        <w:bCs/>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IZMAnot_SAM822_</w:t>
    </w:r>
    <w:r w:rsidR="007166BC">
      <w:rPr>
        <w:noProof/>
        <w:sz w:val="20"/>
        <w:szCs w:val="20"/>
      </w:rPr>
      <w:t>0301</w:t>
    </w:r>
    <w:r>
      <w:rPr>
        <w:noProof/>
        <w:sz w:val="20"/>
        <w:szCs w:val="20"/>
      </w:rPr>
      <w:t>1</w:t>
    </w:r>
    <w:r w:rsidR="007166BC">
      <w:rPr>
        <w:noProof/>
        <w:sz w:val="20"/>
        <w:szCs w:val="20"/>
      </w:rPr>
      <w:t>8</w:t>
    </w:r>
    <w:r>
      <w:rPr>
        <w:sz w:val="20"/>
        <w:szCs w:val="20"/>
      </w:rPr>
      <w:fldChar w:fldCharType="end"/>
    </w:r>
    <w:r w:rsidR="00E41900">
      <w:rPr>
        <w:sz w:val="20"/>
        <w:szCs w:val="20"/>
      </w:rPr>
      <w:t>;</w:t>
    </w:r>
    <w:r w:rsidRPr="00510A0C">
      <w:rPr>
        <w:sz w:val="20"/>
        <w:szCs w:val="20"/>
      </w:rPr>
      <w:t xml:space="preserve"> Ministru kabineta noteikumu projekta </w:t>
    </w:r>
    <w:r>
      <w:rPr>
        <w:sz w:val="20"/>
        <w:szCs w:val="20"/>
      </w:rPr>
      <w:t>“</w:t>
    </w:r>
    <w:r w:rsidRPr="00510A0C">
      <w:rPr>
        <w:bCs/>
        <w:sz w:val="20"/>
        <w:szCs w:val="20"/>
      </w:rPr>
      <w:t xml:space="preserve">Darbības programmas </w:t>
    </w:r>
    <w:r>
      <w:rPr>
        <w:bCs/>
        <w:sz w:val="20"/>
        <w:szCs w:val="20"/>
      </w:rPr>
      <w:t>“</w:t>
    </w:r>
    <w:r w:rsidRPr="00510A0C">
      <w:rPr>
        <w:bCs/>
        <w:sz w:val="20"/>
        <w:szCs w:val="20"/>
      </w:rPr>
      <w:t>Izaugsme un nodarbinātība</w:t>
    </w:r>
    <w:r>
      <w:rPr>
        <w:bCs/>
        <w:sz w:val="20"/>
        <w:szCs w:val="20"/>
      </w:rPr>
      <w:t>” 8.2.2.</w:t>
    </w:r>
    <w:r w:rsidRPr="0070022E">
      <w:rPr>
        <w:bCs/>
        <w:sz w:val="20"/>
        <w:szCs w:val="20"/>
      </w:rPr>
      <w:t xml:space="preserve"> </w:t>
    </w:r>
    <w:r>
      <w:rPr>
        <w:bCs/>
        <w:sz w:val="20"/>
        <w:szCs w:val="20"/>
      </w:rPr>
      <w:t>specifiskā atbalsta mērķa “</w:t>
    </w:r>
    <w:r w:rsidRPr="0070022E">
      <w:rPr>
        <w:bCs/>
        <w:sz w:val="20"/>
        <w:szCs w:val="20"/>
      </w:rPr>
      <w:t>Stiprināt augstākās izglītības institūciju akadēmisko personālu stra</w:t>
    </w:r>
    <w:r>
      <w:rPr>
        <w:bCs/>
        <w:sz w:val="20"/>
        <w:szCs w:val="20"/>
      </w:rPr>
      <w:t>tēģiskās specializācijas jomās”</w:t>
    </w:r>
    <w:r w:rsidRPr="00C33DF0">
      <w:t xml:space="preserve"> </w:t>
    </w:r>
    <w:r w:rsidRPr="00C33DF0">
      <w:rPr>
        <w:bCs/>
        <w:sz w:val="20"/>
        <w:szCs w:val="20"/>
      </w:rPr>
      <w:t>pirmās, otrās un trešās projektu iesniegumu atlases kārtas</w:t>
    </w:r>
    <w:r w:rsidRPr="002222BA">
      <w:rPr>
        <w:bCs/>
        <w:sz w:val="20"/>
        <w:szCs w:val="20"/>
      </w:rPr>
      <w:t xml:space="preserve"> </w:t>
    </w:r>
    <w:r w:rsidRPr="00001E62">
      <w:rPr>
        <w:bCs/>
        <w:sz w:val="20"/>
        <w:szCs w:val="20"/>
      </w:rPr>
      <w:t>īstenošanas noteikumi</w:t>
    </w:r>
    <w:r>
      <w:rPr>
        <w:bCs/>
        <w:sz w:val="20"/>
        <w:szCs w:val="20"/>
      </w:rPr>
      <w:t>”</w:t>
    </w:r>
    <w:r w:rsidRPr="00001E62">
      <w:rPr>
        <w:bCs/>
        <w:sz w:val="20"/>
        <w:szCs w:val="20"/>
      </w:rPr>
      <w:t xml:space="preserve"> </w:t>
    </w:r>
    <w:r w:rsidRPr="002222BA">
      <w:rPr>
        <w:bCs/>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419A7" w14:textId="77777777" w:rsidR="002208AE" w:rsidRDefault="002208AE">
      <w:r>
        <w:separator/>
      </w:r>
    </w:p>
  </w:footnote>
  <w:footnote w:type="continuationSeparator" w:id="0">
    <w:p w14:paraId="75097333" w14:textId="77777777" w:rsidR="002208AE" w:rsidRDefault="002208AE">
      <w:r>
        <w:continuationSeparator/>
      </w:r>
    </w:p>
  </w:footnote>
  <w:footnote w:id="1">
    <w:p w14:paraId="5DC432CC" w14:textId="04CAA789" w:rsidR="002208AE" w:rsidRDefault="002208AE">
      <w:pPr>
        <w:pStyle w:val="FootnoteText"/>
      </w:pPr>
      <w:r>
        <w:rPr>
          <w:rStyle w:val="FootnoteReference"/>
        </w:rPr>
        <w:footnoteRef/>
      </w:r>
      <w:r>
        <w:t xml:space="preserve"> </w:t>
      </w:r>
      <w:r w:rsidRPr="0071565F">
        <w:t>Skaidrojam, ka AII stratēģisko specializāciju nosaka AII attīstības stratēģija, tostarp tajā noteiktie prioritārie augstskolas pētniecības virzieni, ievērojot nozares mērķi attīstīt pētniecībā balstītu augstāko izglītību, un pētniecības pieteikumā vērtēta AII loma konkrētā OECD nozaru grupā (dabaszinātnes, inženierzinātne un tehnoloģija, medicī</w:t>
      </w:r>
      <w:r>
        <w:t>n</w:t>
      </w:r>
      <w:r w:rsidRPr="0071565F">
        <w:t xml:space="preserve">as un veselības zinātnes, lauksaimniecības zinātnes, sociālās zinātnes, humanitārās zinātnes, neklasificējamās jomas (militārā aizsardzība, drošība </w:t>
      </w:r>
      <w:proofErr w:type="spellStart"/>
      <w:r w:rsidRPr="0071565F">
        <w:t>utml</w:t>
      </w:r>
      <w:proofErr w:type="spellEnd"/>
      <w:r w:rsidRPr="0071565F">
        <w:t>.)), gan vērtējot studējošo skaitu minētajās grupās AII kontekstā, gan Latvijas kontekstā, tāpat vērtējot AII ieguldījums pētniecības jomā minētās OECD nozaru grupā (zinātnisko rakstu un publikāciju skaits, pētījumi, u.c.), kā arī AII veiktos un plānotos ieguldījumus minētās grupas attīstībā.</w:t>
      </w:r>
    </w:p>
  </w:footnote>
  <w:footnote w:id="2">
    <w:p w14:paraId="227583E2" w14:textId="43DB35DB" w:rsidR="002208AE" w:rsidRDefault="002208AE" w:rsidP="00173431">
      <w:pPr>
        <w:pStyle w:val="FootnoteText"/>
      </w:pPr>
      <w:r>
        <w:rPr>
          <w:rStyle w:val="FootnoteReference"/>
        </w:rPr>
        <w:footnoteRef/>
      </w:r>
      <w:r>
        <w:t xml:space="preserve"> </w:t>
      </w:r>
      <w:r w:rsidRPr="004279C9">
        <w:t xml:space="preserve">Augstākā izglītības padome, 2013. </w:t>
      </w:r>
      <w:r w:rsidRPr="004279C9">
        <w:rPr>
          <w:i/>
        </w:rPr>
        <w:t>Pārskats par augstākās izglītības studiju programmu izvērtēšanas rezultātiem un priekšlikumi turpmākai studiju programmu, sagrupētu studiju virzienos, pilnveidei, uzlabošanai, attīstīšanai, konsolidācijai, slēgšanai, resursu efektīvai izmantošanai un finansēšanai no valsts budžeta līdzekļiem</w:t>
      </w:r>
      <w:r w:rsidRPr="004279C9">
        <w:t xml:space="preserve">. Rīga. (skatīt: </w:t>
      </w:r>
      <w:hyperlink r:id="rId1" w:history="1">
        <w:r w:rsidRPr="00347D82">
          <w:rPr>
            <w:rStyle w:val="Hyperlink"/>
          </w:rPr>
          <w:t>http://www.aip.lv/ESF_par_projektu.htm</w:t>
        </w:r>
      </w:hyperlink>
      <w:r w:rsidRPr="004279C9">
        <w:t>).</w:t>
      </w:r>
      <w:r>
        <w:t>2.pielikuma 32.lpp.</w:t>
      </w:r>
    </w:p>
  </w:footnote>
  <w:footnote w:id="3">
    <w:p w14:paraId="1151395D" w14:textId="77777777" w:rsidR="002208AE" w:rsidRDefault="002208AE" w:rsidP="00173431">
      <w:pPr>
        <w:pStyle w:val="FootnoteText"/>
      </w:pPr>
      <w:r>
        <w:rPr>
          <w:rStyle w:val="FootnoteReference"/>
        </w:rPr>
        <w:footnoteRef/>
      </w:r>
      <w:r>
        <w:t xml:space="preserve"> </w:t>
      </w:r>
      <w:r w:rsidRPr="006D39EE">
        <w:t>AIP</w:t>
      </w:r>
      <w:r>
        <w:t xml:space="preserve"> ziņojums. Rīga. 2.pielikuma 33</w:t>
      </w:r>
      <w:r w:rsidRPr="006D39EE">
        <w:t>.lpp.</w:t>
      </w:r>
    </w:p>
  </w:footnote>
  <w:footnote w:id="4">
    <w:p w14:paraId="74126A77" w14:textId="77777777" w:rsidR="002208AE" w:rsidRDefault="002208AE" w:rsidP="00173431">
      <w:pPr>
        <w:pStyle w:val="FootnoteText"/>
      </w:pPr>
      <w:r>
        <w:rPr>
          <w:rStyle w:val="FootnoteReference"/>
        </w:rPr>
        <w:footnoteRef/>
      </w:r>
      <w:r>
        <w:t xml:space="preserve"> </w:t>
      </w:r>
      <w:r w:rsidRPr="006D39EE">
        <w:t>AIP</w:t>
      </w:r>
      <w:r>
        <w:t xml:space="preserve"> ziņojums. Rīga. 2.pielikuma 33</w:t>
      </w:r>
      <w:r w:rsidRPr="006D39EE">
        <w:t>.</w:t>
      </w:r>
      <w:r>
        <w:t>, 36., 37., 41.</w:t>
      </w:r>
      <w:r w:rsidRPr="006D39EE">
        <w:t>lpp</w:t>
      </w:r>
      <w:r>
        <w:t>.</w:t>
      </w:r>
    </w:p>
  </w:footnote>
  <w:footnote w:id="5">
    <w:p w14:paraId="25AF0C1D" w14:textId="77777777" w:rsidR="002208AE" w:rsidRPr="00E963F7" w:rsidRDefault="002208AE" w:rsidP="004279C9">
      <w:pPr>
        <w:pStyle w:val="FootnoteText"/>
      </w:pPr>
      <w:r w:rsidRPr="00E963F7">
        <w:rPr>
          <w:rStyle w:val="FootnoteReference"/>
        </w:rPr>
        <w:footnoteRef/>
      </w:r>
      <w:r w:rsidRPr="00E963F7">
        <w:t xml:space="preserve"> </w:t>
      </w:r>
      <w:r w:rsidRPr="00E963F7">
        <w:t xml:space="preserve">Augstskolu likums (skatīt: </w:t>
      </w:r>
      <w:hyperlink r:id="rId2" w:history="1">
        <w:r w:rsidRPr="00E963F7">
          <w:rPr>
            <w:rStyle w:val="Hyperlink"/>
          </w:rPr>
          <w:t>https://likumi.lv/doc.php?id=37967</w:t>
        </w:r>
      </w:hyperlink>
      <w:r w:rsidRPr="00E963F7">
        <w:t xml:space="preserve"> ).</w:t>
      </w:r>
    </w:p>
  </w:footnote>
  <w:footnote w:id="6">
    <w:p w14:paraId="6A5EDACD" w14:textId="43A48ADD" w:rsidR="002208AE" w:rsidRDefault="002208AE">
      <w:pPr>
        <w:pStyle w:val="FootnoteText"/>
      </w:pPr>
      <w:r>
        <w:rPr>
          <w:rStyle w:val="FootnoteReference"/>
        </w:rPr>
        <w:footnoteRef/>
      </w:r>
      <w:r>
        <w:t xml:space="preserve"> </w:t>
      </w:r>
      <w:r>
        <w:t xml:space="preserve">Izglītības un zinātnes ministrija, 2017, </w:t>
      </w:r>
      <w:r w:rsidRPr="004279C9">
        <w:rPr>
          <w:i/>
        </w:rPr>
        <w:t>Pārskats par Latvijas augstāko izglītību 2016.gadā</w:t>
      </w:r>
      <w:r>
        <w:t>, 98.lpp.</w:t>
      </w:r>
    </w:p>
  </w:footnote>
  <w:footnote w:id="7">
    <w:p w14:paraId="526DA58D" w14:textId="77777777" w:rsidR="002208AE" w:rsidRDefault="002208AE" w:rsidP="00431FF0">
      <w:pPr>
        <w:pStyle w:val="FootnoteText"/>
      </w:pPr>
      <w:r>
        <w:rPr>
          <w:rStyle w:val="FootnoteReference"/>
        </w:rPr>
        <w:footnoteRef/>
      </w:r>
      <w:r>
        <w:t xml:space="preserve"> </w:t>
      </w:r>
      <w:r>
        <w:t xml:space="preserve">Ar Ministru kabineta 2017.gada 28.marta sēdes </w:t>
      </w:r>
      <w:proofErr w:type="spellStart"/>
      <w:r>
        <w:t>protokollēmuma</w:t>
      </w:r>
      <w:proofErr w:type="spellEnd"/>
      <w:r>
        <w:t xml:space="preserve"> “Rīkojuma projekts “Par Rīgas Pedagoģijas un izglītības vadības akadēmijas likvidāciju, pievienojot Latvijas Universitātei”” (prot.Nr.16 52.§) 3.punktu un Izglītības un zinātnes ministrijas 2017. gada 9. maija rīkojumu Nr. 194 “Par darba grupas izveidi konceptuāli jaunas skolotāju izglītības sistēmas izveidošanai” izveidotā darba grupa, kurai tika dots uzdevums līdz 2017.gada 31.oktobrim sagatavot un iesniegt ministrijā priekšlikumus konceptuāli jaunas kompetencēs balstītas izglītības prasībām atbilstošas skolotāju izglītības nodrošināšanai Latvijā, tai skaitā paredzot Nozares ekspertu padomes izveidi, jauna skolotāja profesijas standarta izstrādi un sistēmu, kas nodrošina kvalitatīvas un modernas izglītības un akadēmisko resursu pieejamību visās augstskolās, kas sagatavo skolotājus, tai skaitā Latvijas Universitātes filiālēs Latvijas reģionos.</w:t>
      </w:r>
    </w:p>
    <w:p w14:paraId="121C9842" w14:textId="0D150855" w:rsidR="002208AE" w:rsidRDefault="002208AE" w:rsidP="00431FF0">
      <w:pPr>
        <w:pStyle w:val="FootnoteText"/>
      </w:pPr>
      <w:r>
        <w:t xml:space="preserve">Informatīvais ziņojuma “Priekšlikumi konceptuāli jaunas kompetencēs balstītas izglītības prasībām atbilstošas skolotāju izglītības nodrošināšanai Latvijā” (ar informatīvā ziņojumu iespējams iepazīties: </w:t>
      </w:r>
      <w:r w:rsidRPr="00431FF0">
        <w:t>http://www.izm.gov.lv/lv/sabiedribas-lidzdaliba/sabiedriskajai-apspriesanai-nodotie-normativo-aktu-projekti/2682-informativais-zinojums-priekslikumi-konceptuali-jaunas-kompetences-balstitas-izglitibas-prasibam-atbilstosas-skolotaju-izglitibas-nodrosinasanai-latvija</w:t>
      </w:r>
      <w:r>
        <w:t>)</w:t>
      </w:r>
    </w:p>
  </w:footnote>
  <w:footnote w:id="8">
    <w:p w14:paraId="7CD89E2C" w14:textId="0D1AAEE2" w:rsidR="002208AE" w:rsidRDefault="002208AE" w:rsidP="006235D3">
      <w:pPr>
        <w:pStyle w:val="FootnoteText"/>
      </w:pPr>
      <w:r>
        <w:rPr>
          <w:rStyle w:val="FootnoteReference"/>
        </w:rPr>
        <w:footnoteRef/>
      </w:r>
      <w:r>
        <w:t xml:space="preserve"> </w:t>
      </w:r>
      <w:proofErr w:type="spellStart"/>
      <w:r>
        <w:t>Erasmus</w:t>
      </w:r>
      <w:proofErr w:type="spellEnd"/>
      <w:r>
        <w:t xml:space="preserve"> + programmas vadlīnijas pieejamas Eiropas Komisijas oficiālajā interneta mājās lapā, individuālā atbalsta piemērojamās vienas vienības izmaksu likmes apjomu dienā skatīt, </w:t>
      </w:r>
      <w:proofErr w:type="spellStart"/>
      <w:r>
        <w:t>Erasmus</w:t>
      </w:r>
      <w:proofErr w:type="spellEnd"/>
      <w:r>
        <w:t xml:space="preserve"> + programmas vadlīniju 48.lpp. (http://ec.europa.eu/programmes/erasmus-plus/sites/erasmusplus2/files/files/resources/erasmus-plus-programme-guide_en.pdf)</w:t>
      </w:r>
    </w:p>
  </w:footnote>
  <w:footnote w:id="9">
    <w:p w14:paraId="3AC55B2C" w14:textId="77777777" w:rsidR="002208AE" w:rsidRDefault="002208AE" w:rsidP="00440ECE">
      <w:pPr>
        <w:pStyle w:val="FootnoteText"/>
      </w:pPr>
      <w:r>
        <w:rPr>
          <w:rStyle w:val="FootnoteReference"/>
        </w:rPr>
        <w:footnoteRef/>
      </w:r>
      <w:r>
        <w:t xml:space="preserve"> </w:t>
      </w:r>
      <w:r>
        <w:t xml:space="preserve">Pārskati par Latvijas augstāko izglītību, pieejami: </w:t>
      </w:r>
      <w:r w:rsidRPr="005B3FAB">
        <w:t>http://izm.gov.lv/lv/publikacijas-un-statistika/statistika-par-izglitibu/statistika-par-augstako-izglitibu</w:t>
      </w:r>
    </w:p>
  </w:footnote>
  <w:footnote w:id="10">
    <w:p w14:paraId="40478552" w14:textId="77777777" w:rsidR="002208AE" w:rsidRPr="00FF7865" w:rsidRDefault="002208AE" w:rsidP="00440ECE">
      <w:pPr>
        <w:pStyle w:val="FootnoteText"/>
      </w:pPr>
      <w:r w:rsidRPr="00FF7865">
        <w:rPr>
          <w:rStyle w:val="FootnoteReference"/>
        </w:rPr>
        <w:footnoteRef/>
      </w:r>
      <w:r w:rsidRPr="00FF7865">
        <w:t xml:space="preserve"> </w:t>
      </w:r>
      <w:r w:rsidRPr="00FF7865">
        <w:t>http://eur-lex.europa.eu/legal-content/LV/TXT/PDF/?uri=CELEX:52016XC0719(05)&amp;from=EN</w:t>
      </w:r>
    </w:p>
  </w:footnote>
  <w:footnote w:id="11">
    <w:p w14:paraId="12D26891" w14:textId="77777777" w:rsidR="002208AE" w:rsidRDefault="002208AE" w:rsidP="00440ECE">
      <w:pPr>
        <w:pStyle w:val="FootnoteText"/>
      </w:pPr>
      <w:r>
        <w:rPr>
          <w:rStyle w:val="FootnoteReference"/>
        </w:rPr>
        <w:footnoteRef/>
      </w:r>
      <w:r>
        <w:t xml:space="preserve"> </w:t>
      </w:r>
      <w:hyperlink r:id="rId3" w:history="1">
        <w:r w:rsidRPr="00D350E7">
          <w:rPr>
            <w:rStyle w:val="Hyperlink"/>
          </w:rPr>
          <w:t>https://www.topuniversities.com/university-rankings</w:t>
        </w:r>
      </w:hyperlink>
    </w:p>
  </w:footnote>
  <w:footnote w:id="12">
    <w:p w14:paraId="2D024AFC" w14:textId="77777777" w:rsidR="002208AE" w:rsidRDefault="002208AE" w:rsidP="00440ECE">
      <w:pPr>
        <w:pStyle w:val="FootnoteText"/>
      </w:pPr>
      <w:r>
        <w:rPr>
          <w:rStyle w:val="FootnoteReference"/>
        </w:rPr>
        <w:footnoteRef/>
      </w:r>
      <w:r>
        <w:t xml:space="preserve"> </w:t>
      </w:r>
      <w:r w:rsidRPr="00C1026D">
        <w:t>https://www.timeshighereducation.com/world-university-rankings</w:t>
      </w:r>
    </w:p>
  </w:footnote>
  <w:footnote w:id="13">
    <w:p w14:paraId="4C0363E3" w14:textId="77777777" w:rsidR="002208AE" w:rsidRDefault="002208AE" w:rsidP="00440ECE">
      <w:pPr>
        <w:pStyle w:val="FootnoteText"/>
      </w:pPr>
      <w:r>
        <w:rPr>
          <w:rStyle w:val="FootnoteReference"/>
        </w:rPr>
        <w:footnoteRef/>
      </w:r>
      <w:r>
        <w:t xml:space="preserve"> </w:t>
      </w:r>
      <w:r w:rsidRPr="00C1026D">
        <w:t>http://www.shanghairanking.com/</w:t>
      </w:r>
    </w:p>
  </w:footnote>
  <w:footnote w:id="14">
    <w:p w14:paraId="3E2FFFEF" w14:textId="203B616C" w:rsidR="002208AE" w:rsidRDefault="002208AE">
      <w:pPr>
        <w:pStyle w:val="FootnoteText"/>
      </w:pPr>
      <w:r>
        <w:rPr>
          <w:rStyle w:val="FootnoteReference"/>
        </w:rPr>
        <w:footnoteRef/>
      </w:r>
      <w:r w:rsidRPr="007460A0">
        <w:t>http://ec.europa.eu/programmes/erasmus-plus/sites/erasmusplus/files/files/resources/erasmus-plus-programme-guide_lv.pdf</w:t>
      </w:r>
      <w:r>
        <w:t xml:space="preserve"> </w:t>
      </w:r>
    </w:p>
  </w:footnote>
  <w:footnote w:id="15">
    <w:p w14:paraId="43AC9311" w14:textId="5BA0D20C" w:rsidR="002208AE" w:rsidRDefault="002208AE">
      <w:pPr>
        <w:pStyle w:val="FootnoteText"/>
      </w:pPr>
      <w:r>
        <w:rPr>
          <w:rStyle w:val="FootnoteReference"/>
        </w:rPr>
        <w:footnoteRef/>
      </w:r>
      <w:r>
        <w:t xml:space="preserve"> </w:t>
      </w:r>
      <w:r w:rsidRPr="00001E62">
        <w:t>Pieejams: http://www.izm.gov.lv/lv/es-strukturfondi/2014-2020/normativo-aktu-un-nosacijumu-projekti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AB6B4" w14:textId="77777777" w:rsidR="002208AE" w:rsidRDefault="002208AE" w:rsidP="002935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9FFC8C" w14:textId="77777777" w:rsidR="002208AE" w:rsidRDefault="002208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EF8B0" w14:textId="77777777" w:rsidR="002208AE" w:rsidRDefault="002208AE" w:rsidP="002935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66BC">
      <w:rPr>
        <w:rStyle w:val="PageNumber"/>
        <w:noProof/>
      </w:rPr>
      <w:t>22</w:t>
    </w:r>
    <w:r>
      <w:rPr>
        <w:rStyle w:val="PageNumber"/>
      </w:rPr>
      <w:fldChar w:fldCharType="end"/>
    </w:r>
  </w:p>
  <w:p w14:paraId="3867585F" w14:textId="77777777" w:rsidR="002208AE" w:rsidRDefault="002208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7109"/>
    <w:multiLevelType w:val="hybridMultilevel"/>
    <w:tmpl w:val="5186EC58"/>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C6E8F"/>
    <w:multiLevelType w:val="multilevel"/>
    <w:tmpl w:val="41ACF8AA"/>
    <w:lvl w:ilvl="0">
      <w:start w:val="1"/>
      <w:numFmt w:val="decimal"/>
      <w:lvlText w:val="%1."/>
      <w:lvlJc w:val="left"/>
      <w:pPr>
        <w:ind w:left="5889" w:hanging="360"/>
      </w:pPr>
      <w:rPr>
        <w:rFonts w:hint="default"/>
        <w:color w:val="auto"/>
      </w:rPr>
    </w:lvl>
    <w:lvl w:ilvl="1">
      <w:start w:val="1"/>
      <w:numFmt w:val="decimal"/>
      <w:lvlText w:val="%2)"/>
      <w:lvlJc w:val="left"/>
      <w:pPr>
        <w:ind w:left="1997" w:hanging="720"/>
      </w:pPr>
      <w:rPr>
        <w:rFonts w:hint="default"/>
        <w:sz w:val="20"/>
        <w:szCs w:val="20"/>
      </w:rPr>
    </w:lvl>
    <w:lvl w:ilvl="2">
      <w:start w:val="1"/>
      <w:numFmt w:val="decimal"/>
      <w:isLgl/>
      <w:lvlText w:val="%1.%2.%3."/>
      <w:lvlJc w:val="left"/>
      <w:pPr>
        <w:ind w:left="1855"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707" w:hanging="1440"/>
      </w:pPr>
      <w:rPr>
        <w:rFonts w:hint="default"/>
      </w:rPr>
    </w:lvl>
    <w:lvl w:ilvl="6">
      <w:start w:val="1"/>
      <w:numFmt w:val="decimal"/>
      <w:isLgl/>
      <w:lvlText w:val="%1.%2.%3.%4.%5.%6.%7."/>
      <w:lvlJc w:val="left"/>
      <w:pPr>
        <w:ind w:left="4492" w:hanging="1800"/>
      </w:pPr>
      <w:rPr>
        <w:rFonts w:hint="default"/>
      </w:rPr>
    </w:lvl>
    <w:lvl w:ilvl="7">
      <w:start w:val="1"/>
      <w:numFmt w:val="decimal"/>
      <w:isLgl/>
      <w:lvlText w:val="%1.%2.%3.%4.%5.%6.%7.%8."/>
      <w:lvlJc w:val="left"/>
      <w:pPr>
        <w:ind w:left="4917" w:hanging="1800"/>
      </w:pPr>
      <w:rPr>
        <w:rFonts w:hint="default"/>
      </w:rPr>
    </w:lvl>
    <w:lvl w:ilvl="8">
      <w:start w:val="1"/>
      <w:numFmt w:val="decimal"/>
      <w:isLgl/>
      <w:lvlText w:val="%1.%2.%3.%4.%5.%6.%7.%8.%9."/>
      <w:lvlJc w:val="left"/>
      <w:pPr>
        <w:ind w:left="5702" w:hanging="2160"/>
      </w:pPr>
      <w:rPr>
        <w:rFonts w:hint="default"/>
      </w:rPr>
    </w:lvl>
  </w:abstractNum>
  <w:abstractNum w:abstractNumId="2" w15:restartNumberingAfterBreak="0">
    <w:nsid w:val="0C304EE6"/>
    <w:multiLevelType w:val="multilevel"/>
    <w:tmpl w:val="28AA62B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E5D3ABF"/>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B40F14"/>
    <w:multiLevelType w:val="hybridMultilevel"/>
    <w:tmpl w:val="3CE4819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3">
      <w:start w:val="1"/>
      <w:numFmt w:val="bullet"/>
      <w:lvlText w:val="o"/>
      <w:lvlJc w:val="left"/>
      <w:pPr>
        <w:ind w:left="2160" w:hanging="360"/>
      </w:pPr>
      <w:rPr>
        <w:rFonts w:ascii="Courier New" w:hAnsi="Courier New" w:cs="Courier New"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24C28CF"/>
    <w:multiLevelType w:val="multilevel"/>
    <w:tmpl w:val="A81EF2BA"/>
    <w:lvl w:ilvl="0">
      <w:start w:val="3"/>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57B455E"/>
    <w:multiLevelType w:val="hybridMultilevel"/>
    <w:tmpl w:val="B002F2FE"/>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7B9377E"/>
    <w:multiLevelType w:val="hybridMultilevel"/>
    <w:tmpl w:val="56C4218E"/>
    <w:lvl w:ilvl="0" w:tplc="04090005">
      <w:start w:val="1"/>
      <w:numFmt w:val="bullet"/>
      <w:lvlText w:val=""/>
      <w:lvlJc w:val="left"/>
      <w:pPr>
        <w:ind w:left="417" w:hanging="360"/>
      </w:pPr>
      <w:rPr>
        <w:rFonts w:ascii="Wingdings" w:hAnsi="Wingdings" w:hint="default"/>
        <w:sz w:val="28"/>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8" w15:restartNumberingAfterBreak="0">
    <w:nsid w:val="1A2114B1"/>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C8A1C9C"/>
    <w:multiLevelType w:val="hybridMultilevel"/>
    <w:tmpl w:val="8C983A7A"/>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1D3B1353"/>
    <w:multiLevelType w:val="hybridMultilevel"/>
    <w:tmpl w:val="5270E830"/>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D10723"/>
    <w:multiLevelType w:val="multilevel"/>
    <w:tmpl w:val="FEE06B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659557A"/>
    <w:multiLevelType w:val="hybridMultilevel"/>
    <w:tmpl w:val="BB28680E"/>
    <w:lvl w:ilvl="0" w:tplc="0426000F">
      <w:start w:val="1"/>
      <w:numFmt w:val="decimal"/>
      <w:lvlText w:val="%1."/>
      <w:lvlJc w:val="left"/>
      <w:pPr>
        <w:ind w:left="720" w:hanging="360"/>
      </w:pPr>
    </w:lvl>
    <w:lvl w:ilvl="1" w:tplc="04090019">
      <w:start w:val="1"/>
      <w:numFmt w:val="lowerLetter"/>
      <w:lvlText w:val="%2."/>
      <w:lvlJc w:val="left"/>
      <w:pPr>
        <w:ind w:left="1440" w:hanging="360"/>
      </w:pPr>
    </w:lvl>
    <w:lvl w:ilvl="2" w:tplc="5276063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B26DB2"/>
    <w:multiLevelType w:val="hybridMultilevel"/>
    <w:tmpl w:val="305A5CD2"/>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0463559"/>
    <w:multiLevelType w:val="multilevel"/>
    <w:tmpl w:val="A39AB7FE"/>
    <w:lvl w:ilvl="0">
      <w:start w:val="1"/>
      <w:numFmt w:val="decimal"/>
      <w:lvlText w:val="%1."/>
      <w:lvlJc w:val="left"/>
      <w:pPr>
        <w:ind w:left="5889" w:hanging="360"/>
      </w:pPr>
      <w:rPr>
        <w:rFonts w:hint="default"/>
        <w:color w:val="auto"/>
      </w:rPr>
    </w:lvl>
    <w:lvl w:ilvl="1">
      <w:start w:val="1"/>
      <w:numFmt w:val="decimal"/>
      <w:isLgl/>
      <w:lvlText w:val="%1.%2."/>
      <w:lvlJc w:val="left"/>
      <w:pPr>
        <w:ind w:left="1997" w:hanging="720"/>
      </w:pPr>
      <w:rPr>
        <w:rFonts w:hint="default"/>
        <w:sz w:val="20"/>
        <w:szCs w:val="20"/>
      </w:rPr>
    </w:lvl>
    <w:lvl w:ilvl="2">
      <w:start w:val="1"/>
      <w:numFmt w:val="decimal"/>
      <w:isLgl/>
      <w:lvlText w:val="%1.%2.%3."/>
      <w:lvlJc w:val="left"/>
      <w:pPr>
        <w:ind w:left="1855"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707" w:hanging="1440"/>
      </w:pPr>
      <w:rPr>
        <w:rFonts w:hint="default"/>
      </w:rPr>
    </w:lvl>
    <w:lvl w:ilvl="6">
      <w:start w:val="1"/>
      <w:numFmt w:val="decimal"/>
      <w:isLgl/>
      <w:lvlText w:val="%1.%2.%3.%4.%5.%6.%7."/>
      <w:lvlJc w:val="left"/>
      <w:pPr>
        <w:ind w:left="4492" w:hanging="1800"/>
      </w:pPr>
      <w:rPr>
        <w:rFonts w:hint="default"/>
      </w:rPr>
    </w:lvl>
    <w:lvl w:ilvl="7">
      <w:start w:val="1"/>
      <w:numFmt w:val="decimal"/>
      <w:isLgl/>
      <w:lvlText w:val="%1.%2.%3.%4.%5.%6.%7.%8."/>
      <w:lvlJc w:val="left"/>
      <w:pPr>
        <w:ind w:left="4917" w:hanging="1800"/>
      </w:pPr>
      <w:rPr>
        <w:rFonts w:hint="default"/>
      </w:rPr>
    </w:lvl>
    <w:lvl w:ilvl="8">
      <w:start w:val="1"/>
      <w:numFmt w:val="decimal"/>
      <w:isLgl/>
      <w:lvlText w:val="%1.%2.%3.%4.%5.%6.%7.%8.%9."/>
      <w:lvlJc w:val="left"/>
      <w:pPr>
        <w:ind w:left="5702" w:hanging="2160"/>
      </w:pPr>
      <w:rPr>
        <w:rFonts w:hint="default"/>
      </w:rPr>
    </w:lvl>
  </w:abstractNum>
  <w:abstractNum w:abstractNumId="15" w15:restartNumberingAfterBreak="0">
    <w:nsid w:val="31CA503C"/>
    <w:multiLevelType w:val="multilevel"/>
    <w:tmpl w:val="1CD8E056"/>
    <w:lvl w:ilvl="0">
      <w:start w:val="3"/>
      <w:numFmt w:val="decimal"/>
      <w:lvlText w:val="%1."/>
      <w:lvlJc w:val="left"/>
      <w:pPr>
        <w:ind w:left="1070" w:hanging="360"/>
      </w:pPr>
      <w:rPr>
        <w:rFonts w:hint="default"/>
        <w:b w:val="0"/>
        <w:strike w:val="0"/>
        <w:color w:val="auto"/>
      </w:rPr>
    </w:lvl>
    <w:lvl w:ilvl="1">
      <w:start w:val="1"/>
      <w:numFmt w:val="decimal"/>
      <w:isLgl/>
      <w:lvlText w:val="%1.%2."/>
      <w:lvlJc w:val="left"/>
      <w:pPr>
        <w:ind w:left="1713" w:hanging="720"/>
      </w:pPr>
      <w:rPr>
        <w:rFonts w:hint="default"/>
        <w:strike w:val="0"/>
        <w:sz w:val="28"/>
        <w:szCs w:val="28"/>
      </w:rPr>
    </w:lvl>
    <w:lvl w:ilvl="2">
      <w:start w:val="1"/>
      <w:numFmt w:val="decimal"/>
      <w:isLgl/>
      <w:lvlText w:val="%1.%2.%3."/>
      <w:lvlJc w:val="left"/>
      <w:pPr>
        <w:ind w:left="2138" w:hanging="720"/>
      </w:pPr>
      <w:rPr>
        <w:rFonts w:hint="default"/>
      </w:rPr>
    </w:lvl>
    <w:lvl w:ilvl="3">
      <w:start w:val="1"/>
      <w:numFmt w:val="decimal"/>
      <w:isLgl/>
      <w:lvlText w:val="%1.%2.%3.%4."/>
      <w:lvlJc w:val="left"/>
      <w:pPr>
        <w:ind w:left="3631" w:hanging="1080"/>
      </w:pPr>
      <w:rPr>
        <w:rFonts w:hint="default"/>
      </w:rPr>
    </w:lvl>
    <w:lvl w:ilvl="4">
      <w:start w:val="1"/>
      <w:numFmt w:val="decimal"/>
      <w:isLgl/>
      <w:lvlText w:val="%1.%2.%3.%4.%5."/>
      <w:lvlJc w:val="left"/>
      <w:pPr>
        <w:ind w:left="4056" w:hanging="1080"/>
      </w:pPr>
      <w:rPr>
        <w:rFonts w:hint="default"/>
      </w:rPr>
    </w:lvl>
    <w:lvl w:ilvl="5">
      <w:start w:val="1"/>
      <w:numFmt w:val="decimal"/>
      <w:isLgl/>
      <w:lvlText w:val="%1.%2.%3.%4.%5.%6."/>
      <w:lvlJc w:val="left"/>
      <w:pPr>
        <w:ind w:left="4841" w:hanging="1440"/>
      </w:pPr>
      <w:rPr>
        <w:rFonts w:hint="default"/>
      </w:rPr>
    </w:lvl>
    <w:lvl w:ilvl="6">
      <w:start w:val="1"/>
      <w:numFmt w:val="decimal"/>
      <w:isLgl/>
      <w:lvlText w:val="%1.%2.%3.%4.%5.%6.%7."/>
      <w:lvlJc w:val="left"/>
      <w:pPr>
        <w:ind w:left="5626" w:hanging="1800"/>
      </w:pPr>
      <w:rPr>
        <w:rFonts w:hint="default"/>
      </w:rPr>
    </w:lvl>
    <w:lvl w:ilvl="7">
      <w:start w:val="1"/>
      <w:numFmt w:val="decimal"/>
      <w:isLgl/>
      <w:lvlText w:val="%1.%2.%3.%4.%5.%6.%7.%8."/>
      <w:lvlJc w:val="left"/>
      <w:pPr>
        <w:ind w:left="6051" w:hanging="1800"/>
      </w:pPr>
      <w:rPr>
        <w:rFonts w:hint="default"/>
      </w:rPr>
    </w:lvl>
    <w:lvl w:ilvl="8">
      <w:start w:val="1"/>
      <w:numFmt w:val="decimal"/>
      <w:isLgl/>
      <w:lvlText w:val="%1.%2.%3.%4.%5.%6.%7.%8.%9."/>
      <w:lvlJc w:val="left"/>
      <w:pPr>
        <w:ind w:left="6836" w:hanging="2160"/>
      </w:pPr>
      <w:rPr>
        <w:rFonts w:hint="default"/>
      </w:rPr>
    </w:lvl>
  </w:abstractNum>
  <w:abstractNum w:abstractNumId="16" w15:restartNumberingAfterBreak="0">
    <w:nsid w:val="32E77364"/>
    <w:multiLevelType w:val="hybridMultilevel"/>
    <w:tmpl w:val="050AA59C"/>
    <w:lvl w:ilvl="0" w:tplc="04260011">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15:restartNumberingAfterBreak="0">
    <w:nsid w:val="330D33F3"/>
    <w:multiLevelType w:val="hybridMultilevel"/>
    <w:tmpl w:val="4C442220"/>
    <w:lvl w:ilvl="0" w:tplc="04260001">
      <w:start w:val="1"/>
      <w:numFmt w:val="bullet"/>
      <w:lvlText w:val=""/>
      <w:lvlJc w:val="left"/>
      <w:pPr>
        <w:ind w:left="417" w:hanging="360"/>
      </w:pPr>
      <w:rPr>
        <w:rFonts w:ascii="Symbol" w:hAnsi="Symbol" w:hint="default"/>
        <w:sz w:val="28"/>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8" w15:restartNumberingAfterBreak="0">
    <w:nsid w:val="39827329"/>
    <w:multiLevelType w:val="hybridMultilevel"/>
    <w:tmpl w:val="CCEC3474"/>
    <w:lvl w:ilvl="0" w:tplc="CDA4A210">
      <w:start w:val="5"/>
      <w:numFmt w:val="bullet"/>
      <w:lvlText w:val="-"/>
      <w:lvlJc w:val="left"/>
      <w:pPr>
        <w:ind w:left="417" w:hanging="360"/>
      </w:pPr>
      <w:rPr>
        <w:rFonts w:ascii="Times New Roman" w:eastAsia="Times New Roman" w:hAnsi="Times New Roman" w:cs="Times New Roman" w:hint="default"/>
        <w:sz w:val="28"/>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9" w15:restartNumberingAfterBreak="0">
    <w:nsid w:val="39C1694C"/>
    <w:multiLevelType w:val="hybridMultilevel"/>
    <w:tmpl w:val="D2B01F8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1">
      <w:start w:val="1"/>
      <w:numFmt w:val="bullet"/>
      <w:lvlText w:val=""/>
      <w:lvlJc w:val="left"/>
      <w:pPr>
        <w:ind w:left="2160" w:hanging="360"/>
      </w:pPr>
      <w:rPr>
        <w:rFonts w:ascii="Symbol" w:hAnsi="Symbol"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9FC3664"/>
    <w:multiLevelType w:val="hybridMultilevel"/>
    <w:tmpl w:val="8160A65C"/>
    <w:lvl w:ilvl="0" w:tplc="807CAB3A">
      <w:start w:val="1"/>
      <w:numFmt w:val="decimal"/>
      <w:lvlText w:val="%1."/>
      <w:lvlJc w:val="left"/>
      <w:pPr>
        <w:ind w:left="360" w:hanging="360"/>
      </w:pPr>
      <w:rPr>
        <w:b w:val="0"/>
        <w:sz w:val="2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3B2E179D"/>
    <w:multiLevelType w:val="hybridMultilevel"/>
    <w:tmpl w:val="3A66C7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B8C395D"/>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255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EA57BA7"/>
    <w:multiLevelType w:val="hybridMultilevel"/>
    <w:tmpl w:val="F2403D74"/>
    <w:lvl w:ilvl="0" w:tplc="04260003">
      <w:start w:val="1"/>
      <w:numFmt w:val="bullet"/>
      <w:lvlText w:val="o"/>
      <w:lvlJc w:val="left"/>
      <w:pPr>
        <w:ind w:left="1080" w:hanging="360"/>
      </w:pPr>
      <w:rPr>
        <w:rFonts w:ascii="Courier New" w:hAnsi="Courier New" w:cs="Courier New" w:hint="default"/>
      </w:rPr>
    </w:lvl>
    <w:lvl w:ilvl="1" w:tplc="CDA4A210">
      <w:start w:val="5"/>
      <w:numFmt w:val="bullet"/>
      <w:lvlText w:val="-"/>
      <w:lvlJc w:val="left"/>
      <w:pPr>
        <w:ind w:left="1800" w:hanging="360"/>
      </w:pPr>
      <w:rPr>
        <w:rFonts w:ascii="Times New Roman" w:eastAsia="Times New Roman" w:hAnsi="Times New Roman" w:cs="Times New Roman" w:hint="default"/>
        <w:sz w:val="28"/>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40EF56AF"/>
    <w:multiLevelType w:val="hybridMultilevel"/>
    <w:tmpl w:val="8B90A9F0"/>
    <w:lvl w:ilvl="0" w:tplc="04260001">
      <w:start w:val="1"/>
      <w:numFmt w:val="bullet"/>
      <w:lvlText w:val=""/>
      <w:lvlJc w:val="left"/>
      <w:pPr>
        <w:ind w:left="720" w:hanging="360"/>
      </w:pPr>
      <w:rPr>
        <w:rFonts w:ascii="Symbol" w:hAnsi="Symbol" w:hint="default"/>
      </w:rPr>
    </w:lvl>
    <w:lvl w:ilvl="1" w:tplc="CDA4A210">
      <w:start w:val="5"/>
      <w:numFmt w:val="bullet"/>
      <w:lvlText w:val="-"/>
      <w:lvlJc w:val="left"/>
      <w:pPr>
        <w:ind w:left="1440" w:hanging="360"/>
      </w:pPr>
      <w:rPr>
        <w:rFonts w:ascii="Times New Roman" w:eastAsia="Times New Roman" w:hAnsi="Times New Roman" w:cs="Times New Roman" w:hint="default"/>
        <w:sz w:val="28"/>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7264DCF"/>
    <w:multiLevelType w:val="multilevel"/>
    <w:tmpl w:val="D14CEB62"/>
    <w:lvl w:ilvl="0">
      <w:start w:val="1"/>
      <w:numFmt w:val="decimal"/>
      <w:lvlText w:val="%1."/>
      <w:lvlJc w:val="left"/>
      <w:pPr>
        <w:ind w:left="5889" w:hanging="360"/>
      </w:pPr>
      <w:rPr>
        <w:rFonts w:hint="default"/>
        <w:color w:val="auto"/>
      </w:rPr>
    </w:lvl>
    <w:lvl w:ilvl="1">
      <w:start w:val="1"/>
      <w:numFmt w:val="decimal"/>
      <w:lvlText w:val="%2)"/>
      <w:lvlJc w:val="left"/>
      <w:pPr>
        <w:ind w:left="1997" w:hanging="720"/>
      </w:pPr>
      <w:rPr>
        <w:rFonts w:hint="default"/>
        <w:sz w:val="20"/>
        <w:szCs w:val="20"/>
      </w:rPr>
    </w:lvl>
    <w:lvl w:ilvl="2">
      <w:start w:val="1"/>
      <w:numFmt w:val="decimal"/>
      <w:isLgl/>
      <w:lvlText w:val="%1.%2.%3."/>
      <w:lvlJc w:val="left"/>
      <w:pPr>
        <w:ind w:left="1855"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707" w:hanging="1440"/>
      </w:pPr>
      <w:rPr>
        <w:rFonts w:hint="default"/>
      </w:rPr>
    </w:lvl>
    <w:lvl w:ilvl="6">
      <w:start w:val="1"/>
      <w:numFmt w:val="decimal"/>
      <w:isLgl/>
      <w:lvlText w:val="%1.%2.%3.%4.%5.%6.%7."/>
      <w:lvlJc w:val="left"/>
      <w:pPr>
        <w:ind w:left="4492" w:hanging="1800"/>
      </w:pPr>
      <w:rPr>
        <w:rFonts w:hint="default"/>
      </w:rPr>
    </w:lvl>
    <w:lvl w:ilvl="7">
      <w:start w:val="1"/>
      <w:numFmt w:val="decimal"/>
      <w:isLgl/>
      <w:lvlText w:val="%1.%2.%3.%4.%5.%6.%7.%8."/>
      <w:lvlJc w:val="left"/>
      <w:pPr>
        <w:ind w:left="4917" w:hanging="1800"/>
      </w:pPr>
      <w:rPr>
        <w:rFonts w:hint="default"/>
      </w:rPr>
    </w:lvl>
    <w:lvl w:ilvl="8">
      <w:start w:val="1"/>
      <w:numFmt w:val="decimal"/>
      <w:isLgl/>
      <w:lvlText w:val="%1.%2.%3.%4.%5.%6.%7.%8.%9."/>
      <w:lvlJc w:val="left"/>
      <w:pPr>
        <w:ind w:left="5702" w:hanging="2160"/>
      </w:pPr>
      <w:rPr>
        <w:rFonts w:hint="default"/>
      </w:rPr>
    </w:lvl>
  </w:abstractNum>
  <w:abstractNum w:abstractNumId="26" w15:restartNumberingAfterBreak="0">
    <w:nsid w:val="4F0C3C45"/>
    <w:multiLevelType w:val="hybridMultilevel"/>
    <w:tmpl w:val="D002900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9">
      <w:start w:val="1"/>
      <w:numFmt w:val="lowerLetter"/>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0F62D22"/>
    <w:multiLevelType w:val="multilevel"/>
    <w:tmpl w:val="242E725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35B17D8"/>
    <w:multiLevelType w:val="multilevel"/>
    <w:tmpl w:val="A39AB7FE"/>
    <w:lvl w:ilvl="0">
      <w:start w:val="1"/>
      <w:numFmt w:val="decimal"/>
      <w:lvlText w:val="%1."/>
      <w:lvlJc w:val="left"/>
      <w:pPr>
        <w:ind w:left="5889" w:hanging="360"/>
      </w:pPr>
      <w:rPr>
        <w:rFonts w:hint="default"/>
        <w:color w:val="auto"/>
      </w:rPr>
    </w:lvl>
    <w:lvl w:ilvl="1">
      <w:start w:val="1"/>
      <w:numFmt w:val="decimal"/>
      <w:isLgl/>
      <w:lvlText w:val="%1.%2."/>
      <w:lvlJc w:val="left"/>
      <w:pPr>
        <w:ind w:left="1997" w:hanging="720"/>
      </w:pPr>
      <w:rPr>
        <w:rFonts w:hint="default"/>
        <w:sz w:val="20"/>
        <w:szCs w:val="20"/>
      </w:rPr>
    </w:lvl>
    <w:lvl w:ilvl="2">
      <w:start w:val="1"/>
      <w:numFmt w:val="decimal"/>
      <w:isLgl/>
      <w:lvlText w:val="%1.%2.%3."/>
      <w:lvlJc w:val="left"/>
      <w:pPr>
        <w:ind w:left="1855"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707" w:hanging="1440"/>
      </w:pPr>
      <w:rPr>
        <w:rFonts w:hint="default"/>
      </w:rPr>
    </w:lvl>
    <w:lvl w:ilvl="6">
      <w:start w:val="1"/>
      <w:numFmt w:val="decimal"/>
      <w:isLgl/>
      <w:lvlText w:val="%1.%2.%3.%4.%5.%6.%7."/>
      <w:lvlJc w:val="left"/>
      <w:pPr>
        <w:ind w:left="4492" w:hanging="1800"/>
      </w:pPr>
      <w:rPr>
        <w:rFonts w:hint="default"/>
      </w:rPr>
    </w:lvl>
    <w:lvl w:ilvl="7">
      <w:start w:val="1"/>
      <w:numFmt w:val="decimal"/>
      <w:isLgl/>
      <w:lvlText w:val="%1.%2.%3.%4.%5.%6.%7.%8."/>
      <w:lvlJc w:val="left"/>
      <w:pPr>
        <w:ind w:left="4917" w:hanging="1800"/>
      </w:pPr>
      <w:rPr>
        <w:rFonts w:hint="default"/>
      </w:rPr>
    </w:lvl>
    <w:lvl w:ilvl="8">
      <w:start w:val="1"/>
      <w:numFmt w:val="decimal"/>
      <w:isLgl/>
      <w:lvlText w:val="%1.%2.%3.%4.%5.%6.%7.%8.%9."/>
      <w:lvlJc w:val="left"/>
      <w:pPr>
        <w:ind w:left="5702" w:hanging="2160"/>
      </w:pPr>
      <w:rPr>
        <w:rFonts w:hint="default"/>
      </w:rPr>
    </w:lvl>
  </w:abstractNum>
  <w:abstractNum w:abstractNumId="29" w15:restartNumberingAfterBreak="0">
    <w:nsid w:val="54B442DD"/>
    <w:multiLevelType w:val="multilevel"/>
    <w:tmpl w:val="247E7C00"/>
    <w:lvl w:ilvl="0">
      <w:start w:val="1"/>
      <w:numFmt w:val="decimal"/>
      <w:lvlText w:val="%1."/>
      <w:lvlJc w:val="left"/>
      <w:pPr>
        <w:ind w:left="5889" w:hanging="360"/>
      </w:pPr>
      <w:rPr>
        <w:rFonts w:hint="default"/>
        <w:color w:val="auto"/>
      </w:rPr>
    </w:lvl>
    <w:lvl w:ilvl="1">
      <w:start w:val="1"/>
      <w:numFmt w:val="decimal"/>
      <w:lvlText w:val="%2)"/>
      <w:lvlJc w:val="left"/>
      <w:pPr>
        <w:ind w:left="1997" w:hanging="720"/>
      </w:pPr>
      <w:rPr>
        <w:rFonts w:hint="default"/>
        <w:sz w:val="20"/>
        <w:szCs w:val="20"/>
      </w:rPr>
    </w:lvl>
    <w:lvl w:ilvl="2">
      <w:start w:val="1"/>
      <w:numFmt w:val="decimal"/>
      <w:isLgl/>
      <w:lvlText w:val="%1.%2.%3."/>
      <w:lvlJc w:val="left"/>
      <w:pPr>
        <w:ind w:left="1855"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707" w:hanging="1440"/>
      </w:pPr>
      <w:rPr>
        <w:rFonts w:hint="default"/>
      </w:rPr>
    </w:lvl>
    <w:lvl w:ilvl="6">
      <w:start w:val="1"/>
      <w:numFmt w:val="decimal"/>
      <w:isLgl/>
      <w:lvlText w:val="%1.%2.%3.%4.%5.%6.%7."/>
      <w:lvlJc w:val="left"/>
      <w:pPr>
        <w:ind w:left="4492" w:hanging="1800"/>
      </w:pPr>
      <w:rPr>
        <w:rFonts w:hint="default"/>
      </w:rPr>
    </w:lvl>
    <w:lvl w:ilvl="7">
      <w:start w:val="1"/>
      <w:numFmt w:val="decimal"/>
      <w:isLgl/>
      <w:lvlText w:val="%1.%2.%3.%4.%5.%6.%7.%8."/>
      <w:lvlJc w:val="left"/>
      <w:pPr>
        <w:ind w:left="4917" w:hanging="1800"/>
      </w:pPr>
      <w:rPr>
        <w:rFonts w:hint="default"/>
      </w:rPr>
    </w:lvl>
    <w:lvl w:ilvl="8">
      <w:start w:val="1"/>
      <w:numFmt w:val="decimal"/>
      <w:isLgl/>
      <w:lvlText w:val="%1.%2.%3.%4.%5.%6.%7.%8.%9."/>
      <w:lvlJc w:val="left"/>
      <w:pPr>
        <w:ind w:left="5702" w:hanging="2160"/>
      </w:pPr>
      <w:rPr>
        <w:rFonts w:hint="default"/>
      </w:rPr>
    </w:lvl>
  </w:abstractNum>
  <w:abstractNum w:abstractNumId="30" w15:restartNumberingAfterBreak="0">
    <w:nsid w:val="55FD18CD"/>
    <w:multiLevelType w:val="hybridMultilevel"/>
    <w:tmpl w:val="A3187BBC"/>
    <w:lvl w:ilvl="0" w:tplc="664AC1AE">
      <w:start w:val="1"/>
      <w:numFmt w:val="decimal"/>
      <w:lvlText w:val="%1)"/>
      <w:lvlJc w:val="left"/>
      <w:pPr>
        <w:ind w:left="495" w:hanging="1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601386D"/>
    <w:multiLevelType w:val="hybridMultilevel"/>
    <w:tmpl w:val="FC10793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3">
      <w:start w:val="1"/>
      <w:numFmt w:val="bullet"/>
      <w:lvlText w:val="o"/>
      <w:lvlJc w:val="left"/>
      <w:pPr>
        <w:ind w:left="2160" w:hanging="360"/>
      </w:pPr>
      <w:rPr>
        <w:rFonts w:ascii="Courier New" w:hAnsi="Courier New" w:cs="Courier New"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1803A62"/>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35C1CC8"/>
    <w:multiLevelType w:val="hybridMultilevel"/>
    <w:tmpl w:val="330A78A2"/>
    <w:lvl w:ilvl="0" w:tplc="69D0D2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E81D54"/>
    <w:multiLevelType w:val="hybridMultilevel"/>
    <w:tmpl w:val="80827B18"/>
    <w:lvl w:ilvl="0" w:tplc="79A2CC1A">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3F765E"/>
    <w:multiLevelType w:val="hybridMultilevel"/>
    <w:tmpl w:val="7C0EC0E6"/>
    <w:lvl w:ilvl="0" w:tplc="67E647D8">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2462B86"/>
    <w:multiLevelType w:val="hybridMultilevel"/>
    <w:tmpl w:val="CC1C03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5F109B"/>
    <w:multiLevelType w:val="hybridMultilevel"/>
    <w:tmpl w:val="EC7CE658"/>
    <w:lvl w:ilvl="0" w:tplc="47A2A656">
      <w:start w:val="1"/>
      <w:numFmt w:val="bullet"/>
      <w:lvlText w:val=""/>
      <w:lvlJc w:val="left"/>
      <w:pPr>
        <w:ind w:left="417" w:hanging="360"/>
      </w:pPr>
      <w:rPr>
        <w:rFonts w:ascii="Wingdings" w:hAnsi="Wingdings" w:hint="default"/>
        <w:sz w:val="20"/>
        <w:szCs w:val="20"/>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38" w15:restartNumberingAfterBreak="0">
    <w:nsid w:val="79840416"/>
    <w:multiLevelType w:val="hybridMultilevel"/>
    <w:tmpl w:val="BAA24AB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AF72026"/>
    <w:multiLevelType w:val="hybridMultilevel"/>
    <w:tmpl w:val="017415D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20"/>
  </w:num>
  <w:num w:numId="2">
    <w:abstractNumId w:val="18"/>
  </w:num>
  <w:num w:numId="3">
    <w:abstractNumId w:val="35"/>
  </w:num>
  <w:num w:numId="4">
    <w:abstractNumId w:val="16"/>
  </w:num>
  <w:num w:numId="5">
    <w:abstractNumId w:val="24"/>
  </w:num>
  <w:num w:numId="6">
    <w:abstractNumId w:val="6"/>
  </w:num>
  <w:num w:numId="7">
    <w:abstractNumId w:val="19"/>
  </w:num>
  <w:num w:numId="8">
    <w:abstractNumId w:val="4"/>
  </w:num>
  <w:num w:numId="9">
    <w:abstractNumId w:val="31"/>
  </w:num>
  <w:num w:numId="10">
    <w:abstractNumId w:val="17"/>
  </w:num>
  <w:num w:numId="11">
    <w:abstractNumId w:val="28"/>
  </w:num>
  <w:num w:numId="12">
    <w:abstractNumId w:val="38"/>
  </w:num>
  <w:num w:numId="13">
    <w:abstractNumId w:val="13"/>
  </w:num>
  <w:num w:numId="14">
    <w:abstractNumId w:val="22"/>
  </w:num>
  <w:num w:numId="15">
    <w:abstractNumId w:val="0"/>
  </w:num>
  <w:num w:numId="16">
    <w:abstractNumId w:val="10"/>
  </w:num>
  <w:num w:numId="17">
    <w:abstractNumId w:val="5"/>
  </w:num>
  <w:num w:numId="18">
    <w:abstractNumId w:val="12"/>
  </w:num>
  <w:num w:numId="19">
    <w:abstractNumId w:val="7"/>
  </w:num>
  <w:num w:numId="20">
    <w:abstractNumId w:val="37"/>
  </w:num>
  <w:num w:numId="21">
    <w:abstractNumId w:val="15"/>
  </w:num>
  <w:num w:numId="22">
    <w:abstractNumId w:val="26"/>
  </w:num>
  <w:num w:numId="23">
    <w:abstractNumId w:val="30"/>
  </w:num>
  <w:num w:numId="24">
    <w:abstractNumId w:val="36"/>
  </w:num>
  <w:num w:numId="25">
    <w:abstractNumId w:val="33"/>
  </w:num>
  <w:num w:numId="26">
    <w:abstractNumId w:val="34"/>
  </w:num>
  <w:num w:numId="27">
    <w:abstractNumId w:val="14"/>
  </w:num>
  <w:num w:numId="28">
    <w:abstractNumId w:val="11"/>
  </w:num>
  <w:num w:numId="29">
    <w:abstractNumId w:val="23"/>
  </w:num>
  <w:num w:numId="30">
    <w:abstractNumId w:val="21"/>
  </w:num>
  <w:num w:numId="31">
    <w:abstractNumId w:val="9"/>
  </w:num>
  <w:num w:numId="32">
    <w:abstractNumId w:val="1"/>
  </w:num>
  <w:num w:numId="33">
    <w:abstractNumId w:val="29"/>
  </w:num>
  <w:num w:numId="34">
    <w:abstractNumId w:val="25"/>
  </w:num>
  <w:num w:numId="35">
    <w:abstractNumId w:val="32"/>
  </w:num>
  <w:num w:numId="36">
    <w:abstractNumId w:val="8"/>
  </w:num>
  <w:num w:numId="37">
    <w:abstractNumId w:val="3"/>
  </w:num>
  <w:num w:numId="38">
    <w:abstractNumId w:val="27"/>
  </w:num>
  <w:num w:numId="39">
    <w:abstractNumId w:val="2"/>
  </w:num>
  <w:num w:numId="40">
    <w:abstractNumId w:val="3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45"/>
    <w:rsid w:val="000000CE"/>
    <w:rsid w:val="00000E9F"/>
    <w:rsid w:val="00001E62"/>
    <w:rsid w:val="00003293"/>
    <w:rsid w:val="00003434"/>
    <w:rsid w:val="00003859"/>
    <w:rsid w:val="000040A9"/>
    <w:rsid w:val="00005DFA"/>
    <w:rsid w:val="00006D7F"/>
    <w:rsid w:val="00011FC3"/>
    <w:rsid w:val="00013EF9"/>
    <w:rsid w:val="00015BE4"/>
    <w:rsid w:val="000164A1"/>
    <w:rsid w:val="00016659"/>
    <w:rsid w:val="000169FA"/>
    <w:rsid w:val="00016D22"/>
    <w:rsid w:val="00016FEA"/>
    <w:rsid w:val="00017940"/>
    <w:rsid w:val="000205A7"/>
    <w:rsid w:val="000214F5"/>
    <w:rsid w:val="0002158B"/>
    <w:rsid w:val="00022AF0"/>
    <w:rsid w:val="00022EA0"/>
    <w:rsid w:val="00023887"/>
    <w:rsid w:val="00023913"/>
    <w:rsid w:val="00027868"/>
    <w:rsid w:val="00027B6C"/>
    <w:rsid w:val="0003082F"/>
    <w:rsid w:val="00030A52"/>
    <w:rsid w:val="00031039"/>
    <w:rsid w:val="000326BA"/>
    <w:rsid w:val="0003431E"/>
    <w:rsid w:val="000344B2"/>
    <w:rsid w:val="00034605"/>
    <w:rsid w:val="00035450"/>
    <w:rsid w:val="00035F21"/>
    <w:rsid w:val="0003675F"/>
    <w:rsid w:val="0004595D"/>
    <w:rsid w:val="000460B9"/>
    <w:rsid w:val="00046255"/>
    <w:rsid w:val="000473CC"/>
    <w:rsid w:val="0005006A"/>
    <w:rsid w:val="00051E15"/>
    <w:rsid w:val="00052408"/>
    <w:rsid w:val="000530B7"/>
    <w:rsid w:val="00053101"/>
    <w:rsid w:val="00054C02"/>
    <w:rsid w:val="00055E6C"/>
    <w:rsid w:val="000568D4"/>
    <w:rsid w:val="00056B96"/>
    <w:rsid w:val="00056CDE"/>
    <w:rsid w:val="00057A45"/>
    <w:rsid w:val="00061756"/>
    <w:rsid w:val="000637F3"/>
    <w:rsid w:val="00064A87"/>
    <w:rsid w:val="000650EE"/>
    <w:rsid w:val="000658CE"/>
    <w:rsid w:val="00067040"/>
    <w:rsid w:val="00071DE1"/>
    <w:rsid w:val="0007335D"/>
    <w:rsid w:val="0007450A"/>
    <w:rsid w:val="000745B5"/>
    <w:rsid w:val="0007504C"/>
    <w:rsid w:val="00075432"/>
    <w:rsid w:val="00076158"/>
    <w:rsid w:val="00076EF5"/>
    <w:rsid w:val="000773A0"/>
    <w:rsid w:val="00080965"/>
    <w:rsid w:val="00081B3F"/>
    <w:rsid w:val="000844D3"/>
    <w:rsid w:val="00084E25"/>
    <w:rsid w:val="00084F09"/>
    <w:rsid w:val="0008516D"/>
    <w:rsid w:val="000875FE"/>
    <w:rsid w:val="000876CA"/>
    <w:rsid w:val="00090674"/>
    <w:rsid w:val="00091842"/>
    <w:rsid w:val="00093CE0"/>
    <w:rsid w:val="00094307"/>
    <w:rsid w:val="000943E7"/>
    <w:rsid w:val="000947C0"/>
    <w:rsid w:val="00094944"/>
    <w:rsid w:val="000959FA"/>
    <w:rsid w:val="0009620B"/>
    <w:rsid w:val="0009645B"/>
    <w:rsid w:val="00097499"/>
    <w:rsid w:val="000A00D8"/>
    <w:rsid w:val="000A0E22"/>
    <w:rsid w:val="000A16D2"/>
    <w:rsid w:val="000A3A79"/>
    <w:rsid w:val="000A4631"/>
    <w:rsid w:val="000A4B58"/>
    <w:rsid w:val="000A61A5"/>
    <w:rsid w:val="000A7310"/>
    <w:rsid w:val="000B664E"/>
    <w:rsid w:val="000B772F"/>
    <w:rsid w:val="000C0381"/>
    <w:rsid w:val="000C0D48"/>
    <w:rsid w:val="000C2B12"/>
    <w:rsid w:val="000C35CA"/>
    <w:rsid w:val="000C537B"/>
    <w:rsid w:val="000C740C"/>
    <w:rsid w:val="000D23D5"/>
    <w:rsid w:val="000D32BA"/>
    <w:rsid w:val="000D391D"/>
    <w:rsid w:val="000D42EA"/>
    <w:rsid w:val="000D46FB"/>
    <w:rsid w:val="000D5011"/>
    <w:rsid w:val="000D54D5"/>
    <w:rsid w:val="000D5B46"/>
    <w:rsid w:val="000D798F"/>
    <w:rsid w:val="000E07E9"/>
    <w:rsid w:val="000E52AF"/>
    <w:rsid w:val="000E581B"/>
    <w:rsid w:val="000E59B9"/>
    <w:rsid w:val="000E59D5"/>
    <w:rsid w:val="000E60C5"/>
    <w:rsid w:val="000E705D"/>
    <w:rsid w:val="000E7A3A"/>
    <w:rsid w:val="000F03F4"/>
    <w:rsid w:val="000F1E99"/>
    <w:rsid w:val="000F3B65"/>
    <w:rsid w:val="0010189D"/>
    <w:rsid w:val="0010194C"/>
    <w:rsid w:val="00101A77"/>
    <w:rsid w:val="0010416B"/>
    <w:rsid w:val="00106273"/>
    <w:rsid w:val="00107CE4"/>
    <w:rsid w:val="00110257"/>
    <w:rsid w:val="001116A8"/>
    <w:rsid w:val="00112D60"/>
    <w:rsid w:val="00113F4B"/>
    <w:rsid w:val="001160B7"/>
    <w:rsid w:val="00116660"/>
    <w:rsid w:val="001210A7"/>
    <w:rsid w:val="00121D39"/>
    <w:rsid w:val="0012406F"/>
    <w:rsid w:val="001246E4"/>
    <w:rsid w:val="001256C9"/>
    <w:rsid w:val="00126108"/>
    <w:rsid w:val="00130B8D"/>
    <w:rsid w:val="00131D90"/>
    <w:rsid w:val="00135B78"/>
    <w:rsid w:val="00142C8F"/>
    <w:rsid w:val="0014327D"/>
    <w:rsid w:val="001434D0"/>
    <w:rsid w:val="00144FB8"/>
    <w:rsid w:val="001454CE"/>
    <w:rsid w:val="00146622"/>
    <w:rsid w:val="00147499"/>
    <w:rsid w:val="00151D4E"/>
    <w:rsid w:val="00152531"/>
    <w:rsid w:val="001538A9"/>
    <w:rsid w:val="00153F84"/>
    <w:rsid w:val="0015472A"/>
    <w:rsid w:val="001549DF"/>
    <w:rsid w:val="001554D2"/>
    <w:rsid w:val="001564E4"/>
    <w:rsid w:val="00157EFE"/>
    <w:rsid w:val="00160C6C"/>
    <w:rsid w:val="00160F31"/>
    <w:rsid w:val="00161279"/>
    <w:rsid w:val="00161D68"/>
    <w:rsid w:val="001629C3"/>
    <w:rsid w:val="0016540B"/>
    <w:rsid w:val="001676C1"/>
    <w:rsid w:val="00167B6E"/>
    <w:rsid w:val="00172FC8"/>
    <w:rsid w:val="00173197"/>
    <w:rsid w:val="00173431"/>
    <w:rsid w:val="00175FE2"/>
    <w:rsid w:val="0018044A"/>
    <w:rsid w:val="00186DDC"/>
    <w:rsid w:val="001903DC"/>
    <w:rsid w:val="001966C0"/>
    <w:rsid w:val="00196C91"/>
    <w:rsid w:val="001A09D7"/>
    <w:rsid w:val="001A10D1"/>
    <w:rsid w:val="001A3B2F"/>
    <w:rsid w:val="001A495C"/>
    <w:rsid w:val="001A4C78"/>
    <w:rsid w:val="001B1DFE"/>
    <w:rsid w:val="001B25AF"/>
    <w:rsid w:val="001B264B"/>
    <w:rsid w:val="001B2754"/>
    <w:rsid w:val="001B2B2B"/>
    <w:rsid w:val="001B48AA"/>
    <w:rsid w:val="001C0401"/>
    <w:rsid w:val="001C1607"/>
    <w:rsid w:val="001C2768"/>
    <w:rsid w:val="001C2FA3"/>
    <w:rsid w:val="001C2FD2"/>
    <w:rsid w:val="001C3481"/>
    <w:rsid w:val="001C391D"/>
    <w:rsid w:val="001C3946"/>
    <w:rsid w:val="001C57EF"/>
    <w:rsid w:val="001C6359"/>
    <w:rsid w:val="001C7F19"/>
    <w:rsid w:val="001D0C6E"/>
    <w:rsid w:val="001D11D4"/>
    <w:rsid w:val="001D3BEE"/>
    <w:rsid w:val="001D3ECA"/>
    <w:rsid w:val="001D5F76"/>
    <w:rsid w:val="001D6CE4"/>
    <w:rsid w:val="001D6E35"/>
    <w:rsid w:val="001E0386"/>
    <w:rsid w:val="001E0667"/>
    <w:rsid w:val="001E21C4"/>
    <w:rsid w:val="001E2636"/>
    <w:rsid w:val="001E2ACA"/>
    <w:rsid w:val="001E5108"/>
    <w:rsid w:val="001F1984"/>
    <w:rsid w:val="001F201E"/>
    <w:rsid w:val="001F2A59"/>
    <w:rsid w:val="001F3334"/>
    <w:rsid w:val="001F427E"/>
    <w:rsid w:val="001F6C9B"/>
    <w:rsid w:val="001F7DD0"/>
    <w:rsid w:val="001F7E4A"/>
    <w:rsid w:val="00201CB9"/>
    <w:rsid w:val="002030ED"/>
    <w:rsid w:val="00205B80"/>
    <w:rsid w:val="00206C9D"/>
    <w:rsid w:val="002120B6"/>
    <w:rsid w:val="002133BE"/>
    <w:rsid w:val="00214288"/>
    <w:rsid w:val="00214299"/>
    <w:rsid w:val="00214C14"/>
    <w:rsid w:val="002208AE"/>
    <w:rsid w:val="00220C0F"/>
    <w:rsid w:val="00221ADE"/>
    <w:rsid w:val="002222BA"/>
    <w:rsid w:val="002222D9"/>
    <w:rsid w:val="002225BD"/>
    <w:rsid w:val="00222714"/>
    <w:rsid w:val="0022284E"/>
    <w:rsid w:val="00224CF1"/>
    <w:rsid w:val="002267D6"/>
    <w:rsid w:val="0022690C"/>
    <w:rsid w:val="00227DB7"/>
    <w:rsid w:val="00231C2B"/>
    <w:rsid w:val="00232E02"/>
    <w:rsid w:val="00233CF7"/>
    <w:rsid w:val="002358F8"/>
    <w:rsid w:val="0023608B"/>
    <w:rsid w:val="002374A3"/>
    <w:rsid w:val="0024327C"/>
    <w:rsid w:val="002434D6"/>
    <w:rsid w:val="002436BC"/>
    <w:rsid w:val="002444D7"/>
    <w:rsid w:val="00245017"/>
    <w:rsid w:val="002462B4"/>
    <w:rsid w:val="002465D6"/>
    <w:rsid w:val="00246C24"/>
    <w:rsid w:val="0024771D"/>
    <w:rsid w:val="002478C3"/>
    <w:rsid w:val="00250D43"/>
    <w:rsid w:val="00253001"/>
    <w:rsid w:val="00253B7F"/>
    <w:rsid w:val="00254075"/>
    <w:rsid w:val="00254EB8"/>
    <w:rsid w:val="002551A6"/>
    <w:rsid w:val="00256E47"/>
    <w:rsid w:val="00257617"/>
    <w:rsid w:val="002605C0"/>
    <w:rsid w:val="0026330D"/>
    <w:rsid w:val="00264888"/>
    <w:rsid w:val="002655BA"/>
    <w:rsid w:val="0026684F"/>
    <w:rsid w:val="00267539"/>
    <w:rsid w:val="00270EEA"/>
    <w:rsid w:val="00271B59"/>
    <w:rsid w:val="00275959"/>
    <w:rsid w:val="00275AD8"/>
    <w:rsid w:val="002764B8"/>
    <w:rsid w:val="002767CE"/>
    <w:rsid w:val="00276EF8"/>
    <w:rsid w:val="00281DD1"/>
    <w:rsid w:val="00282D42"/>
    <w:rsid w:val="00283154"/>
    <w:rsid w:val="00284A74"/>
    <w:rsid w:val="0028541D"/>
    <w:rsid w:val="0028629B"/>
    <w:rsid w:val="00286C33"/>
    <w:rsid w:val="00287B3F"/>
    <w:rsid w:val="00292C51"/>
    <w:rsid w:val="0029303E"/>
    <w:rsid w:val="002935F0"/>
    <w:rsid w:val="00293F7E"/>
    <w:rsid w:val="00294D75"/>
    <w:rsid w:val="00295212"/>
    <w:rsid w:val="00295590"/>
    <w:rsid w:val="00296B9D"/>
    <w:rsid w:val="0029714A"/>
    <w:rsid w:val="00297635"/>
    <w:rsid w:val="00297F53"/>
    <w:rsid w:val="002A06CC"/>
    <w:rsid w:val="002A0BDF"/>
    <w:rsid w:val="002A179C"/>
    <w:rsid w:val="002A249E"/>
    <w:rsid w:val="002A2A18"/>
    <w:rsid w:val="002A3B30"/>
    <w:rsid w:val="002A3CA8"/>
    <w:rsid w:val="002A5743"/>
    <w:rsid w:val="002A7D63"/>
    <w:rsid w:val="002B0E2F"/>
    <w:rsid w:val="002B1603"/>
    <w:rsid w:val="002B1874"/>
    <w:rsid w:val="002B5960"/>
    <w:rsid w:val="002B5ECE"/>
    <w:rsid w:val="002B7380"/>
    <w:rsid w:val="002C0DBF"/>
    <w:rsid w:val="002C0FE8"/>
    <w:rsid w:val="002C2C45"/>
    <w:rsid w:val="002C2F91"/>
    <w:rsid w:val="002C3D37"/>
    <w:rsid w:val="002C458D"/>
    <w:rsid w:val="002C58ED"/>
    <w:rsid w:val="002C6C0C"/>
    <w:rsid w:val="002C7707"/>
    <w:rsid w:val="002C7D19"/>
    <w:rsid w:val="002D0512"/>
    <w:rsid w:val="002D0A38"/>
    <w:rsid w:val="002D2047"/>
    <w:rsid w:val="002D3AF4"/>
    <w:rsid w:val="002D5FF1"/>
    <w:rsid w:val="002E0543"/>
    <w:rsid w:val="002E0643"/>
    <w:rsid w:val="002E1926"/>
    <w:rsid w:val="002E2EF1"/>
    <w:rsid w:val="002E5244"/>
    <w:rsid w:val="002E73E1"/>
    <w:rsid w:val="002E7C61"/>
    <w:rsid w:val="002F377E"/>
    <w:rsid w:val="00300F58"/>
    <w:rsid w:val="00301E40"/>
    <w:rsid w:val="003024AD"/>
    <w:rsid w:val="003025DE"/>
    <w:rsid w:val="00302DF2"/>
    <w:rsid w:val="00303A4F"/>
    <w:rsid w:val="00305AEE"/>
    <w:rsid w:val="00306E92"/>
    <w:rsid w:val="00310936"/>
    <w:rsid w:val="0031173B"/>
    <w:rsid w:val="00313BE8"/>
    <w:rsid w:val="003145F8"/>
    <w:rsid w:val="003160A2"/>
    <w:rsid w:val="0031744E"/>
    <w:rsid w:val="00321929"/>
    <w:rsid w:val="00321969"/>
    <w:rsid w:val="003222AA"/>
    <w:rsid w:val="003229E3"/>
    <w:rsid w:val="00322F02"/>
    <w:rsid w:val="00323800"/>
    <w:rsid w:val="00323BBA"/>
    <w:rsid w:val="00324DCB"/>
    <w:rsid w:val="00325B3E"/>
    <w:rsid w:val="0033121E"/>
    <w:rsid w:val="0033291F"/>
    <w:rsid w:val="0033346D"/>
    <w:rsid w:val="003348E1"/>
    <w:rsid w:val="003355BE"/>
    <w:rsid w:val="00335BF2"/>
    <w:rsid w:val="003366B8"/>
    <w:rsid w:val="0033681F"/>
    <w:rsid w:val="003368B0"/>
    <w:rsid w:val="00337EFC"/>
    <w:rsid w:val="00343007"/>
    <w:rsid w:val="00345053"/>
    <w:rsid w:val="00345937"/>
    <w:rsid w:val="00345953"/>
    <w:rsid w:val="00346436"/>
    <w:rsid w:val="003472FC"/>
    <w:rsid w:val="00347BB0"/>
    <w:rsid w:val="00352CB6"/>
    <w:rsid w:val="00353E34"/>
    <w:rsid w:val="00355359"/>
    <w:rsid w:val="00355990"/>
    <w:rsid w:val="0035678C"/>
    <w:rsid w:val="0035690D"/>
    <w:rsid w:val="003606AD"/>
    <w:rsid w:val="0036246B"/>
    <w:rsid w:val="00362B79"/>
    <w:rsid w:val="003630A9"/>
    <w:rsid w:val="0036767D"/>
    <w:rsid w:val="003715AC"/>
    <w:rsid w:val="00371EAD"/>
    <w:rsid w:val="003726E1"/>
    <w:rsid w:val="0037305E"/>
    <w:rsid w:val="00374377"/>
    <w:rsid w:val="003747BF"/>
    <w:rsid w:val="0038024C"/>
    <w:rsid w:val="00381015"/>
    <w:rsid w:val="003823A4"/>
    <w:rsid w:val="00382DF4"/>
    <w:rsid w:val="00383A20"/>
    <w:rsid w:val="003866B2"/>
    <w:rsid w:val="00386D54"/>
    <w:rsid w:val="00391A41"/>
    <w:rsid w:val="0039373A"/>
    <w:rsid w:val="00393B19"/>
    <w:rsid w:val="00397BF6"/>
    <w:rsid w:val="00397FB6"/>
    <w:rsid w:val="003A0166"/>
    <w:rsid w:val="003A1B1A"/>
    <w:rsid w:val="003A3AD4"/>
    <w:rsid w:val="003A5266"/>
    <w:rsid w:val="003A58C6"/>
    <w:rsid w:val="003A77BD"/>
    <w:rsid w:val="003B0A8C"/>
    <w:rsid w:val="003B3004"/>
    <w:rsid w:val="003B689D"/>
    <w:rsid w:val="003B77A3"/>
    <w:rsid w:val="003C05E7"/>
    <w:rsid w:val="003C064D"/>
    <w:rsid w:val="003C1451"/>
    <w:rsid w:val="003C1DE6"/>
    <w:rsid w:val="003C25D4"/>
    <w:rsid w:val="003C446F"/>
    <w:rsid w:val="003C7C85"/>
    <w:rsid w:val="003D076C"/>
    <w:rsid w:val="003D1190"/>
    <w:rsid w:val="003D39AE"/>
    <w:rsid w:val="003D40F3"/>
    <w:rsid w:val="003D59FE"/>
    <w:rsid w:val="003E0241"/>
    <w:rsid w:val="003E0A3C"/>
    <w:rsid w:val="003E147F"/>
    <w:rsid w:val="003E15A7"/>
    <w:rsid w:val="003E15D2"/>
    <w:rsid w:val="003E1BEE"/>
    <w:rsid w:val="003E2D58"/>
    <w:rsid w:val="003E3D7A"/>
    <w:rsid w:val="003E5C59"/>
    <w:rsid w:val="003E657B"/>
    <w:rsid w:val="003E79DE"/>
    <w:rsid w:val="003E7D03"/>
    <w:rsid w:val="003F0297"/>
    <w:rsid w:val="003F2B8E"/>
    <w:rsid w:val="003F3652"/>
    <w:rsid w:val="00410C9C"/>
    <w:rsid w:val="0041100B"/>
    <w:rsid w:val="00411A2D"/>
    <w:rsid w:val="00411ECA"/>
    <w:rsid w:val="00412692"/>
    <w:rsid w:val="004179CC"/>
    <w:rsid w:val="004221DF"/>
    <w:rsid w:val="004238D5"/>
    <w:rsid w:val="00423CA2"/>
    <w:rsid w:val="00426858"/>
    <w:rsid w:val="00426C42"/>
    <w:rsid w:val="00426CAA"/>
    <w:rsid w:val="004276F2"/>
    <w:rsid w:val="004279C9"/>
    <w:rsid w:val="00430D0C"/>
    <w:rsid w:val="00431FF0"/>
    <w:rsid w:val="00432563"/>
    <w:rsid w:val="00436450"/>
    <w:rsid w:val="00436CD1"/>
    <w:rsid w:val="004371F7"/>
    <w:rsid w:val="00440079"/>
    <w:rsid w:val="00440ECE"/>
    <w:rsid w:val="00444431"/>
    <w:rsid w:val="00444531"/>
    <w:rsid w:val="0044472C"/>
    <w:rsid w:val="004453D4"/>
    <w:rsid w:val="00445CA8"/>
    <w:rsid w:val="00450CFD"/>
    <w:rsid w:val="00450DCB"/>
    <w:rsid w:val="00451F5F"/>
    <w:rsid w:val="00452E8D"/>
    <w:rsid w:val="0045427B"/>
    <w:rsid w:val="0045489B"/>
    <w:rsid w:val="00455A31"/>
    <w:rsid w:val="004606EC"/>
    <w:rsid w:val="00462DBD"/>
    <w:rsid w:val="00466AC2"/>
    <w:rsid w:val="00467465"/>
    <w:rsid w:val="00467CDC"/>
    <w:rsid w:val="00467F17"/>
    <w:rsid w:val="00470DF3"/>
    <w:rsid w:val="00474D3C"/>
    <w:rsid w:val="00476A39"/>
    <w:rsid w:val="004771C0"/>
    <w:rsid w:val="004809B2"/>
    <w:rsid w:val="00482B5D"/>
    <w:rsid w:val="00483834"/>
    <w:rsid w:val="00484A60"/>
    <w:rsid w:val="00491495"/>
    <w:rsid w:val="00491E6B"/>
    <w:rsid w:val="00492FF8"/>
    <w:rsid w:val="00493F81"/>
    <w:rsid w:val="0049498C"/>
    <w:rsid w:val="004949C3"/>
    <w:rsid w:val="00495FC3"/>
    <w:rsid w:val="004966EF"/>
    <w:rsid w:val="004967CD"/>
    <w:rsid w:val="004A00FE"/>
    <w:rsid w:val="004A01EE"/>
    <w:rsid w:val="004A024F"/>
    <w:rsid w:val="004A06BE"/>
    <w:rsid w:val="004A0B1A"/>
    <w:rsid w:val="004A0EAF"/>
    <w:rsid w:val="004A145F"/>
    <w:rsid w:val="004A290E"/>
    <w:rsid w:val="004A4CB1"/>
    <w:rsid w:val="004B0E40"/>
    <w:rsid w:val="004B10D4"/>
    <w:rsid w:val="004B130C"/>
    <w:rsid w:val="004B2DA8"/>
    <w:rsid w:val="004B3BAE"/>
    <w:rsid w:val="004B4CF4"/>
    <w:rsid w:val="004B4D34"/>
    <w:rsid w:val="004B515D"/>
    <w:rsid w:val="004B7ED6"/>
    <w:rsid w:val="004C061E"/>
    <w:rsid w:val="004C07A5"/>
    <w:rsid w:val="004C18E9"/>
    <w:rsid w:val="004C1DAE"/>
    <w:rsid w:val="004C2BCB"/>
    <w:rsid w:val="004C2F2D"/>
    <w:rsid w:val="004C4BCE"/>
    <w:rsid w:val="004C5D29"/>
    <w:rsid w:val="004C77F0"/>
    <w:rsid w:val="004C794F"/>
    <w:rsid w:val="004C7B02"/>
    <w:rsid w:val="004D0540"/>
    <w:rsid w:val="004D25B1"/>
    <w:rsid w:val="004D35DE"/>
    <w:rsid w:val="004D530F"/>
    <w:rsid w:val="004D5BAA"/>
    <w:rsid w:val="004E1373"/>
    <w:rsid w:val="004E535E"/>
    <w:rsid w:val="004E550F"/>
    <w:rsid w:val="004E5809"/>
    <w:rsid w:val="004E7F6E"/>
    <w:rsid w:val="004F2F91"/>
    <w:rsid w:val="004F3DBD"/>
    <w:rsid w:val="004F5A60"/>
    <w:rsid w:val="004F60F5"/>
    <w:rsid w:val="004F7DD5"/>
    <w:rsid w:val="00502401"/>
    <w:rsid w:val="005026CF"/>
    <w:rsid w:val="005037A3"/>
    <w:rsid w:val="00503FA0"/>
    <w:rsid w:val="005042CD"/>
    <w:rsid w:val="00505791"/>
    <w:rsid w:val="00507AD6"/>
    <w:rsid w:val="0051049B"/>
    <w:rsid w:val="00510A0C"/>
    <w:rsid w:val="00511D8F"/>
    <w:rsid w:val="005128AE"/>
    <w:rsid w:val="005134BA"/>
    <w:rsid w:val="00514D1B"/>
    <w:rsid w:val="00515BB7"/>
    <w:rsid w:val="0052097E"/>
    <w:rsid w:val="00521450"/>
    <w:rsid w:val="00521B2E"/>
    <w:rsid w:val="00521B66"/>
    <w:rsid w:val="005236E8"/>
    <w:rsid w:val="00523EAC"/>
    <w:rsid w:val="005256A8"/>
    <w:rsid w:val="005256F3"/>
    <w:rsid w:val="00527A17"/>
    <w:rsid w:val="00530BE6"/>
    <w:rsid w:val="00532848"/>
    <w:rsid w:val="005333D0"/>
    <w:rsid w:val="0053406C"/>
    <w:rsid w:val="00534946"/>
    <w:rsid w:val="005349D2"/>
    <w:rsid w:val="00534EEC"/>
    <w:rsid w:val="00536076"/>
    <w:rsid w:val="00537635"/>
    <w:rsid w:val="00537FF4"/>
    <w:rsid w:val="005454DA"/>
    <w:rsid w:val="00545B50"/>
    <w:rsid w:val="00547520"/>
    <w:rsid w:val="0055015D"/>
    <w:rsid w:val="00550C4E"/>
    <w:rsid w:val="00551035"/>
    <w:rsid w:val="00561C3C"/>
    <w:rsid w:val="0056208F"/>
    <w:rsid w:val="005621A7"/>
    <w:rsid w:val="00566BCE"/>
    <w:rsid w:val="00570802"/>
    <w:rsid w:val="00575AF7"/>
    <w:rsid w:val="00576736"/>
    <w:rsid w:val="00576E3C"/>
    <w:rsid w:val="00576FEC"/>
    <w:rsid w:val="0058195C"/>
    <w:rsid w:val="00582FA1"/>
    <w:rsid w:val="005846E1"/>
    <w:rsid w:val="00584858"/>
    <w:rsid w:val="005911C4"/>
    <w:rsid w:val="005918CC"/>
    <w:rsid w:val="00592B9D"/>
    <w:rsid w:val="00596A99"/>
    <w:rsid w:val="00597BEA"/>
    <w:rsid w:val="005A014D"/>
    <w:rsid w:val="005A04D2"/>
    <w:rsid w:val="005A21AA"/>
    <w:rsid w:val="005A355D"/>
    <w:rsid w:val="005A6EE9"/>
    <w:rsid w:val="005A7ADC"/>
    <w:rsid w:val="005B098C"/>
    <w:rsid w:val="005B16C5"/>
    <w:rsid w:val="005B255F"/>
    <w:rsid w:val="005B2D87"/>
    <w:rsid w:val="005B2F55"/>
    <w:rsid w:val="005B31B9"/>
    <w:rsid w:val="005B443E"/>
    <w:rsid w:val="005B48CC"/>
    <w:rsid w:val="005B5101"/>
    <w:rsid w:val="005B58FB"/>
    <w:rsid w:val="005B6D49"/>
    <w:rsid w:val="005C15AF"/>
    <w:rsid w:val="005C1B7D"/>
    <w:rsid w:val="005C1F28"/>
    <w:rsid w:val="005C21C7"/>
    <w:rsid w:val="005C3484"/>
    <w:rsid w:val="005C444B"/>
    <w:rsid w:val="005C4840"/>
    <w:rsid w:val="005C5780"/>
    <w:rsid w:val="005D1649"/>
    <w:rsid w:val="005D2B28"/>
    <w:rsid w:val="005D501A"/>
    <w:rsid w:val="005E06A1"/>
    <w:rsid w:val="005E1655"/>
    <w:rsid w:val="005E3276"/>
    <w:rsid w:val="005E3EA3"/>
    <w:rsid w:val="005E5199"/>
    <w:rsid w:val="005F1AA1"/>
    <w:rsid w:val="005F50D8"/>
    <w:rsid w:val="005F559F"/>
    <w:rsid w:val="005F5E9E"/>
    <w:rsid w:val="00602090"/>
    <w:rsid w:val="00604FC1"/>
    <w:rsid w:val="00605D31"/>
    <w:rsid w:val="006103B7"/>
    <w:rsid w:val="00610788"/>
    <w:rsid w:val="00610A65"/>
    <w:rsid w:val="00611614"/>
    <w:rsid w:val="00613D82"/>
    <w:rsid w:val="00617064"/>
    <w:rsid w:val="00617251"/>
    <w:rsid w:val="00617BA4"/>
    <w:rsid w:val="006216C0"/>
    <w:rsid w:val="006235D3"/>
    <w:rsid w:val="00623724"/>
    <w:rsid w:val="006248F0"/>
    <w:rsid w:val="00624B30"/>
    <w:rsid w:val="00626B4C"/>
    <w:rsid w:val="00626F77"/>
    <w:rsid w:val="00630D80"/>
    <w:rsid w:val="006317B8"/>
    <w:rsid w:val="00631FCB"/>
    <w:rsid w:val="00632550"/>
    <w:rsid w:val="006330A8"/>
    <w:rsid w:val="006337D0"/>
    <w:rsid w:val="00634B8D"/>
    <w:rsid w:val="00636EDF"/>
    <w:rsid w:val="0063775D"/>
    <w:rsid w:val="00640C17"/>
    <w:rsid w:val="00641CD0"/>
    <w:rsid w:val="006430C6"/>
    <w:rsid w:val="00645D0B"/>
    <w:rsid w:val="0064665D"/>
    <w:rsid w:val="006476A2"/>
    <w:rsid w:val="00647A2B"/>
    <w:rsid w:val="00652A30"/>
    <w:rsid w:val="00654904"/>
    <w:rsid w:val="006549F3"/>
    <w:rsid w:val="00656F13"/>
    <w:rsid w:val="00657209"/>
    <w:rsid w:val="0066145A"/>
    <w:rsid w:val="00662E23"/>
    <w:rsid w:val="00664063"/>
    <w:rsid w:val="00665027"/>
    <w:rsid w:val="00665941"/>
    <w:rsid w:val="00666F6B"/>
    <w:rsid w:val="0066721D"/>
    <w:rsid w:val="00667B3B"/>
    <w:rsid w:val="00671D41"/>
    <w:rsid w:val="006730F3"/>
    <w:rsid w:val="0067509B"/>
    <w:rsid w:val="00676023"/>
    <w:rsid w:val="00677114"/>
    <w:rsid w:val="00677278"/>
    <w:rsid w:val="0067750A"/>
    <w:rsid w:val="00677AF3"/>
    <w:rsid w:val="00677CE4"/>
    <w:rsid w:val="0068284C"/>
    <w:rsid w:val="006836F3"/>
    <w:rsid w:val="00685D78"/>
    <w:rsid w:val="00686085"/>
    <w:rsid w:val="00687DB4"/>
    <w:rsid w:val="00690A88"/>
    <w:rsid w:val="00690AA7"/>
    <w:rsid w:val="00690DFD"/>
    <w:rsid w:val="00690F81"/>
    <w:rsid w:val="00691202"/>
    <w:rsid w:val="00693C9A"/>
    <w:rsid w:val="00693CAD"/>
    <w:rsid w:val="006948F0"/>
    <w:rsid w:val="0069791F"/>
    <w:rsid w:val="006A052E"/>
    <w:rsid w:val="006A20B8"/>
    <w:rsid w:val="006A36CC"/>
    <w:rsid w:val="006A6118"/>
    <w:rsid w:val="006A7ABC"/>
    <w:rsid w:val="006A7B71"/>
    <w:rsid w:val="006B04E0"/>
    <w:rsid w:val="006B241C"/>
    <w:rsid w:val="006B2D21"/>
    <w:rsid w:val="006B7621"/>
    <w:rsid w:val="006C0F84"/>
    <w:rsid w:val="006C138A"/>
    <w:rsid w:val="006C2D16"/>
    <w:rsid w:val="006C33D3"/>
    <w:rsid w:val="006C418C"/>
    <w:rsid w:val="006C4279"/>
    <w:rsid w:val="006C4515"/>
    <w:rsid w:val="006C45DD"/>
    <w:rsid w:val="006C5441"/>
    <w:rsid w:val="006C5847"/>
    <w:rsid w:val="006C65FF"/>
    <w:rsid w:val="006C6DBF"/>
    <w:rsid w:val="006C73B3"/>
    <w:rsid w:val="006C78CD"/>
    <w:rsid w:val="006D1582"/>
    <w:rsid w:val="006D215B"/>
    <w:rsid w:val="006D2F81"/>
    <w:rsid w:val="006D53CE"/>
    <w:rsid w:val="006D5575"/>
    <w:rsid w:val="006D56C5"/>
    <w:rsid w:val="006E1301"/>
    <w:rsid w:val="006E1F89"/>
    <w:rsid w:val="006F196B"/>
    <w:rsid w:val="006F450C"/>
    <w:rsid w:val="006F5F14"/>
    <w:rsid w:val="0070022E"/>
    <w:rsid w:val="00704912"/>
    <w:rsid w:val="007051E3"/>
    <w:rsid w:val="00705782"/>
    <w:rsid w:val="00705C20"/>
    <w:rsid w:val="00705FFB"/>
    <w:rsid w:val="00710630"/>
    <w:rsid w:val="0071160E"/>
    <w:rsid w:val="007116C5"/>
    <w:rsid w:val="0071302D"/>
    <w:rsid w:val="00713776"/>
    <w:rsid w:val="007147A6"/>
    <w:rsid w:val="0071486D"/>
    <w:rsid w:val="00715333"/>
    <w:rsid w:val="0071565F"/>
    <w:rsid w:val="00715E63"/>
    <w:rsid w:val="007166BC"/>
    <w:rsid w:val="0071698E"/>
    <w:rsid w:val="00717104"/>
    <w:rsid w:val="00721508"/>
    <w:rsid w:val="00722471"/>
    <w:rsid w:val="00722553"/>
    <w:rsid w:val="00722685"/>
    <w:rsid w:val="00723653"/>
    <w:rsid w:val="0072604C"/>
    <w:rsid w:val="00727203"/>
    <w:rsid w:val="00727767"/>
    <w:rsid w:val="00731B39"/>
    <w:rsid w:val="00732323"/>
    <w:rsid w:val="00732E99"/>
    <w:rsid w:val="00733423"/>
    <w:rsid w:val="00735DCB"/>
    <w:rsid w:val="007371F6"/>
    <w:rsid w:val="00737586"/>
    <w:rsid w:val="007376A3"/>
    <w:rsid w:val="00740AE0"/>
    <w:rsid w:val="00740DAA"/>
    <w:rsid w:val="00741FC8"/>
    <w:rsid w:val="00744AC4"/>
    <w:rsid w:val="00745849"/>
    <w:rsid w:val="007460A0"/>
    <w:rsid w:val="00746D3D"/>
    <w:rsid w:val="00750429"/>
    <w:rsid w:val="00750BF0"/>
    <w:rsid w:val="007528B3"/>
    <w:rsid w:val="007545EF"/>
    <w:rsid w:val="007546E7"/>
    <w:rsid w:val="00755FFA"/>
    <w:rsid w:val="0075695E"/>
    <w:rsid w:val="00757037"/>
    <w:rsid w:val="007576E7"/>
    <w:rsid w:val="00757D2B"/>
    <w:rsid w:val="007601AB"/>
    <w:rsid w:val="007603B4"/>
    <w:rsid w:val="00762FCE"/>
    <w:rsid w:val="007630FF"/>
    <w:rsid w:val="007658D5"/>
    <w:rsid w:val="007667C2"/>
    <w:rsid w:val="007679BB"/>
    <w:rsid w:val="00771B77"/>
    <w:rsid w:val="00771B97"/>
    <w:rsid w:val="00771D7D"/>
    <w:rsid w:val="00772C1B"/>
    <w:rsid w:val="0077352D"/>
    <w:rsid w:val="00774C6E"/>
    <w:rsid w:val="00775301"/>
    <w:rsid w:val="00775D3D"/>
    <w:rsid w:val="00776D71"/>
    <w:rsid w:val="0077757C"/>
    <w:rsid w:val="00777705"/>
    <w:rsid w:val="00777A94"/>
    <w:rsid w:val="00782018"/>
    <w:rsid w:val="00782A57"/>
    <w:rsid w:val="00782F77"/>
    <w:rsid w:val="00783428"/>
    <w:rsid w:val="0078378E"/>
    <w:rsid w:val="00784919"/>
    <w:rsid w:val="0078779A"/>
    <w:rsid w:val="00787DC4"/>
    <w:rsid w:val="007917BC"/>
    <w:rsid w:val="00791A6C"/>
    <w:rsid w:val="00792483"/>
    <w:rsid w:val="00792552"/>
    <w:rsid w:val="007929F2"/>
    <w:rsid w:val="0079601D"/>
    <w:rsid w:val="007A0CB5"/>
    <w:rsid w:val="007A0F64"/>
    <w:rsid w:val="007A1164"/>
    <w:rsid w:val="007A1448"/>
    <w:rsid w:val="007A1990"/>
    <w:rsid w:val="007A1CFD"/>
    <w:rsid w:val="007A2017"/>
    <w:rsid w:val="007A2DEC"/>
    <w:rsid w:val="007A35D5"/>
    <w:rsid w:val="007A3F92"/>
    <w:rsid w:val="007A5BDA"/>
    <w:rsid w:val="007A7C02"/>
    <w:rsid w:val="007B01C3"/>
    <w:rsid w:val="007B1BDC"/>
    <w:rsid w:val="007B2CCC"/>
    <w:rsid w:val="007B34AD"/>
    <w:rsid w:val="007B459A"/>
    <w:rsid w:val="007B6C75"/>
    <w:rsid w:val="007B6F73"/>
    <w:rsid w:val="007B766C"/>
    <w:rsid w:val="007B7E40"/>
    <w:rsid w:val="007C232A"/>
    <w:rsid w:val="007C4C02"/>
    <w:rsid w:val="007C62D8"/>
    <w:rsid w:val="007C763C"/>
    <w:rsid w:val="007D27E5"/>
    <w:rsid w:val="007D51C4"/>
    <w:rsid w:val="007D5AA1"/>
    <w:rsid w:val="007D6631"/>
    <w:rsid w:val="007D6A9E"/>
    <w:rsid w:val="007E017E"/>
    <w:rsid w:val="007E0B03"/>
    <w:rsid w:val="007E1B57"/>
    <w:rsid w:val="007E223A"/>
    <w:rsid w:val="007E24B1"/>
    <w:rsid w:val="007E604C"/>
    <w:rsid w:val="007E69C2"/>
    <w:rsid w:val="007E6AAF"/>
    <w:rsid w:val="007F01EA"/>
    <w:rsid w:val="007F249B"/>
    <w:rsid w:val="007F2D02"/>
    <w:rsid w:val="007F2ED7"/>
    <w:rsid w:val="007F3F31"/>
    <w:rsid w:val="007F7480"/>
    <w:rsid w:val="007F7BC7"/>
    <w:rsid w:val="00801F2C"/>
    <w:rsid w:val="00802288"/>
    <w:rsid w:val="00805A81"/>
    <w:rsid w:val="008065AD"/>
    <w:rsid w:val="00813E4D"/>
    <w:rsid w:val="00817976"/>
    <w:rsid w:val="008200DE"/>
    <w:rsid w:val="0082075A"/>
    <w:rsid w:val="00821142"/>
    <w:rsid w:val="00821928"/>
    <w:rsid w:val="00821B25"/>
    <w:rsid w:val="008229F3"/>
    <w:rsid w:val="00824744"/>
    <w:rsid w:val="0082500A"/>
    <w:rsid w:val="00831FDA"/>
    <w:rsid w:val="00836C42"/>
    <w:rsid w:val="00836F56"/>
    <w:rsid w:val="00840635"/>
    <w:rsid w:val="00840EB5"/>
    <w:rsid w:val="00841C52"/>
    <w:rsid w:val="00843BCD"/>
    <w:rsid w:val="00844783"/>
    <w:rsid w:val="00853F9F"/>
    <w:rsid w:val="00854D93"/>
    <w:rsid w:val="00855934"/>
    <w:rsid w:val="00856CB1"/>
    <w:rsid w:val="00857092"/>
    <w:rsid w:val="008574B3"/>
    <w:rsid w:val="0085793B"/>
    <w:rsid w:val="00863011"/>
    <w:rsid w:val="00864FAF"/>
    <w:rsid w:val="00866FED"/>
    <w:rsid w:val="008670DF"/>
    <w:rsid w:val="00867A1C"/>
    <w:rsid w:val="00871A91"/>
    <w:rsid w:val="00871E72"/>
    <w:rsid w:val="00873939"/>
    <w:rsid w:val="00873F27"/>
    <w:rsid w:val="0087467A"/>
    <w:rsid w:val="008760B8"/>
    <w:rsid w:val="00877A11"/>
    <w:rsid w:val="00882C98"/>
    <w:rsid w:val="008834D1"/>
    <w:rsid w:val="00884B11"/>
    <w:rsid w:val="00885E91"/>
    <w:rsid w:val="0088662E"/>
    <w:rsid w:val="00886C16"/>
    <w:rsid w:val="00886DB4"/>
    <w:rsid w:val="00892F03"/>
    <w:rsid w:val="0089342E"/>
    <w:rsid w:val="008A0F49"/>
    <w:rsid w:val="008A4051"/>
    <w:rsid w:val="008A556A"/>
    <w:rsid w:val="008B0FBE"/>
    <w:rsid w:val="008B149A"/>
    <w:rsid w:val="008B1E9C"/>
    <w:rsid w:val="008B30E7"/>
    <w:rsid w:val="008B3106"/>
    <w:rsid w:val="008B3139"/>
    <w:rsid w:val="008B3B21"/>
    <w:rsid w:val="008B4D46"/>
    <w:rsid w:val="008B5F8C"/>
    <w:rsid w:val="008C4309"/>
    <w:rsid w:val="008C4650"/>
    <w:rsid w:val="008C782C"/>
    <w:rsid w:val="008D0724"/>
    <w:rsid w:val="008D1D73"/>
    <w:rsid w:val="008D24AE"/>
    <w:rsid w:val="008D35FC"/>
    <w:rsid w:val="008D4B8D"/>
    <w:rsid w:val="008D563C"/>
    <w:rsid w:val="008D62AE"/>
    <w:rsid w:val="008D68EE"/>
    <w:rsid w:val="008D730D"/>
    <w:rsid w:val="008D7962"/>
    <w:rsid w:val="008D7F79"/>
    <w:rsid w:val="008E1C9C"/>
    <w:rsid w:val="008E5441"/>
    <w:rsid w:val="008E5FAC"/>
    <w:rsid w:val="008E6D42"/>
    <w:rsid w:val="008F0484"/>
    <w:rsid w:val="008F068B"/>
    <w:rsid w:val="008F0DD8"/>
    <w:rsid w:val="008F193A"/>
    <w:rsid w:val="008F25E9"/>
    <w:rsid w:val="008F3517"/>
    <w:rsid w:val="008F44AD"/>
    <w:rsid w:val="009032FA"/>
    <w:rsid w:val="009058F1"/>
    <w:rsid w:val="009077DF"/>
    <w:rsid w:val="00910608"/>
    <w:rsid w:val="009111B0"/>
    <w:rsid w:val="00911685"/>
    <w:rsid w:val="00911DAB"/>
    <w:rsid w:val="0091265B"/>
    <w:rsid w:val="0091273E"/>
    <w:rsid w:val="009158F1"/>
    <w:rsid w:val="00916D86"/>
    <w:rsid w:val="009170B8"/>
    <w:rsid w:val="009171CA"/>
    <w:rsid w:val="009178A9"/>
    <w:rsid w:val="00920D0B"/>
    <w:rsid w:val="00921766"/>
    <w:rsid w:val="00921D4F"/>
    <w:rsid w:val="009244A7"/>
    <w:rsid w:val="00924ACA"/>
    <w:rsid w:val="009250BB"/>
    <w:rsid w:val="00931687"/>
    <w:rsid w:val="00932359"/>
    <w:rsid w:val="0093455F"/>
    <w:rsid w:val="00936C48"/>
    <w:rsid w:val="00942CBC"/>
    <w:rsid w:val="00943216"/>
    <w:rsid w:val="00943D55"/>
    <w:rsid w:val="00947511"/>
    <w:rsid w:val="00947995"/>
    <w:rsid w:val="00947CB2"/>
    <w:rsid w:val="0095130B"/>
    <w:rsid w:val="00951BAE"/>
    <w:rsid w:val="00951CB7"/>
    <w:rsid w:val="009563DD"/>
    <w:rsid w:val="00956D54"/>
    <w:rsid w:val="00960BDA"/>
    <w:rsid w:val="00962269"/>
    <w:rsid w:val="00962C0C"/>
    <w:rsid w:val="00962F39"/>
    <w:rsid w:val="009633D8"/>
    <w:rsid w:val="009638E4"/>
    <w:rsid w:val="009649AC"/>
    <w:rsid w:val="00964D08"/>
    <w:rsid w:val="00964F4C"/>
    <w:rsid w:val="009668EB"/>
    <w:rsid w:val="00966F8A"/>
    <w:rsid w:val="00967A4A"/>
    <w:rsid w:val="00967A64"/>
    <w:rsid w:val="009703BA"/>
    <w:rsid w:val="009707D5"/>
    <w:rsid w:val="00971087"/>
    <w:rsid w:val="00973916"/>
    <w:rsid w:val="00977526"/>
    <w:rsid w:val="00977E74"/>
    <w:rsid w:val="0098440F"/>
    <w:rsid w:val="00984B4C"/>
    <w:rsid w:val="00985838"/>
    <w:rsid w:val="00986FE7"/>
    <w:rsid w:val="0099255C"/>
    <w:rsid w:val="00992D2C"/>
    <w:rsid w:val="00995202"/>
    <w:rsid w:val="009954A9"/>
    <w:rsid w:val="0099629F"/>
    <w:rsid w:val="00996E1E"/>
    <w:rsid w:val="00997B78"/>
    <w:rsid w:val="009A044E"/>
    <w:rsid w:val="009A2420"/>
    <w:rsid w:val="009A3004"/>
    <w:rsid w:val="009A361E"/>
    <w:rsid w:val="009A49F9"/>
    <w:rsid w:val="009A4FA6"/>
    <w:rsid w:val="009A5066"/>
    <w:rsid w:val="009A552F"/>
    <w:rsid w:val="009A663E"/>
    <w:rsid w:val="009A6EAC"/>
    <w:rsid w:val="009A7D7C"/>
    <w:rsid w:val="009B0119"/>
    <w:rsid w:val="009B0C5C"/>
    <w:rsid w:val="009B214E"/>
    <w:rsid w:val="009B34D7"/>
    <w:rsid w:val="009B3F1C"/>
    <w:rsid w:val="009B6973"/>
    <w:rsid w:val="009C1FF4"/>
    <w:rsid w:val="009C25AF"/>
    <w:rsid w:val="009C368C"/>
    <w:rsid w:val="009C4667"/>
    <w:rsid w:val="009C4DF5"/>
    <w:rsid w:val="009C5B69"/>
    <w:rsid w:val="009D0C39"/>
    <w:rsid w:val="009D13F5"/>
    <w:rsid w:val="009D1578"/>
    <w:rsid w:val="009D79B5"/>
    <w:rsid w:val="009E1AC5"/>
    <w:rsid w:val="009E1C13"/>
    <w:rsid w:val="009E5A5C"/>
    <w:rsid w:val="009E6704"/>
    <w:rsid w:val="009F5C5E"/>
    <w:rsid w:val="009F703C"/>
    <w:rsid w:val="009F716E"/>
    <w:rsid w:val="009F759D"/>
    <w:rsid w:val="009F7786"/>
    <w:rsid w:val="00A00CF8"/>
    <w:rsid w:val="00A02D86"/>
    <w:rsid w:val="00A04138"/>
    <w:rsid w:val="00A050F3"/>
    <w:rsid w:val="00A05F71"/>
    <w:rsid w:val="00A06749"/>
    <w:rsid w:val="00A06B8C"/>
    <w:rsid w:val="00A1129E"/>
    <w:rsid w:val="00A139F7"/>
    <w:rsid w:val="00A15DD9"/>
    <w:rsid w:val="00A17221"/>
    <w:rsid w:val="00A20426"/>
    <w:rsid w:val="00A225A5"/>
    <w:rsid w:val="00A257D1"/>
    <w:rsid w:val="00A26C58"/>
    <w:rsid w:val="00A27954"/>
    <w:rsid w:val="00A329D7"/>
    <w:rsid w:val="00A32B15"/>
    <w:rsid w:val="00A34456"/>
    <w:rsid w:val="00A357F5"/>
    <w:rsid w:val="00A364A3"/>
    <w:rsid w:val="00A37AAD"/>
    <w:rsid w:val="00A37FF2"/>
    <w:rsid w:val="00A40C50"/>
    <w:rsid w:val="00A4239D"/>
    <w:rsid w:val="00A4380C"/>
    <w:rsid w:val="00A43892"/>
    <w:rsid w:val="00A43A0C"/>
    <w:rsid w:val="00A44806"/>
    <w:rsid w:val="00A44A09"/>
    <w:rsid w:val="00A50281"/>
    <w:rsid w:val="00A50C0E"/>
    <w:rsid w:val="00A512DF"/>
    <w:rsid w:val="00A549A7"/>
    <w:rsid w:val="00A56AA5"/>
    <w:rsid w:val="00A5747C"/>
    <w:rsid w:val="00A57AA7"/>
    <w:rsid w:val="00A60ADD"/>
    <w:rsid w:val="00A62492"/>
    <w:rsid w:val="00A628B0"/>
    <w:rsid w:val="00A62BC2"/>
    <w:rsid w:val="00A642C2"/>
    <w:rsid w:val="00A658AC"/>
    <w:rsid w:val="00A65BF5"/>
    <w:rsid w:val="00A66C4C"/>
    <w:rsid w:val="00A67BD8"/>
    <w:rsid w:val="00A709E2"/>
    <w:rsid w:val="00A70A30"/>
    <w:rsid w:val="00A70FA0"/>
    <w:rsid w:val="00A72845"/>
    <w:rsid w:val="00A737ED"/>
    <w:rsid w:val="00A76C5E"/>
    <w:rsid w:val="00A81550"/>
    <w:rsid w:val="00A87F63"/>
    <w:rsid w:val="00A905E2"/>
    <w:rsid w:val="00A93552"/>
    <w:rsid w:val="00A94D5A"/>
    <w:rsid w:val="00A9594F"/>
    <w:rsid w:val="00A95F5D"/>
    <w:rsid w:val="00A963D4"/>
    <w:rsid w:val="00AA0631"/>
    <w:rsid w:val="00AA0C78"/>
    <w:rsid w:val="00AA14B9"/>
    <w:rsid w:val="00AA2179"/>
    <w:rsid w:val="00AA3688"/>
    <w:rsid w:val="00AA418C"/>
    <w:rsid w:val="00AA4285"/>
    <w:rsid w:val="00AA472F"/>
    <w:rsid w:val="00AA5F0F"/>
    <w:rsid w:val="00AA62B2"/>
    <w:rsid w:val="00AA65A9"/>
    <w:rsid w:val="00AB00F9"/>
    <w:rsid w:val="00AB2C02"/>
    <w:rsid w:val="00AB3D02"/>
    <w:rsid w:val="00AB4CB0"/>
    <w:rsid w:val="00AB55B9"/>
    <w:rsid w:val="00AB65AE"/>
    <w:rsid w:val="00AC041A"/>
    <w:rsid w:val="00AC04D3"/>
    <w:rsid w:val="00AC171D"/>
    <w:rsid w:val="00AC2697"/>
    <w:rsid w:val="00AC3B6B"/>
    <w:rsid w:val="00AC527E"/>
    <w:rsid w:val="00AC662E"/>
    <w:rsid w:val="00AD19A1"/>
    <w:rsid w:val="00AD4A69"/>
    <w:rsid w:val="00AD657F"/>
    <w:rsid w:val="00AE213A"/>
    <w:rsid w:val="00AE2ED5"/>
    <w:rsid w:val="00AE4276"/>
    <w:rsid w:val="00AE4B1D"/>
    <w:rsid w:val="00AE52E7"/>
    <w:rsid w:val="00AF031B"/>
    <w:rsid w:val="00AF326E"/>
    <w:rsid w:val="00AF35B4"/>
    <w:rsid w:val="00AF3C73"/>
    <w:rsid w:val="00AF4753"/>
    <w:rsid w:val="00AF6C5F"/>
    <w:rsid w:val="00AF7124"/>
    <w:rsid w:val="00B0032F"/>
    <w:rsid w:val="00B007E3"/>
    <w:rsid w:val="00B0093E"/>
    <w:rsid w:val="00B01B4D"/>
    <w:rsid w:val="00B047B4"/>
    <w:rsid w:val="00B065CA"/>
    <w:rsid w:val="00B11316"/>
    <w:rsid w:val="00B116F8"/>
    <w:rsid w:val="00B124F6"/>
    <w:rsid w:val="00B132DB"/>
    <w:rsid w:val="00B14583"/>
    <w:rsid w:val="00B150A4"/>
    <w:rsid w:val="00B16002"/>
    <w:rsid w:val="00B17C08"/>
    <w:rsid w:val="00B2148C"/>
    <w:rsid w:val="00B2162A"/>
    <w:rsid w:val="00B224BC"/>
    <w:rsid w:val="00B22C96"/>
    <w:rsid w:val="00B264B7"/>
    <w:rsid w:val="00B27D98"/>
    <w:rsid w:val="00B314E0"/>
    <w:rsid w:val="00B31EBD"/>
    <w:rsid w:val="00B34807"/>
    <w:rsid w:val="00B35C6A"/>
    <w:rsid w:val="00B40520"/>
    <w:rsid w:val="00B416BC"/>
    <w:rsid w:val="00B436BE"/>
    <w:rsid w:val="00B46597"/>
    <w:rsid w:val="00B46A9B"/>
    <w:rsid w:val="00B46B65"/>
    <w:rsid w:val="00B46E55"/>
    <w:rsid w:val="00B47190"/>
    <w:rsid w:val="00B511FA"/>
    <w:rsid w:val="00B51F5C"/>
    <w:rsid w:val="00B5294A"/>
    <w:rsid w:val="00B531D3"/>
    <w:rsid w:val="00B531DF"/>
    <w:rsid w:val="00B5578A"/>
    <w:rsid w:val="00B55BD6"/>
    <w:rsid w:val="00B57E38"/>
    <w:rsid w:val="00B6004E"/>
    <w:rsid w:val="00B61851"/>
    <w:rsid w:val="00B61DF1"/>
    <w:rsid w:val="00B62927"/>
    <w:rsid w:val="00B62F42"/>
    <w:rsid w:val="00B63A13"/>
    <w:rsid w:val="00B63B8C"/>
    <w:rsid w:val="00B6427D"/>
    <w:rsid w:val="00B64D6A"/>
    <w:rsid w:val="00B658AC"/>
    <w:rsid w:val="00B66E72"/>
    <w:rsid w:val="00B70A9B"/>
    <w:rsid w:val="00B71805"/>
    <w:rsid w:val="00B7219C"/>
    <w:rsid w:val="00B72FE7"/>
    <w:rsid w:val="00B747E4"/>
    <w:rsid w:val="00B76E3A"/>
    <w:rsid w:val="00B7703F"/>
    <w:rsid w:val="00B77A29"/>
    <w:rsid w:val="00B77F92"/>
    <w:rsid w:val="00B8257B"/>
    <w:rsid w:val="00B829DC"/>
    <w:rsid w:val="00B82E74"/>
    <w:rsid w:val="00B840D9"/>
    <w:rsid w:val="00B867E3"/>
    <w:rsid w:val="00B94487"/>
    <w:rsid w:val="00B94592"/>
    <w:rsid w:val="00B94ED0"/>
    <w:rsid w:val="00B96190"/>
    <w:rsid w:val="00B969D7"/>
    <w:rsid w:val="00B96F1A"/>
    <w:rsid w:val="00BA0328"/>
    <w:rsid w:val="00BA0CD2"/>
    <w:rsid w:val="00BA1D5B"/>
    <w:rsid w:val="00BA1F41"/>
    <w:rsid w:val="00BA2E3D"/>
    <w:rsid w:val="00BA61A4"/>
    <w:rsid w:val="00BA776F"/>
    <w:rsid w:val="00BA7888"/>
    <w:rsid w:val="00BB201A"/>
    <w:rsid w:val="00BB29FE"/>
    <w:rsid w:val="00BB64A2"/>
    <w:rsid w:val="00BB7C00"/>
    <w:rsid w:val="00BC1328"/>
    <w:rsid w:val="00BC51D3"/>
    <w:rsid w:val="00BC557C"/>
    <w:rsid w:val="00BC5D2A"/>
    <w:rsid w:val="00BC62DD"/>
    <w:rsid w:val="00BC7585"/>
    <w:rsid w:val="00BD1727"/>
    <w:rsid w:val="00BD1A46"/>
    <w:rsid w:val="00BD3548"/>
    <w:rsid w:val="00BD4461"/>
    <w:rsid w:val="00BD4BFE"/>
    <w:rsid w:val="00BD5E34"/>
    <w:rsid w:val="00BE005F"/>
    <w:rsid w:val="00BE04B4"/>
    <w:rsid w:val="00BE16A2"/>
    <w:rsid w:val="00BE29D7"/>
    <w:rsid w:val="00BE2E44"/>
    <w:rsid w:val="00BE39ED"/>
    <w:rsid w:val="00BE3DD9"/>
    <w:rsid w:val="00BE70DD"/>
    <w:rsid w:val="00BE7A14"/>
    <w:rsid w:val="00BE7E3A"/>
    <w:rsid w:val="00BE7FE2"/>
    <w:rsid w:val="00BF21EA"/>
    <w:rsid w:val="00BF3649"/>
    <w:rsid w:val="00BF3BD2"/>
    <w:rsid w:val="00BF59F5"/>
    <w:rsid w:val="00BF65A1"/>
    <w:rsid w:val="00BF771B"/>
    <w:rsid w:val="00C06009"/>
    <w:rsid w:val="00C06CB4"/>
    <w:rsid w:val="00C07E60"/>
    <w:rsid w:val="00C100BB"/>
    <w:rsid w:val="00C11A66"/>
    <w:rsid w:val="00C122FD"/>
    <w:rsid w:val="00C13D63"/>
    <w:rsid w:val="00C13E6B"/>
    <w:rsid w:val="00C14A85"/>
    <w:rsid w:val="00C1517F"/>
    <w:rsid w:val="00C1700A"/>
    <w:rsid w:val="00C1773E"/>
    <w:rsid w:val="00C178C4"/>
    <w:rsid w:val="00C20FE1"/>
    <w:rsid w:val="00C2121E"/>
    <w:rsid w:val="00C22286"/>
    <w:rsid w:val="00C26128"/>
    <w:rsid w:val="00C27ECC"/>
    <w:rsid w:val="00C30928"/>
    <w:rsid w:val="00C33062"/>
    <w:rsid w:val="00C3309E"/>
    <w:rsid w:val="00C3314F"/>
    <w:rsid w:val="00C33DF0"/>
    <w:rsid w:val="00C34C41"/>
    <w:rsid w:val="00C350A3"/>
    <w:rsid w:val="00C41835"/>
    <w:rsid w:val="00C420C5"/>
    <w:rsid w:val="00C42345"/>
    <w:rsid w:val="00C443F9"/>
    <w:rsid w:val="00C45BF3"/>
    <w:rsid w:val="00C52140"/>
    <w:rsid w:val="00C52368"/>
    <w:rsid w:val="00C55341"/>
    <w:rsid w:val="00C55A90"/>
    <w:rsid w:val="00C55DC5"/>
    <w:rsid w:val="00C578FF"/>
    <w:rsid w:val="00C60F1F"/>
    <w:rsid w:val="00C610FD"/>
    <w:rsid w:val="00C611CF"/>
    <w:rsid w:val="00C62073"/>
    <w:rsid w:val="00C62E4D"/>
    <w:rsid w:val="00C63AC6"/>
    <w:rsid w:val="00C63C7B"/>
    <w:rsid w:val="00C7570B"/>
    <w:rsid w:val="00C75EC9"/>
    <w:rsid w:val="00C76704"/>
    <w:rsid w:val="00C7699B"/>
    <w:rsid w:val="00C807AC"/>
    <w:rsid w:val="00C817DE"/>
    <w:rsid w:val="00C82731"/>
    <w:rsid w:val="00C82F4B"/>
    <w:rsid w:val="00C833F0"/>
    <w:rsid w:val="00C85409"/>
    <w:rsid w:val="00C85F04"/>
    <w:rsid w:val="00C86175"/>
    <w:rsid w:val="00C90E35"/>
    <w:rsid w:val="00C91229"/>
    <w:rsid w:val="00C9138C"/>
    <w:rsid w:val="00C93E1B"/>
    <w:rsid w:val="00C95167"/>
    <w:rsid w:val="00C95529"/>
    <w:rsid w:val="00C9636E"/>
    <w:rsid w:val="00CA0430"/>
    <w:rsid w:val="00CA09C4"/>
    <w:rsid w:val="00CA0A6B"/>
    <w:rsid w:val="00CA29B3"/>
    <w:rsid w:val="00CA3986"/>
    <w:rsid w:val="00CA4A7A"/>
    <w:rsid w:val="00CA5CED"/>
    <w:rsid w:val="00CA6E5C"/>
    <w:rsid w:val="00CA76AB"/>
    <w:rsid w:val="00CA78A8"/>
    <w:rsid w:val="00CA7A26"/>
    <w:rsid w:val="00CB1182"/>
    <w:rsid w:val="00CB1236"/>
    <w:rsid w:val="00CB1C6C"/>
    <w:rsid w:val="00CB21E3"/>
    <w:rsid w:val="00CB223C"/>
    <w:rsid w:val="00CB2377"/>
    <w:rsid w:val="00CB27A1"/>
    <w:rsid w:val="00CB2B40"/>
    <w:rsid w:val="00CB5F0C"/>
    <w:rsid w:val="00CB6A96"/>
    <w:rsid w:val="00CC132B"/>
    <w:rsid w:val="00CC1ED7"/>
    <w:rsid w:val="00CC3A53"/>
    <w:rsid w:val="00CC5568"/>
    <w:rsid w:val="00CC5F38"/>
    <w:rsid w:val="00CD0FA2"/>
    <w:rsid w:val="00CD59F7"/>
    <w:rsid w:val="00CD6705"/>
    <w:rsid w:val="00CD6BA8"/>
    <w:rsid w:val="00CE0E91"/>
    <w:rsid w:val="00CE13C1"/>
    <w:rsid w:val="00CE27A9"/>
    <w:rsid w:val="00CE3380"/>
    <w:rsid w:val="00CE4056"/>
    <w:rsid w:val="00CE4365"/>
    <w:rsid w:val="00CE4A7F"/>
    <w:rsid w:val="00CE524F"/>
    <w:rsid w:val="00CE7271"/>
    <w:rsid w:val="00CE76DB"/>
    <w:rsid w:val="00CF2D7A"/>
    <w:rsid w:val="00CF44FF"/>
    <w:rsid w:val="00CF4C64"/>
    <w:rsid w:val="00D01C63"/>
    <w:rsid w:val="00D029C2"/>
    <w:rsid w:val="00D02FF8"/>
    <w:rsid w:val="00D035EC"/>
    <w:rsid w:val="00D03AE8"/>
    <w:rsid w:val="00D0519D"/>
    <w:rsid w:val="00D06A42"/>
    <w:rsid w:val="00D07097"/>
    <w:rsid w:val="00D070A8"/>
    <w:rsid w:val="00D07EBA"/>
    <w:rsid w:val="00D1073B"/>
    <w:rsid w:val="00D11178"/>
    <w:rsid w:val="00D14905"/>
    <w:rsid w:val="00D151FA"/>
    <w:rsid w:val="00D178C4"/>
    <w:rsid w:val="00D20A39"/>
    <w:rsid w:val="00D22250"/>
    <w:rsid w:val="00D22DAC"/>
    <w:rsid w:val="00D23664"/>
    <w:rsid w:val="00D25FFC"/>
    <w:rsid w:val="00D26283"/>
    <w:rsid w:val="00D32D79"/>
    <w:rsid w:val="00D33476"/>
    <w:rsid w:val="00D367E6"/>
    <w:rsid w:val="00D368B9"/>
    <w:rsid w:val="00D435B2"/>
    <w:rsid w:val="00D43BC0"/>
    <w:rsid w:val="00D44E08"/>
    <w:rsid w:val="00D45175"/>
    <w:rsid w:val="00D46C2D"/>
    <w:rsid w:val="00D46C8B"/>
    <w:rsid w:val="00D47369"/>
    <w:rsid w:val="00D50B30"/>
    <w:rsid w:val="00D5219F"/>
    <w:rsid w:val="00D5422A"/>
    <w:rsid w:val="00D55D73"/>
    <w:rsid w:val="00D55F8F"/>
    <w:rsid w:val="00D605F6"/>
    <w:rsid w:val="00D61E18"/>
    <w:rsid w:val="00D63695"/>
    <w:rsid w:val="00D64A76"/>
    <w:rsid w:val="00D70AEE"/>
    <w:rsid w:val="00D70FF3"/>
    <w:rsid w:val="00D71246"/>
    <w:rsid w:val="00D76DE8"/>
    <w:rsid w:val="00D80619"/>
    <w:rsid w:val="00D80B23"/>
    <w:rsid w:val="00D8144B"/>
    <w:rsid w:val="00D87FD1"/>
    <w:rsid w:val="00D90E6C"/>
    <w:rsid w:val="00D91CD8"/>
    <w:rsid w:val="00D957AC"/>
    <w:rsid w:val="00D963F1"/>
    <w:rsid w:val="00D96E9D"/>
    <w:rsid w:val="00D97694"/>
    <w:rsid w:val="00D97E17"/>
    <w:rsid w:val="00DA22F1"/>
    <w:rsid w:val="00DA39A9"/>
    <w:rsid w:val="00DA3EA2"/>
    <w:rsid w:val="00DA45F5"/>
    <w:rsid w:val="00DA4C9D"/>
    <w:rsid w:val="00DA76DB"/>
    <w:rsid w:val="00DB1C73"/>
    <w:rsid w:val="00DB40E4"/>
    <w:rsid w:val="00DB6086"/>
    <w:rsid w:val="00DC0867"/>
    <w:rsid w:val="00DC337D"/>
    <w:rsid w:val="00DC35B7"/>
    <w:rsid w:val="00DC3BA1"/>
    <w:rsid w:val="00DD0753"/>
    <w:rsid w:val="00DD0EC4"/>
    <w:rsid w:val="00DD1DEF"/>
    <w:rsid w:val="00DD3174"/>
    <w:rsid w:val="00DD32B2"/>
    <w:rsid w:val="00DD6BC2"/>
    <w:rsid w:val="00DD6C8F"/>
    <w:rsid w:val="00DD6EED"/>
    <w:rsid w:val="00DD731B"/>
    <w:rsid w:val="00DD7DFD"/>
    <w:rsid w:val="00DD7FB7"/>
    <w:rsid w:val="00DE0C0E"/>
    <w:rsid w:val="00DE158A"/>
    <w:rsid w:val="00DE1ECC"/>
    <w:rsid w:val="00DE24E9"/>
    <w:rsid w:val="00DE4771"/>
    <w:rsid w:val="00DE4FAB"/>
    <w:rsid w:val="00DF0E83"/>
    <w:rsid w:val="00DF0EF6"/>
    <w:rsid w:val="00DF2EE1"/>
    <w:rsid w:val="00DF413A"/>
    <w:rsid w:val="00DF4C9D"/>
    <w:rsid w:val="00DF60D0"/>
    <w:rsid w:val="00DF76C5"/>
    <w:rsid w:val="00E04AEF"/>
    <w:rsid w:val="00E05A92"/>
    <w:rsid w:val="00E07C14"/>
    <w:rsid w:val="00E07FE4"/>
    <w:rsid w:val="00E108AB"/>
    <w:rsid w:val="00E110D1"/>
    <w:rsid w:val="00E128F3"/>
    <w:rsid w:val="00E1386A"/>
    <w:rsid w:val="00E14D94"/>
    <w:rsid w:val="00E14FDA"/>
    <w:rsid w:val="00E17042"/>
    <w:rsid w:val="00E20981"/>
    <w:rsid w:val="00E20BB7"/>
    <w:rsid w:val="00E21F3E"/>
    <w:rsid w:val="00E2321B"/>
    <w:rsid w:val="00E235C9"/>
    <w:rsid w:val="00E23CB7"/>
    <w:rsid w:val="00E24486"/>
    <w:rsid w:val="00E26A25"/>
    <w:rsid w:val="00E27A65"/>
    <w:rsid w:val="00E27DB5"/>
    <w:rsid w:val="00E30C7B"/>
    <w:rsid w:val="00E3213D"/>
    <w:rsid w:val="00E3241F"/>
    <w:rsid w:val="00E33695"/>
    <w:rsid w:val="00E337D5"/>
    <w:rsid w:val="00E33A9D"/>
    <w:rsid w:val="00E33CDA"/>
    <w:rsid w:val="00E34463"/>
    <w:rsid w:val="00E34F18"/>
    <w:rsid w:val="00E35FFA"/>
    <w:rsid w:val="00E4065C"/>
    <w:rsid w:val="00E40A92"/>
    <w:rsid w:val="00E41900"/>
    <w:rsid w:val="00E42CFA"/>
    <w:rsid w:val="00E42D13"/>
    <w:rsid w:val="00E44222"/>
    <w:rsid w:val="00E44CD2"/>
    <w:rsid w:val="00E44EBA"/>
    <w:rsid w:val="00E45737"/>
    <w:rsid w:val="00E47057"/>
    <w:rsid w:val="00E47B05"/>
    <w:rsid w:val="00E50C37"/>
    <w:rsid w:val="00E50EEC"/>
    <w:rsid w:val="00E50F88"/>
    <w:rsid w:val="00E510E3"/>
    <w:rsid w:val="00E51764"/>
    <w:rsid w:val="00E52704"/>
    <w:rsid w:val="00E52BDB"/>
    <w:rsid w:val="00E53B42"/>
    <w:rsid w:val="00E53D23"/>
    <w:rsid w:val="00E53DB2"/>
    <w:rsid w:val="00E53FCC"/>
    <w:rsid w:val="00E54764"/>
    <w:rsid w:val="00E549F9"/>
    <w:rsid w:val="00E557E4"/>
    <w:rsid w:val="00E60166"/>
    <w:rsid w:val="00E60A0F"/>
    <w:rsid w:val="00E61C89"/>
    <w:rsid w:val="00E65185"/>
    <w:rsid w:val="00E65E38"/>
    <w:rsid w:val="00E6640D"/>
    <w:rsid w:val="00E67824"/>
    <w:rsid w:val="00E70B77"/>
    <w:rsid w:val="00E711A2"/>
    <w:rsid w:val="00E71563"/>
    <w:rsid w:val="00E7367F"/>
    <w:rsid w:val="00E758F9"/>
    <w:rsid w:val="00E80CBA"/>
    <w:rsid w:val="00E816AB"/>
    <w:rsid w:val="00E81A55"/>
    <w:rsid w:val="00E81E41"/>
    <w:rsid w:val="00E82232"/>
    <w:rsid w:val="00E8256B"/>
    <w:rsid w:val="00E847E5"/>
    <w:rsid w:val="00E85CA7"/>
    <w:rsid w:val="00E8664F"/>
    <w:rsid w:val="00E92B9D"/>
    <w:rsid w:val="00E93C37"/>
    <w:rsid w:val="00E95C3B"/>
    <w:rsid w:val="00E960D6"/>
    <w:rsid w:val="00E96954"/>
    <w:rsid w:val="00E97ABA"/>
    <w:rsid w:val="00EA39F5"/>
    <w:rsid w:val="00EA587E"/>
    <w:rsid w:val="00EA65FD"/>
    <w:rsid w:val="00EA6B96"/>
    <w:rsid w:val="00EB18F9"/>
    <w:rsid w:val="00EB22E4"/>
    <w:rsid w:val="00EB22F0"/>
    <w:rsid w:val="00EB2452"/>
    <w:rsid w:val="00EB3681"/>
    <w:rsid w:val="00EB3D61"/>
    <w:rsid w:val="00EB5B64"/>
    <w:rsid w:val="00EB61A9"/>
    <w:rsid w:val="00EB6712"/>
    <w:rsid w:val="00EB6D76"/>
    <w:rsid w:val="00EC2188"/>
    <w:rsid w:val="00EC2D4A"/>
    <w:rsid w:val="00EC3828"/>
    <w:rsid w:val="00EC6A0F"/>
    <w:rsid w:val="00EC7556"/>
    <w:rsid w:val="00EC783A"/>
    <w:rsid w:val="00ED004C"/>
    <w:rsid w:val="00ED2D4F"/>
    <w:rsid w:val="00ED47C6"/>
    <w:rsid w:val="00ED4CAF"/>
    <w:rsid w:val="00ED5A0D"/>
    <w:rsid w:val="00ED66CC"/>
    <w:rsid w:val="00ED677B"/>
    <w:rsid w:val="00ED745D"/>
    <w:rsid w:val="00ED7553"/>
    <w:rsid w:val="00EE13B7"/>
    <w:rsid w:val="00EE1C1F"/>
    <w:rsid w:val="00EE29E3"/>
    <w:rsid w:val="00EE3497"/>
    <w:rsid w:val="00EE558A"/>
    <w:rsid w:val="00EF287C"/>
    <w:rsid w:val="00EF40BC"/>
    <w:rsid w:val="00EF42D0"/>
    <w:rsid w:val="00EF6E1B"/>
    <w:rsid w:val="00EF6FA5"/>
    <w:rsid w:val="00F01E77"/>
    <w:rsid w:val="00F04BC9"/>
    <w:rsid w:val="00F06E98"/>
    <w:rsid w:val="00F072DA"/>
    <w:rsid w:val="00F07519"/>
    <w:rsid w:val="00F075EC"/>
    <w:rsid w:val="00F125D3"/>
    <w:rsid w:val="00F126C8"/>
    <w:rsid w:val="00F1288A"/>
    <w:rsid w:val="00F13191"/>
    <w:rsid w:val="00F13C5D"/>
    <w:rsid w:val="00F14D0D"/>
    <w:rsid w:val="00F16368"/>
    <w:rsid w:val="00F20DC6"/>
    <w:rsid w:val="00F24AFA"/>
    <w:rsid w:val="00F2729A"/>
    <w:rsid w:val="00F31F7E"/>
    <w:rsid w:val="00F32A96"/>
    <w:rsid w:val="00F330DE"/>
    <w:rsid w:val="00F3312A"/>
    <w:rsid w:val="00F33A00"/>
    <w:rsid w:val="00F34096"/>
    <w:rsid w:val="00F35D08"/>
    <w:rsid w:val="00F40188"/>
    <w:rsid w:val="00F406E1"/>
    <w:rsid w:val="00F41B55"/>
    <w:rsid w:val="00F4205A"/>
    <w:rsid w:val="00F434F2"/>
    <w:rsid w:val="00F452D2"/>
    <w:rsid w:val="00F469BB"/>
    <w:rsid w:val="00F47833"/>
    <w:rsid w:val="00F47E01"/>
    <w:rsid w:val="00F500B5"/>
    <w:rsid w:val="00F50935"/>
    <w:rsid w:val="00F53EAD"/>
    <w:rsid w:val="00F55522"/>
    <w:rsid w:val="00F60C8F"/>
    <w:rsid w:val="00F6212D"/>
    <w:rsid w:val="00F62C69"/>
    <w:rsid w:val="00F62EBA"/>
    <w:rsid w:val="00F72D25"/>
    <w:rsid w:val="00F73C69"/>
    <w:rsid w:val="00F73F7E"/>
    <w:rsid w:val="00F75F36"/>
    <w:rsid w:val="00F76107"/>
    <w:rsid w:val="00F76627"/>
    <w:rsid w:val="00F80103"/>
    <w:rsid w:val="00F8285A"/>
    <w:rsid w:val="00F828E7"/>
    <w:rsid w:val="00F834F6"/>
    <w:rsid w:val="00F85328"/>
    <w:rsid w:val="00F8678F"/>
    <w:rsid w:val="00F86A25"/>
    <w:rsid w:val="00F876D9"/>
    <w:rsid w:val="00F928E9"/>
    <w:rsid w:val="00F92993"/>
    <w:rsid w:val="00F94810"/>
    <w:rsid w:val="00F94845"/>
    <w:rsid w:val="00F95411"/>
    <w:rsid w:val="00F95CEB"/>
    <w:rsid w:val="00F96509"/>
    <w:rsid w:val="00F96D3A"/>
    <w:rsid w:val="00F96D92"/>
    <w:rsid w:val="00F96DCA"/>
    <w:rsid w:val="00FA15B7"/>
    <w:rsid w:val="00FA1619"/>
    <w:rsid w:val="00FA3339"/>
    <w:rsid w:val="00FA508F"/>
    <w:rsid w:val="00FA567A"/>
    <w:rsid w:val="00FA593C"/>
    <w:rsid w:val="00FA7593"/>
    <w:rsid w:val="00FB040D"/>
    <w:rsid w:val="00FB0A96"/>
    <w:rsid w:val="00FB0F08"/>
    <w:rsid w:val="00FB127C"/>
    <w:rsid w:val="00FB19CA"/>
    <w:rsid w:val="00FB4188"/>
    <w:rsid w:val="00FB597E"/>
    <w:rsid w:val="00FB6C72"/>
    <w:rsid w:val="00FC120B"/>
    <w:rsid w:val="00FC1F7B"/>
    <w:rsid w:val="00FC37AC"/>
    <w:rsid w:val="00FC3A2A"/>
    <w:rsid w:val="00FC47E5"/>
    <w:rsid w:val="00FC54B9"/>
    <w:rsid w:val="00FC6085"/>
    <w:rsid w:val="00FC6FF2"/>
    <w:rsid w:val="00FD0357"/>
    <w:rsid w:val="00FD1183"/>
    <w:rsid w:val="00FD1DB6"/>
    <w:rsid w:val="00FD1FA2"/>
    <w:rsid w:val="00FD4D0C"/>
    <w:rsid w:val="00FD55F9"/>
    <w:rsid w:val="00FD6020"/>
    <w:rsid w:val="00FD62CD"/>
    <w:rsid w:val="00FE0C9A"/>
    <w:rsid w:val="00FE1AA4"/>
    <w:rsid w:val="00FE2556"/>
    <w:rsid w:val="00FE3D0E"/>
    <w:rsid w:val="00FE5D7D"/>
    <w:rsid w:val="00FE5F6C"/>
    <w:rsid w:val="00FE63AE"/>
    <w:rsid w:val="00FE7564"/>
    <w:rsid w:val="00FE7709"/>
    <w:rsid w:val="00FF2558"/>
    <w:rsid w:val="00FF3B69"/>
    <w:rsid w:val="00FF46FB"/>
    <w:rsid w:val="00FF510D"/>
    <w:rsid w:val="00FF52D2"/>
    <w:rsid w:val="00FF5604"/>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shapelayout>
  </w:shapeDefaults>
  <w:decimalSymbol w:val=","/>
  <w:listSeparator w:val=";"/>
  <w14:docId w14:val="6C28B06A"/>
  <w15:docId w15:val="{2F8A2F6D-024C-4ABF-AD50-AA63EAC5F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5D2"/>
    <w:rPr>
      <w:sz w:val="24"/>
      <w:szCs w:val="24"/>
    </w:rPr>
  </w:style>
  <w:style w:type="paragraph" w:styleId="Heading2">
    <w:name w:val="heading 2"/>
    <w:basedOn w:val="Normal"/>
    <w:next w:val="Normal"/>
    <w:link w:val="Heading2Char"/>
    <w:uiPriority w:val="9"/>
    <w:semiHidden/>
    <w:unhideWhenUsed/>
    <w:qFormat/>
    <w:rsid w:val="00503F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AA21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57A45"/>
    <w:pPr>
      <w:spacing w:before="75" w:after="75"/>
      <w:ind w:firstLine="375"/>
      <w:jc w:val="both"/>
    </w:pPr>
  </w:style>
  <w:style w:type="paragraph" w:customStyle="1" w:styleId="naisnod">
    <w:name w:val="naisnod"/>
    <w:basedOn w:val="Normal"/>
    <w:rsid w:val="00057A45"/>
    <w:pPr>
      <w:spacing w:before="150" w:after="150"/>
      <w:jc w:val="center"/>
    </w:pPr>
    <w:rPr>
      <w:b/>
      <w:bCs/>
    </w:rPr>
  </w:style>
  <w:style w:type="paragraph" w:customStyle="1" w:styleId="naislab">
    <w:name w:val="naislab"/>
    <w:basedOn w:val="Normal"/>
    <w:rsid w:val="00057A45"/>
    <w:pPr>
      <w:spacing w:before="75" w:after="75"/>
      <w:jc w:val="right"/>
    </w:pPr>
  </w:style>
  <w:style w:type="paragraph" w:customStyle="1" w:styleId="naiskr">
    <w:name w:val="naiskr"/>
    <w:basedOn w:val="Normal"/>
    <w:rsid w:val="00057A45"/>
    <w:pPr>
      <w:spacing w:before="75" w:after="75"/>
    </w:pPr>
  </w:style>
  <w:style w:type="paragraph" w:customStyle="1" w:styleId="naisc">
    <w:name w:val="naisc"/>
    <w:basedOn w:val="Normal"/>
    <w:rsid w:val="00057A45"/>
    <w:pPr>
      <w:spacing w:before="75" w:after="75"/>
      <w:jc w:val="center"/>
    </w:pPr>
  </w:style>
  <w:style w:type="paragraph" w:styleId="Header">
    <w:name w:val="header"/>
    <w:aliases w:val="18pt Bold"/>
    <w:basedOn w:val="Normal"/>
    <w:link w:val="HeaderChar"/>
    <w:uiPriority w:val="99"/>
    <w:rsid w:val="00C9138C"/>
    <w:pPr>
      <w:tabs>
        <w:tab w:val="center" w:pos="4153"/>
        <w:tab w:val="right" w:pos="8306"/>
      </w:tabs>
    </w:pPr>
  </w:style>
  <w:style w:type="character" w:styleId="PageNumber">
    <w:name w:val="page number"/>
    <w:basedOn w:val="DefaultParagraphFont"/>
    <w:rsid w:val="00C9138C"/>
  </w:style>
  <w:style w:type="paragraph" w:styleId="Footer">
    <w:name w:val="footer"/>
    <w:basedOn w:val="Normal"/>
    <w:link w:val="FooterChar"/>
    <w:uiPriority w:val="99"/>
    <w:rsid w:val="00295590"/>
    <w:pPr>
      <w:tabs>
        <w:tab w:val="center" w:pos="4153"/>
        <w:tab w:val="right" w:pos="8306"/>
      </w:tabs>
    </w:pPr>
  </w:style>
  <w:style w:type="paragraph" w:styleId="NormalWeb">
    <w:name w:val="Normal (Web)"/>
    <w:basedOn w:val="Normal"/>
    <w:uiPriority w:val="99"/>
    <w:rsid w:val="00E96954"/>
    <w:pPr>
      <w:spacing w:before="75" w:after="75"/>
    </w:pPr>
    <w:rPr>
      <w:rFonts w:eastAsia="SimSun"/>
      <w:noProof/>
      <w:lang w:eastAsia="zh-CN"/>
    </w:rPr>
  </w:style>
  <w:style w:type="character" w:styleId="Hyperlink">
    <w:name w:val="Hyperlink"/>
    <w:uiPriority w:val="99"/>
    <w:rsid w:val="0067509B"/>
    <w:rPr>
      <w:color w:val="0000FF"/>
      <w:u w:val="single"/>
    </w:rPr>
  </w:style>
  <w:style w:type="paragraph" w:styleId="PlainText">
    <w:name w:val="Plain Text"/>
    <w:basedOn w:val="Normal"/>
    <w:rsid w:val="009C1FF4"/>
    <w:rPr>
      <w:rFonts w:ascii="Courier New" w:hAnsi="Courier New" w:cs="Courier New"/>
      <w:sz w:val="20"/>
      <w:szCs w:val="20"/>
    </w:rPr>
  </w:style>
  <w:style w:type="paragraph" w:styleId="BalloonText">
    <w:name w:val="Balloon Text"/>
    <w:basedOn w:val="Normal"/>
    <w:semiHidden/>
    <w:rsid w:val="00966F8A"/>
    <w:rPr>
      <w:rFonts w:ascii="Tahoma" w:hAnsi="Tahoma" w:cs="Tahoma"/>
      <w:sz w:val="16"/>
      <w:szCs w:val="16"/>
    </w:rPr>
  </w:style>
  <w:style w:type="character" w:styleId="CommentReference">
    <w:name w:val="annotation reference"/>
    <w:uiPriority w:val="99"/>
    <w:rsid w:val="00A00CF8"/>
    <w:rPr>
      <w:sz w:val="16"/>
      <w:szCs w:val="16"/>
    </w:rPr>
  </w:style>
  <w:style w:type="paragraph" w:styleId="CommentText">
    <w:name w:val="annotation text"/>
    <w:basedOn w:val="Normal"/>
    <w:link w:val="CommentTextChar"/>
    <w:uiPriority w:val="99"/>
    <w:rsid w:val="00A00CF8"/>
    <w:rPr>
      <w:sz w:val="20"/>
      <w:szCs w:val="20"/>
    </w:rPr>
  </w:style>
  <w:style w:type="paragraph" w:styleId="CommentSubject">
    <w:name w:val="annotation subject"/>
    <w:basedOn w:val="CommentText"/>
    <w:next w:val="CommentText"/>
    <w:link w:val="CommentSubjectChar"/>
    <w:uiPriority w:val="99"/>
    <w:semiHidden/>
    <w:rsid w:val="00A00CF8"/>
    <w:rPr>
      <w:b/>
      <w:bCs/>
    </w:rPr>
  </w:style>
  <w:style w:type="character" w:styleId="Strong">
    <w:name w:val="Strong"/>
    <w:uiPriority w:val="22"/>
    <w:qFormat/>
    <w:rsid w:val="00254EB8"/>
    <w:rPr>
      <w:b/>
      <w:bCs/>
    </w:rPr>
  </w:style>
  <w:style w:type="character" w:styleId="Emphasis">
    <w:name w:val="Emphasis"/>
    <w:uiPriority w:val="20"/>
    <w:qFormat/>
    <w:rsid w:val="00F73C69"/>
    <w:rPr>
      <w:i/>
      <w:iCs/>
    </w:rPr>
  </w:style>
  <w:style w:type="character" w:customStyle="1" w:styleId="ParagraphChar">
    <w:name w:val="Paragraph Char"/>
    <w:link w:val="Paragraph"/>
    <w:locked/>
    <w:rsid w:val="0071302D"/>
    <w:rPr>
      <w:rFonts w:ascii="Arial" w:hAnsi="Arial" w:cs="Arial"/>
      <w:lang w:val="en-GB" w:eastAsia="fr-FR"/>
    </w:rPr>
  </w:style>
  <w:style w:type="paragraph" w:customStyle="1" w:styleId="Paragraph">
    <w:name w:val="Paragraph"/>
    <w:basedOn w:val="Normal"/>
    <w:link w:val="ParagraphChar"/>
    <w:rsid w:val="0071302D"/>
    <w:pPr>
      <w:spacing w:before="120" w:after="120"/>
      <w:ind w:left="1418" w:hanging="1418"/>
      <w:jc w:val="both"/>
    </w:pPr>
    <w:rPr>
      <w:rFonts w:ascii="Arial" w:hAnsi="Arial"/>
      <w:sz w:val="20"/>
      <w:szCs w:val="20"/>
      <w:lang w:val="en-GB" w:eastAsia="fr-FR"/>
    </w:rPr>
  </w:style>
  <w:style w:type="paragraph" w:customStyle="1" w:styleId="tvhtml">
    <w:name w:val="tv_html"/>
    <w:basedOn w:val="Normal"/>
    <w:rsid w:val="004C4BCE"/>
    <w:pPr>
      <w:spacing w:before="100" w:beforeAutospacing="1" w:after="100" w:afterAutospacing="1"/>
    </w:p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rsid w:val="00B17C08"/>
    <w:pPr>
      <w:jc w:val="both"/>
    </w:pPr>
    <w:rPr>
      <w:sz w:val="20"/>
      <w:szCs w:val="20"/>
      <w:lang w:eastAsia="en-US"/>
    </w:rPr>
  </w:style>
  <w:style w:type="character" w:customStyle="1" w:styleId="FootnoteTextChar">
    <w:name w:val="Footnote Text Char"/>
    <w:aliases w:val="Footnote Char,Fußnote Char,Char Char,Char Rakstz. Rakstz. Rakstz. Rakstz. Rakstz. Rakstz. Rakstz. Char,Char Rakstz. Rakstz. Rakstz. Rakstz. Rakstz. Rakstz. Char,single spa Char"/>
    <w:link w:val="FootnoteText"/>
    <w:uiPriority w:val="99"/>
    <w:rsid w:val="00B17C08"/>
    <w:rPr>
      <w:lang w:eastAsia="en-US"/>
    </w:rPr>
  </w:style>
  <w:style w:type="character" w:styleId="FootnoteReference">
    <w:name w:val="footnote reference"/>
    <w:aliases w:val="Footnote Reference Number,SUPERS,Footnote symbol,Footnote Refernece,ftref,Footnote Reference Superscript,Vēres atsauce,stylish,BVI fnr,Fußnotenzeichen_Raxen,callout,Odwołanie przypisu,Footnotes refss,Ref,de nota al pie,Times 10 Point"/>
    <w:link w:val="CharCharCharChar"/>
    <w:uiPriority w:val="99"/>
    <w:rsid w:val="00B17C08"/>
    <w:rPr>
      <w:rFonts w:ascii="Times New Roman" w:hAnsi="Times New Roman"/>
      <w:vertAlign w:val="superscript"/>
    </w:rPr>
  </w:style>
  <w:style w:type="paragraph" w:styleId="ListParagraph">
    <w:name w:val="List Paragraph"/>
    <w:aliases w:val="2"/>
    <w:basedOn w:val="Normal"/>
    <w:link w:val="ListParagraphChar"/>
    <w:uiPriority w:val="34"/>
    <w:qFormat/>
    <w:rsid w:val="00B17C08"/>
    <w:pPr>
      <w:ind w:left="720"/>
      <w:contextualSpacing/>
      <w:jc w:val="both"/>
    </w:pPr>
    <w:rPr>
      <w:szCs w:val="20"/>
      <w:lang w:eastAsia="en-US"/>
    </w:rPr>
  </w:style>
  <w:style w:type="character" w:customStyle="1" w:styleId="ListParagraphChar">
    <w:name w:val="List Paragraph Char"/>
    <w:aliases w:val="2 Char"/>
    <w:link w:val="ListParagraph"/>
    <w:uiPriority w:val="34"/>
    <w:locked/>
    <w:rsid w:val="00B17C08"/>
    <w:rPr>
      <w:sz w:val="24"/>
      <w:lang w:eastAsia="en-US"/>
    </w:rPr>
  </w:style>
  <w:style w:type="paragraph" w:customStyle="1" w:styleId="Default">
    <w:name w:val="Default"/>
    <w:rsid w:val="00B17C08"/>
    <w:pPr>
      <w:autoSpaceDE w:val="0"/>
      <w:autoSpaceDN w:val="0"/>
      <w:adjustRightInd w:val="0"/>
    </w:pPr>
    <w:rPr>
      <w:rFonts w:eastAsia="Calibri"/>
      <w:color w:val="000000"/>
      <w:sz w:val="24"/>
      <w:szCs w:val="24"/>
      <w:lang w:eastAsia="en-US"/>
    </w:rPr>
  </w:style>
  <w:style w:type="character" w:customStyle="1" w:styleId="CommentSubjectChar">
    <w:name w:val="Comment Subject Char"/>
    <w:link w:val="CommentSubject"/>
    <w:uiPriority w:val="99"/>
    <w:semiHidden/>
    <w:rsid w:val="00474D3C"/>
    <w:rPr>
      <w:b/>
      <w:bCs/>
    </w:rPr>
  </w:style>
  <w:style w:type="paragraph" w:customStyle="1" w:styleId="CharCharCharChar">
    <w:name w:val="Char Char Char Char"/>
    <w:aliases w:val="Char2"/>
    <w:basedOn w:val="Normal"/>
    <w:next w:val="Normal"/>
    <w:link w:val="FootnoteReference"/>
    <w:uiPriority w:val="99"/>
    <w:rsid w:val="00474D3C"/>
    <w:pPr>
      <w:spacing w:after="160" w:line="240" w:lineRule="exact"/>
      <w:jc w:val="both"/>
      <w:textAlignment w:val="baseline"/>
    </w:pPr>
    <w:rPr>
      <w:sz w:val="20"/>
      <w:szCs w:val="20"/>
      <w:vertAlign w:val="superscript"/>
    </w:rPr>
  </w:style>
  <w:style w:type="paragraph" w:customStyle="1" w:styleId="H2">
    <w:name w:val="H2"/>
    <w:basedOn w:val="Heading2"/>
    <w:qFormat/>
    <w:rsid w:val="00503FA0"/>
    <w:pPr>
      <w:keepLines w:val="0"/>
      <w:spacing w:before="480" w:after="240"/>
      <w:ind w:left="284" w:right="-29"/>
      <w:jc w:val="center"/>
    </w:pPr>
    <w:rPr>
      <w:rFonts w:ascii="Cambria" w:eastAsia="Times New Roman" w:hAnsi="Cambria" w:cs="Times New Roman"/>
      <w:iCs/>
      <w:color w:val="auto"/>
      <w:sz w:val="28"/>
      <w:szCs w:val="28"/>
    </w:rPr>
  </w:style>
  <w:style w:type="character" w:customStyle="1" w:styleId="Heading2Char">
    <w:name w:val="Heading 2 Char"/>
    <w:basedOn w:val="DefaultParagraphFont"/>
    <w:link w:val="Heading2"/>
    <w:uiPriority w:val="9"/>
    <w:semiHidden/>
    <w:rsid w:val="00503FA0"/>
    <w:rPr>
      <w:rFonts w:asciiTheme="majorHAnsi" w:eastAsiaTheme="majorEastAsia" w:hAnsiTheme="majorHAnsi" w:cstheme="majorBidi"/>
      <w:b/>
      <w:bCs/>
      <w:color w:val="4F81BD" w:themeColor="accent1"/>
      <w:sz w:val="26"/>
      <w:szCs w:val="26"/>
    </w:rPr>
  </w:style>
  <w:style w:type="paragraph" w:customStyle="1" w:styleId="tv213">
    <w:name w:val="tv213"/>
    <w:basedOn w:val="Normal"/>
    <w:rsid w:val="00782A57"/>
    <w:pPr>
      <w:spacing w:before="100" w:beforeAutospacing="1" w:after="100" w:afterAutospacing="1"/>
    </w:pPr>
  </w:style>
  <w:style w:type="character" w:customStyle="1" w:styleId="HeaderChar">
    <w:name w:val="Header Char"/>
    <w:aliases w:val="18pt Bold Char"/>
    <w:basedOn w:val="DefaultParagraphFont"/>
    <w:link w:val="Header"/>
    <w:rsid w:val="00782A57"/>
    <w:rPr>
      <w:sz w:val="24"/>
      <w:szCs w:val="24"/>
    </w:rPr>
  </w:style>
  <w:style w:type="character" w:customStyle="1" w:styleId="CommentTextChar">
    <w:name w:val="Comment Text Char"/>
    <w:basedOn w:val="DefaultParagraphFont"/>
    <w:link w:val="CommentText"/>
    <w:uiPriority w:val="99"/>
    <w:rsid w:val="000875FE"/>
  </w:style>
  <w:style w:type="character" w:customStyle="1" w:styleId="c5">
    <w:name w:val="c5"/>
    <w:basedOn w:val="DefaultParagraphFont"/>
    <w:rsid w:val="00313BE8"/>
  </w:style>
  <w:style w:type="paragraph" w:customStyle="1" w:styleId="Normal2">
    <w:name w:val="Normal2"/>
    <w:rsid w:val="002A5743"/>
    <w:pPr>
      <w:spacing w:after="120"/>
      <w:ind w:firstLine="567"/>
      <w:jc w:val="both"/>
    </w:pPr>
    <w:rPr>
      <w:color w:val="000000"/>
      <w:sz w:val="24"/>
      <w:szCs w:val="22"/>
      <w:lang w:eastAsia="zh-CN" w:bidi="lo-LA"/>
    </w:rPr>
  </w:style>
  <w:style w:type="paragraph" w:styleId="Revision">
    <w:name w:val="Revision"/>
    <w:hidden/>
    <w:uiPriority w:val="99"/>
    <w:semiHidden/>
    <w:rsid w:val="00EC6A0F"/>
    <w:rPr>
      <w:sz w:val="24"/>
      <w:szCs w:val="24"/>
    </w:rPr>
  </w:style>
  <w:style w:type="paragraph" w:customStyle="1" w:styleId="ColorfulList-Accent11">
    <w:name w:val="Colorful List - Accent 11"/>
    <w:aliases w:val="H&amp;P List Paragraph"/>
    <w:basedOn w:val="Normal"/>
    <w:link w:val="ColorfulList-Accent1Char"/>
    <w:uiPriority w:val="34"/>
    <w:qFormat/>
    <w:rsid w:val="00FD0357"/>
    <w:pPr>
      <w:spacing w:after="200" w:line="276" w:lineRule="auto"/>
      <w:ind w:left="720"/>
      <w:contextualSpacing/>
    </w:pPr>
    <w:rPr>
      <w:rFonts w:ascii="Calibri" w:eastAsia="PMingLiU" w:hAnsi="Calibri"/>
      <w:sz w:val="22"/>
      <w:szCs w:val="22"/>
    </w:rPr>
  </w:style>
  <w:style w:type="character" w:customStyle="1" w:styleId="ColorfulList-Accent1Char">
    <w:name w:val="Colorful List - Accent 1 Char"/>
    <w:aliases w:val="H&amp;P List Paragraph Char"/>
    <w:link w:val="ColorfulList-Accent11"/>
    <w:uiPriority w:val="34"/>
    <w:locked/>
    <w:rsid w:val="00FD0357"/>
    <w:rPr>
      <w:rFonts w:ascii="Calibri" w:eastAsia="PMingLiU" w:hAnsi="Calibri"/>
      <w:sz w:val="22"/>
      <w:szCs w:val="22"/>
    </w:rPr>
  </w:style>
  <w:style w:type="character" w:customStyle="1" w:styleId="FooterChar">
    <w:name w:val="Footer Char"/>
    <w:basedOn w:val="DefaultParagraphFont"/>
    <w:link w:val="Footer"/>
    <w:uiPriority w:val="99"/>
    <w:rsid w:val="00AA5F0F"/>
    <w:rPr>
      <w:sz w:val="24"/>
      <w:szCs w:val="24"/>
    </w:rPr>
  </w:style>
  <w:style w:type="paragraph" w:styleId="TOC3">
    <w:name w:val="toc 3"/>
    <w:basedOn w:val="Normal"/>
    <w:next w:val="Normal"/>
    <w:autoRedefine/>
    <w:uiPriority w:val="39"/>
    <w:semiHidden/>
    <w:unhideWhenUsed/>
    <w:rsid w:val="00662E23"/>
    <w:pPr>
      <w:tabs>
        <w:tab w:val="left" w:pos="1276"/>
        <w:tab w:val="right" w:leader="dot" w:pos="9395"/>
      </w:tabs>
      <w:spacing w:after="100" w:line="276" w:lineRule="auto"/>
      <w:ind w:left="440"/>
    </w:pPr>
    <w:rPr>
      <w:rFonts w:eastAsia="PMingLiU"/>
      <w:szCs w:val="22"/>
    </w:rPr>
  </w:style>
  <w:style w:type="character" w:styleId="FollowedHyperlink">
    <w:name w:val="FollowedHyperlink"/>
    <w:basedOn w:val="DefaultParagraphFont"/>
    <w:uiPriority w:val="99"/>
    <w:semiHidden/>
    <w:unhideWhenUsed/>
    <w:rsid w:val="00D151FA"/>
    <w:rPr>
      <w:color w:val="800080" w:themeColor="followedHyperlink"/>
      <w:u w:val="single"/>
    </w:rPr>
  </w:style>
  <w:style w:type="paragraph" w:customStyle="1" w:styleId="liknoteik1">
    <w:name w:val="lik_noteik1"/>
    <w:basedOn w:val="Normal"/>
    <w:rsid w:val="00665027"/>
    <w:pPr>
      <w:spacing w:before="100" w:beforeAutospacing="1" w:after="100" w:afterAutospacing="1" w:line="360" w:lineRule="auto"/>
      <w:ind w:firstLine="300"/>
      <w:jc w:val="right"/>
    </w:pPr>
    <w:rPr>
      <w:b/>
      <w:bCs/>
      <w:color w:val="414142"/>
      <w:sz w:val="20"/>
      <w:szCs w:val="20"/>
    </w:rPr>
  </w:style>
  <w:style w:type="paragraph" w:customStyle="1" w:styleId="likdat1">
    <w:name w:val="lik_dat1"/>
    <w:basedOn w:val="Normal"/>
    <w:rsid w:val="00665027"/>
    <w:pPr>
      <w:spacing w:before="100" w:beforeAutospacing="1" w:after="100" w:afterAutospacing="1" w:line="360" w:lineRule="auto"/>
      <w:ind w:firstLine="300"/>
      <w:jc w:val="right"/>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05695">
      <w:bodyDiv w:val="1"/>
      <w:marLeft w:val="0"/>
      <w:marRight w:val="0"/>
      <w:marTop w:val="0"/>
      <w:marBottom w:val="0"/>
      <w:divBdr>
        <w:top w:val="none" w:sz="0" w:space="0" w:color="auto"/>
        <w:left w:val="none" w:sz="0" w:space="0" w:color="auto"/>
        <w:bottom w:val="none" w:sz="0" w:space="0" w:color="auto"/>
        <w:right w:val="none" w:sz="0" w:space="0" w:color="auto"/>
      </w:divBdr>
    </w:div>
    <w:div w:id="168519448">
      <w:bodyDiv w:val="1"/>
      <w:marLeft w:val="0"/>
      <w:marRight w:val="0"/>
      <w:marTop w:val="0"/>
      <w:marBottom w:val="0"/>
      <w:divBdr>
        <w:top w:val="none" w:sz="0" w:space="0" w:color="auto"/>
        <w:left w:val="none" w:sz="0" w:space="0" w:color="auto"/>
        <w:bottom w:val="none" w:sz="0" w:space="0" w:color="auto"/>
        <w:right w:val="none" w:sz="0" w:space="0" w:color="auto"/>
      </w:divBdr>
    </w:div>
    <w:div w:id="196504829">
      <w:bodyDiv w:val="1"/>
      <w:marLeft w:val="0"/>
      <w:marRight w:val="0"/>
      <w:marTop w:val="0"/>
      <w:marBottom w:val="0"/>
      <w:divBdr>
        <w:top w:val="none" w:sz="0" w:space="0" w:color="auto"/>
        <w:left w:val="none" w:sz="0" w:space="0" w:color="auto"/>
        <w:bottom w:val="none" w:sz="0" w:space="0" w:color="auto"/>
        <w:right w:val="none" w:sz="0" w:space="0" w:color="auto"/>
      </w:divBdr>
    </w:div>
    <w:div w:id="529807253">
      <w:bodyDiv w:val="1"/>
      <w:marLeft w:val="0"/>
      <w:marRight w:val="0"/>
      <w:marTop w:val="0"/>
      <w:marBottom w:val="0"/>
      <w:divBdr>
        <w:top w:val="none" w:sz="0" w:space="0" w:color="auto"/>
        <w:left w:val="none" w:sz="0" w:space="0" w:color="auto"/>
        <w:bottom w:val="none" w:sz="0" w:space="0" w:color="auto"/>
        <w:right w:val="none" w:sz="0" w:space="0" w:color="auto"/>
      </w:divBdr>
    </w:div>
    <w:div w:id="598954798">
      <w:bodyDiv w:val="1"/>
      <w:marLeft w:val="0"/>
      <w:marRight w:val="0"/>
      <w:marTop w:val="0"/>
      <w:marBottom w:val="0"/>
      <w:divBdr>
        <w:top w:val="none" w:sz="0" w:space="0" w:color="auto"/>
        <w:left w:val="none" w:sz="0" w:space="0" w:color="auto"/>
        <w:bottom w:val="none" w:sz="0" w:space="0" w:color="auto"/>
        <w:right w:val="none" w:sz="0" w:space="0" w:color="auto"/>
      </w:divBdr>
    </w:div>
    <w:div w:id="650908620">
      <w:bodyDiv w:val="1"/>
      <w:marLeft w:val="0"/>
      <w:marRight w:val="0"/>
      <w:marTop w:val="0"/>
      <w:marBottom w:val="0"/>
      <w:divBdr>
        <w:top w:val="none" w:sz="0" w:space="0" w:color="auto"/>
        <w:left w:val="none" w:sz="0" w:space="0" w:color="auto"/>
        <w:bottom w:val="none" w:sz="0" w:space="0" w:color="auto"/>
        <w:right w:val="none" w:sz="0" w:space="0" w:color="auto"/>
      </w:divBdr>
    </w:div>
    <w:div w:id="710960544">
      <w:bodyDiv w:val="1"/>
      <w:marLeft w:val="0"/>
      <w:marRight w:val="0"/>
      <w:marTop w:val="0"/>
      <w:marBottom w:val="0"/>
      <w:divBdr>
        <w:top w:val="none" w:sz="0" w:space="0" w:color="auto"/>
        <w:left w:val="none" w:sz="0" w:space="0" w:color="auto"/>
        <w:bottom w:val="none" w:sz="0" w:space="0" w:color="auto"/>
        <w:right w:val="none" w:sz="0" w:space="0" w:color="auto"/>
      </w:divBdr>
      <w:divsChild>
        <w:div w:id="37750862">
          <w:marLeft w:val="0"/>
          <w:marRight w:val="0"/>
          <w:marTop w:val="0"/>
          <w:marBottom w:val="0"/>
          <w:divBdr>
            <w:top w:val="none" w:sz="0" w:space="0" w:color="auto"/>
            <w:left w:val="none" w:sz="0" w:space="0" w:color="auto"/>
            <w:bottom w:val="none" w:sz="0" w:space="0" w:color="auto"/>
            <w:right w:val="none" w:sz="0" w:space="0" w:color="auto"/>
          </w:divBdr>
          <w:divsChild>
            <w:div w:id="1213343323">
              <w:marLeft w:val="0"/>
              <w:marRight w:val="0"/>
              <w:marTop w:val="0"/>
              <w:marBottom w:val="0"/>
              <w:divBdr>
                <w:top w:val="none" w:sz="0" w:space="0" w:color="auto"/>
                <w:left w:val="none" w:sz="0" w:space="0" w:color="auto"/>
                <w:bottom w:val="none" w:sz="0" w:space="0" w:color="auto"/>
                <w:right w:val="none" w:sz="0" w:space="0" w:color="auto"/>
              </w:divBdr>
              <w:divsChild>
                <w:div w:id="719019036">
                  <w:marLeft w:val="0"/>
                  <w:marRight w:val="0"/>
                  <w:marTop w:val="0"/>
                  <w:marBottom w:val="0"/>
                  <w:divBdr>
                    <w:top w:val="none" w:sz="0" w:space="0" w:color="auto"/>
                    <w:left w:val="none" w:sz="0" w:space="0" w:color="auto"/>
                    <w:bottom w:val="none" w:sz="0" w:space="0" w:color="auto"/>
                    <w:right w:val="none" w:sz="0" w:space="0" w:color="auto"/>
                  </w:divBdr>
                  <w:divsChild>
                    <w:div w:id="1963149331">
                      <w:marLeft w:val="0"/>
                      <w:marRight w:val="0"/>
                      <w:marTop w:val="0"/>
                      <w:marBottom w:val="0"/>
                      <w:divBdr>
                        <w:top w:val="none" w:sz="0" w:space="0" w:color="auto"/>
                        <w:left w:val="none" w:sz="0" w:space="0" w:color="auto"/>
                        <w:bottom w:val="none" w:sz="0" w:space="0" w:color="auto"/>
                        <w:right w:val="none" w:sz="0" w:space="0" w:color="auto"/>
                      </w:divBdr>
                      <w:divsChild>
                        <w:div w:id="1290673608">
                          <w:marLeft w:val="0"/>
                          <w:marRight w:val="0"/>
                          <w:marTop w:val="0"/>
                          <w:marBottom w:val="0"/>
                          <w:divBdr>
                            <w:top w:val="none" w:sz="0" w:space="0" w:color="auto"/>
                            <w:left w:val="none" w:sz="0" w:space="0" w:color="auto"/>
                            <w:bottom w:val="none" w:sz="0" w:space="0" w:color="auto"/>
                            <w:right w:val="none" w:sz="0" w:space="0" w:color="auto"/>
                          </w:divBdr>
                          <w:divsChild>
                            <w:div w:id="44866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571659">
      <w:bodyDiv w:val="1"/>
      <w:marLeft w:val="0"/>
      <w:marRight w:val="0"/>
      <w:marTop w:val="0"/>
      <w:marBottom w:val="0"/>
      <w:divBdr>
        <w:top w:val="none" w:sz="0" w:space="0" w:color="auto"/>
        <w:left w:val="none" w:sz="0" w:space="0" w:color="auto"/>
        <w:bottom w:val="none" w:sz="0" w:space="0" w:color="auto"/>
        <w:right w:val="none" w:sz="0" w:space="0" w:color="auto"/>
      </w:divBdr>
    </w:div>
    <w:div w:id="1375424559">
      <w:bodyDiv w:val="1"/>
      <w:marLeft w:val="0"/>
      <w:marRight w:val="0"/>
      <w:marTop w:val="0"/>
      <w:marBottom w:val="0"/>
      <w:divBdr>
        <w:top w:val="none" w:sz="0" w:space="0" w:color="auto"/>
        <w:left w:val="none" w:sz="0" w:space="0" w:color="auto"/>
        <w:bottom w:val="none" w:sz="0" w:space="0" w:color="auto"/>
        <w:right w:val="none" w:sz="0" w:space="0" w:color="auto"/>
      </w:divBdr>
    </w:div>
    <w:div w:id="1543596905">
      <w:bodyDiv w:val="1"/>
      <w:marLeft w:val="0"/>
      <w:marRight w:val="0"/>
      <w:marTop w:val="0"/>
      <w:marBottom w:val="0"/>
      <w:divBdr>
        <w:top w:val="none" w:sz="0" w:space="0" w:color="auto"/>
        <w:left w:val="none" w:sz="0" w:space="0" w:color="auto"/>
        <w:bottom w:val="none" w:sz="0" w:space="0" w:color="auto"/>
        <w:right w:val="none" w:sz="0" w:space="0" w:color="auto"/>
      </w:divBdr>
    </w:div>
    <w:div w:id="155111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topuniversities.com/university-rankings" TargetMode="External"/><Relationship Id="rId2" Type="http://schemas.openxmlformats.org/officeDocument/2006/relationships/hyperlink" Target="https://likumi.lv/doc.php?id=37967" TargetMode="External"/><Relationship Id="rId1" Type="http://schemas.openxmlformats.org/officeDocument/2006/relationships/hyperlink" Target="http://www.aip.lv/ESF_par_projektu.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418BF-D54C-480B-99B2-910A79FA0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6749</Words>
  <Characters>47253</Characters>
  <Application>Microsoft Office Word</Application>
  <DocSecurity>0</DocSecurity>
  <Lines>393</Lines>
  <Paragraphs>107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„Darbības programmas „Izaugsme un nodarbinātība” 1.1.1. specifiskā atbalsta mērķa „Palielināt Latvijas zinātnisko institūciju pētniecisko un inovatīvo kapacitāti un spēju piesaistīt ārējo finansējumu, ieguldot cilvēkre</vt:lpstr>
      <vt:lpstr>Ministru kabineta noteikumu projekts "Dzelzceļa tehniskās ekspluatācijas noteikumi"</vt:lpstr>
    </vt:vector>
  </TitlesOfParts>
  <Company>Satiksmes Ministrija, Valsts dzelzceļa tehniskā inspekcija</Company>
  <LinksUpToDate>false</LinksUpToDate>
  <CharactersWithSpaces>53895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„Darbības programmas „Izaugsme un nodarbinātība” 1.1.1. specifiskā atbalsta mērķa „Palielināt Latvijas zinātnisko institūciju pētniecisko un inovatīvo kapacitāti un spēju piesaistīt ārējo finansējumu, ieguldot cilvēkre</dc:title>
  <dc:subject>Anotācija</dc:subject>
  <dc:creator>Evija Zača</dc:creator>
  <cp:keywords>IZM</cp:keywords>
  <dc:description/>
  <cp:lastModifiedBy>Nauris Grīnbergs</cp:lastModifiedBy>
  <cp:revision>3</cp:revision>
  <cp:lastPrinted>2015-12-18T10:24:00Z</cp:lastPrinted>
  <dcterms:created xsi:type="dcterms:W3CDTF">2018-01-03T07:05:00Z</dcterms:created>
  <dcterms:modified xsi:type="dcterms:W3CDTF">2018-01-03T07:08:00Z</dcterms:modified>
</cp:coreProperties>
</file>