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8C5649" w:rsidP="005B6D2B">
      <w:pPr>
        <w:jc w:val="center"/>
        <w:rPr>
          <w:b/>
        </w:rPr>
      </w:pPr>
      <w:r w:rsidRPr="005C4BBF">
        <w:rPr>
          <w:b/>
        </w:rPr>
        <w:t>Ministr</w:t>
      </w:r>
      <w:r w:rsidRPr="005C4BBF" w:rsidR="00DC1363">
        <w:rPr>
          <w:b/>
        </w:rPr>
        <w:t>u kabineta</w:t>
      </w:r>
      <w:r w:rsidRPr="005C4BBF" w:rsidR="005C4BBF">
        <w:rPr>
          <w:b/>
        </w:rPr>
        <w:t xml:space="preserve"> sēdes </w:t>
      </w:r>
      <w:r w:rsidRPr="005C4BBF" w:rsidR="005C4BBF">
        <w:rPr>
          <w:b/>
        </w:rPr>
        <w:t>protokollēmuma</w:t>
      </w:r>
      <w:r w:rsidRPr="005C4BBF" w:rsidR="00241328">
        <w:rPr>
          <w:b/>
        </w:rPr>
        <w:t xml:space="preserve"> </w:t>
      </w:r>
      <w:r w:rsidRPr="005C4BBF" w:rsidR="005B6D2B">
        <w:rPr>
          <w:b/>
        </w:rPr>
        <w:t>projekta “</w:t>
      </w:r>
      <w:r w:rsidRPr="005C4BBF" w:rsidR="005C4BBF">
        <w:rPr>
          <w:b/>
        </w:rPr>
        <w:t xml:space="preserve">Par Ministru kabineta 2015.gada 14.jūlija sēdes </w:t>
      </w:r>
      <w:r w:rsidRPr="005C4BBF" w:rsidR="005C4BBF">
        <w:rPr>
          <w:b/>
        </w:rPr>
        <w:t>protokollēmuma</w:t>
      </w:r>
      <w:r w:rsidRPr="005C4BBF" w:rsidR="005C4BBF">
        <w:rPr>
          <w:b/>
        </w:rPr>
        <w:t xml:space="preserve"> (prot. Nr.34 37.§) “Noteikumu projekts “Augstskolu, koledžu un studiju virz</w:t>
      </w:r>
      <w:r w:rsidR="00E66F9D">
        <w:rPr>
          <w:b/>
        </w:rPr>
        <w:t>ienu akreditācijas noteikumi”” 3</w:t>
      </w:r>
      <w:r w:rsidRPr="005C4BBF" w:rsidR="005C4BBF">
        <w:rPr>
          <w:b/>
        </w:rPr>
        <w:t>.punktā dotā uzdevuma izpildi</w:t>
      </w:r>
      <w:r w:rsidRPr="005C4BBF">
        <w:rPr>
          <w:b/>
        </w:rPr>
        <w:t>”</w:t>
      </w:r>
      <w:r w:rsidRPr="005C4BBF" w:rsidR="005B6D2B">
        <w:rPr>
          <w:b/>
        </w:rPr>
        <w:t xml:space="preserve"> </w:t>
      </w:r>
      <w:r w:rsidRPr="005C4BBF" w:rsidR="00852042">
        <w:rPr>
          <w:b/>
        </w:rPr>
        <w:t>sākotnējā</w:t>
      </w:r>
      <w:r w:rsidRPr="005C4BBF" w:rsidR="002D3306">
        <w:rPr>
          <w:b/>
        </w:rPr>
        <w:t>s</w:t>
      </w:r>
      <w:r w:rsidRPr="005C4BBF" w:rsidR="00852042">
        <w:rPr>
          <w:b/>
        </w:rPr>
        <w:t xml:space="preserve"> ietekmes novērtējuma </w:t>
      </w:r>
      <w:smartTag w:uri="schemas-tilde-lv/tildestengine" w:element="veidnes">
        <w:smartTagPr>
          <w:attr w:name="baseform" w:val="ziņojums"/>
          <w:attr w:name="id" w:val="-1"/>
          <w:attr w:name="text" w:val="ziņojums"/>
        </w:smartTagPr>
        <w:r w:rsidRPr="005C4BBF" w:rsidR="00852042">
          <w:rPr>
            <w:b/>
          </w:rPr>
          <w:t>ziņojums</w:t>
        </w:r>
      </w:smartTag>
      <w:r w:rsidRPr="005C4BBF" w:rsidR="00852042">
        <w:rPr>
          <w:b/>
        </w:rPr>
        <w:t xml:space="preserve"> (anotācija)</w:t>
      </w:r>
    </w:p>
    <w:p w:rsidR="00741AFC" w:rsidP="00817E2A">
      <w:pPr>
        <w:jc w:val="both"/>
        <w:rPr>
          <w:b/>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1"/>
        <w:gridCol w:w="2807"/>
        <w:gridCol w:w="5797"/>
      </w:tblGrid>
      <w:tr w:rsidTr="00BB0145">
        <w:tblPrEx>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17E2A" w:rsidRPr="00817E2A" w:rsidP="00817E2A">
            <w:pPr>
              <w:spacing w:before="100" w:beforeAutospacing="1" w:after="100" w:afterAutospacing="1" w:line="293" w:lineRule="atLeast"/>
              <w:jc w:val="center"/>
              <w:rPr>
                <w:b/>
                <w:bCs/>
              </w:rPr>
            </w:pPr>
            <w:r w:rsidRPr="00817E2A">
              <w:rPr>
                <w:b/>
                <w:bCs/>
              </w:rPr>
              <w:t>I. Tiesību akta projekta izstrādes nepieciešamība</w:t>
            </w:r>
          </w:p>
        </w:tc>
      </w:tr>
      <w:tr w:rsidTr="00BB0145">
        <w:tblPrEx>
          <w:tblW w:w="5000" w:type="pct"/>
          <w:tblCellMar>
            <w:top w:w="30" w:type="dxa"/>
            <w:left w:w="30" w:type="dxa"/>
            <w:bottom w:w="30" w:type="dxa"/>
            <w:right w:w="30" w:type="dxa"/>
          </w:tblCellMar>
          <w:tblLook w:val="04A0"/>
        </w:tblPrEx>
        <w:trPr>
          <w:trHeight w:val="405"/>
        </w:trPr>
        <w:tc>
          <w:tcPr>
            <w:tcW w:w="249" w:type="pct"/>
            <w:tcBorders>
              <w:top w:val="outset" w:sz="6" w:space="0" w:color="414142"/>
              <w:left w:val="outset" w:sz="6" w:space="0" w:color="414142"/>
              <w:bottom w:val="outset" w:sz="6" w:space="0" w:color="414142"/>
              <w:right w:val="outset" w:sz="6" w:space="0" w:color="414142"/>
            </w:tcBorders>
            <w:hideMark/>
          </w:tcPr>
          <w:p w:rsidR="00817E2A" w:rsidRPr="00817E2A" w:rsidP="00817E2A">
            <w:pPr>
              <w:spacing w:before="100" w:beforeAutospacing="1" w:after="100" w:afterAutospacing="1" w:line="293" w:lineRule="atLeast"/>
              <w:jc w:val="center"/>
            </w:pPr>
            <w:r w:rsidRPr="00817E2A">
              <w:t>1.</w:t>
            </w:r>
          </w:p>
        </w:tc>
        <w:tc>
          <w:tcPr>
            <w:tcW w:w="1550" w:type="pct"/>
            <w:tcBorders>
              <w:top w:val="outset" w:sz="6" w:space="0" w:color="414142"/>
              <w:left w:val="outset" w:sz="6" w:space="0" w:color="414142"/>
              <w:bottom w:val="outset" w:sz="6" w:space="0" w:color="414142"/>
              <w:right w:val="outset" w:sz="6" w:space="0" w:color="414142"/>
            </w:tcBorders>
            <w:hideMark/>
          </w:tcPr>
          <w:p w:rsidR="00817E2A" w:rsidRPr="00817E2A" w:rsidP="00817E2A">
            <w:r w:rsidRPr="00817E2A">
              <w:t>Pamatojums</w:t>
            </w:r>
          </w:p>
        </w:tc>
        <w:tc>
          <w:tcPr>
            <w:tcW w:w="3201" w:type="pct"/>
            <w:tcBorders>
              <w:top w:val="outset" w:sz="6" w:space="0" w:color="414142"/>
              <w:left w:val="outset" w:sz="6" w:space="0" w:color="414142"/>
              <w:bottom w:val="outset" w:sz="6" w:space="0" w:color="414142"/>
              <w:right w:val="outset" w:sz="6" w:space="0" w:color="414142"/>
            </w:tcBorders>
            <w:hideMark/>
          </w:tcPr>
          <w:p w:rsidR="00817E2A" w:rsidRPr="00817E2A" w:rsidP="00817E2A">
            <w:pPr>
              <w:tabs>
                <w:tab w:val="left" w:pos="323"/>
              </w:tabs>
              <w:jc w:val="both"/>
            </w:pPr>
            <w:r w:rsidRPr="00817E2A">
              <w:t xml:space="preserve">Ministru kabineta sēdes </w:t>
            </w:r>
            <w:r w:rsidRPr="00817E2A">
              <w:t>protokollēmuma</w:t>
            </w:r>
            <w:r w:rsidRPr="00817E2A">
              <w:t xml:space="preserve"> projekts “Par Ministru kabineta 2015.gada 14.jūlija sēdes </w:t>
            </w:r>
            <w:r w:rsidRPr="00817E2A">
              <w:t>protokollēmuma</w:t>
            </w:r>
            <w:r w:rsidRPr="00817E2A">
              <w:t xml:space="preserve"> (prot. Nr.34 37.§) “Noteikumu projekts “Augstskolu, koledžu un studiju virz</w:t>
            </w:r>
            <w:r w:rsidR="006911A4">
              <w:t>ienu akreditācijas noteikumi”” 3</w:t>
            </w:r>
            <w:r w:rsidRPr="00817E2A">
              <w:t xml:space="preserve">.punktā dotā uzdevuma izpildi” (turpmāk – projekts) izstrādāts saskaņā ar Ministru kabineta 2009.gada 7.aprīļa noteikumu Nr.300 “Ministru kabineta kārtības rullis” 244.punkta pirmo teikumu, kas nosaka, ka priekšlikumu par Ministru kabineta sēdes </w:t>
            </w:r>
            <w:r w:rsidRPr="00817E2A">
              <w:t>protokollēmumā</w:t>
            </w:r>
            <w:r w:rsidRPr="00817E2A">
              <w:t xml:space="preserve"> noteiktā izpildes termiņa grozīšanu Ministru kabinetā iesniedz attiecīga tiesību akta projekta veidā.</w:t>
            </w:r>
          </w:p>
        </w:tc>
      </w:tr>
      <w:tr w:rsidTr="00BB0145">
        <w:tblPrEx>
          <w:tblW w:w="5000" w:type="pct"/>
          <w:tblCellMar>
            <w:top w:w="30" w:type="dxa"/>
            <w:left w:w="30" w:type="dxa"/>
            <w:bottom w:w="30" w:type="dxa"/>
            <w:right w:w="30" w:type="dxa"/>
          </w:tblCellMar>
          <w:tblLook w:val="04A0"/>
        </w:tblPrEx>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817E2A" w:rsidRPr="00817E2A" w:rsidP="00817E2A">
            <w:pPr>
              <w:spacing w:before="100" w:beforeAutospacing="1" w:after="100" w:afterAutospacing="1" w:line="293" w:lineRule="atLeast"/>
              <w:jc w:val="center"/>
            </w:pPr>
            <w:r w:rsidRPr="00817E2A">
              <w:t>2.</w:t>
            </w:r>
          </w:p>
        </w:tc>
        <w:tc>
          <w:tcPr>
            <w:tcW w:w="1550" w:type="pct"/>
            <w:tcBorders>
              <w:top w:val="outset" w:sz="6" w:space="0" w:color="414142"/>
              <w:left w:val="outset" w:sz="6" w:space="0" w:color="414142"/>
              <w:bottom w:val="outset" w:sz="6" w:space="0" w:color="414142"/>
              <w:right w:val="outset" w:sz="6" w:space="0" w:color="414142"/>
            </w:tcBorders>
            <w:hideMark/>
          </w:tcPr>
          <w:p w:rsidR="00817E2A" w:rsidRPr="00817E2A" w:rsidP="00817E2A">
            <w:r w:rsidRPr="00817E2A">
              <w:t>Pašreizējā situācija un problēmas, kuru risināšanai tiesību akta projekts izstrādāts, tiesiskā regulējuma mērķis un būtība</w:t>
            </w:r>
          </w:p>
        </w:tc>
        <w:tc>
          <w:tcPr>
            <w:tcW w:w="3201" w:type="pct"/>
            <w:tcBorders>
              <w:top w:val="outset" w:sz="6" w:space="0" w:color="414142"/>
              <w:left w:val="outset" w:sz="6" w:space="0" w:color="414142"/>
              <w:bottom w:val="outset" w:sz="6" w:space="0" w:color="414142"/>
              <w:right w:val="outset" w:sz="6" w:space="0" w:color="414142"/>
            </w:tcBorders>
            <w:hideMark/>
          </w:tcPr>
          <w:p w:rsidR="00817E2A" w:rsidRPr="00817E2A" w:rsidP="00817E2A">
            <w:pPr>
              <w:jc w:val="both"/>
            </w:pPr>
            <w:r w:rsidRPr="00817E2A">
              <w:t xml:space="preserve">Ministru kabineta 2015.gada 14.jūlija sēdē (prot. Nr.34 37.§), izskatot noteikumu projektu “Augstskolu, koledžu un studiju virzienu akreditācijas noteikumi”, Izglītības un zinātnes ministrijai (turpmāk – ministrija) tika dots uzdevums izvērtēt </w:t>
            </w:r>
            <w:r>
              <w:t>augstākās izglītības ārējās kvalitātes nodrošināšanas sistēmas atbilstību augstākās izglītības stratēģisko mērķu sasniegšanai, izstrādāt nepieciešamos grozījumus normatīvajos aktos un līdz 2017.gada 31.decembrim noteiktā kārtībā iesniegt izskatīšanai Ministru kabinetā.</w:t>
            </w:r>
          </w:p>
          <w:p w:rsidR="00817E2A" w:rsidP="00817E2A">
            <w:pPr>
              <w:jc w:val="both"/>
            </w:pPr>
            <w:r>
              <w:t>Latvijas augstākās izglītības ārējās kvalitātes nodrošināšanas sistēma šobrīd paredz trīs pakāpju kvalitātes novērtēšanu: studiju programmu licencēšana, studiju virzienu akreditācija un augstskolu un koledžu akreditācija.</w:t>
            </w:r>
          </w:p>
          <w:p w:rsidR="00480D91" w:rsidP="00817E2A">
            <w:pPr>
              <w:jc w:val="both"/>
            </w:pPr>
            <w:r>
              <w:t>Augstskolu un koledžu akreditācija nav ciklisks process, proti, augstskolu un koledžu akreditācija nav terminēta.</w:t>
            </w:r>
          </w:p>
          <w:p w:rsidR="00447CF8" w:rsidP="00817E2A">
            <w:pPr>
              <w:jc w:val="both"/>
            </w:pPr>
            <w:r>
              <w:t>Studiju virzienu akreditācija ir ciklisks process, kurā studiju virzieni un līdz ar to tiem atbilstošās studiju programmas tiek akreditētas uz diviem vai sešiem gadiem vai netiek akreditētas.</w:t>
            </w:r>
          </w:p>
          <w:p w:rsidR="00447CF8" w:rsidP="00817E2A">
            <w:pPr>
              <w:jc w:val="both"/>
            </w:pPr>
            <w:r>
              <w:t>Studiju programmu licencēšana kalpo par studiju programmas īstenošanas uzsākšanas kvalitātes pārbaudi, lai nodrošinātu, ka studiju programmas īstenošana būs kvalitatīva un studējošie iegūs nepieciešamās zināšanas</w:t>
            </w:r>
            <w:r w:rsidR="00433F57">
              <w:t>, prasmes un kompetences</w:t>
            </w:r>
            <w:r>
              <w:t>. Tas ir ļoti būtiski arī tāpēc, ka šobrīd studiju programmas tiek licencētas jau akreditētā studiju virzienā, līdz ar to šādu studiju programmu īstenošanas kvalitāte tiek pārbaudīta tikai kārtējās studiju virziena akreditācijas laikā.</w:t>
            </w:r>
          </w:p>
          <w:p w:rsidR="00447CF8" w:rsidP="00817E2A">
            <w:pPr>
              <w:jc w:val="both"/>
            </w:pPr>
            <w:r w:rsidRPr="00447CF8">
              <w:t xml:space="preserve">Latvijas Nacionālās attīstības plāns 2014.-2020.gadam rīcības virziena “Attīstīta pētniecība, inovācija un augstākā </w:t>
            </w:r>
            <w:r w:rsidRPr="00447CF8">
              <w:t>izglītība” ietvaros nosaka uzdevumu “Augstākās izglītības k</w:t>
            </w:r>
            <w:r>
              <w:t>onkurētspēja un konsolidācija”.</w:t>
            </w:r>
            <w:r w:rsidRPr="00447CF8">
              <w:t xml:space="preserve"> Izgl</w:t>
            </w:r>
            <w:r>
              <w:t>ītības attīstības pamatnostādnes</w:t>
            </w:r>
            <w:r w:rsidRPr="00447CF8">
              <w:t xml:space="preserve"> 2014.-2020.gadam</w:t>
            </w:r>
            <w:r>
              <w:t xml:space="preserve"> paredz, ka</w:t>
            </w:r>
            <w:r w:rsidR="00B41E51">
              <w:t xml:space="preserve"> </w:t>
            </w:r>
            <w:r w:rsidRPr="00447CF8">
              <w:t>augstākās izg</w:t>
            </w:r>
            <w:r w:rsidR="00B41E51">
              <w:t>lītības jomā tiks atbalstīta augstākās izglītības iestāžu</w:t>
            </w:r>
            <w:r w:rsidRPr="00447CF8">
              <w:t>, t.sk. koledžu, savs</w:t>
            </w:r>
            <w:r w:rsidR="00B41E51">
              <w:t>tarpējā sadarbība, veicināta augstākās izglītības iestāžu</w:t>
            </w:r>
            <w:r w:rsidRPr="00447CF8">
              <w:t xml:space="preserve"> resursu konsolidācija un studiju programmu ciešāka integrācija ar industriju. Tiek paredzēts atbalsts studiju programmu konsolidēšanai, veido</w:t>
            </w:r>
            <w:r w:rsidR="00B41E51">
              <w:t xml:space="preserve">jot kopīgas studiju </w:t>
            </w:r>
            <w:r w:rsidR="00E66F9D">
              <w:t>programmas.</w:t>
            </w:r>
            <w:r w:rsidR="00B41E51">
              <w:t xml:space="preserve"> Secināts, ka</w:t>
            </w:r>
            <w:r>
              <w:t xml:space="preserve"> </w:t>
            </w:r>
            <w:r w:rsidRPr="00B41E51" w:rsidR="00B41E51">
              <w:t>Latvijas augstākās izglītības si</w:t>
            </w:r>
            <w:r w:rsidR="00B41E51">
              <w:t>stēma ir pārlieku sadrumstalota un</w:t>
            </w:r>
            <w:r w:rsidRPr="00B41E51" w:rsidR="00B41E51">
              <w:t xml:space="preserve"> par to liecina studējošo skaitam un tā dinamikai neatbilstoši liels augstskolu un studiju programmu skaits. Laika posmā no 2006.gada līdz 2012.gadam, samazinoties studējošo skaitam par 27%, vienlaikus ir pieaudzis au</w:t>
            </w:r>
            <w:r w:rsidR="00B41E51">
              <w:t>gstākās izglītības iestāžu</w:t>
            </w:r>
            <w:r w:rsidRPr="00B41E51" w:rsidR="00B41E51">
              <w:t xml:space="preserve"> skaits</w:t>
            </w:r>
            <w:r w:rsidR="00B41E51">
              <w:t xml:space="preserve"> (kas pēdējo trīs gadu laikā ir samazinājies)</w:t>
            </w:r>
            <w:r w:rsidRPr="00B41E51" w:rsidR="00B41E51">
              <w:t>. 2006.gadā Lat</w:t>
            </w:r>
            <w:r w:rsidR="00B41E51">
              <w:t xml:space="preserve">vijā darbojās 54 akreditētas augstākās izglītības iestādes, 2012.gadā </w:t>
            </w:r>
            <w:r w:rsidR="00433F57">
              <w:t>–</w:t>
            </w:r>
            <w:r w:rsidR="00B41E51">
              <w:t xml:space="preserve"> 57 aug</w:t>
            </w:r>
            <w:r w:rsidR="0069554C">
              <w:t>stākās izglītības iestādes (2018</w:t>
            </w:r>
            <w:r w:rsidR="00B41E51">
              <w:t>.gadā – 5</w:t>
            </w:r>
            <w:r w:rsidR="0069554C">
              <w:t>2</w:t>
            </w:r>
            <w:r w:rsidR="00B41E51">
              <w:t xml:space="preserve"> augstākās izglītības iestādes un divas ārvalstu augstskolu filiāles)</w:t>
            </w:r>
            <w:r w:rsidRPr="00B41E51" w:rsidR="00B41E51">
              <w:t>.</w:t>
            </w:r>
            <w:r w:rsidR="00433F57">
              <w:t xml:space="preserve"> </w:t>
            </w:r>
            <w:r w:rsidRPr="00B41E51" w:rsidR="00B41E51">
              <w:t xml:space="preserve">Arī piedāvāto studiju programmu skaits 2012./2013.akadēmiskā gada sākumā bija ievērojami lielāks (912 </w:t>
            </w:r>
            <w:r w:rsidR="00B41E51">
              <w:t>studiju programmas</w:t>
            </w:r>
            <w:r w:rsidRPr="00B41E51" w:rsidR="00B41E51">
              <w:t xml:space="preserve">) nekā 2006./2007.akadēmiskā gada sākumā (616 </w:t>
            </w:r>
            <w:r w:rsidR="00B41E51">
              <w:t>studiju programmas)</w:t>
            </w:r>
            <w:r w:rsidR="00433F57">
              <w:t xml:space="preserve"> (2017./2018.akadēmiskā gada sākumā </w:t>
            </w:r>
            <w:r w:rsidRPr="00255B97" w:rsidR="00255B97">
              <w:t>930</w:t>
            </w:r>
            <w:r w:rsidRPr="00255B97" w:rsidR="00C51EFD">
              <w:t xml:space="preserve"> </w:t>
            </w:r>
            <w:r w:rsidRPr="00255B97" w:rsidR="00433F57">
              <w:t>studiju programmas</w:t>
            </w:r>
            <w:r w:rsidR="00433F57">
              <w:t>)</w:t>
            </w:r>
            <w:r w:rsidR="00B41E51">
              <w:t>.</w:t>
            </w:r>
            <w:r w:rsidRPr="00B41E51" w:rsidR="00B41E51">
              <w:t xml:space="preserve"> Tas liecina par augstākās izglītības resursu sadrumstalotību, kas mazina augstskolu iespējas kļūt konkurētspējīgām starptautiskā līmenī un nodrošināt kvalitatīvu izglītību. Līdzīgi ir arī studiju program</w:t>
            </w:r>
            <w:r w:rsidR="00B41E51">
              <w:t xml:space="preserve">mu ārējā </w:t>
            </w:r>
            <w:r w:rsidR="00B41E51">
              <w:t>izvērtējuma</w:t>
            </w:r>
            <w:r w:rsidR="00B41E51">
              <w:t xml:space="preserve"> secinājumi</w:t>
            </w:r>
            <w:r w:rsidRPr="00B41E51" w:rsidR="00B41E51">
              <w:t xml:space="preserve">, kuros uzsvērtas kvalitātes atšķirības studiju virziena ietvaros, t.sk. doktorantūras līmenī. Kā kopīgi trūkumi </w:t>
            </w:r>
            <w:r w:rsidRPr="00B41E51" w:rsidR="00B41E51">
              <w:t>izvērtējumā</w:t>
            </w:r>
            <w:r w:rsidRPr="00B41E51" w:rsidR="00B41E51">
              <w:t xml:space="preserve"> uzsvērti neskaidri definēti studiju rezultāti, </w:t>
            </w:r>
            <w:r w:rsidR="00AF1595">
              <w:t xml:space="preserve">studiju </w:t>
            </w:r>
            <w:r w:rsidRPr="00B41E51" w:rsidR="00B41E51">
              <w:t xml:space="preserve">programmu mērķi, novērojama </w:t>
            </w:r>
            <w:r w:rsidR="00AF1595">
              <w:t xml:space="preserve">studiju </w:t>
            </w:r>
            <w:r w:rsidRPr="00B41E51" w:rsidR="00B41E51">
              <w:t xml:space="preserve">programmu dublēšanās, nav attīstīta resursu koplietošana. Studējošo skaita straujam </w:t>
            </w:r>
            <w:r w:rsidR="0069554C">
              <w:t>samazinājumam</w:t>
            </w:r>
            <w:r w:rsidRPr="00B41E51" w:rsidR="00B41E51">
              <w:t xml:space="preserve"> neadekvāts ieguldījums mācībspēku un augstskolu infrastruktūras attīstībā ir radījis grūtības saglabāt piedāvātās izglītības kvalitāti. </w:t>
            </w:r>
            <w:r>
              <w:t>Līdz ar to a</w:t>
            </w:r>
            <w:r w:rsidRPr="00447CF8">
              <w:t xml:space="preserve">ugstākās izglītības politika ir vērsta uz resursu konsolidāciju un studiju programmu </w:t>
            </w:r>
            <w:r w:rsidR="00CD3227">
              <w:t>fragmentācijas mazināšanu.</w:t>
            </w:r>
          </w:p>
          <w:p w:rsidR="00D45A9E" w:rsidP="00817E2A">
            <w:pPr>
              <w:jc w:val="both"/>
            </w:pPr>
            <w:r>
              <w:t>Latvijas ilgtspējīgas attīstības stratēģija 2030.gadam</w:t>
            </w:r>
            <w:r w:rsidR="00B41E51">
              <w:t xml:space="preserve"> paredz, ka</w:t>
            </w:r>
            <w:r>
              <w:t xml:space="preserve"> kvalitatīva, visa mūž</w:t>
            </w:r>
            <w:r w:rsidRPr="00D45A9E">
              <w:t>a garumā pieejama un uz rado</w:t>
            </w:r>
            <w:r w:rsidR="00AF1595">
              <w:t>šumu orientēta izglītība ir 21.</w:t>
            </w:r>
            <w:r w:rsidRPr="00D45A9E">
              <w:t>gadsimta nepieciešamība – tā ļauj reaģēt uz globālās konkurences un demogrāfijas izaicinājumiem un ir viens no priekšnotei</w:t>
            </w:r>
            <w:r w:rsidR="00B41E51">
              <w:t>kumiem ekonomikas modeļa maiņai.</w:t>
            </w:r>
            <w:r w:rsidR="00AF1595">
              <w:t xml:space="preserve"> </w:t>
            </w:r>
            <w:r>
              <w:t>Izglītības attīstības pamatnostādnes 2014.-2020.gadam paredz, ka i</w:t>
            </w:r>
            <w:r w:rsidRPr="00D45A9E">
              <w:t xml:space="preserve">zglītības </w:t>
            </w:r>
            <w:r>
              <w:t xml:space="preserve">attīstības politikas </w:t>
            </w:r>
            <w:r>
              <w:t>virsmērķis</w:t>
            </w:r>
            <w:r>
              <w:t xml:space="preserve"> </w:t>
            </w:r>
            <w:r w:rsidRPr="00D45A9E">
              <w:t>ir kvalitatīva un iekļaujoša izglītība personības attīstībai, cilvēku labklājībai un ilgtspējīgai valsts izaugsmei</w:t>
            </w:r>
            <w:r>
              <w:t>.</w:t>
            </w:r>
            <w:r w:rsidR="003421FE">
              <w:t xml:space="preserve"> </w:t>
            </w:r>
            <w:r w:rsidRPr="003421FE" w:rsidR="003421FE">
              <w:t xml:space="preserve">Lai sasniegtu mērķi, ka 2020.gadā 15% no pieaugušajiem ir iesaistīti izglītībā, </w:t>
            </w:r>
            <w:r w:rsidRPr="003421FE" w:rsidR="003421FE">
              <w:t>nepieciešams paplašināt kvalitatīvu izglītības piedāvājumu, pilnveidot normatīvo regulējumu, kā arī nodrošināt efektīvu resursu (t.sk. finanšu) pārvaldi, izmantojot esošās infrastruktūras iespējas.</w:t>
            </w:r>
            <w:r w:rsidR="00AF1595">
              <w:t xml:space="preserve"> </w:t>
            </w:r>
            <w:r>
              <w:t>Konceptuālais dokuments “</w:t>
            </w:r>
            <w:r w:rsidRPr="00D45A9E">
              <w:t>Latvijas izaugsmes modelis: Cilvēks pirmajā vietā</w:t>
            </w:r>
            <w:r>
              <w:t xml:space="preserve">” (pieņemts Saeimā </w:t>
            </w:r>
            <w:r w:rsidRPr="00D45A9E">
              <w:t>2005.gada 26.oktobrī</w:t>
            </w:r>
            <w:r>
              <w:t xml:space="preserve">) paredz, ka </w:t>
            </w:r>
            <w:r w:rsidRPr="00D45A9E">
              <w:t xml:space="preserve">ikvienam garantēta iespēja iegūt vidējo izglītību un visiem nodrošināta kvalitatīvas augstākās un profesionālās izglītības iegūšanas iespēja, krasi palielināta augstākās kvalifikācijas speciālistu (maģistru un doktoru) sagatavošana, tehnisko zinību un </w:t>
            </w:r>
            <w:r w:rsidRPr="00D45A9E">
              <w:t>dabaszinību</w:t>
            </w:r>
            <w:r w:rsidRPr="00D45A9E">
              <w:t xml:space="preserve"> apgūšanas īpatsvara </w:t>
            </w:r>
            <w:bookmarkStart w:id="0" w:name="_GoBack"/>
            <w:bookmarkEnd w:id="0"/>
            <w:r w:rsidRPr="00D45A9E">
              <w:t>pieaugums visos izglītības sistēmas līmeņos</w:t>
            </w:r>
            <w:r>
              <w:t>.</w:t>
            </w:r>
            <w:r w:rsidR="00AF1595">
              <w:t xml:space="preserve"> Līdz ar to augstākās izglītības politika ir vērsta uz kvalitatīvas augstākās izglītības nodrošināšanu.</w:t>
            </w:r>
          </w:p>
          <w:p w:rsidR="00D576C4" w:rsidP="00817E2A">
            <w:pPr>
              <w:jc w:val="both"/>
            </w:pPr>
            <w:r>
              <w:t xml:space="preserve">Latvijas Nacionālās attīstības plāns 2014.-2020.gadam </w:t>
            </w:r>
            <w:r w:rsidRPr="00D576C4">
              <w:t>rīcības virziena “Attīstīta pētniecība, inovācija un augstākā izglītība” ietvaros nosaka uzdevumu</w:t>
            </w:r>
            <w:r>
              <w:t xml:space="preserve">, kas saistīta ar </w:t>
            </w:r>
            <w:r w:rsidRPr="00D576C4">
              <w:t>augstskolu un koledžu iekšēj</w:t>
            </w:r>
            <w:r>
              <w:t>ās kvalitātes sistēmas pilnveidi un</w:t>
            </w:r>
            <w:r w:rsidRPr="00D576C4">
              <w:t xml:space="preserve"> pārvaldības sist</w:t>
            </w:r>
            <w:r>
              <w:t>ēmas efektivitātes palielināšanu.</w:t>
            </w:r>
            <w:r w:rsidR="00796BE3">
              <w:t xml:space="preserve"> Līdz ar to augstākās izglītības politika ir vērsta uz augstskolu un koledžu iekšējās darbības pilnveides veicināšanu.</w:t>
            </w:r>
          </w:p>
          <w:p w:rsidR="00CD3227" w:rsidP="00817E2A">
            <w:pPr>
              <w:jc w:val="both"/>
            </w:pPr>
            <w:r>
              <w:t>Saskaņā ar Augstskolu likuma 1.panta 12.punktu studiju programmas licencēšana ir tiesību piešķiršana augstskolai, koledžai vai to filiālēm īstenot noteiktu studiju programmu. Augstskolu likuma 55.</w:t>
            </w:r>
            <w:r>
              <w:rPr>
                <w:vertAlign w:val="superscript"/>
              </w:rPr>
              <w:t>2</w:t>
            </w:r>
            <w:r>
              <w:t>panta pirmās daļas pirmais teikums nosaka, ka ikvienas studiju programmas īstenošanai jāsaņem licence, un pēdējais teikums nosaka, ka gada laikā pēc studiju programmas licencēšanas augstskola vai koledža sāk īstenot attiecīgo studiju programmu. Vienlaikus Augstskolu likuma 55.</w:t>
            </w:r>
            <w:r>
              <w:rPr>
                <w:vertAlign w:val="superscript"/>
              </w:rPr>
              <w:t>2</w:t>
            </w:r>
            <w:r>
              <w:t>panta sestās daļas 2.punkts paredz, ka par studiju programmas licences anulēšanu lemj, ja augstskola vai koledža gada laikā pēc licences saņemšanas nav sākusi īstenot licencēto studiju programmu. Līdz ar to secināms, ka studiju programmas licencēšana dod tiesības augstskolai vai koledžai gada laikā pēc studiju programmas licencēšanas uzsākt studiju programmas īstenošanu. Termiņš licencētas studiju programmas īstenošanas uzsākšanai noteikts ar mērķi, lai studiju programma pēc tās sākotnējās kvalitātes pārbaudes tiktu tāda arī īstenot</w:t>
            </w:r>
            <w:r w:rsidR="003E37A7">
              <w:t>a</w:t>
            </w:r>
            <w:r>
              <w:t>, ņemot vērā to, ka jo ilgāks laiks paiet, kop</w:t>
            </w:r>
            <w:r w:rsidR="00AF1595">
              <w:t>š studiju programmas licencēšanas</w:t>
            </w:r>
            <w:r>
              <w:t>, jo lielākas izmaiņas tajā var notikt. Līdz ar to ministrija secina, ka studiju programmas licencēšanai noteikto prasību mērķis, ir nodrošināt, ka tiek uzsākta kvalitatīvas studiju programmas īstenošana un līdz ar to atbilstošas izglītības ieguve studējošajiem.</w:t>
            </w:r>
            <w:r w:rsidR="00AF1595">
              <w:t xml:space="preserve"> Tas jo īpaši būtiski ir tāpēc, ka studiju programmas parasti tiek licencētas jau akreditētos studiju virzienos.</w:t>
            </w:r>
          </w:p>
          <w:p w:rsidR="003A1241" w:rsidRPr="00C01FDF" w:rsidP="00817E2A">
            <w:pPr>
              <w:jc w:val="both"/>
            </w:pPr>
            <w:r>
              <w:t xml:space="preserve">Augstskolu likuma 1.panta 16.punkts nosaka, ka studiju virziena akreditācija ir pārbaude nolūkā noteikt augstskolas </w:t>
            </w:r>
            <w:r>
              <w:t xml:space="preserve">vai koledžas resursu kvalitāti un spēju atbilstoši normatīvo aktu prasībām īstenot noteiktam studiju virzienam atbilstošu studiju programmu. No minētā izriet, ka </w:t>
            </w:r>
            <w:r w:rsidR="00B52A21">
              <w:t>studiju virziena akreditācijas ietvaros tiek pārbaudītas tam atbilstošās studiju programmas un to īstenošanas kvalitāte. Taču akreditācijas termiņš visām studiju programmām ir vienāds, proti, tāds, kāds attiecīgajam studiju virzienam, lai gan pie studiju virziena akreditācijas var secināt, ka augstskolas vai koledžas resursu kvalitāte un spēja atbilstoši normatīvo aktu prasībām īstenot konkrētajam studiju virzienam atbilstošās studiju programmas var būt atšķirīga attiecīb</w:t>
            </w:r>
            <w:r w:rsidR="00C01FDF">
              <w:t>ā</w:t>
            </w:r>
            <w:r w:rsidR="00B52A21">
              <w:t xml:space="preserve"> uz katru studiju virzienā ietilpstošo studiju programmu.</w:t>
            </w:r>
            <w:r w:rsidR="00C01FDF">
              <w:t xml:space="preserve"> Augstskolu likuma 55.</w:t>
            </w:r>
            <w:r w:rsidR="00C01FDF">
              <w:rPr>
                <w:vertAlign w:val="superscript"/>
              </w:rPr>
              <w:t>3</w:t>
            </w:r>
            <w:r w:rsidR="00C01FDF">
              <w:t xml:space="preserve">panta trešās daļas trešais un ceturtais teikums paredz, ka augstskolai vai koledžai var ierosināt slēgt atsevišķu uz diviem gadiem akreditētam studiju virzienam atbilstošu studiju programmu vai </w:t>
            </w:r>
            <w:r>
              <w:t>šādai studiju programmai var anulēt studiju programmas licenci. Proti, ir paredzēts mehānisms tādu studiju programmu slēgšanai vai studiju programmas licences anulēšanai, kura neatbilst normatīvo aktu prasībām vai resursi nav atbilstoši tās īstenošanas nosacījumiem, taču šādi gadījumi līdz šim nav bijuši.</w:t>
            </w:r>
            <w:r w:rsidR="00AF1595">
              <w:t xml:space="preserve"> No kā secināms, ka augstskolas un koledžas ne tik kvalitatīvu studiju programmu īstenošanas gadījumā neizvērtē iespēju tās slēgt vai lūgt tām anulēt studiju</w:t>
            </w:r>
            <w:r w:rsidR="003E37A7">
              <w:t xml:space="preserve"> programmu licences, jo tās</w:t>
            </w:r>
            <w:r w:rsidR="00AF1595">
              <w:t xml:space="preserve"> ir akreditētas, jo akreditēts studiju virziens, kuram tās atbilst.</w:t>
            </w:r>
          </w:p>
          <w:p w:rsidR="00B52A21" w:rsidP="00817E2A">
            <w:pPr>
              <w:jc w:val="both"/>
            </w:pPr>
            <w:r>
              <w:t>Augstskolu likuma 55.</w:t>
            </w:r>
            <w:r>
              <w:rPr>
                <w:vertAlign w:val="superscript"/>
              </w:rPr>
              <w:t>3</w:t>
            </w:r>
            <w:r>
              <w:t>panta piektā daļa nosaka gadījumus, kuros var pieņemt lēmumu par atteikumu akreditēt studiju virzienu, kur 2., 3.un 4.punkts paredz iespēju atteikt akreditēt studiju virzienu, ja tam atbilstošās studiju programmas vai studiju programma neatbilst normatīvo aktu prasībām, ja resursi neatbilst tam atbilstošās studiju programmas vai studiju programmu īstenošanas nosacīju</w:t>
            </w:r>
            <w:r w:rsidR="00AF1595">
              <w:t>miem</w:t>
            </w:r>
            <w:r>
              <w:t xml:space="preserve"> vai ja studiju programmas maģistra vai doktora grāda iegūšanai nav balstītas uz attiecīgās zinātņu nozares sasniegumiem un atziņām. No minētā izriet, ka katras atsevišķas studiju programmas īstenošanas kvalitāte ir jāvērtē atsevišķi, lai varētu izvērtēt, vai nav pamats atteikt akreditēt studiju virzienu atbilstoši Augstskolu likuma 55.</w:t>
            </w:r>
            <w:r>
              <w:rPr>
                <w:vertAlign w:val="superscript"/>
              </w:rPr>
              <w:t>3</w:t>
            </w:r>
            <w:r>
              <w:t>panta piektās daļas 2., 3.un 4.punktā noteiktajam.</w:t>
            </w:r>
          </w:p>
          <w:p w:rsidR="003A1241" w:rsidRPr="003A1241" w:rsidP="00817E2A">
            <w:pPr>
              <w:jc w:val="both"/>
            </w:pPr>
            <w:r>
              <w:t>Ņemot vērā to, ka tiek akreditēts studiju virziens, nevis studiju programma, jebkura studiju programma, kas tiek licencēta pēc studiju virziena akreditācijas, tiek iekļauta akreditētā studiju virzienā. Augstskolu likuma 55.</w:t>
            </w:r>
            <w:r>
              <w:rPr>
                <w:vertAlign w:val="superscript"/>
              </w:rPr>
              <w:t>3</w:t>
            </w:r>
            <w:r>
              <w:t>panta pirmā daļa nosaka, ka augstskolas vai koledžas studiju virziens akreditējams divu gadu laikā pēc tam, kad uzsākta pirmās šim studiju virzienam atbilstošā</w:t>
            </w:r>
            <w:r w:rsidR="001E2FBF">
              <w:t>s studiju programmas īstenošana</w:t>
            </w:r>
            <w:r>
              <w:t xml:space="preserve">. Šāda nosacījuma noteikšana varētu likt domāt, ka tā mērķis ir nepieļaut, ka tikko licencētā studiju </w:t>
            </w:r>
            <w:r>
              <w:t>programmā studē studējošie, kas pēc studiju programmu apguves var nesaņemt valsts atzītu diplomu. Taču tādā gadījumā netiek ņemts vērā, ka studiju programmas ilgums var būt arī viens gads. Līdz ar to mērķis</w:t>
            </w:r>
            <w:r w:rsidR="00C91A72">
              <w:t>, nosakot termiņu, kādā akreditējams studiju virziens, ir bijis nodrošināt pārbaudi, vai studiju virzienam atbilstošās studiju programmas tiek īstenotas kvalitatīvi, jo ir kritēriji, kurus studiju programmas licencēšanā pārbaudīt nevar, bet studiju programmas (studiju virziena) akreditācijā pārbaudīt var.</w:t>
            </w:r>
            <w:r w:rsidR="001E2FBF">
              <w:t xml:space="preserve"> Tādējādi tiek radīti draudi studiju programmas īstenošanas kvalitātei, ja studiju programma tiek licencēta akreditētā studiju virzienā un tās īstenošanas kvalitātes pārbaude tiek veikta tikai pēc trīs vai četriem gadiem, ja studiju virziens ir bijis akreditēts uz sešiem gadiem.</w:t>
            </w:r>
          </w:p>
          <w:p w:rsidR="00CD3227" w:rsidP="00817E2A">
            <w:pPr>
              <w:jc w:val="both"/>
            </w:pPr>
            <w:r w:rsidRPr="00E66F9D">
              <w:t>Ministrijas ieskatā studiju virzienu akreditācijas ieviešanas mērķis bija</w:t>
            </w:r>
            <w:r>
              <w:t xml:space="preserve"> ļaut augstskolām un koledžām resursus koncentrēt studiju virzienos, nevis studiju programmās, ņemot vērā to, ka resursi pa studiju programmām var pārklāties. Taču </w:t>
            </w:r>
            <w:r w:rsidR="00471C17">
              <w:t>izpratnes par to, kā šo iedzīvināt, neradot draudus studiju programmu īstenošanas kvalitātei</w:t>
            </w:r>
            <w:r w:rsidR="003E37A7">
              <w:t>, vēl aizvien nav. Līdz ar to ministrija ir izvērtējusi</w:t>
            </w:r>
            <w:r w:rsidR="00471C17">
              <w:t>, vai pieturēties pie esošās sistēmas, studiju programmu novērtēšanas, bet nosakot, ka akreditācija ir katrai atsevišķai studiju programmai, vai palikt pie studiju virzienu akreditācijas, mainot studiju virzienu akreditācijas pieeju.</w:t>
            </w:r>
            <w:r w:rsidR="00964829">
              <w:t xml:space="preserve"> Šobrīd studiju virziens pilda organizatoriskas vienības funkciju, jo studiju programmas tiek organizētas studiju virzienos.</w:t>
            </w:r>
            <w:r w:rsidR="00433F57">
              <w:t xml:space="preserve"> Lai gan lielākās augstskolās ir iespējams, ka vienā struktūrvienībā tiek īstenotas dažādiem studiju virzieniem atbilstošas studiju programmas, vai arī gluži pretēji dažādās struktūrvienībās tiek īstenotas vienam studiju virzienam atbilstošas studiju programmas.</w:t>
            </w:r>
          </w:p>
          <w:p w:rsidR="001E2FBF" w:rsidP="00817E2A">
            <w:pPr>
              <w:jc w:val="both"/>
            </w:pPr>
            <w:r>
              <w:t xml:space="preserve">Akadēmiskās informācijas centrs ir iesniedzis dokumentus, lai tiktu novērtēta tā atbilstība Eiropas standartiem un vadlīnijām kvalitātes nodrošināšanai Eiropas augstākās izglītības telpā, kam sekotu iestāšanās Eiropas Asociācijā kvalitātes nodrošināšanai augstākajā izglītībā un reģistrācija Eiropas augstākās izglītības kvalitātes nodrošināšanas reģistrā. Lai tiktu novērtēta Akadēmiskās informācijas centra atbilstība, bija nepieciešams, ka Akadēmiskās informācijas centram ir pieredze </w:t>
            </w:r>
            <w:r w:rsidR="00A034B4">
              <w:t xml:space="preserve">augstākās izglītības ārējās kvalitātes novērtēšanā atbilstoši Latvijas augstākās izglītības kvalitātes nodrošināšanas sistēmai. Akadēmiskās informācijas centrs ir veicis </w:t>
            </w:r>
            <w:r w:rsidR="00A034B4">
              <w:t>pilotakreditācijas</w:t>
            </w:r>
            <w:r w:rsidR="00A034B4">
              <w:t xml:space="preserve"> un studiju virzienu kārtējās akreditācijas ietvaros nepieciešamo novērtēšanu. Līdz ar to Akadēmiskās informācijas centram ir pieredze studiju virzienu novērtēšanas veikšanā, kas pēc būtības, ņemot vērā iepriekš aprakstīto</w:t>
            </w:r>
            <w:r w:rsidR="003E37A7">
              <w:t>,</w:t>
            </w:r>
            <w:r w:rsidR="00A034B4">
              <w:t xml:space="preserve"> ir studiju programmu novērtēšana, lai gan lēmums tiek pieņemts par </w:t>
            </w:r>
            <w:r w:rsidR="00A034B4">
              <w:t xml:space="preserve">studiju programmu kopumu, tas ir, studiju virzienu. Ņemot vērā minēto, </w:t>
            </w:r>
            <w:r w:rsidRPr="00E66F9D" w:rsidR="00A034B4">
              <w:t xml:space="preserve">ministrija </w:t>
            </w:r>
            <w:r w:rsidR="00E66F9D">
              <w:t xml:space="preserve">virza priekšlikumus nostiprināt studiju </w:t>
            </w:r>
            <w:r w:rsidR="003E37A7">
              <w:t xml:space="preserve">programmu </w:t>
            </w:r>
            <w:r w:rsidR="00E66F9D">
              <w:t>akreditāciju, jo</w:t>
            </w:r>
            <w:r w:rsidR="00A034B4">
              <w:t xml:space="preserve"> mainīt studiju virzienu akreditācijas pieeju nav atbilstošākais risinājums.</w:t>
            </w:r>
            <w:r w:rsidR="00DD3A66">
              <w:t xml:space="preserve"> Tā kā vēl aizvien nav izpratnes par studiju virzienu, jo novērtējums tiek veikts arī studiju programmu līmenī un pamats atteikt akreditēt studiju virzienu arī ir vērtējams no studiju programmu novērtējuma, ir secināms, ka, lai veicinātu studiju programmu kvalitāti un mudinātu augstskolas un koledžas īstenot tikai tautsaimniecības attīstībai nepieciešamās studiju programmas, ir nepieciešams pieņemt lēmumu par akreditāciju attiecībā uz katru augstskolu un koledžu īstenoto studiju programmu.</w:t>
            </w:r>
          </w:p>
          <w:p w:rsidR="001E2FBF" w:rsidP="00817E2A">
            <w:pPr>
              <w:jc w:val="both"/>
            </w:pPr>
            <w:r>
              <w:t>Augstskolu likuma 1.panta 3.punkts nosaka, ka augstskolas vai koledžas akreditācija ir augstskolas vai koledžas darba organizācijas un resursu kvalitātes pārbau</w:t>
            </w:r>
            <w:r w:rsidR="00E66F9D">
              <w:t xml:space="preserve">de, kuras rezultātā tai piešķir </w:t>
            </w:r>
            <w:r>
              <w:t xml:space="preserve">atzītas augstskolas vai koledžas statusu. No Augstskolu likuma 9.panta un Ministru kabineta 2015.gada 14.jūlija noteikumiem Nr.407 “Augstskolu, koledžu un studiju virzienu akreditācijas noteikumi” izriet, ka augstskolu un koledžu akreditācija </w:t>
            </w:r>
            <w:r w:rsidR="00E66F9D">
              <w:t>ir beztermiņa</w:t>
            </w:r>
            <w:r>
              <w:t>. Eiropas augstākās izglītības telpā ir novērojama tendence, ka augstākās izglītības iestāžu novērtēšana ir ciklisks process, vienlaikus Eiropas augstākās izglītības telpā ir novērojama tendence pāriet uz augstākās izglītības iestāžu akreditāciju kā vienīgo ārējās kvalitātes novērtēšanas mehānismu. Ņemot vērā ministrijas pēdējo gadu pieredzi, ir secināms, ka augstskolu un koledžu darba organizācijas un resursu kvalitātes pārbaudes cikliskuma trūkuma dēļ</w:t>
            </w:r>
            <w:r w:rsidR="00080C45">
              <w:t xml:space="preserve"> ir novēloti konstatēts, ka augstskolas vai koledžas darbojas neatbilstoši normatīvo aktu prasībām. Ministrija 2014.gadā ir pieņēmusi lēmumu par augstskolas akreditācijas anulēšanu sabiedrībai ar ierobežotu atbildību “Vadības un sociālā darba augstskola “Attīstība”” un 2016.gadā – lēmumu par koledžas ārkārtas akreditācijas ierosināšanu sabiedrībai ar ierobežotu atbildību “Latvijas biznesa koledža”. Ministrija 2016.un 2017.gadā ir nodrošinājusi sabiedrības ar ierobežotu atbildību “Sociālo tehnoloģiju augstskola” un sabiedrības ar ierobežotu atbildību “Starptautiskā praktiskās psiholoģijas augstskola” izslēgšanu no Augstskolu reģistra, bet tas notika tikai tad, kad augstskolas savu darbību jau bija beigušas. Minēto augstākās izglītības iestāžu darba organizācijas un resursu kvalitātes neatbilstību normatīvo aktu prasībām būtu bijis iespējams konstatēt ātrāk, ja tiktu veikta augstskolu un koledžu cikliska akreditācija, jo to nav iespējams konstatēt studiju virzienu akreditācijā. </w:t>
            </w:r>
            <w:r w:rsidR="00D576C4">
              <w:t xml:space="preserve">Augstskolu un koledžu akreditācijā tiek novērtēta augstskolu un koledžu iekšējās kvalitātes nodrošināšanas sistēmas efektivitāte un augstskolas un koledžas darba organizācijas/pārvaldības </w:t>
            </w:r>
            <w:r w:rsidR="00D576C4">
              <w:t xml:space="preserve">sistēmas efektivitāte. Saskaņā ar šobrīd esošo regulējumu tas tiek pārbaudīts tikai vienu reizi un tikko darbu uzsākušai augstskolai vai koledžai tā var nebūt izveidojusies pilnībā. </w:t>
            </w:r>
            <w:r w:rsidR="00080C45">
              <w:t>Līdz ar to sekojot Eiropas augstākās izglītības telpā esošajām tendencēm ir nepieciešams uzsākt augstskolu un koledžu ciklisku akreditāciju un nākotnē jau būtu iespējams diskutēt par pāreju tikai uz augstākās izglītības iestāžu akreditāciju.</w:t>
            </w:r>
          </w:p>
          <w:p w:rsidR="00300BC2" w:rsidP="00817E2A">
            <w:pPr>
              <w:jc w:val="both"/>
            </w:pPr>
            <w:r>
              <w:t xml:space="preserve">Ministrija, izvērtējot </w:t>
            </w:r>
            <w:r w:rsidRPr="00471C17">
              <w:t>augstākās izglītības ārējās kvalitātes nodrošināšanas sistēmas atbilstību augstākās izglītības stratēģisko mērķu sasniegšanai</w:t>
            </w:r>
            <w:r>
              <w:t>, secinājusi, ka nepieciešams turpināt studiju programmu novērtēšanu, līdz ar to paredzot, ka tiek pieņemts lēmums par katru studiju programmu atsevišķi</w:t>
            </w:r>
            <w:r w:rsidR="00C97921">
              <w:t>, un nākotnē uzsākt augstskolu un koledžu akreditāciju</w:t>
            </w:r>
            <w:r>
              <w:t xml:space="preserve">. Katras atsevišķas studiju programmas akreditācija dos stimulu augstskolām un koledžām izvērtēt, vai turpināt īstenot un iesniegt akreditācijai visas to līdz šim īstenotās studiju programmas, </w:t>
            </w:r>
            <w:r w:rsidR="00E7502F">
              <w:t xml:space="preserve">kā arī izvērtēt iespēju </w:t>
            </w:r>
            <w:r>
              <w:t>konsolidēt studiju programmas. Augstskolas un koledžas tādā veidā tiks stimulētas veidot kopīgas studiju programmas, konsolidējot resursus. Kopīgu studiju programmu akreditāciju plānots paredzēt kā vienotu procesu visās kopīgo studiju programmu īstenojošajās augstskolās, līdz ar to šādu studiju programmu akreditācija augstskolām un koledžām būs finansiāli izdevīgāka.</w:t>
            </w:r>
            <w:r w:rsidR="00026AD2">
              <w:t xml:space="preserve"> Studiju programmu fragmentācijas mazināšana un resursu konsolidācija ir ļoti būti</w:t>
            </w:r>
            <w:r w:rsidR="00255B97">
              <w:t>ska, ņemot vērā to, ka kopš 2013.gada</w:t>
            </w:r>
            <w:r w:rsidR="00026AD2">
              <w:t xml:space="preserve"> ir </w:t>
            </w:r>
            <w:r w:rsidR="00903622">
              <w:t>licencēta 91 jauna studiju programma</w:t>
            </w:r>
            <w:r w:rsidRPr="00F01214" w:rsidR="00F01214">
              <w:t>, no tām 18 kopīgas studiju programmas</w:t>
            </w:r>
            <w:r w:rsidRPr="00F01214" w:rsidR="00026AD2">
              <w:t xml:space="preserve">, savukārt </w:t>
            </w:r>
            <w:r w:rsidRPr="00F01214" w:rsidR="00F01214">
              <w:t xml:space="preserve">atteikts licencēt piecas studiju programmas (jo netika atvērts atbilstošais studiju virziens) un anulētas </w:t>
            </w:r>
            <w:r w:rsidRPr="00F01214" w:rsidR="00026AD2">
              <w:t>studij</w:t>
            </w:r>
            <w:r w:rsidRPr="00F01214" w:rsidR="00F01214">
              <w:t>u programmu licences 33 studiju programmām (18</w:t>
            </w:r>
            <w:r w:rsidRPr="00F01214" w:rsidR="00026AD2">
              <w:t xml:space="preserve"> no tām</w:t>
            </w:r>
            <w:r w:rsidRPr="00F01214" w:rsidR="00F01214">
              <w:t xml:space="preserve"> anulētas</w:t>
            </w:r>
            <w:r w:rsidRPr="00F01214" w:rsidR="00026AD2">
              <w:t>, jo attiecīgā augstskola bija pārtraukusi savu darbību).</w:t>
            </w:r>
            <w:r w:rsidR="00384B7E">
              <w:t xml:space="preserve"> No augstskolu un koledžu tendences licencēt jaunas studiju programmas, neslēdzot līdz šim īstenotās studiju programmas, secināms, ka studiju virzienu akreditācija nemotivē augstskolas un koledžas samazināt studiju programmu fragmentāciju un konsolidēt resursus.</w:t>
            </w:r>
            <w:r w:rsidR="00492AE9">
              <w:t xml:space="preserve"> Līdz ar to ministrija redz, ka risinājums varētu būt paredzēt, ka akreditēta tiek katra studiju programma.</w:t>
            </w:r>
            <w:r w:rsidR="00741AFC">
              <w:t xml:space="preserve"> Katras studiju programmas akreditācija un resursu konsolidācija spēs nodrošināt arī augstāku studiju programmu kvalitāti, ņemot vērā to, ka studiju virziena ietvaros uz sešiem vai diviem gadiem var tikt akreditētas dažādas kvalitātes studiju programmas.</w:t>
            </w:r>
          </w:p>
          <w:p w:rsidR="00471C17" w:rsidP="00817E2A">
            <w:pPr>
              <w:jc w:val="both"/>
            </w:pPr>
            <w:r>
              <w:t>Ņemot vērā to, ka ministrija bija izstrādājusi un Ministru kabinets 2017.gada 8.augusta sēdē (protokols Nr.</w:t>
            </w:r>
            <w:r w:rsidR="00C01FDF">
              <w:t xml:space="preserve">38 20.§) pieņēmis likumprojektu “Grozījumi Augstskolu likumā” saistībā ar studiju virzienu atvēršanu un studiju virzienu novērtēšanas veikšanu jebkurā Eiropas augstākās izglītības </w:t>
            </w:r>
            <w:r w:rsidR="00C01FDF">
              <w:t>kvalitātes nodrošināšanas reģistrā iekļautā kva</w:t>
            </w:r>
            <w:r w:rsidR="00741AFC">
              <w:t>litātes nodrošināšanas aģentūrā.</w:t>
            </w:r>
            <w:r w:rsidR="00C01FDF">
              <w:t xml:space="preserve"> </w:t>
            </w:r>
            <w:r w:rsidR="00741AFC">
              <w:t>M</w:t>
            </w:r>
            <w:r w:rsidR="00C01FDF">
              <w:t>inistrija sagatavoja priekšlikumus likumprojektam “Grozījumi Augstskolu likumā” (Nr.998/</w:t>
            </w:r>
            <w:r w:rsidR="00C01FDF">
              <w:t>Lp</w:t>
            </w:r>
            <w:r w:rsidR="00C01FDF">
              <w:t>), paredzot, ka jebkurā Eiropas augstākās izglītības kvalitātes nodrošināšanas reģistrā iekļautā kvalitātes nodrošināšanas aģentūrā varēs veikt studiju programmu novērtēšanu</w:t>
            </w:r>
            <w:r w:rsidR="00C97921">
              <w:t xml:space="preserve"> un ka ar 2023.gadu tiks uzsākta augstskolu un koledžu akreditācija</w:t>
            </w:r>
            <w:r w:rsidR="00C01FDF">
              <w:t>. Priekšlikumus ministrija iesniedza Saeimas Izglītības, kultūras un zinātnes komisijā 2017.gada 9.novembrī. Ja Saeimā tiks pieņemti ministrijas priekšlikumi, ministrija atbilstoši priekšlikumos paredzētājam izstrādās jaunus Ministru kabineta noteikumus par augstsk</w:t>
            </w:r>
            <w:r w:rsidR="00E66F9D">
              <w:t>olu, koledžu un studiju programmu</w:t>
            </w:r>
            <w:r w:rsidR="00C01FDF">
              <w:t xml:space="preserve"> akreditāciju.</w:t>
            </w:r>
          </w:p>
          <w:p w:rsidR="00B41E51" w:rsidRPr="00B52A21" w:rsidP="00817E2A">
            <w:pPr>
              <w:jc w:val="both"/>
            </w:pPr>
            <w:r>
              <w:t xml:space="preserve">Ministrijas vērtējumā, lai nodrošinātu augstākās izglītības kvalitāti, resursu konsolidāciju un studiju programmu fragmentācijas samazināšanos ir nepieciešams </w:t>
            </w:r>
            <w:r w:rsidR="00E66F9D">
              <w:t>akreditēt studiju programmas</w:t>
            </w:r>
            <w:r>
              <w:t xml:space="preserve"> un uzsākt augstskolu un koledžu akreditāciju.</w:t>
            </w:r>
          </w:p>
          <w:p w:rsidR="00817E2A" w:rsidRPr="00817E2A" w:rsidP="00817E2A">
            <w:pPr>
              <w:jc w:val="both"/>
            </w:pPr>
            <w:r w:rsidRPr="00817E2A">
              <w:t xml:space="preserve">Ņemot vērā minēto, ministrija lūdz pagarināt Ministru kabineta 2015.gada 14.jūlija sēdes </w:t>
            </w:r>
            <w:r w:rsidRPr="00817E2A">
              <w:t>protokollēmuma</w:t>
            </w:r>
            <w:r w:rsidRPr="00817E2A">
              <w:t xml:space="preserve"> (prot. Nr.34 37.§) 3.punktā dotā uzdevuma </w:t>
            </w:r>
            <w:r>
              <w:t>izpildes termiņu līdz 2018</w:t>
            </w:r>
            <w:r w:rsidRPr="00817E2A">
              <w:t>.gada 1.jūlijam.</w:t>
            </w:r>
          </w:p>
        </w:tc>
      </w:tr>
      <w:tr w:rsidTr="00BB0145">
        <w:tblPrEx>
          <w:tblW w:w="5000" w:type="pct"/>
          <w:tblCellMar>
            <w:top w:w="30" w:type="dxa"/>
            <w:left w:w="30" w:type="dxa"/>
            <w:bottom w:w="30" w:type="dxa"/>
            <w:right w:w="30" w:type="dxa"/>
          </w:tblCellMar>
          <w:tblLook w:val="04A0"/>
        </w:tblPrEx>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817E2A" w:rsidRPr="00817E2A" w:rsidP="00817E2A">
            <w:pPr>
              <w:spacing w:before="100" w:beforeAutospacing="1" w:after="100" w:afterAutospacing="1" w:line="293" w:lineRule="atLeast"/>
              <w:jc w:val="center"/>
            </w:pPr>
            <w:r w:rsidRPr="00817E2A">
              <w:t>3.</w:t>
            </w:r>
          </w:p>
        </w:tc>
        <w:tc>
          <w:tcPr>
            <w:tcW w:w="1550" w:type="pct"/>
            <w:tcBorders>
              <w:top w:val="outset" w:sz="6" w:space="0" w:color="414142"/>
              <w:left w:val="outset" w:sz="6" w:space="0" w:color="414142"/>
              <w:bottom w:val="outset" w:sz="6" w:space="0" w:color="414142"/>
              <w:right w:val="outset" w:sz="6" w:space="0" w:color="414142"/>
            </w:tcBorders>
            <w:hideMark/>
          </w:tcPr>
          <w:p w:rsidR="00817E2A" w:rsidRPr="00817E2A" w:rsidP="00817E2A">
            <w:r w:rsidRPr="00817E2A">
              <w:t>Projekta izstrādē iesaistītās institūcijas</w:t>
            </w:r>
            <w:r w:rsidR="00741AFC">
              <w:t xml:space="preserve"> un publiskas personas kapitālsabiedrības</w:t>
            </w:r>
          </w:p>
        </w:tc>
        <w:tc>
          <w:tcPr>
            <w:tcW w:w="3201" w:type="pct"/>
            <w:tcBorders>
              <w:top w:val="outset" w:sz="6" w:space="0" w:color="414142"/>
              <w:left w:val="outset" w:sz="6" w:space="0" w:color="414142"/>
              <w:bottom w:val="outset" w:sz="6" w:space="0" w:color="414142"/>
              <w:right w:val="outset" w:sz="6" w:space="0" w:color="414142"/>
            </w:tcBorders>
          </w:tcPr>
          <w:p w:rsidR="00817E2A" w:rsidRPr="00817E2A" w:rsidP="00817E2A">
            <w:pPr>
              <w:jc w:val="both"/>
            </w:pPr>
            <w:r w:rsidRPr="00817E2A">
              <w:t>Izglītības un zinātnes ministrija.</w:t>
            </w:r>
          </w:p>
        </w:tc>
      </w:tr>
      <w:tr w:rsidTr="00BB0145">
        <w:tblPrEx>
          <w:tblW w:w="5000" w:type="pct"/>
          <w:tblCellMar>
            <w:top w:w="30" w:type="dxa"/>
            <w:left w:w="30" w:type="dxa"/>
            <w:bottom w:w="30" w:type="dxa"/>
            <w:right w:w="30" w:type="dxa"/>
          </w:tblCellMar>
          <w:tblLook w:val="04A0"/>
        </w:tblPrEx>
        <w:tc>
          <w:tcPr>
            <w:tcW w:w="249" w:type="pct"/>
            <w:tcBorders>
              <w:top w:val="outset" w:sz="6" w:space="0" w:color="414142"/>
              <w:left w:val="outset" w:sz="6" w:space="0" w:color="414142"/>
              <w:bottom w:val="outset" w:sz="6" w:space="0" w:color="414142"/>
              <w:right w:val="outset" w:sz="6" w:space="0" w:color="414142"/>
            </w:tcBorders>
            <w:hideMark/>
          </w:tcPr>
          <w:p w:rsidR="00817E2A" w:rsidRPr="00817E2A" w:rsidP="00817E2A">
            <w:pPr>
              <w:spacing w:before="100" w:beforeAutospacing="1" w:after="100" w:afterAutospacing="1" w:line="293" w:lineRule="atLeast"/>
              <w:jc w:val="center"/>
            </w:pPr>
            <w:r w:rsidRPr="00817E2A">
              <w:t>4.</w:t>
            </w:r>
          </w:p>
        </w:tc>
        <w:tc>
          <w:tcPr>
            <w:tcW w:w="1550" w:type="pct"/>
            <w:tcBorders>
              <w:top w:val="outset" w:sz="6" w:space="0" w:color="414142"/>
              <w:left w:val="outset" w:sz="6" w:space="0" w:color="414142"/>
              <w:bottom w:val="outset" w:sz="6" w:space="0" w:color="414142"/>
              <w:right w:val="outset" w:sz="6" w:space="0" w:color="414142"/>
            </w:tcBorders>
            <w:hideMark/>
          </w:tcPr>
          <w:p w:rsidR="00817E2A" w:rsidRPr="00817E2A" w:rsidP="00817E2A">
            <w:r w:rsidRPr="00817E2A">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817E2A" w:rsidRPr="00817E2A" w:rsidP="00817E2A">
            <w:pPr>
              <w:spacing w:before="100" w:beforeAutospacing="1" w:after="100" w:afterAutospacing="1" w:line="293" w:lineRule="atLeast"/>
            </w:pPr>
            <w:r w:rsidRPr="00817E2A">
              <w:t>Nav.</w:t>
            </w:r>
          </w:p>
        </w:tc>
      </w:tr>
    </w:tbl>
    <w:p w:rsidR="00817E2A" w:rsidRPr="00817E2A" w:rsidP="00817E2A">
      <w:pPr>
        <w:spacing w:after="200" w:line="276" w:lineRule="auto"/>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9055"/>
      </w:tblGrid>
      <w:tr w:rsidTr="00BB0145">
        <w:tblPrEx>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817E2A" w:rsidRPr="00817E2A" w:rsidP="00817E2A">
            <w:pPr>
              <w:spacing w:before="100" w:beforeAutospacing="1" w:after="100" w:afterAutospacing="1" w:line="293" w:lineRule="atLeast"/>
              <w:jc w:val="center"/>
              <w:rPr>
                <w:b/>
                <w:bCs/>
              </w:rPr>
            </w:pPr>
            <w:r w:rsidRPr="00817E2A">
              <w:t> </w:t>
            </w:r>
            <w:r w:rsidRPr="00817E2A">
              <w:rPr>
                <w:b/>
                <w:bCs/>
              </w:rPr>
              <w:t>II. Tiesību akta projekta ietekme uz sabiedrību, tautsaimniecības attīstību un administratīvo slogu</w:t>
            </w:r>
          </w:p>
        </w:tc>
      </w:tr>
      <w:tr w:rsidTr="00BB0145">
        <w:tblPrEx>
          <w:tblW w:w="5000" w:type="pct"/>
          <w:tblCellMar>
            <w:top w:w="30" w:type="dxa"/>
            <w:left w:w="30" w:type="dxa"/>
            <w:bottom w:w="30" w:type="dxa"/>
            <w:right w:w="30" w:type="dxa"/>
          </w:tblCellMar>
          <w:tblLook w:val="04A0"/>
        </w:tblPrEx>
        <w:trPr>
          <w:trHeight w:val="555"/>
        </w:trPr>
        <w:tc>
          <w:tcPr>
            <w:tcW w:w="5000" w:type="pct"/>
            <w:tcBorders>
              <w:top w:val="outset" w:sz="6" w:space="0" w:color="414142"/>
              <w:left w:val="outset" w:sz="6" w:space="0" w:color="414142"/>
              <w:bottom w:val="outset" w:sz="6" w:space="0" w:color="414142"/>
              <w:right w:val="outset" w:sz="6" w:space="0" w:color="414142"/>
            </w:tcBorders>
            <w:vAlign w:val="center"/>
          </w:tcPr>
          <w:p w:rsidR="00817E2A" w:rsidRPr="00817E2A" w:rsidP="00817E2A">
            <w:pPr>
              <w:spacing w:before="100" w:beforeAutospacing="1" w:after="100" w:afterAutospacing="1" w:line="293" w:lineRule="atLeast"/>
              <w:jc w:val="center"/>
            </w:pPr>
            <w:r>
              <w:t>Projekts šo jomu neskar.</w:t>
            </w:r>
          </w:p>
        </w:tc>
      </w:tr>
    </w:tbl>
    <w:p w:rsidR="00817E2A" w:rsidRPr="00817E2A" w:rsidP="00817E2A"/>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9055"/>
      </w:tblGrid>
      <w:tr w:rsidTr="00BB0145">
        <w:tblPrEx>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817E2A" w:rsidRPr="00817E2A" w:rsidP="00817E2A">
            <w:pPr>
              <w:spacing w:before="100" w:beforeAutospacing="1" w:after="100" w:afterAutospacing="1" w:line="293" w:lineRule="atLeast"/>
              <w:jc w:val="center"/>
              <w:rPr>
                <w:b/>
                <w:bCs/>
              </w:rPr>
            </w:pPr>
            <w:r w:rsidRPr="00817E2A">
              <w:t> </w:t>
            </w:r>
            <w:r w:rsidRPr="00817E2A">
              <w:rPr>
                <w:b/>
                <w:bCs/>
              </w:rPr>
              <w:t>III. Tiesību akta projekta ietekme uz valsts budžetu un pašvaldību budžetiem</w:t>
            </w:r>
          </w:p>
        </w:tc>
      </w:tr>
      <w:tr w:rsidTr="00BB0145">
        <w:tblPrEx>
          <w:tblW w:w="5000" w:type="pct"/>
          <w:tblCellMar>
            <w:top w:w="30" w:type="dxa"/>
            <w:left w:w="30" w:type="dxa"/>
            <w:bottom w:w="30" w:type="dxa"/>
            <w:right w:w="30" w:type="dxa"/>
          </w:tblCellMar>
          <w:tblLook w:val="04A0"/>
        </w:tblPrEx>
        <w:trPr>
          <w:trHeight w:val="465"/>
        </w:trPr>
        <w:tc>
          <w:tcPr>
            <w:tcW w:w="5000" w:type="pct"/>
            <w:tcBorders>
              <w:top w:val="outset" w:sz="6" w:space="0" w:color="414142"/>
              <w:left w:val="outset" w:sz="6" w:space="0" w:color="414142"/>
              <w:bottom w:val="outset" w:sz="6" w:space="0" w:color="414142"/>
              <w:right w:val="outset" w:sz="6" w:space="0" w:color="414142"/>
            </w:tcBorders>
          </w:tcPr>
          <w:p w:rsidR="00817E2A" w:rsidRPr="00817E2A" w:rsidP="00817E2A">
            <w:pPr>
              <w:jc w:val="center"/>
            </w:pPr>
            <w:r w:rsidRPr="00817E2A">
              <w:t>Projekts šo jomu neskar.</w:t>
            </w:r>
          </w:p>
        </w:tc>
      </w:tr>
    </w:tbl>
    <w:p w:rsidR="00817E2A" w:rsidRPr="00817E2A" w:rsidP="00817E2A"/>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9055"/>
      </w:tblGrid>
      <w:tr w:rsidTr="00BB0145">
        <w:tblPrEx>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817E2A" w:rsidRPr="00817E2A" w:rsidP="00817E2A">
            <w:pPr>
              <w:spacing w:before="100" w:beforeAutospacing="1" w:after="100" w:afterAutospacing="1" w:line="293" w:lineRule="atLeast"/>
              <w:jc w:val="center"/>
              <w:rPr>
                <w:b/>
                <w:bCs/>
              </w:rPr>
            </w:pPr>
            <w:r w:rsidRPr="00817E2A">
              <w:t> </w:t>
            </w:r>
            <w:r w:rsidRPr="00817E2A">
              <w:rPr>
                <w:b/>
                <w:bCs/>
              </w:rPr>
              <w:t>IV. Tiesību akta projekta ietekme uz spēkā esošo tiesību normu sistēmu</w:t>
            </w:r>
          </w:p>
        </w:tc>
      </w:tr>
      <w:tr w:rsidTr="00BB0145">
        <w:tblPrEx>
          <w:tblW w:w="5000" w:type="pct"/>
          <w:tblCellMar>
            <w:top w:w="30" w:type="dxa"/>
            <w:left w:w="30" w:type="dxa"/>
            <w:bottom w:w="30" w:type="dxa"/>
            <w:right w:w="30" w:type="dxa"/>
          </w:tblCellMar>
          <w:tblLook w:val="04A0"/>
        </w:tblPrEx>
        <w:trPr>
          <w:trHeight w:val="465"/>
        </w:trPr>
        <w:tc>
          <w:tcPr>
            <w:tcW w:w="5000" w:type="pct"/>
            <w:tcBorders>
              <w:top w:val="outset" w:sz="6" w:space="0" w:color="414142"/>
              <w:left w:val="outset" w:sz="6" w:space="0" w:color="414142"/>
              <w:bottom w:val="outset" w:sz="6" w:space="0" w:color="414142"/>
              <w:right w:val="outset" w:sz="6" w:space="0" w:color="414142"/>
            </w:tcBorders>
          </w:tcPr>
          <w:p w:rsidR="00817E2A" w:rsidRPr="00817E2A" w:rsidP="00817E2A">
            <w:pPr>
              <w:jc w:val="center"/>
            </w:pPr>
            <w:r w:rsidRPr="00817E2A">
              <w:t>Projekts šo jomu neskar.</w:t>
            </w:r>
          </w:p>
        </w:tc>
      </w:tr>
    </w:tbl>
    <w:p w:rsidR="00817E2A" w:rsidRPr="00817E2A" w:rsidP="00817E2A"/>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9055"/>
      </w:tblGrid>
      <w:tr w:rsidTr="00BB0145">
        <w:tblPrEx>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817E2A" w:rsidRPr="00817E2A" w:rsidP="00817E2A">
            <w:pPr>
              <w:spacing w:before="100" w:beforeAutospacing="1" w:after="100" w:afterAutospacing="1" w:line="293" w:lineRule="atLeast"/>
              <w:jc w:val="center"/>
              <w:rPr>
                <w:b/>
                <w:bCs/>
              </w:rPr>
            </w:pPr>
            <w:r w:rsidRPr="00817E2A">
              <w:t> </w:t>
            </w:r>
            <w:r w:rsidRPr="00817E2A">
              <w:rPr>
                <w:b/>
                <w:bCs/>
              </w:rPr>
              <w:t>V. Tiesību akta projekta atbilstība Latvijas Republikas starptautiskajām saistībām</w:t>
            </w:r>
          </w:p>
        </w:tc>
      </w:tr>
      <w:tr w:rsidTr="00BB0145">
        <w:tblPrEx>
          <w:tblW w:w="5000" w:type="pct"/>
          <w:tblCellMar>
            <w:top w:w="30" w:type="dxa"/>
            <w:left w:w="30" w:type="dxa"/>
            <w:bottom w:w="30" w:type="dxa"/>
            <w:right w:w="30" w:type="dxa"/>
          </w:tblCellMar>
          <w:tblLook w:val="04A0"/>
        </w:tblPrEx>
        <w:trPr>
          <w:trHeight w:val="465"/>
        </w:trPr>
        <w:tc>
          <w:tcPr>
            <w:tcW w:w="5000" w:type="pct"/>
            <w:tcBorders>
              <w:top w:val="outset" w:sz="6" w:space="0" w:color="414142"/>
              <w:left w:val="outset" w:sz="6" w:space="0" w:color="414142"/>
              <w:bottom w:val="outset" w:sz="6" w:space="0" w:color="414142"/>
              <w:right w:val="outset" w:sz="6" w:space="0" w:color="414142"/>
            </w:tcBorders>
          </w:tcPr>
          <w:p w:rsidR="00817E2A" w:rsidRPr="00817E2A" w:rsidP="00817E2A">
            <w:pPr>
              <w:jc w:val="center"/>
            </w:pPr>
            <w:r w:rsidRPr="00817E2A">
              <w:t>Projekts šo jomu neskar.</w:t>
            </w:r>
          </w:p>
        </w:tc>
      </w:tr>
    </w:tbl>
    <w:p w:rsidR="00817E2A" w:rsidRPr="00817E2A" w:rsidP="00817E2A"/>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9055"/>
      </w:tblGrid>
      <w:tr w:rsidTr="00BB0145">
        <w:tblPrEx>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817E2A" w:rsidRPr="00817E2A" w:rsidP="00817E2A">
            <w:pPr>
              <w:spacing w:before="100" w:beforeAutospacing="1" w:after="100" w:afterAutospacing="1" w:line="293" w:lineRule="atLeast"/>
              <w:jc w:val="center"/>
              <w:rPr>
                <w:b/>
                <w:bCs/>
              </w:rPr>
            </w:pPr>
            <w:r w:rsidRPr="00817E2A">
              <w:t> </w:t>
            </w:r>
            <w:r w:rsidRPr="00817E2A">
              <w:rPr>
                <w:b/>
                <w:bCs/>
              </w:rPr>
              <w:t>VI. Sabiedrības līdzdalība un komunikācijas aktivitātes</w:t>
            </w:r>
          </w:p>
        </w:tc>
      </w:tr>
      <w:tr w:rsidTr="00BB0145">
        <w:tblPrEx>
          <w:tblW w:w="5000" w:type="pct"/>
          <w:tblCellMar>
            <w:top w:w="30" w:type="dxa"/>
            <w:left w:w="30" w:type="dxa"/>
            <w:bottom w:w="30" w:type="dxa"/>
            <w:right w:w="30" w:type="dxa"/>
          </w:tblCellMar>
          <w:tblLook w:val="04A0"/>
        </w:tblPrEx>
        <w:trPr>
          <w:trHeight w:val="465"/>
        </w:trPr>
        <w:tc>
          <w:tcPr>
            <w:tcW w:w="5000" w:type="pct"/>
            <w:tcBorders>
              <w:top w:val="outset" w:sz="6" w:space="0" w:color="414142"/>
              <w:left w:val="outset" w:sz="6" w:space="0" w:color="414142"/>
              <w:bottom w:val="outset" w:sz="6" w:space="0" w:color="414142"/>
              <w:right w:val="outset" w:sz="6" w:space="0" w:color="414142"/>
            </w:tcBorders>
          </w:tcPr>
          <w:p w:rsidR="00817E2A" w:rsidRPr="00817E2A" w:rsidP="00817E2A">
            <w:pPr>
              <w:jc w:val="center"/>
            </w:pPr>
            <w:r w:rsidRPr="00817E2A">
              <w:t>Projekts šo jomu neskar.</w:t>
            </w:r>
          </w:p>
        </w:tc>
      </w:tr>
    </w:tbl>
    <w:p w:rsidR="00817E2A" w:rsidRPr="00817E2A" w:rsidP="00817E2A"/>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547"/>
        <w:gridCol w:w="3073"/>
        <w:gridCol w:w="5435"/>
      </w:tblGrid>
      <w:tr w:rsidTr="00BB0145">
        <w:tblPrEx>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17E2A" w:rsidRPr="00817E2A" w:rsidP="00817E2A">
            <w:pPr>
              <w:spacing w:before="100" w:beforeAutospacing="1" w:after="100" w:afterAutospacing="1" w:line="293" w:lineRule="atLeast"/>
              <w:jc w:val="center"/>
              <w:rPr>
                <w:b/>
                <w:bCs/>
              </w:rPr>
            </w:pPr>
            <w:r w:rsidRPr="00817E2A">
              <w:t> </w:t>
            </w:r>
            <w:r w:rsidRPr="00817E2A">
              <w:rPr>
                <w:b/>
                <w:bCs/>
              </w:rPr>
              <w:t>VII. Tiesību akta projekta izpildes nodrošināšana un tās ietekme uz institūcijām</w:t>
            </w:r>
          </w:p>
        </w:tc>
      </w:tr>
      <w:tr w:rsidTr="00BB0145">
        <w:tblPrEx>
          <w:tblW w:w="5000" w:type="pct"/>
          <w:jc w:val="center"/>
          <w:tblCellMar>
            <w:top w:w="30" w:type="dxa"/>
            <w:left w:w="30" w:type="dxa"/>
            <w:bottom w:w="30" w:type="dxa"/>
            <w:right w:w="30" w:type="dxa"/>
          </w:tblCellMar>
          <w:tblLook w:val="04A0"/>
        </w:tblPrEx>
        <w:trPr>
          <w:trHeight w:val="420"/>
          <w:jc w:val="center"/>
        </w:trPr>
        <w:tc>
          <w:tcPr>
            <w:tcW w:w="302" w:type="pct"/>
            <w:tcBorders>
              <w:top w:val="single" w:sz="4" w:space="0" w:color="auto"/>
              <w:left w:val="single" w:sz="4" w:space="0" w:color="auto"/>
              <w:bottom w:val="single" w:sz="4" w:space="0" w:color="auto"/>
              <w:right w:val="single" w:sz="4" w:space="0" w:color="auto"/>
            </w:tcBorders>
            <w:hideMark/>
          </w:tcPr>
          <w:p w:rsidR="00817E2A" w:rsidRPr="00817E2A" w:rsidP="00817E2A">
            <w:r w:rsidRPr="00817E2A">
              <w:t>1.</w:t>
            </w:r>
          </w:p>
        </w:tc>
        <w:tc>
          <w:tcPr>
            <w:tcW w:w="1697" w:type="pct"/>
            <w:tcBorders>
              <w:top w:val="single" w:sz="4" w:space="0" w:color="auto"/>
              <w:left w:val="single" w:sz="4" w:space="0" w:color="auto"/>
              <w:bottom w:val="single" w:sz="4" w:space="0" w:color="auto"/>
              <w:right w:val="single" w:sz="4" w:space="0" w:color="auto"/>
            </w:tcBorders>
          </w:tcPr>
          <w:p w:rsidR="00817E2A" w:rsidRPr="00817E2A" w:rsidP="00817E2A">
            <w:r w:rsidRPr="00817E2A">
              <w:t>Projekta izpildē iesaistītās institūcijas</w:t>
            </w:r>
          </w:p>
        </w:tc>
        <w:tc>
          <w:tcPr>
            <w:tcW w:w="3000" w:type="pct"/>
            <w:tcBorders>
              <w:top w:val="outset" w:sz="6" w:space="0" w:color="414142"/>
              <w:left w:val="single" w:sz="4" w:space="0" w:color="auto"/>
              <w:bottom w:val="outset" w:sz="6" w:space="0" w:color="414142"/>
              <w:right w:val="outset" w:sz="6" w:space="0" w:color="414142"/>
            </w:tcBorders>
            <w:hideMark/>
          </w:tcPr>
          <w:p w:rsidR="00817E2A" w:rsidRPr="00817E2A" w:rsidP="00817E2A">
            <w:pPr>
              <w:jc w:val="both"/>
            </w:pPr>
            <w:r w:rsidRPr="00817E2A">
              <w:t xml:space="preserve">Izglītības un zinātnes ministrija. </w:t>
            </w:r>
          </w:p>
        </w:tc>
      </w:tr>
      <w:tr w:rsidTr="00BB0145">
        <w:tblPrEx>
          <w:tblW w:w="5000" w:type="pct"/>
          <w:jc w:val="center"/>
          <w:tblCellMar>
            <w:top w:w="30" w:type="dxa"/>
            <w:left w:w="30" w:type="dxa"/>
            <w:bottom w:w="30" w:type="dxa"/>
            <w:right w:w="30" w:type="dxa"/>
          </w:tblCellMar>
          <w:tblLook w:val="04A0"/>
        </w:tblPrEx>
        <w:trPr>
          <w:trHeight w:val="450"/>
          <w:jc w:val="center"/>
        </w:trPr>
        <w:tc>
          <w:tcPr>
            <w:tcW w:w="302" w:type="pct"/>
            <w:tcBorders>
              <w:top w:val="single" w:sz="4" w:space="0" w:color="auto"/>
              <w:left w:val="single" w:sz="4" w:space="0" w:color="auto"/>
              <w:bottom w:val="single" w:sz="4" w:space="0" w:color="auto"/>
              <w:right w:val="single" w:sz="4" w:space="0" w:color="auto"/>
            </w:tcBorders>
            <w:hideMark/>
          </w:tcPr>
          <w:p w:rsidR="00817E2A" w:rsidRPr="00817E2A" w:rsidP="00817E2A">
            <w:r w:rsidRPr="00817E2A">
              <w:t>2.</w:t>
            </w:r>
          </w:p>
        </w:tc>
        <w:tc>
          <w:tcPr>
            <w:tcW w:w="1697" w:type="pct"/>
            <w:tcBorders>
              <w:top w:val="single" w:sz="4" w:space="0" w:color="auto"/>
              <w:left w:val="single" w:sz="4" w:space="0" w:color="auto"/>
              <w:bottom w:val="single" w:sz="4" w:space="0" w:color="auto"/>
              <w:right w:val="single" w:sz="4" w:space="0" w:color="auto"/>
            </w:tcBorders>
          </w:tcPr>
          <w:p w:rsidR="00817E2A" w:rsidRPr="00817E2A" w:rsidP="00817E2A">
            <w:r w:rsidRPr="00817E2A">
              <w:t>Projekta izpildes ietekme uz pārvaldes funkcijām un institucionālo struktūru. Jaunu institūciju izveide, esošu institūciju likvidācija vai reorganizācija, to ietekme uz institūcijas cilvēkresursiem</w:t>
            </w:r>
          </w:p>
        </w:tc>
        <w:tc>
          <w:tcPr>
            <w:tcW w:w="3000" w:type="pct"/>
            <w:tcBorders>
              <w:top w:val="outset" w:sz="6" w:space="0" w:color="414142"/>
              <w:left w:val="single" w:sz="4" w:space="0" w:color="auto"/>
              <w:bottom w:val="outset" w:sz="6" w:space="0" w:color="414142"/>
              <w:right w:val="outset" w:sz="6" w:space="0" w:color="414142"/>
            </w:tcBorders>
            <w:vAlign w:val="center"/>
            <w:hideMark/>
          </w:tcPr>
          <w:p w:rsidR="00817E2A" w:rsidRPr="00817E2A" w:rsidP="00817E2A">
            <w:pPr>
              <w:jc w:val="both"/>
            </w:pPr>
            <w:r w:rsidRPr="00817E2A">
              <w:t>Projekts šo jomu neskar.</w:t>
            </w:r>
          </w:p>
        </w:tc>
      </w:tr>
      <w:tr w:rsidTr="00BB0145">
        <w:tblPrEx>
          <w:tblW w:w="5000" w:type="pct"/>
          <w:jc w:val="center"/>
          <w:tblCellMar>
            <w:top w:w="30" w:type="dxa"/>
            <w:left w:w="30" w:type="dxa"/>
            <w:bottom w:w="30" w:type="dxa"/>
            <w:right w:w="30" w:type="dxa"/>
          </w:tblCellMar>
          <w:tblLook w:val="04A0"/>
        </w:tblPrEx>
        <w:trPr>
          <w:trHeight w:val="390"/>
          <w:jc w:val="center"/>
        </w:trPr>
        <w:tc>
          <w:tcPr>
            <w:tcW w:w="302" w:type="pct"/>
            <w:tcBorders>
              <w:top w:val="single" w:sz="4" w:space="0" w:color="auto"/>
              <w:left w:val="single" w:sz="4" w:space="0" w:color="auto"/>
              <w:bottom w:val="single" w:sz="4" w:space="0" w:color="auto"/>
              <w:right w:val="single" w:sz="4" w:space="0" w:color="auto"/>
            </w:tcBorders>
            <w:hideMark/>
          </w:tcPr>
          <w:p w:rsidR="00817E2A" w:rsidRPr="00817E2A" w:rsidP="00817E2A">
            <w:r w:rsidRPr="00817E2A">
              <w:t>3.</w:t>
            </w:r>
          </w:p>
        </w:tc>
        <w:tc>
          <w:tcPr>
            <w:tcW w:w="1697" w:type="pct"/>
            <w:tcBorders>
              <w:top w:val="single" w:sz="4" w:space="0" w:color="auto"/>
              <w:left w:val="single" w:sz="4" w:space="0" w:color="auto"/>
              <w:bottom w:val="single" w:sz="4" w:space="0" w:color="auto"/>
              <w:right w:val="single" w:sz="4" w:space="0" w:color="auto"/>
            </w:tcBorders>
          </w:tcPr>
          <w:p w:rsidR="00817E2A" w:rsidRPr="00817E2A" w:rsidP="00817E2A">
            <w:r w:rsidRPr="00817E2A">
              <w:t>Cita informācija</w:t>
            </w:r>
          </w:p>
        </w:tc>
        <w:tc>
          <w:tcPr>
            <w:tcW w:w="3000" w:type="pct"/>
            <w:tcBorders>
              <w:top w:val="outset" w:sz="6" w:space="0" w:color="414142"/>
              <w:left w:val="single" w:sz="4" w:space="0" w:color="auto"/>
              <w:bottom w:val="outset" w:sz="6" w:space="0" w:color="414142"/>
              <w:right w:val="outset" w:sz="6" w:space="0" w:color="414142"/>
            </w:tcBorders>
            <w:hideMark/>
          </w:tcPr>
          <w:p w:rsidR="00817E2A" w:rsidRPr="00817E2A" w:rsidP="00817E2A">
            <w:pPr>
              <w:spacing w:before="100" w:beforeAutospacing="1" w:after="100" w:afterAutospacing="1" w:line="293" w:lineRule="atLeast"/>
            </w:pPr>
            <w:r w:rsidRPr="00817E2A">
              <w:t>Nav</w:t>
            </w:r>
          </w:p>
        </w:tc>
      </w:tr>
    </w:tbl>
    <w:p w:rsidR="00361094" w:rsidRPr="005C4BBF" w:rsidP="00361094">
      <w:pPr>
        <w:pStyle w:val="naisf"/>
        <w:tabs>
          <w:tab w:val="left" w:pos="720"/>
        </w:tabs>
        <w:spacing w:before="0" w:after="0"/>
        <w:ind w:firstLine="0"/>
        <w:rPr>
          <w:i/>
        </w:rPr>
      </w:pPr>
    </w:p>
    <w:p w:rsidR="00361094" w:rsidRPr="005C4BBF" w:rsidP="00361094">
      <w:pPr>
        <w:pStyle w:val="naisf"/>
        <w:tabs>
          <w:tab w:val="left" w:pos="720"/>
        </w:tabs>
        <w:spacing w:before="0" w:after="0"/>
        <w:ind w:firstLine="0"/>
        <w:rPr>
          <w:i/>
        </w:rPr>
      </w:pPr>
    </w:p>
    <w:p w:rsidR="00361094" w:rsidRPr="005C4BBF" w:rsidP="00361094">
      <w:pPr>
        <w:pStyle w:val="naisf"/>
        <w:tabs>
          <w:tab w:val="left" w:pos="720"/>
        </w:tabs>
        <w:spacing w:before="0" w:after="0"/>
        <w:ind w:firstLine="0"/>
        <w:rPr>
          <w:i/>
        </w:rPr>
      </w:pPr>
    </w:p>
    <w:p w:rsidR="00361094" w:rsidRPr="005C4BBF" w:rsidP="00361094">
      <w:pPr>
        <w:pStyle w:val="naisf"/>
        <w:tabs>
          <w:tab w:val="left" w:pos="720"/>
        </w:tabs>
        <w:spacing w:before="0" w:after="0"/>
        <w:ind w:firstLine="0"/>
        <w:rPr>
          <w:i/>
        </w:rPr>
      </w:pPr>
      <w:r w:rsidRPr="005C4BBF">
        <w:t>I</w:t>
      </w:r>
      <w:r w:rsidRPr="005C4BBF" w:rsidR="00824AAD">
        <w:t>zglītības un zinātnes ministr</w:t>
      </w:r>
      <w:r w:rsidRPr="005C4BBF" w:rsidR="005B6D2B">
        <w:t>s</w:t>
      </w:r>
      <w:r w:rsidRPr="005C4BBF" w:rsidR="005B6D2B">
        <w:tab/>
      </w:r>
      <w:r w:rsidRPr="005C4BBF" w:rsidR="005B6D2B">
        <w:tab/>
      </w:r>
      <w:r w:rsidRPr="005C4BBF">
        <w:tab/>
      </w:r>
      <w:r w:rsidRPr="005C4BBF">
        <w:tab/>
      </w:r>
      <w:r w:rsidRPr="005C4BBF">
        <w:tab/>
      </w:r>
      <w:r w:rsidRPr="005C4BBF">
        <w:tab/>
      </w:r>
      <w:r w:rsidRPr="005C4BBF" w:rsidR="005B6D2B">
        <w:t>Kārlis Šadurskis</w:t>
      </w:r>
    </w:p>
    <w:p w:rsidR="00361094" w:rsidRPr="005C4BBF" w:rsidP="00361094">
      <w:pPr>
        <w:pStyle w:val="naisf"/>
        <w:tabs>
          <w:tab w:val="left" w:pos="6804"/>
        </w:tabs>
        <w:spacing w:before="0" w:after="0"/>
        <w:ind w:firstLine="0"/>
      </w:pPr>
    </w:p>
    <w:p w:rsidR="00361094" w:rsidRPr="005C4BBF" w:rsidP="00361094">
      <w:pPr>
        <w:pStyle w:val="naisf"/>
        <w:tabs>
          <w:tab w:val="left" w:pos="6804"/>
        </w:tabs>
        <w:spacing w:before="0" w:after="0"/>
        <w:ind w:firstLine="0"/>
      </w:pPr>
    </w:p>
    <w:p w:rsidR="00361094" w:rsidRPr="005C4BBF" w:rsidP="00361094">
      <w:pPr>
        <w:pStyle w:val="naisf"/>
        <w:tabs>
          <w:tab w:val="left" w:pos="6804"/>
        </w:tabs>
        <w:spacing w:before="0" w:after="0"/>
        <w:ind w:firstLine="0"/>
      </w:pPr>
      <w:r w:rsidRPr="005C4BBF">
        <w:t>Vizē:</w:t>
      </w:r>
    </w:p>
    <w:p w:rsidR="008A0E95" w:rsidP="00046660">
      <w:pPr>
        <w:autoSpaceDE w:val="0"/>
        <w:autoSpaceDN w:val="0"/>
        <w:adjustRightInd w:val="0"/>
        <w:rPr>
          <w:sz w:val="20"/>
          <w:szCs w:val="20"/>
        </w:rPr>
      </w:pPr>
      <w:r>
        <w:t>Valsts sekretāre</w:t>
      </w:r>
      <w:r>
        <w:tab/>
      </w:r>
      <w:r>
        <w:tab/>
      </w:r>
      <w:r>
        <w:tab/>
      </w:r>
      <w:r>
        <w:tab/>
      </w:r>
      <w:r>
        <w:tab/>
      </w:r>
      <w:r>
        <w:tab/>
      </w:r>
      <w:r>
        <w:tab/>
        <w:t>Līga Lejiņa</w:t>
      </w:r>
    </w:p>
    <w:p w:rsidR="008A0E95" w:rsidP="00BF3569">
      <w:pPr>
        <w:ind w:firstLine="720"/>
        <w:jc w:val="both"/>
        <w:rPr>
          <w:sz w:val="20"/>
          <w:szCs w:val="20"/>
        </w:rPr>
      </w:pPr>
    </w:p>
    <w:p w:rsidR="00E8499A" w:rsidP="00CC7AFA">
      <w:pPr>
        <w:jc w:val="both"/>
        <w:rPr>
          <w:sz w:val="20"/>
          <w:szCs w:val="20"/>
        </w:rPr>
      </w:pPr>
    </w:p>
    <w:p w:rsidR="00773767" w:rsidP="00361094">
      <w:pPr>
        <w:jc w:val="both"/>
        <w:rPr>
          <w:sz w:val="20"/>
          <w:szCs w:val="20"/>
        </w:rPr>
      </w:pPr>
      <w:r>
        <w:rPr>
          <w:sz w:val="20"/>
          <w:szCs w:val="20"/>
        </w:rPr>
        <w:t>L.Upīte</w:t>
      </w:r>
      <w:r>
        <w:rPr>
          <w:sz w:val="20"/>
          <w:szCs w:val="20"/>
        </w:rPr>
        <w:t>, 67047816</w:t>
      </w:r>
    </w:p>
    <w:p w:rsidR="00773767" w:rsidRPr="002B01F3" w:rsidP="00361094">
      <w:pPr>
        <w:jc w:val="both"/>
        <w:rPr>
          <w:sz w:val="28"/>
          <w:szCs w:val="28"/>
        </w:rPr>
      </w:pPr>
      <w:r>
        <w:rPr>
          <w:sz w:val="20"/>
          <w:szCs w:val="20"/>
        </w:rPr>
        <w:t>Linda.Upite</w:t>
      </w:r>
      <w:r>
        <w:rPr>
          <w:sz w:val="20"/>
          <w:szCs w:val="20"/>
        </w:rPr>
        <w:t>@izm.gov.lv</w:t>
      </w:r>
    </w:p>
    <w:sectPr w:rsidSect="008A0E95">
      <w:headerReference w:type="even" r:id="rId5"/>
      <w:headerReference w:type="default" r:id="rId6"/>
      <w:footerReference w:type="default" r:id="rId7"/>
      <w:footerReference w:type="first" r:id="rId8"/>
      <w:pgSz w:w="11906" w:h="16838" w:code="9"/>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3B0D" w:rsidRPr="00046660" w:rsidP="00046660">
    <w:pPr>
      <w:pStyle w:val="Footer"/>
      <w:jc w:val="both"/>
    </w:pPr>
    <w:r w:rsidRPr="00046660">
      <w:rPr>
        <w:sz w:val="20"/>
        <w:szCs w:val="20"/>
      </w:rPr>
      <w:t>I</w:t>
    </w:r>
    <w:r w:rsidR="00741AFC">
      <w:rPr>
        <w:sz w:val="20"/>
        <w:szCs w:val="20"/>
      </w:rPr>
      <w:t>ZManot_040118</w:t>
    </w:r>
    <w:r w:rsidRPr="00046660">
      <w:rPr>
        <w:sz w:val="20"/>
        <w:szCs w:val="20"/>
      </w:rPr>
      <w:t xml:space="preserve">_akreditacija.3; Ministru kabineta sēdes </w:t>
    </w:r>
    <w:r w:rsidRPr="00046660">
      <w:rPr>
        <w:sz w:val="20"/>
        <w:szCs w:val="20"/>
      </w:rPr>
      <w:t>protokollēmuma</w:t>
    </w:r>
    <w:r w:rsidRPr="00046660">
      <w:rPr>
        <w:sz w:val="20"/>
        <w:szCs w:val="20"/>
      </w:rPr>
      <w:t xml:space="preserve"> projekta “Par Ministru kabineta 2015.gada 14.jūlija sēdes </w:t>
    </w:r>
    <w:r w:rsidRPr="00046660">
      <w:rPr>
        <w:sz w:val="20"/>
        <w:szCs w:val="20"/>
      </w:rPr>
      <w:t>protokollēmuma</w:t>
    </w:r>
    <w:r w:rsidRPr="00046660">
      <w:rPr>
        <w:sz w:val="20"/>
        <w:szCs w:val="20"/>
      </w:rPr>
      <w:t xml:space="preserve"> (prot. Nr.34 37.§) “Noteikumu projekts “Augstskolu, koledžu un studiju virzienu akreditācijas noteikumi”” 3.punktā dotā uzdevuma izpildi” 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0AA" w:rsidRPr="005C4BBF" w:rsidP="005C4BBF">
    <w:pPr>
      <w:pStyle w:val="Footer"/>
      <w:jc w:val="both"/>
      <w:rPr>
        <w:sz w:val="20"/>
        <w:szCs w:val="20"/>
      </w:rPr>
    </w:pPr>
    <w:r w:rsidRPr="005C4BBF">
      <w:rPr>
        <w:sz w:val="20"/>
        <w:szCs w:val="20"/>
      </w:rPr>
      <w:t>I</w:t>
    </w:r>
    <w:r w:rsidR="00741AFC">
      <w:rPr>
        <w:sz w:val="20"/>
        <w:szCs w:val="20"/>
      </w:rPr>
      <w:t>ZManot_040118</w:t>
    </w:r>
    <w:r w:rsidR="00046660">
      <w:rPr>
        <w:sz w:val="20"/>
        <w:szCs w:val="20"/>
      </w:rPr>
      <w:t>_akreditacija.3</w:t>
    </w:r>
    <w:r w:rsidRPr="005C4BBF">
      <w:rPr>
        <w:sz w:val="20"/>
        <w:szCs w:val="20"/>
      </w:rPr>
      <w:t xml:space="preserve">; Ministru kabineta sēdes </w:t>
    </w:r>
    <w:r w:rsidRPr="005C4BBF">
      <w:rPr>
        <w:sz w:val="20"/>
        <w:szCs w:val="20"/>
      </w:rPr>
      <w:t>protokollēmuma</w:t>
    </w:r>
    <w:r w:rsidRPr="005C4BBF">
      <w:rPr>
        <w:sz w:val="20"/>
        <w:szCs w:val="20"/>
      </w:rPr>
      <w:t xml:space="preserve"> projekta “Par Ministru kabineta 2015.gada 14.jūlija sēdes </w:t>
    </w:r>
    <w:r w:rsidRPr="005C4BBF">
      <w:rPr>
        <w:sz w:val="20"/>
        <w:szCs w:val="20"/>
      </w:rPr>
      <w:t>protokollēmuma</w:t>
    </w:r>
    <w:r w:rsidRPr="005C4BBF">
      <w:rPr>
        <w:sz w:val="20"/>
        <w:szCs w:val="20"/>
      </w:rPr>
      <w:t xml:space="preserve"> (prot. Nr.34 37.§) “Noteikumu projekts “Augstskolu, koledžu un studiju virz</w:t>
    </w:r>
    <w:r w:rsidR="00046660">
      <w:rPr>
        <w:sz w:val="20"/>
        <w:szCs w:val="20"/>
      </w:rPr>
      <w:t>ienu akreditācijas noteikumi”” 3</w:t>
    </w:r>
    <w:r w:rsidRPr="005C4BBF">
      <w:rPr>
        <w:sz w:val="20"/>
        <w:szCs w:val="20"/>
      </w:rPr>
      <w:t>.punktā dotā uzdevuma izpildi” sākotnējās ietekmes novērtējuma ziņojums (anotācija)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B52" w:rsidP="003C44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2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B52" w:rsidP="003C44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B7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7FC123E"/>
    <w:multiLevelType w:val="hybridMultilevel"/>
    <w:tmpl w:val="F4B2051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1">
    <w:nsid w:val="191C0C4F"/>
    <w:multiLevelType w:val="hybridMultilevel"/>
    <w:tmpl w:val="A6D837A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1">
    <w:nsid w:val="1B9B34B7"/>
    <w:multiLevelType w:val="hybridMultilevel"/>
    <w:tmpl w:val="49188F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1">
    <w:nsid w:val="1F4F440C"/>
    <w:multiLevelType w:val="hybridMultilevel"/>
    <w:tmpl w:val="91CCED8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1">
    <w:nsid w:val="2CCC5C9A"/>
    <w:multiLevelType w:val="multilevel"/>
    <w:tmpl w:val="82D841C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1">
    <w:nsid w:val="48744A95"/>
    <w:multiLevelType w:val="hybridMultilevel"/>
    <w:tmpl w:val="FA345D46"/>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48D72F2E"/>
    <w:multiLevelType w:val="hybridMultilevel"/>
    <w:tmpl w:val="7B04B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4A124FFD"/>
    <w:multiLevelType w:val="hybridMultilevel"/>
    <w:tmpl w:val="6B5625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1">
    <w:nsid w:val="546D2BC9"/>
    <w:multiLevelType w:val="hybridMultilevel"/>
    <w:tmpl w:val="D75C78A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1">
    <w:nsid w:val="581C7582"/>
    <w:multiLevelType w:val="hybridMultilevel"/>
    <w:tmpl w:val="7ABE272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5EC61899"/>
    <w:multiLevelType w:val="hybridMultilevel"/>
    <w:tmpl w:val="C4628448"/>
    <w:lvl w:ilvl="0">
      <w:start w:val="1"/>
      <w:numFmt w:val="bullet"/>
      <w:lvlText w:val=""/>
      <w:lvlJc w:val="left"/>
      <w:pPr>
        <w:tabs>
          <w:tab w:val="num" w:pos="786"/>
        </w:tabs>
        <w:ind w:left="786" w:hanging="360"/>
      </w:pPr>
      <w:rPr>
        <w:rFonts w:ascii="Wingdings" w:hAnsi="Wingdings" w:hint="default"/>
      </w:rPr>
    </w:lvl>
    <w:lvl w:ilvl="1" w:tentative="1">
      <w:start w:val="1"/>
      <w:numFmt w:val="bullet"/>
      <w:lvlText w:val="o"/>
      <w:lvlJc w:val="left"/>
      <w:pPr>
        <w:tabs>
          <w:tab w:val="num" w:pos="1506"/>
        </w:tabs>
        <w:ind w:left="1506" w:hanging="360"/>
      </w:pPr>
      <w:rPr>
        <w:rFonts w:ascii="Courier New" w:hAnsi="Courier New" w:cs="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1">
    <w:nsid w:val="60C23AF1"/>
    <w:multiLevelType w:val="multilevel"/>
    <w:tmpl w:val="CB0C163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1">
    <w:nsid w:val="632A1A20"/>
    <w:multiLevelType w:val="hybridMultilevel"/>
    <w:tmpl w:val="CF5202E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1">
    <w:nsid w:val="69C61F5C"/>
    <w:multiLevelType w:val="hybridMultilevel"/>
    <w:tmpl w:val="20DC1210"/>
    <w:lvl w:ilvl="0">
      <w:start w:val="11"/>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6B26C09"/>
    <w:multiLevelType w:val="hybridMultilevel"/>
    <w:tmpl w:val="780282D8"/>
    <w:lvl w:ilvl="0">
      <w:start w:val="3"/>
      <w:numFmt w:val="bullet"/>
      <w:lvlText w:val="-"/>
      <w:lvlJc w:val="left"/>
      <w:pPr>
        <w:ind w:left="330" w:hanging="360"/>
      </w:pPr>
      <w:rPr>
        <w:rFonts w:ascii="Times New Roman" w:eastAsia="Times New Roman" w:hAnsi="Times New Roman" w:cs="Times New Roman" w:hint="default"/>
      </w:rPr>
    </w:lvl>
    <w:lvl w:ilvl="1" w:tentative="1">
      <w:start w:val="1"/>
      <w:numFmt w:val="bullet"/>
      <w:lvlText w:val="o"/>
      <w:lvlJc w:val="left"/>
      <w:pPr>
        <w:ind w:left="1050" w:hanging="360"/>
      </w:pPr>
      <w:rPr>
        <w:rFonts w:ascii="Courier New" w:hAnsi="Courier New" w:cs="Courier New" w:hint="default"/>
      </w:rPr>
    </w:lvl>
    <w:lvl w:ilvl="2" w:tentative="1">
      <w:start w:val="1"/>
      <w:numFmt w:val="bullet"/>
      <w:lvlText w:val=""/>
      <w:lvlJc w:val="left"/>
      <w:pPr>
        <w:ind w:left="1770" w:hanging="360"/>
      </w:pPr>
      <w:rPr>
        <w:rFonts w:ascii="Wingdings" w:hAnsi="Wingdings" w:hint="default"/>
      </w:rPr>
    </w:lvl>
    <w:lvl w:ilvl="3" w:tentative="1">
      <w:start w:val="1"/>
      <w:numFmt w:val="bullet"/>
      <w:lvlText w:val=""/>
      <w:lvlJc w:val="left"/>
      <w:pPr>
        <w:ind w:left="2490" w:hanging="360"/>
      </w:pPr>
      <w:rPr>
        <w:rFonts w:ascii="Symbol" w:hAnsi="Symbol" w:hint="default"/>
      </w:rPr>
    </w:lvl>
    <w:lvl w:ilvl="4" w:tentative="1">
      <w:start w:val="1"/>
      <w:numFmt w:val="bullet"/>
      <w:lvlText w:val="o"/>
      <w:lvlJc w:val="left"/>
      <w:pPr>
        <w:ind w:left="3210" w:hanging="360"/>
      </w:pPr>
      <w:rPr>
        <w:rFonts w:ascii="Courier New" w:hAnsi="Courier New" w:cs="Courier New" w:hint="default"/>
      </w:rPr>
    </w:lvl>
    <w:lvl w:ilvl="5" w:tentative="1">
      <w:start w:val="1"/>
      <w:numFmt w:val="bullet"/>
      <w:lvlText w:val=""/>
      <w:lvlJc w:val="left"/>
      <w:pPr>
        <w:ind w:left="3930" w:hanging="360"/>
      </w:pPr>
      <w:rPr>
        <w:rFonts w:ascii="Wingdings" w:hAnsi="Wingdings" w:hint="default"/>
      </w:rPr>
    </w:lvl>
    <w:lvl w:ilvl="6" w:tentative="1">
      <w:start w:val="1"/>
      <w:numFmt w:val="bullet"/>
      <w:lvlText w:val=""/>
      <w:lvlJc w:val="left"/>
      <w:pPr>
        <w:ind w:left="4650" w:hanging="360"/>
      </w:pPr>
      <w:rPr>
        <w:rFonts w:ascii="Symbol" w:hAnsi="Symbol" w:hint="default"/>
      </w:rPr>
    </w:lvl>
    <w:lvl w:ilvl="7" w:tentative="1">
      <w:start w:val="1"/>
      <w:numFmt w:val="bullet"/>
      <w:lvlText w:val="o"/>
      <w:lvlJc w:val="left"/>
      <w:pPr>
        <w:ind w:left="5370" w:hanging="360"/>
      </w:pPr>
      <w:rPr>
        <w:rFonts w:ascii="Courier New" w:hAnsi="Courier New" w:cs="Courier New" w:hint="default"/>
      </w:rPr>
    </w:lvl>
    <w:lvl w:ilvl="8" w:tentative="1">
      <w:start w:val="1"/>
      <w:numFmt w:val="bullet"/>
      <w:lvlText w:val=""/>
      <w:lvlJc w:val="left"/>
      <w:pPr>
        <w:ind w:left="6090" w:hanging="360"/>
      </w:pPr>
      <w:rPr>
        <w:rFonts w:ascii="Wingdings" w:hAnsi="Wingdings" w:hint="default"/>
      </w:rPr>
    </w:lvl>
  </w:abstractNum>
  <w:num w:numId="1">
    <w:abstractNumId w:val="4"/>
  </w:num>
  <w:num w:numId="2">
    <w:abstractNumId w:val="11"/>
  </w:num>
  <w:num w:numId="3">
    <w:abstractNumId w:val="3"/>
  </w:num>
  <w:num w:numId="4">
    <w:abstractNumId w:val="1"/>
  </w:num>
  <w:num w:numId="5">
    <w:abstractNumId w:val="0"/>
  </w:num>
  <w:num w:numId="6">
    <w:abstractNumId w:val="8"/>
  </w:num>
  <w:num w:numId="7">
    <w:abstractNumId w:val="12"/>
  </w:num>
  <w:num w:numId="8">
    <w:abstractNumId w:val="5"/>
  </w:num>
  <w:num w:numId="9">
    <w:abstractNumId w:val="2"/>
  </w:num>
  <w:num w:numId="10">
    <w:abstractNumId w:val="6"/>
  </w:num>
  <w:num w:numId="11">
    <w:abstractNumId w:val="7"/>
  </w:num>
  <w:num w:numId="12">
    <w:abstractNumId w:val="9"/>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49"/>
    <w:rsid w:val="000060D7"/>
    <w:rsid w:val="00011D24"/>
    <w:rsid w:val="000121B9"/>
    <w:rsid w:val="00012D31"/>
    <w:rsid w:val="00013FF4"/>
    <w:rsid w:val="00014D4F"/>
    <w:rsid w:val="00020DFC"/>
    <w:rsid w:val="00020FE1"/>
    <w:rsid w:val="00022E13"/>
    <w:rsid w:val="00026AD2"/>
    <w:rsid w:val="00032388"/>
    <w:rsid w:val="00035CE2"/>
    <w:rsid w:val="00036A28"/>
    <w:rsid w:val="00036C8D"/>
    <w:rsid w:val="000407D2"/>
    <w:rsid w:val="00046660"/>
    <w:rsid w:val="00047D22"/>
    <w:rsid w:val="0005553B"/>
    <w:rsid w:val="00055816"/>
    <w:rsid w:val="000604D2"/>
    <w:rsid w:val="0006565F"/>
    <w:rsid w:val="00065B47"/>
    <w:rsid w:val="00080C45"/>
    <w:rsid w:val="0009005E"/>
    <w:rsid w:val="0009278B"/>
    <w:rsid w:val="000941C5"/>
    <w:rsid w:val="000A0F44"/>
    <w:rsid w:val="000A456D"/>
    <w:rsid w:val="000A46B4"/>
    <w:rsid w:val="000A6451"/>
    <w:rsid w:val="000B064E"/>
    <w:rsid w:val="000B68C4"/>
    <w:rsid w:val="000B69CF"/>
    <w:rsid w:val="000B7262"/>
    <w:rsid w:val="000C790C"/>
    <w:rsid w:val="000F061D"/>
    <w:rsid w:val="000F4794"/>
    <w:rsid w:val="00105B3F"/>
    <w:rsid w:val="00120823"/>
    <w:rsid w:val="00124F12"/>
    <w:rsid w:val="00144E3A"/>
    <w:rsid w:val="00146D2F"/>
    <w:rsid w:val="0015060C"/>
    <w:rsid w:val="001537BD"/>
    <w:rsid w:val="0016018A"/>
    <w:rsid w:val="00161F0E"/>
    <w:rsid w:val="00163204"/>
    <w:rsid w:val="001676AE"/>
    <w:rsid w:val="00170E2A"/>
    <w:rsid w:val="001744D8"/>
    <w:rsid w:val="00177394"/>
    <w:rsid w:val="00182C18"/>
    <w:rsid w:val="00183CC2"/>
    <w:rsid w:val="00187BAD"/>
    <w:rsid w:val="001900E4"/>
    <w:rsid w:val="00190F88"/>
    <w:rsid w:val="001915C8"/>
    <w:rsid w:val="001A184A"/>
    <w:rsid w:val="001A4066"/>
    <w:rsid w:val="001A4155"/>
    <w:rsid w:val="001A6AE4"/>
    <w:rsid w:val="001B01FD"/>
    <w:rsid w:val="001B4A71"/>
    <w:rsid w:val="001D5B54"/>
    <w:rsid w:val="001D6A03"/>
    <w:rsid w:val="001E1DBF"/>
    <w:rsid w:val="001E2FBF"/>
    <w:rsid w:val="001E4639"/>
    <w:rsid w:val="001E4A7D"/>
    <w:rsid w:val="001F4209"/>
    <w:rsid w:val="001F43A8"/>
    <w:rsid w:val="001F5CD6"/>
    <w:rsid w:val="00201330"/>
    <w:rsid w:val="00210DDB"/>
    <w:rsid w:val="0021263D"/>
    <w:rsid w:val="00212A4C"/>
    <w:rsid w:val="00213F0C"/>
    <w:rsid w:val="00214094"/>
    <w:rsid w:val="0021592D"/>
    <w:rsid w:val="00222D76"/>
    <w:rsid w:val="00223EB1"/>
    <w:rsid w:val="00231344"/>
    <w:rsid w:val="0023436E"/>
    <w:rsid w:val="002347C0"/>
    <w:rsid w:val="00240EAD"/>
    <w:rsid w:val="00241328"/>
    <w:rsid w:val="00241A6C"/>
    <w:rsid w:val="00242D2B"/>
    <w:rsid w:val="002500ED"/>
    <w:rsid w:val="00255B97"/>
    <w:rsid w:val="002600AA"/>
    <w:rsid w:val="00262E2B"/>
    <w:rsid w:val="00270429"/>
    <w:rsid w:val="002723E9"/>
    <w:rsid w:val="00277929"/>
    <w:rsid w:val="00283B82"/>
    <w:rsid w:val="002846E9"/>
    <w:rsid w:val="00284C34"/>
    <w:rsid w:val="00290297"/>
    <w:rsid w:val="0029066C"/>
    <w:rsid w:val="002A2FEC"/>
    <w:rsid w:val="002A4A59"/>
    <w:rsid w:val="002A742D"/>
    <w:rsid w:val="002B01F3"/>
    <w:rsid w:val="002B3FC6"/>
    <w:rsid w:val="002B50DB"/>
    <w:rsid w:val="002C12AB"/>
    <w:rsid w:val="002C7CAC"/>
    <w:rsid w:val="002D3306"/>
    <w:rsid w:val="002D48AA"/>
    <w:rsid w:val="002D7BAA"/>
    <w:rsid w:val="002D7F54"/>
    <w:rsid w:val="002E3FF4"/>
    <w:rsid w:val="002E5212"/>
    <w:rsid w:val="002E72CD"/>
    <w:rsid w:val="002F78C8"/>
    <w:rsid w:val="003008F3"/>
    <w:rsid w:val="00300BC2"/>
    <w:rsid w:val="00301CF3"/>
    <w:rsid w:val="003028AE"/>
    <w:rsid w:val="003125EA"/>
    <w:rsid w:val="00314322"/>
    <w:rsid w:val="0031697B"/>
    <w:rsid w:val="00321AAC"/>
    <w:rsid w:val="00322AFA"/>
    <w:rsid w:val="0032715C"/>
    <w:rsid w:val="003305B9"/>
    <w:rsid w:val="003343B4"/>
    <w:rsid w:val="00337CA5"/>
    <w:rsid w:val="003421FE"/>
    <w:rsid w:val="003531B1"/>
    <w:rsid w:val="00361094"/>
    <w:rsid w:val="00362433"/>
    <w:rsid w:val="00362478"/>
    <w:rsid w:val="00375B25"/>
    <w:rsid w:val="0037647C"/>
    <w:rsid w:val="0038132C"/>
    <w:rsid w:val="00384B7E"/>
    <w:rsid w:val="00396542"/>
    <w:rsid w:val="0039685B"/>
    <w:rsid w:val="003A1241"/>
    <w:rsid w:val="003A31A6"/>
    <w:rsid w:val="003A6D3A"/>
    <w:rsid w:val="003A7F0C"/>
    <w:rsid w:val="003A7F79"/>
    <w:rsid w:val="003B211D"/>
    <w:rsid w:val="003B6404"/>
    <w:rsid w:val="003C449B"/>
    <w:rsid w:val="003D185B"/>
    <w:rsid w:val="003D21FF"/>
    <w:rsid w:val="003E37A7"/>
    <w:rsid w:val="003F0112"/>
    <w:rsid w:val="003F071A"/>
    <w:rsid w:val="003F160B"/>
    <w:rsid w:val="003F7872"/>
    <w:rsid w:val="00400032"/>
    <w:rsid w:val="00400B5B"/>
    <w:rsid w:val="00405A00"/>
    <w:rsid w:val="00420870"/>
    <w:rsid w:val="00432D0C"/>
    <w:rsid w:val="00433F57"/>
    <w:rsid w:val="0043791B"/>
    <w:rsid w:val="00441483"/>
    <w:rsid w:val="00441BCB"/>
    <w:rsid w:val="00447CF8"/>
    <w:rsid w:val="0045140E"/>
    <w:rsid w:val="0045176A"/>
    <w:rsid w:val="00456332"/>
    <w:rsid w:val="00460B2A"/>
    <w:rsid w:val="00461826"/>
    <w:rsid w:val="004638DB"/>
    <w:rsid w:val="00471C17"/>
    <w:rsid w:val="00474D9D"/>
    <w:rsid w:val="00477281"/>
    <w:rsid w:val="004800F9"/>
    <w:rsid w:val="00480D91"/>
    <w:rsid w:val="0049134A"/>
    <w:rsid w:val="00492AE9"/>
    <w:rsid w:val="004A58CB"/>
    <w:rsid w:val="004B1795"/>
    <w:rsid w:val="004B1FFD"/>
    <w:rsid w:val="004B2C48"/>
    <w:rsid w:val="004B56DD"/>
    <w:rsid w:val="004C020F"/>
    <w:rsid w:val="004C1AFD"/>
    <w:rsid w:val="004C558B"/>
    <w:rsid w:val="004E0540"/>
    <w:rsid w:val="004F1F88"/>
    <w:rsid w:val="004F5F1B"/>
    <w:rsid w:val="00502374"/>
    <w:rsid w:val="005060A1"/>
    <w:rsid w:val="00516072"/>
    <w:rsid w:val="00520E5A"/>
    <w:rsid w:val="00532BC5"/>
    <w:rsid w:val="005332EA"/>
    <w:rsid w:val="005332EC"/>
    <w:rsid w:val="00534418"/>
    <w:rsid w:val="005353AB"/>
    <w:rsid w:val="00541835"/>
    <w:rsid w:val="00544C39"/>
    <w:rsid w:val="005560BC"/>
    <w:rsid w:val="005573BE"/>
    <w:rsid w:val="0056317C"/>
    <w:rsid w:val="005719A0"/>
    <w:rsid w:val="00572700"/>
    <w:rsid w:val="00580468"/>
    <w:rsid w:val="00582231"/>
    <w:rsid w:val="00583B0D"/>
    <w:rsid w:val="00585B33"/>
    <w:rsid w:val="0058603B"/>
    <w:rsid w:val="0059343C"/>
    <w:rsid w:val="0059431B"/>
    <w:rsid w:val="005A39CC"/>
    <w:rsid w:val="005A5C90"/>
    <w:rsid w:val="005B4730"/>
    <w:rsid w:val="005B6D2B"/>
    <w:rsid w:val="005C1F3B"/>
    <w:rsid w:val="005C4BBF"/>
    <w:rsid w:val="005D374B"/>
    <w:rsid w:val="005E05D7"/>
    <w:rsid w:val="005E41E7"/>
    <w:rsid w:val="005E450F"/>
    <w:rsid w:val="005E4A15"/>
    <w:rsid w:val="006109C1"/>
    <w:rsid w:val="0061409A"/>
    <w:rsid w:val="0062298A"/>
    <w:rsid w:val="00624B61"/>
    <w:rsid w:val="00626514"/>
    <w:rsid w:val="00626589"/>
    <w:rsid w:val="006339A0"/>
    <w:rsid w:val="006413A8"/>
    <w:rsid w:val="00642E56"/>
    <w:rsid w:val="00651E00"/>
    <w:rsid w:val="00663E5D"/>
    <w:rsid w:val="006668BC"/>
    <w:rsid w:val="0067226B"/>
    <w:rsid w:val="00674572"/>
    <w:rsid w:val="0068060C"/>
    <w:rsid w:val="00687763"/>
    <w:rsid w:val="006911A4"/>
    <w:rsid w:val="00692B0D"/>
    <w:rsid w:val="00693E0E"/>
    <w:rsid w:val="0069554C"/>
    <w:rsid w:val="006A1AE3"/>
    <w:rsid w:val="006B0426"/>
    <w:rsid w:val="006B07FC"/>
    <w:rsid w:val="006B23FC"/>
    <w:rsid w:val="006C30E1"/>
    <w:rsid w:val="006C4607"/>
    <w:rsid w:val="006C6801"/>
    <w:rsid w:val="006C70CD"/>
    <w:rsid w:val="006D00BC"/>
    <w:rsid w:val="006D48F1"/>
    <w:rsid w:val="006D4DEC"/>
    <w:rsid w:val="006E2C06"/>
    <w:rsid w:val="006E48C1"/>
    <w:rsid w:val="006F13F8"/>
    <w:rsid w:val="006F45BE"/>
    <w:rsid w:val="006F791F"/>
    <w:rsid w:val="007004FC"/>
    <w:rsid w:val="00702ECC"/>
    <w:rsid w:val="00704427"/>
    <w:rsid w:val="00704FEB"/>
    <w:rsid w:val="00706670"/>
    <w:rsid w:val="00711F59"/>
    <w:rsid w:val="0072417C"/>
    <w:rsid w:val="007274B0"/>
    <w:rsid w:val="007337FA"/>
    <w:rsid w:val="00734450"/>
    <w:rsid w:val="007356DF"/>
    <w:rsid w:val="0073604A"/>
    <w:rsid w:val="00741AFC"/>
    <w:rsid w:val="00745F67"/>
    <w:rsid w:val="0075039E"/>
    <w:rsid w:val="00750D59"/>
    <w:rsid w:val="00752D9D"/>
    <w:rsid w:val="00752FCF"/>
    <w:rsid w:val="00754784"/>
    <w:rsid w:val="00757C6E"/>
    <w:rsid w:val="00762BDA"/>
    <w:rsid w:val="007631ED"/>
    <w:rsid w:val="00766008"/>
    <w:rsid w:val="00773767"/>
    <w:rsid w:val="007805FD"/>
    <w:rsid w:val="00784422"/>
    <w:rsid w:val="00784B00"/>
    <w:rsid w:val="0078664A"/>
    <w:rsid w:val="00790A5F"/>
    <w:rsid w:val="00796BE3"/>
    <w:rsid w:val="007B3B54"/>
    <w:rsid w:val="007B3FA0"/>
    <w:rsid w:val="007C0F2C"/>
    <w:rsid w:val="007C2BCC"/>
    <w:rsid w:val="007C446D"/>
    <w:rsid w:val="007C4EF0"/>
    <w:rsid w:val="007D099D"/>
    <w:rsid w:val="007D666A"/>
    <w:rsid w:val="007E2664"/>
    <w:rsid w:val="007E3ABF"/>
    <w:rsid w:val="007E5779"/>
    <w:rsid w:val="007E5BFA"/>
    <w:rsid w:val="007E6689"/>
    <w:rsid w:val="007E731C"/>
    <w:rsid w:val="007F0A03"/>
    <w:rsid w:val="007F5D0B"/>
    <w:rsid w:val="00801DEF"/>
    <w:rsid w:val="0080328E"/>
    <w:rsid w:val="00810040"/>
    <w:rsid w:val="00811B9C"/>
    <w:rsid w:val="00814932"/>
    <w:rsid w:val="00817E2A"/>
    <w:rsid w:val="0082023A"/>
    <w:rsid w:val="00821A7A"/>
    <w:rsid w:val="00824AAD"/>
    <w:rsid w:val="008253F8"/>
    <w:rsid w:val="008325E4"/>
    <w:rsid w:val="00832A2B"/>
    <w:rsid w:val="00833EB1"/>
    <w:rsid w:val="0084159C"/>
    <w:rsid w:val="00843AE5"/>
    <w:rsid w:val="00845811"/>
    <w:rsid w:val="00846994"/>
    <w:rsid w:val="00850451"/>
    <w:rsid w:val="00852042"/>
    <w:rsid w:val="008533CD"/>
    <w:rsid w:val="008534C9"/>
    <w:rsid w:val="00854384"/>
    <w:rsid w:val="0085599D"/>
    <w:rsid w:val="0085637C"/>
    <w:rsid w:val="00860295"/>
    <w:rsid w:val="00863D0B"/>
    <w:rsid w:val="008659E8"/>
    <w:rsid w:val="0086647B"/>
    <w:rsid w:val="00866D76"/>
    <w:rsid w:val="0087510C"/>
    <w:rsid w:val="008876E5"/>
    <w:rsid w:val="00891F1F"/>
    <w:rsid w:val="008968D2"/>
    <w:rsid w:val="0089738E"/>
    <w:rsid w:val="008A0E95"/>
    <w:rsid w:val="008B5FDB"/>
    <w:rsid w:val="008C232D"/>
    <w:rsid w:val="008C50F4"/>
    <w:rsid w:val="008C5649"/>
    <w:rsid w:val="008E2A25"/>
    <w:rsid w:val="008E44A2"/>
    <w:rsid w:val="008E59A2"/>
    <w:rsid w:val="008E697D"/>
    <w:rsid w:val="00901AA0"/>
    <w:rsid w:val="00903263"/>
    <w:rsid w:val="00903622"/>
    <w:rsid w:val="00906A21"/>
    <w:rsid w:val="00906E12"/>
    <w:rsid w:val="009079C3"/>
    <w:rsid w:val="00910462"/>
    <w:rsid w:val="00915AB1"/>
    <w:rsid w:val="00917532"/>
    <w:rsid w:val="009235BA"/>
    <w:rsid w:val="00924023"/>
    <w:rsid w:val="00924CE2"/>
    <w:rsid w:val="009255E0"/>
    <w:rsid w:val="00925B9F"/>
    <w:rsid w:val="009312C7"/>
    <w:rsid w:val="00931AED"/>
    <w:rsid w:val="00935DBE"/>
    <w:rsid w:val="009476A3"/>
    <w:rsid w:val="00947F1E"/>
    <w:rsid w:val="0095212F"/>
    <w:rsid w:val="0095334F"/>
    <w:rsid w:val="00956ABF"/>
    <w:rsid w:val="00957CE2"/>
    <w:rsid w:val="00964829"/>
    <w:rsid w:val="00965897"/>
    <w:rsid w:val="0096765C"/>
    <w:rsid w:val="009727E4"/>
    <w:rsid w:val="0097354C"/>
    <w:rsid w:val="00977B6C"/>
    <w:rsid w:val="009934C5"/>
    <w:rsid w:val="00994C0F"/>
    <w:rsid w:val="009A20DD"/>
    <w:rsid w:val="009A5BBE"/>
    <w:rsid w:val="009B22D7"/>
    <w:rsid w:val="009B4477"/>
    <w:rsid w:val="009B72ED"/>
    <w:rsid w:val="009C361D"/>
    <w:rsid w:val="009C6DEB"/>
    <w:rsid w:val="009D206B"/>
    <w:rsid w:val="009D45E4"/>
    <w:rsid w:val="009D6504"/>
    <w:rsid w:val="009E12D7"/>
    <w:rsid w:val="009E661A"/>
    <w:rsid w:val="009F2894"/>
    <w:rsid w:val="00A034B4"/>
    <w:rsid w:val="00A06781"/>
    <w:rsid w:val="00A074C3"/>
    <w:rsid w:val="00A07786"/>
    <w:rsid w:val="00A1509C"/>
    <w:rsid w:val="00A248F5"/>
    <w:rsid w:val="00A249B9"/>
    <w:rsid w:val="00A26772"/>
    <w:rsid w:val="00A34260"/>
    <w:rsid w:val="00A4398A"/>
    <w:rsid w:val="00A44EF8"/>
    <w:rsid w:val="00A70CFD"/>
    <w:rsid w:val="00A72A0B"/>
    <w:rsid w:val="00A73D04"/>
    <w:rsid w:val="00A746D5"/>
    <w:rsid w:val="00A8017D"/>
    <w:rsid w:val="00A81E42"/>
    <w:rsid w:val="00A864FE"/>
    <w:rsid w:val="00A86F41"/>
    <w:rsid w:val="00A87D04"/>
    <w:rsid w:val="00A92E66"/>
    <w:rsid w:val="00A950C5"/>
    <w:rsid w:val="00A958CA"/>
    <w:rsid w:val="00AA1D25"/>
    <w:rsid w:val="00AA672F"/>
    <w:rsid w:val="00AB2B1A"/>
    <w:rsid w:val="00AB397F"/>
    <w:rsid w:val="00AB5832"/>
    <w:rsid w:val="00AC51F2"/>
    <w:rsid w:val="00AD03D6"/>
    <w:rsid w:val="00AD3269"/>
    <w:rsid w:val="00AE5066"/>
    <w:rsid w:val="00AE5E24"/>
    <w:rsid w:val="00AE61B7"/>
    <w:rsid w:val="00AE6CBA"/>
    <w:rsid w:val="00AE79AD"/>
    <w:rsid w:val="00AF1595"/>
    <w:rsid w:val="00AF1A7F"/>
    <w:rsid w:val="00AF35E4"/>
    <w:rsid w:val="00AF5CDE"/>
    <w:rsid w:val="00AF6502"/>
    <w:rsid w:val="00AF6C8F"/>
    <w:rsid w:val="00B02C25"/>
    <w:rsid w:val="00B07989"/>
    <w:rsid w:val="00B11A57"/>
    <w:rsid w:val="00B141A7"/>
    <w:rsid w:val="00B211C3"/>
    <w:rsid w:val="00B22895"/>
    <w:rsid w:val="00B25597"/>
    <w:rsid w:val="00B267B9"/>
    <w:rsid w:val="00B326F3"/>
    <w:rsid w:val="00B33E09"/>
    <w:rsid w:val="00B36498"/>
    <w:rsid w:val="00B41E51"/>
    <w:rsid w:val="00B43A21"/>
    <w:rsid w:val="00B44ADE"/>
    <w:rsid w:val="00B50708"/>
    <w:rsid w:val="00B50C68"/>
    <w:rsid w:val="00B51293"/>
    <w:rsid w:val="00B51C40"/>
    <w:rsid w:val="00B52A21"/>
    <w:rsid w:val="00B52B1E"/>
    <w:rsid w:val="00B55481"/>
    <w:rsid w:val="00B56C32"/>
    <w:rsid w:val="00B57ACF"/>
    <w:rsid w:val="00B64BB1"/>
    <w:rsid w:val="00B72B52"/>
    <w:rsid w:val="00B73166"/>
    <w:rsid w:val="00B8426C"/>
    <w:rsid w:val="00B8656B"/>
    <w:rsid w:val="00B866BC"/>
    <w:rsid w:val="00B91B8D"/>
    <w:rsid w:val="00B94E90"/>
    <w:rsid w:val="00BA4658"/>
    <w:rsid w:val="00BB0A82"/>
    <w:rsid w:val="00BB7C94"/>
    <w:rsid w:val="00BC084B"/>
    <w:rsid w:val="00BC0A9D"/>
    <w:rsid w:val="00BD4581"/>
    <w:rsid w:val="00BF3569"/>
    <w:rsid w:val="00BF40ED"/>
    <w:rsid w:val="00BF5BC2"/>
    <w:rsid w:val="00C01FDF"/>
    <w:rsid w:val="00C112C4"/>
    <w:rsid w:val="00C1133D"/>
    <w:rsid w:val="00C11FA2"/>
    <w:rsid w:val="00C12CC1"/>
    <w:rsid w:val="00C27A08"/>
    <w:rsid w:val="00C31312"/>
    <w:rsid w:val="00C31E36"/>
    <w:rsid w:val="00C324BE"/>
    <w:rsid w:val="00C326C6"/>
    <w:rsid w:val="00C35295"/>
    <w:rsid w:val="00C36ADD"/>
    <w:rsid w:val="00C36E74"/>
    <w:rsid w:val="00C40595"/>
    <w:rsid w:val="00C41621"/>
    <w:rsid w:val="00C449FA"/>
    <w:rsid w:val="00C47943"/>
    <w:rsid w:val="00C51EFD"/>
    <w:rsid w:val="00C5384F"/>
    <w:rsid w:val="00C56964"/>
    <w:rsid w:val="00C618D1"/>
    <w:rsid w:val="00C656D5"/>
    <w:rsid w:val="00C67103"/>
    <w:rsid w:val="00C71BB9"/>
    <w:rsid w:val="00C80118"/>
    <w:rsid w:val="00C91A72"/>
    <w:rsid w:val="00C94C28"/>
    <w:rsid w:val="00C97921"/>
    <w:rsid w:val="00CB0247"/>
    <w:rsid w:val="00CB3440"/>
    <w:rsid w:val="00CB3DD0"/>
    <w:rsid w:val="00CB691B"/>
    <w:rsid w:val="00CC1692"/>
    <w:rsid w:val="00CC7AFA"/>
    <w:rsid w:val="00CD138B"/>
    <w:rsid w:val="00CD25C1"/>
    <w:rsid w:val="00CD3227"/>
    <w:rsid w:val="00CD3E31"/>
    <w:rsid w:val="00CD74A3"/>
    <w:rsid w:val="00CE0527"/>
    <w:rsid w:val="00CE4F54"/>
    <w:rsid w:val="00CE5B23"/>
    <w:rsid w:val="00CF357E"/>
    <w:rsid w:val="00CF70AD"/>
    <w:rsid w:val="00CF7729"/>
    <w:rsid w:val="00D00059"/>
    <w:rsid w:val="00D044D4"/>
    <w:rsid w:val="00D04FA7"/>
    <w:rsid w:val="00D066AD"/>
    <w:rsid w:val="00D107FA"/>
    <w:rsid w:val="00D12275"/>
    <w:rsid w:val="00D12766"/>
    <w:rsid w:val="00D20FF4"/>
    <w:rsid w:val="00D24D2C"/>
    <w:rsid w:val="00D31772"/>
    <w:rsid w:val="00D346A9"/>
    <w:rsid w:val="00D35881"/>
    <w:rsid w:val="00D45A9E"/>
    <w:rsid w:val="00D576C4"/>
    <w:rsid w:val="00D75839"/>
    <w:rsid w:val="00D8179E"/>
    <w:rsid w:val="00D85E75"/>
    <w:rsid w:val="00D9396E"/>
    <w:rsid w:val="00D966F0"/>
    <w:rsid w:val="00DA37EA"/>
    <w:rsid w:val="00DA5E68"/>
    <w:rsid w:val="00DA7DA5"/>
    <w:rsid w:val="00DB073B"/>
    <w:rsid w:val="00DB48BB"/>
    <w:rsid w:val="00DB68DA"/>
    <w:rsid w:val="00DB78F0"/>
    <w:rsid w:val="00DC0CEA"/>
    <w:rsid w:val="00DC1363"/>
    <w:rsid w:val="00DC23E1"/>
    <w:rsid w:val="00DC2E43"/>
    <w:rsid w:val="00DD095C"/>
    <w:rsid w:val="00DD1020"/>
    <w:rsid w:val="00DD1330"/>
    <w:rsid w:val="00DD3A66"/>
    <w:rsid w:val="00DD4678"/>
    <w:rsid w:val="00DE003D"/>
    <w:rsid w:val="00DE0B83"/>
    <w:rsid w:val="00DE1A81"/>
    <w:rsid w:val="00DE1C13"/>
    <w:rsid w:val="00DE310A"/>
    <w:rsid w:val="00DE4E10"/>
    <w:rsid w:val="00E00516"/>
    <w:rsid w:val="00E02ABF"/>
    <w:rsid w:val="00E079CD"/>
    <w:rsid w:val="00E118D5"/>
    <w:rsid w:val="00E14995"/>
    <w:rsid w:val="00E1637B"/>
    <w:rsid w:val="00E16E3A"/>
    <w:rsid w:val="00E179CD"/>
    <w:rsid w:val="00E23E8D"/>
    <w:rsid w:val="00E24B21"/>
    <w:rsid w:val="00E2513C"/>
    <w:rsid w:val="00E3749B"/>
    <w:rsid w:val="00E37F98"/>
    <w:rsid w:val="00E46559"/>
    <w:rsid w:val="00E54134"/>
    <w:rsid w:val="00E617DD"/>
    <w:rsid w:val="00E65BDF"/>
    <w:rsid w:val="00E6670C"/>
    <w:rsid w:val="00E66F9D"/>
    <w:rsid w:val="00E7502F"/>
    <w:rsid w:val="00E75A1F"/>
    <w:rsid w:val="00E77008"/>
    <w:rsid w:val="00E776E8"/>
    <w:rsid w:val="00E84640"/>
    <w:rsid w:val="00E8499A"/>
    <w:rsid w:val="00E92C1F"/>
    <w:rsid w:val="00E95D4B"/>
    <w:rsid w:val="00EA1F10"/>
    <w:rsid w:val="00EA3D2B"/>
    <w:rsid w:val="00EB199F"/>
    <w:rsid w:val="00EC23F7"/>
    <w:rsid w:val="00EC4BD8"/>
    <w:rsid w:val="00EC63EB"/>
    <w:rsid w:val="00ED412F"/>
    <w:rsid w:val="00ED7501"/>
    <w:rsid w:val="00EE2DFA"/>
    <w:rsid w:val="00EF36B2"/>
    <w:rsid w:val="00EF5658"/>
    <w:rsid w:val="00F00F6A"/>
    <w:rsid w:val="00F01214"/>
    <w:rsid w:val="00F02F76"/>
    <w:rsid w:val="00F1246B"/>
    <w:rsid w:val="00F12B44"/>
    <w:rsid w:val="00F201EC"/>
    <w:rsid w:val="00F208A9"/>
    <w:rsid w:val="00F33D6C"/>
    <w:rsid w:val="00F4055F"/>
    <w:rsid w:val="00F41D75"/>
    <w:rsid w:val="00F42B19"/>
    <w:rsid w:val="00F44E34"/>
    <w:rsid w:val="00F4585D"/>
    <w:rsid w:val="00F5139D"/>
    <w:rsid w:val="00F53261"/>
    <w:rsid w:val="00F63DAC"/>
    <w:rsid w:val="00F703B6"/>
    <w:rsid w:val="00F7454F"/>
    <w:rsid w:val="00F77988"/>
    <w:rsid w:val="00F77F48"/>
    <w:rsid w:val="00F8538D"/>
    <w:rsid w:val="00F927BE"/>
    <w:rsid w:val="00FA2E72"/>
    <w:rsid w:val="00FA6DEF"/>
    <w:rsid w:val="00FB30F1"/>
    <w:rsid w:val="00FB53E7"/>
    <w:rsid w:val="00FB7199"/>
    <w:rsid w:val="00FC069D"/>
    <w:rsid w:val="00FC77BD"/>
    <w:rsid w:val="00FD2A8A"/>
    <w:rsid w:val="00FD48E7"/>
    <w:rsid w:val="00FE1013"/>
    <w:rsid w:val="00FE1969"/>
    <w:rsid w:val="00FF2F9B"/>
    <w:rsid w:val="00FF481C"/>
    <w:rsid w:val="00FF6BC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B951DF-B959-442A-A000-DE323913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5649"/>
    <w:pPr>
      <w:tabs>
        <w:tab w:val="center" w:pos="4153"/>
        <w:tab w:val="right" w:pos="8306"/>
      </w:tabs>
    </w:pPr>
  </w:style>
  <w:style w:type="character" w:styleId="PageNumber">
    <w:name w:val="page number"/>
    <w:basedOn w:val="DefaultParagraphFont"/>
    <w:rsid w:val="008C5649"/>
  </w:style>
  <w:style w:type="paragraph" w:customStyle="1" w:styleId="naisf">
    <w:name w:val="naisf"/>
    <w:basedOn w:val="Normal"/>
    <w:uiPriority w:val="99"/>
    <w:rsid w:val="008C5649"/>
    <w:pPr>
      <w:spacing w:before="75" w:after="75"/>
      <w:ind w:firstLine="375"/>
      <w:jc w:val="both"/>
    </w:pPr>
  </w:style>
  <w:style w:type="paragraph" w:customStyle="1" w:styleId="naisnod">
    <w:name w:val="naisnod"/>
    <w:basedOn w:val="Normal"/>
    <w:rsid w:val="008C5649"/>
    <w:pPr>
      <w:spacing w:before="150" w:after="150"/>
      <w:jc w:val="center"/>
    </w:pPr>
    <w:rPr>
      <w:b/>
      <w:bCs/>
    </w:rPr>
  </w:style>
  <w:style w:type="paragraph" w:customStyle="1" w:styleId="naislab">
    <w:name w:val="naislab"/>
    <w:basedOn w:val="Normal"/>
    <w:rsid w:val="008C5649"/>
    <w:pPr>
      <w:spacing w:before="75" w:after="75"/>
      <w:jc w:val="right"/>
    </w:pPr>
  </w:style>
  <w:style w:type="paragraph" w:customStyle="1" w:styleId="naiskr">
    <w:name w:val="naiskr"/>
    <w:basedOn w:val="Normal"/>
    <w:rsid w:val="008C5649"/>
    <w:pPr>
      <w:spacing w:before="75" w:after="75"/>
    </w:pPr>
  </w:style>
  <w:style w:type="paragraph" w:customStyle="1" w:styleId="naisc">
    <w:name w:val="naisc"/>
    <w:basedOn w:val="Normal"/>
    <w:rsid w:val="008C5649"/>
    <w:pPr>
      <w:spacing w:before="75" w:after="75"/>
      <w:jc w:val="center"/>
    </w:pPr>
  </w:style>
  <w:style w:type="character" w:customStyle="1" w:styleId="th1">
    <w:name w:val="th1"/>
    <w:rsid w:val="008C5649"/>
    <w:rPr>
      <w:b/>
      <w:bCs/>
      <w:color w:val="333333"/>
    </w:rPr>
  </w:style>
  <w:style w:type="character" w:styleId="CommentReference">
    <w:name w:val="annotation reference"/>
    <w:semiHidden/>
    <w:rsid w:val="008C5649"/>
    <w:rPr>
      <w:sz w:val="16"/>
      <w:szCs w:val="16"/>
    </w:rPr>
  </w:style>
  <w:style w:type="paragraph" w:styleId="CommentText">
    <w:name w:val="annotation text"/>
    <w:basedOn w:val="Normal"/>
    <w:link w:val="CommentTextChar"/>
    <w:semiHidden/>
    <w:rsid w:val="008C5649"/>
    <w:rPr>
      <w:sz w:val="20"/>
      <w:szCs w:val="20"/>
    </w:rPr>
  </w:style>
  <w:style w:type="character" w:customStyle="1" w:styleId="CommentTextChar">
    <w:name w:val="Comment Text Char"/>
    <w:link w:val="CommentText"/>
    <w:semiHidden/>
    <w:rsid w:val="008C5649"/>
    <w:rPr>
      <w:lang w:val="lv-LV" w:eastAsia="lv-LV" w:bidi="ar-SA"/>
    </w:rPr>
  </w:style>
  <w:style w:type="paragraph" w:styleId="BalloonText">
    <w:name w:val="Balloon Text"/>
    <w:basedOn w:val="Normal"/>
    <w:semiHidden/>
    <w:rsid w:val="008C5649"/>
    <w:rPr>
      <w:rFonts w:ascii="Tahoma" w:hAnsi="Tahoma" w:cs="Tahoma"/>
      <w:sz w:val="16"/>
      <w:szCs w:val="16"/>
    </w:rPr>
  </w:style>
  <w:style w:type="table" w:styleId="TableGrid">
    <w:name w:val="Table Grid"/>
    <w:basedOn w:val="TableNormal"/>
    <w:rsid w:val="008C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C5649"/>
    <w:rPr>
      <w:sz w:val="20"/>
      <w:szCs w:val="20"/>
    </w:rPr>
  </w:style>
  <w:style w:type="character" w:styleId="FootnoteReference">
    <w:name w:val="footnote reference"/>
    <w:uiPriority w:val="99"/>
    <w:semiHidden/>
    <w:rsid w:val="008C5649"/>
    <w:rPr>
      <w:vertAlign w:val="superscript"/>
    </w:rPr>
  </w:style>
  <w:style w:type="paragraph" w:styleId="CommentSubject">
    <w:name w:val="annotation subject"/>
    <w:basedOn w:val="CommentText"/>
    <w:next w:val="CommentText"/>
    <w:semiHidden/>
    <w:rsid w:val="00262E2B"/>
    <w:rPr>
      <w:b/>
      <w:bCs/>
    </w:rPr>
  </w:style>
  <w:style w:type="paragraph" w:styleId="Footer">
    <w:name w:val="footer"/>
    <w:basedOn w:val="Normal"/>
    <w:link w:val="FooterChar"/>
    <w:rsid w:val="00262E2B"/>
    <w:pPr>
      <w:tabs>
        <w:tab w:val="center" w:pos="4153"/>
        <w:tab w:val="right" w:pos="8306"/>
      </w:tabs>
    </w:pPr>
  </w:style>
  <w:style w:type="character" w:customStyle="1" w:styleId="FooterChar">
    <w:name w:val="Footer Char"/>
    <w:link w:val="Footer"/>
    <w:semiHidden/>
    <w:rsid w:val="00231344"/>
    <w:rPr>
      <w:sz w:val="24"/>
      <w:szCs w:val="24"/>
      <w:lang w:val="lv-LV" w:eastAsia="lv-LV" w:bidi="ar-SA"/>
    </w:rPr>
  </w:style>
  <w:style w:type="character" w:styleId="Hyperlink">
    <w:name w:val="Hyperlink"/>
    <w:uiPriority w:val="99"/>
    <w:rsid w:val="007004FC"/>
    <w:rPr>
      <w:color w:val="0000FF"/>
      <w:u w:val="single"/>
    </w:rPr>
  </w:style>
  <w:style w:type="paragraph" w:styleId="DocumentMap">
    <w:name w:val="Document Map"/>
    <w:basedOn w:val="Normal"/>
    <w:semiHidden/>
    <w:rsid w:val="00846994"/>
    <w:pPr>
      <w:shd w:val="clear" w:color="auto" w:fill="000080"/>
    </w:pPr>
    <w:rPr>
      <w:rFonts w:ascii="Tahoma" w:hAnsi="Tahoma" w:cs="Tahoma"/>
      <w:sz w:val="20"/>
      <w:szCs w:val="20"/>
    </w:rPr>
  </w:style>
  <w:style w:type="paragraph" w:customStyle="1" w:styleId="tvhtml">
    <w:name w:val="tv_html"/>
    <w:basedOn w:val="Normal"/>
    <w:rsid w:val="00A26772"/>
    <w:pPr>
      <w:spacing w:before="100" w:beforeAutospacing="1" w:after="100" w:afterAutospacing="1"/>
    </w:pPr>
    <w:rPr>
      <w:rFonts w:ascii="Verdana" w:hAnsi="Verdana"/>
      <w:sz w:val="18"/>
      <w:szCs w:val="18"/>
    </w:rPr>
  </w:style>
  <w:style w:type="character" w:customStyle="1" w:styleId="apple-converted-space">
    <w:name w:val="apple-converted-space"/>
    <w:basedOn w:val="DefaultParagraphFont"/>
    <w:rsid w:val="00C618D1"/>
  </w:style>
  <w:style w:type="character" w:styleId="Emphasis">
    <w:name w:val="Emphasis"/>
    <w:uiPriority w:val="20"/>
    <w:qFormat/>
    <w:rsid w:val="00FA2E72"/>
    <w:rPr>
      <w:i/>
      <w:iCs/>
    </w:rPr>
  </w:style>
  <w:style w:type="character" w:styleId="Strong">
    <w:name w:val="Strong"/>
    <w:uiPriority w:val="22"/>
    <w:qFormat/>
    <w:rsid w:val="00241328"/>
    <w:rPr>
      <w:b/>
      <w:bCs/>
    </w:rPr>
  </w:style>
  <w:style w:type="paragraph" w:styleId="BodyText">
    <w:name w:val="Body Text"/>
    <w:basedOn w:val="Normal"/>
    <w:link w:val="BodyTextChar"/>
    <w:unhideWhenUsed/>
    <w:rsid w:val="00E77008"/>
    <w:rPr>
      <w:sz w:val="28"/>
      <w:lang w:eastAsia="en-US"/>
    </w:rPr>
  </w:style>
  <w:style w:type="character" w:customStyle="1" w:styleId="BodyTextChar">
    <w:name w:val="Body Text Char"/>
    <w:link w:val="BodyText"/>
    <w:rsid w:val="00E77008"/>
    <w:rPr>
      <w:sz w:val="28"/>
      <w:szCs w:val="24"/>
      <w:lang w:eastAsia="en-US"/>
    </w:rPr>
  </w:style>
  <w:style w:type="paragraph" w:styleId="ListParagraph">
    <w:name w:val="List Paragraph"/>
    <w:basedOn w:val="Normal"/>
    <w:uiPriority w:val="34"/>
    <w:qFormat/>
    <w:rsid w:val="00D45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25059-1CCA-4E8C-B17E-26C55661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13763</Words>
  <Characters>7845</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Izglītības un zinātnes ministrija</Company>
  <LinksUpToDate>false</LinksUpToDate>
  <CharactersWithSpaces>21565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anotācijas projekts</dc:subject>
  <dc:creator>Linda Upīte</dc:creator>
  <cp:lastModifiedBy>Linda Upīte</cp:lastModifiedBy>
  <cp:revision>27</cp:revision>
  <cp:lastPrinted>2016-11-22T06:40:00Z</cp:lastPrinted>
  <dcterms:created xsi:type="dcterms:W3CDTF">2016-12-22T07:07:00Z</dcterms:created>
  <dcterms:modified xsi:type="dcterms:W3CDTF">2018-01-04T12:30:00Z</dcterms:modified>
</cp:coreProperties>
</file>