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2A8" w:rsidRPr="009708B6" w:rsidRDefault="008312A8" w:rsidP="009708B6">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lang w:eastAsia="lv-LV"/>
        </w:rPr>
      </w:pPr>
      <w:bookmarkStart w:id="0" w:name="OLE_LINK11"/>
      <w:bookmarkStart w:id="1" w:name="OLE_LINK12"/>
      <w:r w:rsidRPr="009708B6">
        <w:rPr>
          <w:rFonts w:ascii="Times New Roman" w:eastAsia="Times New Roman" w:hAnsi="Times New Roman" w:cs="Times New Roman"/>
          <w:b/>
          <w:bCs/>
          <w:color w:val="000000" w:themeColor="text1"/>
          <w:sz w:val="24"/>
          <w:szCs w:val="24"/>
          <w:lang w:eastAsia="lv-LV"/>
        </w:rPr>
        <w:t>Ministru kabineta noteikumu projekta</w:t>
      </w:r>
    </w:p>
    <w:p w:rsidR="00311732" w:rsidRPr="009708B6" w:rsidRDefault="008312A8" w:rsidP="009708B6">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lang w:eastAsia="lv-LV"/>
        </w:rPr>
      </w:pPr>
      <w:r w:rsidRPr="009708B6">
        <w:rPr>
          <w:rFonts w:ascii="Times New Roman" w:eastAsia="Times New Roman" w:hAnsi="Times New Roman" w:cs="Times New Roman"/>
          <w:b/>
          <w:bCs/>
          <w:color w:val="000000" w:themeColor="text1"/>
          <w:sz w:val="24"/>
          <w:szCs w:val="24"/>
          <w:lang w:eastAsia="lv-LV"/>
        </w:rPr>
        <w:t xml:space="preserve"> </w:t>
      </w:r>
      <w:r w:rsidR="00311732" w:rsidRPr="009708B6">
        <w:rPr>
          <w:rFonts w:ascii="Times New Roman" w:eastAsia="Times New Roman" w:hAnsi="Times New Roman" w:cs="Times New Roman"/>
          <w:b/>
          <w:bCs/>
          <w:color w:val="000000" w:themeColor="text1"/>
          <w:sz w:val="24"/>
          <w:szCs w:val="24"/>
          <w:lang w:eastAsia="lv-LV"/>
        </w:rPr>
        <w:t>„</w:t>
      </w:r>
      <w:r w:rsidRPr="009708B6">
        <w:rPr>
          <w:rFonts w:ascii="Times New Roman" w:hAnsi="Times New Roman" w:cs="Times New Roman"/>
          <w:b/>
          <w:sz w:val="24"/>
          <w:szCs w:val="24"/>
          <w:lang w:eastAsia="lv-LV"/>
        </w:rPr>
        <w:t xml:space="preserve">Noteikumi par valsts nodevu par apraides atļaujas izsniegšanu, </w:t>
      </w:r>
      <w:r w:rsidRPr="009708B6">
        <w:rPr>
          <w:rFonts w:ascii="Times New Roman" w:hAnsi="Times New Roman" w:cs="Times New Roman"/>
          <w:b/>
          <w:sz w:val="24"/>
          <w:szCs w:val="24"/>
        </w:rPr>
        <w:t>apraides atļaujas pamatnosacījumu pārskatīšanu, retranslācijas atļaujas izsniegšanu, ikgadējo nodev</w:t>
      </w:r>
      <w:r w:rsidR="00311732" w:rsidRPr="009708B6">
        <w:rPr>
          <w:rFonts w:ascii="Times New Roman" w:hAnsi="Times New Roman" w:cs="Times New Roman"/>
          <w:b/>
          <w:sz w:val="24"/>
          <w:szCs w:val="24"/>
        </w:rPr>
        <w:t>u</w:t>
      </w:r>
      <w:r w:rsidRPr="009708B6">
        <w:rPr>
          <w:rFonts w:ascii="Times New Roman" w:hAnsi="Times New Roman" w:cs="Times New Roman"/>
          <w:b/>
          <w:sz w:val="24"/>
          <w:szCs w:val="24"/>
        </w:rPr>
        <w:t xml:space="preserve"> par apraides tiesību īstenošanas uzraudzību un ikgadējo nodevu par retranslācijas atļaujas pārreģistr</w:t>
      </w:r>
      <w:r w:rsidR="00C21F71" w:rsidRPr="009708B6">
        <w:rPr>
          <w:rFonts w:ascii="Times New Roman" w:hAnsi="Times New Roman" w:cs="Times New Roman"/>
          <w:b/>
          <w:sz w:val="24"/>
          <w:szCs w:val="24"/>
        </w:rPr>
        <w:t>āciju</w:t>
      </w:r>
      <w:r w:rsidRPr="009708B6">
        <w:rPr>
          <w:rFonts w:ascii="Times New Roman" w:eastAsia="Times New Roman" w:hAnsi="Times New Roman" w:cs="Times New Roman"/>
          <w:b/>
          <w:bCs/>
          <w:color w:val="000000" w:themeColor="text1"/>
          <w:sz w:val="24"/>
          <w:szCs w:val="24"/>
          <w:lang w:eastAsia="lv-LV"/>
        </w:rPr>
        <w:t>”</w:t>
      </w:r>
      <w:r w:rsidR="00311732" w:rsidRPr="009708B6">
        <w:rPr>
          <w:rFonts w:ascii="Times New Roman" w:eastAsia="Times New Roman" w:hAnsi="Times New Roman" w:cs="Times New Roman"/>
          <w:b/>
          <w:bCs/>
          <w:color w:val="000000" w:themeColor="text1"/>
          <w:sz w:val="24"/>
          <w:szCs w:val="24"/>
          <w:lang w:eastAsia="lv-LV"/>
        </w:rPr>
        <w:t xml:space="preserve"> </w:t>
      </w:r>
      <w:r w:rsidRPr="009708B6">
        <w:rPr>
          <w:rFonts w:ascii="Times New Roman" w:eastAsia="Times New Roman" w:hAnsi="Times New Roman" w:cs="Times New Roman"/>
          <w:b/>
          <w:bCs/>
          <w:color w:val="000000" w:themeColor="text1"/>
          <w:sz w:val="24"/>
          <w:szCs w:val="24"/>
          <w:lang w:eastAsia="lv-LV"/>
        </w:rPr>
        <w:t xml:space="preserve">sākotnējās ietekmes novērtējuma </w:t>
      </w:r>
    </w:p>
    <w:p w:rsidR="008312A8" w:rsidRPr="009708B6" w:rsidRDefault="008312A8" w:rsidP="009708B6">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lang w:eastAsia="lv-LV"/>
        </w:rPr>
      </w:pPr>
      <w:r w:rsidRPr="009708B6">
        <w:rPr>
          <w:rFonts w:ascii="Times New Roman" w:eastAsia="Times New Roman" w:hAnsi="Times New Roman" w:cs="Times New Roman"/>
          <w:b/>
          <w:bCs/>
          <w:color w:val="000000" w:themeColor="text1"/>
          <w:sz w:val="24"/>
          <w:szCs w:val="24"/>
          <w:lang w:eastAsia="lv-LV"/>
        </w:rPr>
        <w:t>ziņojums (anotācija)</w:t>
      </w:r>
    </w:p>
    <w:bookmarkEnd w:id="0"/>
    <w:bookmarkEnd w:id="1"/>
    <w:p w:rsidR="008312A8" w:rsidRPr="009708B6" w:rsidRDefault="008312A8" w:rsidP="009708B6">
      <w:pPr>
        <w:shd w:val="clear" w:color="auto" w:fill="FFFFFF" w:themeFill="background1"/>
        <w:spacing w:before="45" w:after="0" w:line="248" w:lineRule="atLeast"/>
        <w:ind w:firstLine="300"/>
        <w:jc w:val="center"/>
        <w:rPr>
          <w:rFonts w:ascii="Times New Roman" w:eastAsia="Times New Roman" w:hAnsi="Times New Roman" w:cs="Times New Roman"/>
          <w:iCs/>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827"/>
        <w:gridCol w:w="5836"/>
      </w:tblGrid>
      <w:tr w:rsidR="008312A8" w:rsidRPr="009708B6" w:rsidTr="00C11EDC">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312A8" w:rsidRPr="009708B6" w:rsidRDefault="008312A8" w:rsidP="009708B6">
            <w:pPr>
              <w:shd w:val="clear" w:color="auto" w:fill="FFFFFF" w:themeFill="background1"/>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708B6">
              <w:rPr>
                <w:rFonts w:ascii="Times New Roman" w:eastAsia="Times New Roman" w:hAnsi="Times New Roman" w:cs="Times New Roman"/>
                <w:b/>
                <w:bCs/>
                <w:color w:val="000000" w:themeColor="text1"/>
                <w:sz w:val="24"/>
                <w:szCs w:val="24"/>
                <w:lang w:eastAsia="lv-LV"/>
              </w:rPr>
              <w:t>I. Tiesību akta projekta izstrādes nepieciešamība</w:t>
            </w:r>
          </w:p>
        </w:tc>
      </w:tr>
      <w:tr w:rsidR="008312A8" w:rsidRPr="009708B6" w:rsidTr="00C11EDC">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312A8" w:rsidRPr="009708B6" w:rsidRDefault="008312A8" w:rsidP="009708B6">
            <w:pPr>
              <w:shd w:val="clear" w:color="auto" w:fill="FFFFFF" w:themeFill="background1"/>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9708B6">
              <w:rPr>
                <w:rFonts w:ascii="Times New Roman" w:eastAsia="Times New Roman" w:hAnsi="Times New Roman" w:cs="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312A8" w:rsidRPr="009708B6" w:rsidRDefault="008312A8" w:rsidP="009708B6">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lv-LV"/>
              </w:rPr>
            </w:pPr>
            <w:r w:rsidRPr="009708B6">
              <w:rPr>
                <w:rFonts w:ascii="Times New Roman" w:eastAsia="Times New Roman" w:hAnsi="Times New Roman" w:cs="Times New Roman"/>
                <w:color w:val="000000" w:themeColor="text1"/>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312A8" w:rsidRPr="009708B6" w:rsidRDefault="00311732" w:rsidP="009708B6">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lang w:eastAsia="lv-LV"/>
              </w:rPr>
            </w:pPr>
            <w:r w:rsidRPr="009708B6">
              <w:rPr>
                <w:rFonts w:ascii="Times New Roman" w:eastAsia="Times New Roman" w:hAnsi="Times New Roman" w:cs="Times New Roman"/>
                <w:bCs/>
                <w:color w:val="000000" w:themeColor="text1"/>
                <w:sz w:val="24"/>
                <w:szCs w:val="24"/>
                <w:lang w:eastAsia="lv-LV"/>
              </w:rPr>
              <w:t>Ministru kabineta noteikumu projekta „</w:t>
            </w:r>
            <w:r w:rsidRPr="009708B6">
              <w:rPr>
                <w:rFonts w:ascii="Times New Roman" w:eastAsia="Times New Roman" w:hAnsi="Times New Roman" w:cs="Times New Roman"/>
                <w:color w:val="000000" w:themeColor="text1"/>
                <w:sz w:val="24"/>
                <w:szCs w:val="24"/>
                <w:lang w:eastAsia="lv-LV"/>
              </w:rPr>
              <w:t>Noteikumi par valsts nodevu par apraides atļaujas izsniegšanu, apraides atļaujas pamatnosacījumu pārskatīšanu, retranslācijas atļaujas izsniegšanu, ikgadējo nodevu par apraides tiesību īstenošanas uzraudzību un ikgadējo nodevu par retranslācijas atļaujas pārreģistr</w:t>
            </w:r>
            <w:r w:rsidR="00C21F71" w:rsidRPr="009708B6">
              <w:rPr>
                <w:rFonts w:ascii="Times New Roman" w:eastAsia="Times New Roman" w:hAnsi="Times New Roman" w:cs="Times New Roman"/>
                <w:color w:val="000000" w:themeColor="text1"/>
                <w:sz w:val="24"/>
                <w:szCs w:val="24"/>
                <w:lang w:eastAsia="lv-LV"/>
              </w:rPr>
              <w:t>āciju</w:t>
            </w:r>
            <w:r w:rsidRPr="009708B6">
              <w:rPr>
                <w:rFonts w:ascii="Times New Roman" w:eastAsia="Times New Roman" w:hAnsi="Times New Roman" w:cs="Times New Roman"/>
                <w:bCs/>
                <w:color w:val="000000" w:themeColor="text1"/>
                <w:sz w:val="24"/>
                <w:szCs w:val="24"/>
                <w:lang w:eastAsia="lv-LV"/>
              </w:rPr>
              <w:t>” (turpmāk –</w:t>
            </w:r>
            <w:r w:rsidRPr="009708B6">
              <w:rPr>
                <w:rFonts w:ascii="Times New Roman" w:eastAsia="Times New Roman" w:hAnsi="Times New Roman" w:cs="Times New Roman"/>
                <w:b/>
                <w:bCs/>
                <w:color w:val="000000" w:themeColor="text1"/>
                <w:sz w:val="24"/>
                <w:szCs w:val="24"/>
                <w:lang w:eastAsia="lv-LV"/>
              </w:rPr>
              <w:t xml:space="preserve"> </w:t>
            </w:r>
            <w:r w:rsidR="008312A8" w:rsidRPr="009708B6">
              <w:rPr>
                <w:rFonts w:ascii="Times New Roman" w:eastAsia="Times New Roman" w:hAnsi="Times New Roman" w:cs="Times New Roman"/>
                <w:color w:val="000000" w:themeColor="text1"/>
                <w:sz w:val="24"/>
                <w:szCs w:val="24"/>
                <w:lang w:eastAsia="lv-LV"/>
              </w:rPr>
              <w:t>Projekt</w:t>
            </w:r>
            <w:r w:rsidRPr="009708B6">
              <w:rPr>
                <w:rFonts w:ascii="Times New Roman" w:eastAsia="Times New Roman" w:hAnsi="Times New Roman" w:cs="Times New Roman"/>
                <w:color w:val="000000" w:themeColor="text1"/>
                <w:sz w:val="24"/>
                <w:szCs w:val="24"/>
                <w:lang w:eastAsia="lv-LV"/>
              </w:rPr>
              <w:t>s)</w:t>
            </w:r>
            <w:r w:rsidR="008312A8" w:rsidRPr="009708B6">
              <w:rPr>
                <w:rFonts w:ascii="Times New Roman" w:eastAsia="Times New Roman" w:hAnsi="Times New Roman" w:cs="Times New Roman"/>
                <w:color w:val="000000" w:themeColor="text1"/>
                <w:sz w:val="24"/>
                <w:szCs w:val="24"/>
                <w:lang w:eastAsia="lv-LV"/>
              </w:rPr>
              <w:t xml:space="preserve"> izstrādes nepieciešamība izriet no grozījumiem Elektronisko plašsaziņas līdzekļu likumā (turpmāk – EPLL), kuru mērķis ir padarīt</w:t>
            </w:r>
            <w:r w:rsidR="008312A8" w:rsidRPr="009708B6">
              <w:rPr>
                <w:rFonts w:ascii="Times New Roman" w:hAnsi="Times New Roman" w:cs="Times New Roman"/>
                <w:color w:val="000000" w:themeColor="text1"/>
                <w:sz w:val="24"/>
                <w:szCs w:val="24"/>
              </w:rPr>
              <w:t xml:space="preserve"> efektīvāku Nacionālās elektronisko plašsaziņas līdzekļu padomes (turpmāk – NEPLP) īstenoto uzraudzību, sasniegt noteiktus politikas mērķus un arī segt daļu NEPLP izdevumu.</w:t>
            </w:r>
          </w:p>
        </w:tc>
      </w:tr>
      <w:tr w:rsidR="008312A8" w:rsidRPr="009708B6" w:rsidTr="00BD56FA">
        <w:trPr>
          <w:trHeight w:val="3783"/>
        </w:trPr>
        <w:tc>
          <w:tcPr>
            <w:tcW w:w="250" w:type="pct"/>
            <w:tcBorders>
              <w:top w:val="outset" w:sz="6" w:space="0" w:color="414142"/>
              <w:left w:val="outset" w:sz="6" w:space="0" w:color="414142"/>
              <w:bottom w:val="outset" w:sz="6" w:space="0" w:color="414142"/>
              <w:right w:val="outset" w:sz="6" w:space="0" w:color="414142"/>
            </w:tcBorders>
            <w:hideMark/>
          </w:tcPr>
          <w:p w:rsidR="008312A8" w:rsidRPr="009708B6" w:rsidRDefault="008312A8" w:rsidP="009708B6">
            <w:pPr>
              <w:shd w:val="clear" w:color="auto" w:fill="FFFFFF" w:themeFill="background1"/>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9708B6">
              <w:rPr>
                <w:rFonts w:ascii="Times New Roman" w:eastAsia="Times New Roman" w:hAnsi="Times New Roman" w:cs="Times New Roman"/>
                <w:color w:val="000000" w:themeColor="text1"/>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E00E3A" w:rsidRPr="009708B6" w:rsidRDefault="008312A8" w:rsidP="009708B6">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lv-LV"/>
              </w:rPr>
            </w:pPr>
            <w:r w:rsidRPr="009708B6">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p w:rsidR="008312A8" w:rsidRPr="009708B6" w:rsidRDefault="008312A8" w:rsidP="009708B6">
            <w:pPr>
              <w:shd w:val="clear" w:color="auto" w:fill="FFFFFF" w:themeFill="background1"/>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8312A8" w:rsidRPr="009708B6" w:rsidRDefault="008312A8" w:rsidP="009708B6">
            <w:pPr>
              <w:shd w:val="clear" w:color="auto" w:fill="FFFFFF" w:themeFill="background1"/>
              <w:spacing w:line="240" w:lineRule="auto"/>
              <w:jc w:val="both"/>
              <w:rPr>
                <w:rFonts w:ascii="Times New Roman" w:hAnsi="Times New Roman" w:cs="Times New Roman"/>
                <w:b/>
                <w:color w:val="000000" w:themeColor="text1"/>
                <w:sz w:val="24"/>
                <w:szCs w:val="24"/>
              </w:rPr>
            </w:pPr>
            <w:r w:rsidRPr="009708B6">
              <w:rPr>
                <w:rFonts w:ascii="Times New Roman" w:hAnsi="Times New Roman" w:cs="Times New Roman"/>
                <w:b/>
                <w:color w:val="000000" w:themeColor="text1"/>
                <w:sz w:val="24"/>
                <w:szCs w:val="24"/>
              </w:rPr>
              <w:t>Tiesiskais regulējums</w:t>
            </w:r>
          </w:p>
          <w:p w:rsidR="008312A8" w:rsidRPr="009708B6" w:rsidRDefault="008312A8" w:rsidP="009708B6">
            <w:pPr>
              <w:shd w:val="clear" w:color="auto" w:fill="FFFFFF" w:themeFill="background1"/>
              <w:spacing w:line="240" w:lineRule="auto"/>
              <w:jc w:val="both"/>
              <w:rPr>
                <w:rFonts w:ascii="Times New Roman" w:hAnsi="Times New Roman" w:cs="Times New Roman"/>
                <w:color w:val="000000" w:themeColor="text1"/>
                <w:sz w:val="24"/>
                <w:szCs w:val="24"/>
              </w:rPr>
            </w:pPr>
            <w:r w:rsidRPr="009708B6">
              <w:rPr>
                <w:rFonts w:ascii="Times New Roman" w:hAnsi="Times New Roman" w:cs="Times New Roman"/>
                <w:color w:val="000000" w:themeColor="text1"/>
                <w:sz w:val="24"/>
                <w:szCs w:val="24"/>
              </w:rPr>
              <w:t xml:space="preserve">Apraides tiesību īstenošanas uzraudzība nereti prasa būtiskus resursus no NEPLP, tai skaitā attiecībā uz pārrobežu televīzijas programmām, kuras Latvijā nav uztveramas. Šobrīd ir paredzēta tikai valsts nodeva par apraides atļaujas izsniegšanu, bet nepastāv ikgadēji maksājumi, kā tas ir virknē citu valstu. Arī attiecībā uz retranslācijas atļauju nepastāv diferencēts valsts nodevas apmērs atkarībā no izplatīto programmu skaita. Esošā kārtība nenodrošina politikas mērķu sasniegšanu, kā arī īstenotās uzraudzības izdevumu segšanu. </w:t>
            </w:r>
          </w:p>
          <w:p w:rsidR="008312A8" w:rsidRPr="009708B6" w:rsidRDefault="008312A8" w:rsidP="009708B6">
            <w:pPr>
              <w:shd w:val="clear" w:color="auto" w:fill="FFFFFF" w:themeFill="background1"/>
              <w:spacing w:line="240" w:lineRule="auto"/>
              <w:jc w:val="both"/>
              <w:rPr>
                <w:rFonts w:ascii="Times New Roman" w:hAnsi="Times New Roman" w:cs="Times New Roman"/>
                <w:color w:val="000000" w:themeColor="text1"/>
                <w:sz w:val="24"/>
                <w:szCs w:val="24"/>
              </w:rPr>
            </w:pPr>
            <w:r w:rsidRPr="009708B6">
              <w:rPr>
                <w:rFonts w:ascii="Times New Roman" w:hAnsi="Times New Roman" w:cs="Times New Roman"/>
                <w:color w:val="000000" w:themeColor="text1"/>
                <w:sz w:val="24"/>
                <w:szCs w:val="24"/>
              </w:rPr>
              <w:t xml:space="preserve">Izstrādātie grozījumi EPLL paredz, ka par apraides tiesību īstenošanas uzraudzību maksā ikgadējo valsts nodevu attiecībā uz komerciālo pārrobežu televīzijas programmu vai komerciālo nacionālo televīzijas programmu. Ikgadējā nodevas mērķis ir kompetentās institūcijas uzraudzības funkcijas nodrošināšana un latviešu valodas īpatsvara palielināšana šajās programmās. Paredzot papildu valsts nodevas un nosakot atvieglojumus no tām, būs iespējams sasniegt papildu politikas mērķus. </w:t>
            </w:r>
          </w:p>
          <w:p w:rsidR="008312A8" w:rsidRPr="009708B6" w:rsidRDefault="008312A8" w:rsidP="009708B6">
            <w:pPr>
              <w:shd w:val="clear" w:color="auto" w:fill="FFFFFF" w:themeFill="background1"/>
              <w:spacing w:line="240" w:lineRule="auto"/>
              <w:jc w:val="both"/>
              <w:rPr>
                <w:rFonts w:ascii="Times New Roman" w:hAnsi="Times New Roman" w:cs="Times New Roman"/>
                <w:color w:val="000000" w:themeColor="text1"/>
                <w:sz w:val="24"/>
                <w:szCs w:val="24"/>
              </w:rPr>
            </w:pPr>
            <w:r w:rsidRPr="009708B6">
              <w:rPr>
                <w:rFonts w:ascii="Times New Roman" w:hAnsi="Times New Roman" w:cs="Times New Roman"/>
                <w:color w:val="000000" w:themeColor="text1"/>
                <w:sz w:val="24"/>
                <w:szCs w:val="24"/>
              </w:rPr>
              <w:t xml:space="preserve">Pirmkārt, ikgadējā apraides tiesību īstenošanas uzraudzības nodeva ne tikai ļaus segt papildu izdevumus, kas ir būtiski gadījumos, kad NEPLP ir jāveic elektronisko plašsaziņas līdzekļu (turpmāk </w:t>
            </w:r>
            <w:r w:rsidRPr="009708B6">
              <w:rPr>
                <w:rFonts w:ascii="Times New Roman" w:hAnsi="Times New Roman" w:cs="Times New Roman"/>
                <w:color w:val="000000" w:themeColor="text1"/>
                <w:sz w:val="24"/>
                <w:szCs w:val="24"/>
              </w:rPr>
              <w:sym w:font="Symbol" w:char="F02D"/>
            </w:r>
            <w:r w:rsidRPr="009708B6">
              <w:rPr>
                <w:rFonts w:ascii="Times New Roman" w:hAnsi="Times New Roman" w:cs="Times New Roman"/>
                <w:color w:val="000000" w:themeColor="text1"/>
                <w:sz w:val="24"/>
                <w:szCs w:val="24"/>
              </w:rPr>
              <w:t xml:space="preserve"> EPL) nedēļas raidlaika pārbaude (īpaši pārrobežu televīzijai, kas nav pat Latvijā pieejama un nav latviešu valodā), bet paredzētais izņēmums no tās stimulēs veidot programmas ar lielāku latviešu valodas un tieši raidījumu latviešu valodā īpatsvaru. EPL varēs izvēlēties arī </w:t>
            </w:r>
            <w:r w:rsidRPr="009708B6">
              <w:rPr>
                <w:rFonts w:ascii="Times New Roman" w:hAnsi="Times New Roman" w:cs="Times New Roman"/>
                <w:color w:val="000000" w:themeColor="text1"/>
                <w:sz w:val="24"/>
                <w:szCs w:val="24"/>
              </w:rPr>
              <w:lastRenderedPageBreak/>
              <w:t>to nedarīt, bet tad EPL nevarēs izmantot atvieglojumu no ikgadējās valsts nodevas. Nebūtu taisnīgi Latvijas nodokļu maksātājiem segt izdevumus par</w:t>
            </w:r>
            <w:r w:rsidR="0072072B" w:rsidRPr="009708B6">
              <w:rPr>
                <w:rFonts w:ascii="Times New Roman" w:hAnsi="Times New Roman" w:cs="Times New Roman"/>
                <w:color w:val="000000" w:themeColor="text1"/>
                <w:sz w:val="24"/>
                <w:szCs w:val="24"/>
              </w:rPr>
              <w:t xml:space="preserve"> </w:t>
            </w:r>
            <w:r w:rsidRPr="009708B6">
              <w:rPr>
                <w:rFonts w:ascii="Times New Roman" w:hAnsi="Times New Roman" w:cs="Times New Roman"/>
                <w:color w:val="000000" w:themeColor="text1"/>
                <w:sz w:val="24"/>
                <w:szCs w:val="24"/>
              </w:rPr>
              <w:t xml:space="preserve">pārrobežo televīzijas uzraudzību, kas bieži vien Latvijas iedzīvotājiem pat nav pieejama. </w:t>
            </w:r>
          </w:p>
          <w:p w:rsidR="008312A8" w:rsidRPr="009708B6" w:rsidRDefault="008312A8" w:rsidP="009708B6">
            <w:pPr>
              <w:shd w:val="clear" w:color="auto" w:fill="FFFFFF" w:themeFill="background1"/>
              <w:spacing w:line="240" w:lineRule="auto"/>
              <w:jc w:val="both"/>
              <w:rPr>
                <w:rFonts w:ascii="Times New Roman" w:hAnsi="Times New Roman" w:cs="Times New Roman"/>
                <w:color w:val="000000" w:themeColor="text1"/>
                <w:sz w:val="24"/>
                <w:szCs w:val="24"/>
              </w:rPr>
            </w:pPr>
            <w:r w:rsidRPr="009708B6">
              <w:rPr>
                <w:rFonts w:ascii="Times New Roman" w:hAnsi="Times New Roman" w:cs="Times New Roman"/>
                <w:color w:val="000000" w:themeColor="text1"/>
                <w:sz w:val="24"/>
                <w:szCs w:val="24"/>
              </w:rPr>
              <w:t>Otrkārt, valsts nodeva par retranslācijas atļaujas pārreģistr</w:t>
            </w:r>
            <w:r w:rsidR="00C21F71" w:rsidRPr="009708B6">
              <w:rPr>
                <w:rFonts w:ascii="Times New Roman" w:hAnsi="Times New Roman" w:cs="Times New Roman"/>
                <w:color w:val="000000" w:themeColor="text1"/>
                <w:sz w:val="24"/>
                <w:szCs w:val="24"/>
              </w:rPr>
              <w:t>āciju</w:t>
            </w:r>
            <w:r w:rsidRPr="009708B6">
              <w:rPr>
                <w:rFonts w:ascii="Times New Roman" w:hAnsi="Times New Roman" w:cs="Times New Roman"/>
                <w:color w:val="000000" w:themeColor="text1"/>
                <w:sz w:val="24"/>
                <w:szCs w:val="24"/>
              </w:rPr>
              <w:t xml:space="preserve"> (agrāk bija paredzēta Radio un Televīzijas likumā) ne tikai segs izdevumus par padziļinātākām pārbaudēm jautājumos par to, vai EPL ir programmas īpašnieka atļauja un vai retranslējamās programmas saturs nepārkāpj likumā noteikto, bet arī EPL liks apsvērt, vai nepieciešams retranslēt tik daudz un tieši šādas programmas. Tas veicinās arī godīgāku konkurenci EPL starpā, jo </w:t>
            </w:r>
            <w:r w:rsidR="00327F92" w:rsidRPr="009708B6">
              <w:rPr>
                <w:rFonts w:ascii="Times New Roman" w:hAnsi="Times New Roman" w:cs="Times New Roman"/>
                <w:color w:val="000000" w:themeColor="text1"/>
                <w:sz w:val="24"/>
                <w:szCs w:val="24"/>
              </w:rPr>
              <w:t>NEPLP</w:t>
            </w:r>
            <w:r w:rsidRPr="009708B6">
              <w:rPr>
                <w:rFonts w:ascii="Times New Roman" w:hAnsi="Times New Roman" w:cs="Times New Roman"/>
                <w:color w:val="000000" w:themeColor="text1"/>
                <w:sz w:val="24"/>
                <w:szCs w:val="24"/>
              </w:rPr>
              <w:t xml:space="preserve"> varēs efektīvāk nodrošināt kontroli, pārliecinoties par retranslācijas tiesīgumu. Ministru kabineta (turpmāk – MK) noteikumu tekstā iecerēts noteikt virkni atvieglojumu no valsts nodevas, piemēram, ja retranslācija notiek likumā noteiktajos gadījumos vai tiek retranslētas izglītības un kultūras programmas. </w:t>
            </w:r>
          </w:p>
          <w:p w:rsidR="008312A8" w:rsidRPr="009708B6" w:rsidRDefault="008312A8" w:rsidP="009708B6">
            <w:pPr>
              <w:shd w:val="clear" w:color="auto" w:fill="FFFFFF" w:themeFill="background1"/>
              <w:spacing w:line="240" w:lineRule="auto"/>
              <w:jc w:val="both"/>
              <w:rPr>
                <w:rFonts w:ascii="Times New Roman" w:hAnsi="Times New Roman" w:cs="Times New Roman"/>
                <w:sz w:val="24"/>
                <w:szCs w:val="24"/>
                <w:lang w:eastAsia="lv-LV"/>
              </w:rPr>
            </w:pPr>
            <w:r w:rsidRPr="009708B6">
              <w:rPr>
                <w:rFonts w:ascii="Times New Roman" w:hAnsi="Times New Roman" w:cs="Times New Roman"/>
                <w:sz w:val="24"/>
                <w:szCs w:val="24"/>
                <w:lang w:eastAsia="lv-LV"/>
              </w:rPr>
              <w:t xml:space="preserve">Ņemot vērā normatīvajos aktos šobrīd lietoto terminu nekonsekvenci, nepieciešams norādīt, ka retranslācijas atļauju kabeļoperators saņem tikai kā vispārējo atļauju darboties viņam kā EPL, bet katrai individuālai programmai nav vajadzīga šāda atļauja, jo tas būtu pretrunā ar retranslācijas brīvību. Normatīvie akti norāda, ka šādas programmas tiek retranslētas tādā nozīmē, ka tās tiek izplatītas galalietotājiem. Retranslācijas atļauju pārreģistrē, nodevu iekasējot pēc izplatāmo programmu skaita, lai nodrošināto to izplatīšanas tiesīguma uzraudzību. Tā ir vispārējās atļaujas pārreģistrācija, un no šiem noteikumiem neizriet, ka katrai programmai vajadzīga atsevišķa retranslācijas atļauja. Paredzams, ka saistībā ar administratīvo pārkāpumu sodu reformu normatīvajos aktos lietotā terminoloģija tiks sakārtota. </w:t>
            </w:r>
          </w:p>
          <w:p w:rsidR="008312A8" w:rsidRPr="009708B6" w:rsidRDefault="008312A8" w:rsidP="009708B6">
            <w:pPr>
              <w:shd w:val="clear" w:color="auto" w:fill="FFFFFF" w:themeFill="background1"/>
              <w:spacing w:line="240" w:lineRule="auto"/>
              <w:jc w:val="both"/>
              <w:rPr>
                <w:rFonts w:ascii="Times New Roman" w:hAnsi="Times New Roman" w:cs="Times New Roman"/>
                <w:color w:val="000000" w:themeColor="text1"/>
                <w:sz w:val="24"/>
                <w:szCs w:val="24"/>
              </w:rPr>
            </w:pPr>
            <w:r w:rsidRPr="009708B6">
              <w:rPr>
                <w:rFonts w:ascii="Times New Roman" w:hAnsi="Times New Roman" w:cs="Times New Roman"/>
                <w:color w:val="000000" w:themeColor="text1"/>
                <w:sz w:val="24"/>
                <w:szCs w:val="24"/>
              </w:rPr>
              <w:t>Treškārt, paredzēts ieviest nodevu par izmaiņu izdarīšanu apraides atļaujas pamatnosacījumos, lai rosinātu EPL izvērtēt šādu grozījumu skaita un apjoma lietderību, kā arī pēc iespējas atturētu no pamatnosacījumu maiņas. Līdzīgs regulējums paredzēts arī citās nozarēs.</w:t>
            </w:r>
          </w:p>
          <w:p w:rsidR="008312A8" w:rsidRPr="009708B6" w:rsidRDefault="006E0DCA" w:rsidP="009708B6">
            <w:pPr>
              <w:shd w:val="clear" w:color="auto" w:fill="FFFFFF" w:themeFill="background1"/>
              <w:spacing w:line="240" w:lineRule="auto"/>
              <w:jc w:val="both"/>
              <w:rPr>
                <w:rFonts w:ascii="Times New Roman" w:hAnsi="Times New Roman" w:cs="Times New Roman"/>
                <w:color w:val="000000" w:themeColor="text1"/>
                <w:sz w:val="24"/>
                <w:szCs w:val="24"/>
              </w:rPr>
            </w:pPr>
            <w:r w:rsidRPr="009708B6">
              <w:rPr>
                <w:rFonts w:ascii="Times New Roman" w:hAnsi="Times New Roman" w:cs="Times New Roman"/>
                <w:b/>
                <w:color w:val="000000" w:themeColor="text1"/>
                <w:sz w:val="24"/>
                <w:szCs w:val="24"/>
              </w:rPr>
              <w:t>P</w:t>
            </w:r>
            <w:r w:rsidR="008312A8" w:rsidRPr="009708B6">
              <w:rPr>
                <w:rFonts w:ascii="Times New Roman" w:hAnsi="Times New Roman" w:cs="Times New Roman"/>
                <w:b/>
                <w:color w:val="000000" w:themeColor="text1"/>
                <w:sz w:val="24"/>
                <w:szCs w:val="24"/>
              </w:rPr>
              <w:t>rojekta būtība</w:t>
            </w:r>
          </w:p>
          <w:p w:rsidR="008312A8" w:rsidRPr="009708B6" w:rsidRDefault="008312A8" w:rsidP="009708B6">
            <w:pPr>
              <w:shd w:val="clear" w:color="auto" w:fill="FFFFFF" w:themeFill="background1"/>
              <w:spacing w:line="240" w:lineRule="auto"/>
              <w:jc w:val="both"/>
              <w:rPr>
                <w:rFonts w:ascii="Times New Roman" w:hAnsi="Times New Roman" w:cs="Times New Roman"/>
                <w:color w:val="000000" w:themeColor="text1"/>
                <w:sz w:val="24"/>
                <w:szCs w:val="24"/>
              </w:rPr>
            </w:pPr>
            <w:r w:rsidRPr="009708B6">
              <w:rPr>
                <w:rFonts w:ascii="Times New Roman" w:hAnsi="Times New Roman" w:cs="Times New Roman"/>
                <w:color w:val="000000" w:themeColor="text1"/>
                <w:sz w:val="24"/>
                <w:szCs w:val="24"/>
              </w:rPr>
              <w:t>Ar izstrādātajiem noteikumiem šobrīd normatīvajos aktos noteiktās nodevas pamatā netiek grozītas, bet iepriekš aprakstīto mērķu sasniegšanai, īpaši – latviešu valodas stiprināšanai, tiek ieviestas šādas nodevas:</w:t>
            </w:r>
          </w:p>
          <w:p w:rsidR="008312A8" w:rsidRPr="009708B6" w:rsidRDefault="00327F92" w:rsidP="009708B6">
            <w:pPr>
              <w:pStyle w:val="Sarakstarindkopa"/>
              <w:numPr>
                <w:ilvl w:val="0"/>
                <w:numId w:val="1"/>
              </w:numPr>
              <w:shd w:val="clear" w:color="auto" w:fill="FFFFFF" w:themeFill="background1"/>
              <w:spacing w:line="240" w:lineRule="auto"/>
              <w:jc w:val="both"/>
              <w:rPr>
                <w:rFonts w:ascii="Times New Roman" w:hAnsi="Times New Roman" w:cs="Times New Roman"/>
                <w:color w:val="000000" w:themeColor="text1"/>
                <w:sz w:val="24"/>
                <w:szCs w:val="24"/>
              </w:rPr>
            </w:pPr>
            <w:r w:rsidRPr="009708B6">
              <w:rPr>
                <w:rFonts w:ascii="Times New Roman" w:hAnsi="Times New Roman" w:cs="Times New Roman"/>
                <w:color w:val="000000" w:themeColor="text1"/>
                <w:sz w:val="24"/>
                <w:szCs w:val="24"/>
              </w:rPr>
              <w:t>i</w:t>
            </w:r>
            <w:r w:rsidR="008312A8" w:rsidRPr="009708B6">
              <w:rPr>
                <w:rFonts w:ascii="Times New Roman" w:hAnsi="Times New Roman" w:cs="Times New Roman"/>
                <w:color w:val="000000" w:themeColor="text1"/>
                <w:sz w:val="24"/>
                <w:szCs w:val="24"/>
              </w:rPr>
              <w:t>kgadējā nodeva par retranslācijas atļaujas pārreģistr</w:t>
            </w:r>
            <w:r w:rsidR="00C21F71" w:rsidRPr="009708B6">
              <w:rPr>
                <w:rFonts w:ascii="Times New Roman" w:hAnsi="Times New Roman" w:cs="Times New Roman"/>
                <w:color w:val="000000" w:themeColor="text1"/>
                <w:sz w:val="24"/>
                <w:szCs w:val="24"/>
              </w:rPr>
              <w:t>āciju</w:t>
            </w:r>
            <w:r w:rsidR="008312A8" w:rsidRPr="009708B6">
              <w:rPr>
                <w:rFonts w:ascii="Times New Roman" w:hAnsi="Times New Roman" w:cs="Times New Roman"/>
                <w:color w:val="000000" w:themeColor="text1"/>
                <w:sz w:val="24"/>
                <w:szCs w:val="24"/>
              </w:rPr>
              <w:t>;</w:t>
            </w:r>
          </w:p>
          <w:p w:rsidR="008312A8" w:rsidRPr="009708B6" w:rsidRDefault="008312A8" w:rsidP="009708B6">
            <w:pPr>
              <w:pStyle w:val="Sarakstarindkopa"/>
              <w:numPr>
                <w:ilvl w:val="0"/>
                <w:numId w:val="1"/>
              </w:numPr>
              <w:shd w:val="clear" w:color="auto" w:fill="FFFFFF" w:themeFill="background1"/>
              <w:spacing w:line="240" w:lineRule="auto"/>
              <w:jc w:val="both"/>
              <w:rPr>
                <w:rFonts w:ascii="Times New Roman" w:hAnsi="Times New Roman" w:cs="Times New Roman"/>
                <w:color w:val="000000" w:themeColor="text1"/>
                <w:sz w:val="24"/>
                <w:szCs w:val="24"/>
              </w:rPr>
            </w:pPr>
            <w:r w:rsidRPr="009708B6">
              <w:rPr>
                <w:rFonts w:ascii="Times New Roman" w:hAnsi="Times New Roman" w:cs="Times New Roman"/>
                <w:color w:val="000000" w:themeColor="text1"/>
                <w:sz w:val="24"/>
                <w:szCs w:val="24"/>
              </w:rPr>
              <w:t xml:space="preserve">ikgadējā uzraudzības nodeva komerciālajiem nacionālajiem un pārrobežu EPL, paredzot arī </w:t>
            </w:r>
            <w:r w:rsidRPr="009708B6">
              <w:rPr>
                <w:rFonts w:ascii="Times New Roman" w:hAnsi="Times New Roman" w:cs="Times New Roman"/>
                <w:color w:val="000000" w:themeColor="text1"/>
                <w:sz w:val="24"/>
                <w:szCs w:val="24"/>
              </w:rPr>
              <w:lastRenderedPageBreak/>
              <w:t>izņēmumu programmām, kurās noteikts procents raidlaika ir valsts valodā;</w:t>
            </w:r>
          </w:p>
          <w:p w:rsidR="008312A8" w:rsidRPr="009708B6" w:rsidRDefault="008312A8" w:rsidP="009708B6">
            <w:pPr>
              <w:pStyle w:val="Sarakstarindkopa"/>
              <w:numPr>
                <w:ilvl w:val="0"/>
                <w:numId w:val="1"/>
              </w:numPr>
              <w:shd w:val="clear" w:color="auto" w:fill="FFFFFF" w:themeFill="background1"/>
              <w:spacing w:line="240" w:lineRule="auto"/>
              <w:jc w:val="both"/>
              <w:rPr>
                <w:rFonts w:ascii="Times New Roman" w:hAnsi="Times New Roman" w:cs="Times New Roman"/>
                <w:color w:val="000000" w:themeColor="text1"/>
                <w:sz w:val="24"/>
                <w:szCs w:val="24"/>
              </w:rPr>
            </w:pPr>
            <w:r w:rsidRPr="009708B6">
              <w:rPr>
                <w:rFonts w:ascii="Times New Roman" w:hAnsi="Times New Roman" w:cs="Times New Roman"/>
                <w:color w:val="000000" w:themeColor="text1"/>
                <w:sz w:val="24"/>
                <w:szCs w:val="24"/>
              </w:rPr>
              <w:t>valsts nodeva par apraides atļaujas pamatnosacījumu grozīšanu. Paredzēts izņēmums, ja atļaujas pamatnosacījumi ir grozīti, lai nodrošinātu atbilstību likumam un šāds grozījums ir bijis vajadzīgs neatkarīgi no EPL gribas;</w:t>
            </w:r>
          </w:p>
          <w:p w:rsidR="008312A8" w:rsidRPr="009708B6" w:rsidRDefault="008312A8" w:rsidP="009708B6">
            <w:pPr>
              <w:pStyle w:val="Sarakstarindkopa"/>
              <w:numPr>
                <w:ilvl w:val="0"/>
                <w:numId w:val="1"/>
              </w:numPr>
              <w:shd w:val="clear" w:color="auto" w:fill="FFFFFF" w:themeFill="background1"/>
              <w:spacing w:line="240" w:lineRule="auto"/>
              <w:jc w:val="both"/>
              <w:rPr>
                <w:rFonts w:ascii="Times New Roman" w:hAnsi="Times New Roman" w:cs="Times New Roman"/>
                <w:color w:val="000000" w:themeColor="text1"/>
                <w:sz w:val="24"/>
                <w:szCs w:val="24"/>
              </w:rPr>
            </w:pPr>
            <w:r w:rsidRPr="009708B6">
              <w:rPr>
                <w:rFonts w:ascii="Times New Roman" w:hAnsi="Times New Roman" w:cs="Times New Roman"/>
                <w:color w:val="000000" w:themeColor="text1"/>
                <w:sz w:val="24"/>
                <w:szCs w:val="24"/>
              </w:rPr>
              <w:t xml:space="preserve">izpildot 2015.gada 17.decembra grozījumus EPLL, atcelta nodeva par pakalpojuma sniedzēja pēc pieprasījuma reģistrēšanu. </w:t>
            </w:r>
          </w:p>
          <w:p w:rsidR="008312A8" w:rsidRPr="009708B6" w:rsidRDefault="0072072B" w:rsidP="009708B6">
            <w:pPr>
              <w:shd w:val="clear" w:color="auto" w:fill="FFFFFF" w:themeFill="background1"/>
              <w:spacing w:line="240" w:lineRule="auto"/>
              <w:jc w:val="both"/>
              <w:rPr>
                <w:rFonts w:ascii="Times New Roman" w:hAnsi="Times New Roman" w:cs="Times New Roman"/>
                <w:color w:val="000000" w:themeColor="text1"/>
                <w:sz w:val="24"/>
                <w:szCs w:val="24"/>
              </w:rPr>
            </w:pPr>
            <w:r w:rsidRPr="009708B6">
              <w:rPr>
                <w:rFonts w:ascii="Times New Roman" w:hAnsi="Times New Roman" w:cs="Times New Roman"/>
                <w:color w:val="000000" w:themeColor="text1"/>
                <w:sz w:val="24"/>
                <w:szCs w:val="24"/>
              </w:rPr>
              <w:t>P</w:t>
            </w:r>
            <w:r w:rsidR="008312A8" w:rsidRPr="009708B6">
              <w:rPr>
                <w:rFonts w:ascii="Times New Roman" w:hAnsi="Times New Roman" w:cs="Times New Roman"/>
                <w:color w:val="000000" w:themeColor="text1"/>
                <w:sz w:val="24"/>
                <w:szCs w:val="24"/>
              </w:rPr>
              <w:t>rojekts paredz, ka sabiedriskie un nekomerciālajiem EPL  nodevas netiek piemērotas.</w:t>
            </w:r>
          </w:p>
          <w:p w:rsidR="008312A8" w:rsidRPr="009708B6" w:rsidRDefault="008312A8" w:rsidP="009708B6">
            <w:pPr>
              <w:shd w:val="clear" w:color="auto" w:fill="FFFFFF" w:themeFill="background1"/>
              <w:spacing w:line="240" w:lineRule="auto"/>
              <w:jc w:val="both"/>
              <w:rPr>
                <w:rFonts w:ascii="Times New Roman" w:hAnsi="Times New Roman" w:cs="Times New Roman"/>
                <w:color w:val="000000" w:themeColor="text1"/>
                <w:sz w:val="24"/>
                <w:szCs w:val="24"/>
              </w:rPr>
            </w:pPr>
            <w:r w:rsidRPr="009708B6">
              <w:rPr>
                <w:rFonts w:ascii="Times New Roman" w:hAnsi="Times New Roman" w:cs="Times New Roman"/>
                <w:color w:val="000000" w:themeColor="text1"/>
                <w:sz w:val="24"/>
                <w:szCs w:val="24"/>
              </w:rPr>
              <w:t>Tāpat tiek paredzēts, ka valsts nodevu nav pienākums maksāt, ja attiecīgā programma izpilda noteiktas prasības attiecībā uz valsts valodas īpatsvaru. Tātad vienlaikus tiek paredzētas satura prasības attiecībā uz valsts valodas lietojumu, kas vienādi attiecas uz nacionālo un pārrobežu komerciālo EPL.</w:t>
            </w:r>
          </w:p>
          <w:p w:rsidR="008312A8" w:rsidRPr="009708B6" w:rsidRDefault="008312A8" w:rsidP="009708B6">
            <w:pPr>
              <w:shd w:val="clear" w:color="auto" w:fill="FFFFFF" w:themeFill="background1"/>
              <w:spacing w:line="240" w:lineRule="auto"/>
              <w:jc w:val="both"/>
              <w:rPr>
                <w:rFonts w:ascii="Times New Roman" w:hAnsi="Times New Roman" w:cs="Times New Roman"/>
                <w:color w:val="000000" w:themeColor="text1"/>
                <w:sz w:val="24"/>
                <w:szCs w:val="24"/>
              </w:rPr>
            </w:pPr>
            <w:r w:rsidRPr="009708B6">
              <w:rPr>
                <w:rFonts w:ascii="Times New Roman" w:hAnsi="Times New Roman" w:cs="Times New Roman"/>
                <w:color w:val="000000" w:themeColor="text1"/>
                <w:sz w:val="24"/>
                <w:szCs w:val="24"/>
              </w:rPr>
              <w:t>Ņemot vērā to, ka daļu no apraides atļaujas pamatnosacījumiem drīkst grozīt, un tas tiek darīts, izstrādātie noteikumi paredz, ka valsts nodeva tiek maksāta ne tikai par apraides atļaujas izsniegšanu, bet arī par apraides atļaujas pamatnosacījumu pārskatīšanu. Proti, gadījumā, ja EPL lūdz veikt izmaiņas izsniegtajā atļaujā, tam ir pienākums maksāt valsts nodevu, lai atturētu EPL veikt biežas izmaiņas atļaujās un segtu izdevumus, kas saistīti ar veicamo pārbaudi par iesniegtajiem grozījumiem atļaujas pamatnosacījumos.</w:t>
            </w:r>
          </w:p>
          <w:p w:rsidR="005F0505" w:rsidRPr="009708B6" w:rsidRDefault="005F0505" w:rsidP="009708B6">
            <w:pPr>
              <w:shd w:val="clear" w:color="auto" w:fill="FFFFFF" w:themeFill="background1"/>
              <w:spacing w:line="240" w:lineRule="auto"/>
              <w:jc w:val="both"/>
              <w:rPr>
                <w:rFonts w:ascii="Times New Roman" w:hAnsi="Times New Roman" w:cs="Times New Roman"/>
                <w:color w:val="000000" w:themeColor="text1"/>
                <w:sz w:val="24"/>
                <w:szCs w:val="24"/>
              </w:rPr>
            </w:pPr>
            <w:r w:rsidRPr="009708B6">
              <w:rPr>
                <w:rFonts w:ascii="Times New Roman" w:hAnsi="Times New Roman" w:cs="Times New Roman"/>
                <w:color w:val="000000" w:themeColor="text1"/>
                <w:sz w:val="24"/>
                <w:szCs w:val="24"/>
              </w:rPr>
              <w:t>Paredzēts, ka EPL ir pienākums maksāt valsts nodevu palielinātā apmērā, ja tikuši konstatēti normatīvo aktu pārkāpumi attiecībā uz tiesīgumu veikt programmas izplatīšanu. Valsts nodeva nav uzskatāma par sodu (sankciju), līdz ar to nav interpretējama citādi kā vienīgi saistībā ar papildu uzraudzības pasākumu nepieciešamību. Konstatējot normatīvo aktu pārkāpumus, ja EPL ir prettiesiski izplatījis programmu/-</w:t>
            </w:r>
            <w:proofErr w:type="spellStart"/>
            <w:r w:rsidRPr="009708B6">
              <w:rPr>
                <w:rFonts w:ascii="Times New Roman" w:hAnsi="Times New Roman" w:cs="Times New Roman"/>
                <w:color w:val="000000" w:themeColor="text1"/>
                <w:sz w:val="24"/>
                <w:szCs w:val="24"/>
              </w:rPr>
              <w:t>as</w:t>
            </w:r>
            <w:proofErr w:type="spellEnd"/>
            <w:r w:rsidRPr="009708B6">
              <w:rPr>
                <w:rFonts w:ascii="Times New Roman" w:hAnsi="Times New Roman" w:cs="Times New Roman"/>
                <w:color w:val="000000" w:themeColor="text1"/>
                <w:sz w:val="24"/>
                <w:szCs w:val="24"/>
              </w:rPr>
              <w:t xml:space="preserve">, NEPLP ir jāveic papildus pārbaudes. Ja šāds normatīvo aktu pārkāpums netiktu konstatēts, NEPLP veiktu tikai regulāro pārbaudi. Maksājumu apmērs ir saistīts ar proporcionalitātes principu ņemot vērā administratīvo valsts ieguldījumu tirgus uzraudzībā. Ieviešot atšķirīgu nodevas apmēru tiek veicināts, ka EPL izvēlēsies veikt tādu programmu izplatīšanu, kuru izplatīšana ir atļauta Latvijas Republikas teritorijā, tādējādi paredzot samazinātu valsts nodevu.  </w:t>
            </w:r>
          </w:p>
          <w:p w:rsidR="008312A8" w:rsidRPr="009708B6" w:rsidRDefault="0037097B" w:rsidP="009708B6">
            <w:pPr>
              <w:shd w:val="clear" w:color="auto" w:fill="FFFFFF" w:themeFill="background1"/>
              <w:spacing w:line="240" w:lineRule="auto"/>
              <w:jc w:val="both"/>
              <w:rPr>
                <w:rFonts w:ascii="Times New Roman" w:hAnsi="Times New Roman" w:cs="Times New Roman"/>
                <w:color w:val="000000" w:themeColor="text1"/>
                <w:sz w:val="24"/>
                <w:szCs w:val="24"/>
              </w:rPr>
            </w:pPr>
            <w:r w:rsidRPr="009708B6">
              <w:rPr>
                <w:rFonts w:ascii="Times New Roman" w:hAnsi="Times New Roman" w:cs="Times New Roman"/>
                <w:color w:val="000000" w:themeColor="text1"/>
                <w:sz w:val="24"/>
                <w:szCs w:val="24"/>
              </w:rPr>
              <w:t>MK</w:t>
            </w:r>
            <w:r w:rsidR="008312A8" w:rsidRPr="009708B6">
              <w:rPr>
                <w:rFonts w:ascii="Times New Roman" w:hAnsi="Times New Roman" w:cs="Times New Roman"/>
                <w:color w:val="000000" w:themeColor="text1"/>
                <w:sz w:val="24"/>
                <w:szCs w:val="24"/>
              </w:rPr>
              <w:t xml:space="preserve"> noteikumos jānosaka ikgadējās valsts nodevas apmērs par apraides tiesību uzraudzību par tādām apraides atļaujām, kas izsniegtas komerciālās nacionālās televīzijas programmas apraidei un komerciālās pārrobežu televīzijas </w:t>
            </w:r>
            <w:r w:rsidR="008312A8" w:rsidRPr="009708B6">
              <w:rPr>
                <w:rFonts w:ascii="Times New Roman" w:hAnsi="Times New Roman" w:cs="Times New Roman"/>
                <w:color w:val="000000" w:themeColor="text1"/>
                <w:sz w:val="24"/>
                <w:szCs w:val="24"/>
              </w:rPr>
              <w:lastRenderedPageBreak/>
              <w:t>programmas apraidei. Būtiski, ka gan nacionālajai, gan pārrobežu apraidei būtu piemērojami vienādi nosacījumi, proti, valsts nodevas par apraides atļauju divkāršā apmērā. Tādējādi tiks ievērots tiesiskās vienlīdzības princips, kā arī ES nostiprinātā pakalpojumu sniegšanas brīvība, jo gan Latvijas pakalpojumu sniedzējam, gan pārrobežu pakalpojumu sniedzējam, kurš sniedz pakalpojumu Latvijā, tiks piemēroti vienādi nosacījumi.</w:t>
            </w:r>
          </w:p>
          <w:p w:rsidR="008F3BE2" w:rsidRPr="009708B6" w:rsidRDefault="008312A8" w:rsidP="009708B6">
            <w:pPr>
              <w:shd w:val="clear" w:color="auto" w:fill="FFFFFF" w:themeFill="background1"/>
              <w:spacing w:line="240" w:lineRule="auto"/>
              <w:jc w:val="both"/>
              <w:rPr>
                <w:rFonts w:ascii="Times New Roman" w:hAnsi="Times New Roman" w:cs="Times New Roman"/>
                <w:color w:val="000000" w:themeColor="text1"/>
                <w:sz w:val="24"/>
                <w:szCs w:val="24"/>
              </w:rPr>
            </w:pPr>
            <w:r w:rsidRPr="009708B6">
              <w:rPr>
                <w:rFonts w:ascii="Times New Roman" w:hAnsi="Times New Roman" w:cs="Times New Roman"/>
                <w:color w:val="000000" w:themeColor="text1"/>
                <w:sz w:val="24"/>
                <w:szCs w:val="24"/>
              </w:rPr>
              <w:t>Vienlaikus no nodevas maksāšanas būtu atbrīvoti EPL, kuru programmā vismaz 51 procents ir latviešu valodā un vismaz 20 procenti ir raidījumi latviešu valodā bez dublēšanas vai ieskaņošanas, bet valsts</w:t>
            </w:r>
            <w:r w:rsidR="0072072B" w:rsidRPr="009708B6">
              <w:rPr>
                <w:rFonts w:ascii="Times New Roman" w:hAnsi="Times New Roman" w:cs="Times New Roman"/>
                <w:color w:val="000000" w:themeColor="text1"/>
                <w:sz w:val="24"/>
                <w:szCs w:val="24"/>
              </w:rPr>
              <w:t xml:space="preserve"> nodevu samazinātu par 50 </w:t>
            </w:r>
            <w:r w:rsidRPr="009708B6">
              <w:rPr>
                <w:rFonts w:ascii="Times New Roman" w:hAnsi="Times New Roman" w:cs="Times New Roman"/>
                <w:color w:val="000000" w:themeColor="text1"/>
                <w:sz w:val="24"/>
                <w:szCs w:val="24"/>
              </w:rPr>
              <w:t>procentiem, ja attiec</w:t>
            </w:r>
            <w:r w:rsidR="0072072B" w:rsidRPr="009708B6">
              <w:rPr>
                <w:rFonts w:ascii="Times New Roman" w:hAnsi="Times New Roman" w:cs="Times New Roman"/>
                <w:color w:val="000000" w:themeColor="text1"/>
                <w:sz w:val="24"/>
                <w:szCs w:val="24"/>
              </w:rPr>
              <w:t>īgais EPL nodrošinātu vismaz 90 </w:t>
            </w:r>
            <w:r w:rsidRPr="009708B6">
              <w:rPr>
                <w:rFonts w:ascii="Times New Roman" w:hAnsi="Times New Roman" w:cs="Times New Roman"/>
                <w:color w:val="000000" w:themeColor="text1"/>
                <w:sz w:val="24"/>
                <w:szCs w:val="24"/>
              </w:rPr>
              <w:t xml:space="preserve">procentu raidlaiku valsts valodā neatkarīgi no dublēšanas vai ieskaņošanas. </w:t>
            </w:r>
          </w:p>
          <w:p w:rsidR="008F3BE2" w:rsidRPr="009708B6" w:rsidRDefault="008312A8" w:rsidP="009708B6">
            <w:pPr>
              <w:shd w:val="clear" w:color="auto" w:fill="FFFFFF" w:themeFill="background1"/>
              <w:spacing w:line="240" w:lineRule="auto"/>
              <w:jc w:val="both"/>
              <w:rPr>
                <w:rFonts w:ascii="Times New Roman" w:hAnsi="Times New Roman" w:cs="Times New Roman"/>
                <w:color w:val="000000" w:themeColor="text1"/>
                <w:sz w:val="24"/>
                <w:szCs w:val="24"/>
              </w:rPr>
            </w:pPr>
            <w:r w:rsidRPr="009708B6">
              <w:rPr>
                <w:rFonts w:ascii="Times New Roman" w:hAnsi="Times New Roman" w:cs="Times New Roman"/>
                <w:color w:val="000000" w:themeColor="text1"/>
                <w:sz w:val="24"/>
                <w:szCs w:val="24"/>
              </w:rPr>
              <w:t xml:space="preserve">Attiecībā uz izņēmumiem kabeļoperatoriem, tad tie veidoti tādējādi, lai galvenokārt sasniegtu trīs mērķus. Pirmkārt, neuzliktu pārāk lielu slogu mazajiem uzņēmumiem. Otrkārt, nodrošinātu, ka valsts nodeva nav jāmaksā par obligāti izplatāmajām programmām vai programmām valsts valodā, tai skaitā, veicinot programmu subtitrēšanu. </w:t>
            </w:r>
            <w:r w:rsidR="005F0505" w:rsidRPr="009708B6">
              <w:rPr>
                <w:rFonts w:ascii="Times New Roman" w:hAnsi="Times New Roman" w:cs="Times New Roman"/>
                <w:color w:val="000000" w:themeColor="text1"/>
                <w:sz w:val="24"/>
                <w:szCs w:val="24"/>
              </w:rPr>
              <w:t xml:space="preserve">Treškārt, paredzot palielinātu valsts nodevu gadījumos, ja konstatēti normatīvo aktu pārkāpumi attiecībā uz programmu izplatīšanas kārtību. Šāds nosacījums nepārkāpj dubultās sodīšanas principu, jo valsts nodeva nav uzskatāma par sodu (sankciju). </w:t>
            </w:r>
            <w:r w:rsidR="008F3BE2" w:rsidRPr="009708B6">
              <w:rPr>
                <w:rFonts w:ascii="Times New Roman" w:hAnsi="Times New Roman" w:cs="Times New Roman"/>
                <w:color w:val="000000" w:themeColor="text1"/>
                <w:sz w:val="24"/>
                <w:szCs w:val="24"/>
              </w:rPr>
              <w:t xml:space="preserve">Lai mazinātu retranslācijas atļaujas ikgadējās pārreģistrēšanas izmaksas mazajiem </w:t>
            </w:r>
            <w:proofErr w:type="spellStart"/>
            <w:r w:rsidR="008F3BE2" w:rsidRPr="009708B6">
              <w:rPr>
                <w:rFonts w:ascii="Times New Roman" w:hAnsi="Times New Roman" w:cs="Times New Roman"/>
                <w:color w:val="000000" w:themeColor="text1"/>
                <w:sz w:val="24"/>
                <w:szCs w:val="24"/>
              </w:rPr>
              <w:t>kobeļoperatoriem</w:t>
            </w:r>
            <w:proofErr w:type="spellEnd"/>
            <w:r w:rsidR="008F3BE2" w:rsidRPr="009708B6">
              <w:rPr>
                <w:rFonts w:ascii="Times New Roman" w:hAnsi="Times New Roman" w:cs="Times New Roman"/>
                <w:color w:val="000000" w:themeColor="text1"/>
                <w:sz w:val="24"/>
                <w:szCs w:val="24"/>
              </w:rPr>
              <w:t xml:space="preserve">, paredzēts valsts nodevas samazinājums par 50 procentiem tiem operatoriem, kuru gada neto apgrozījums nepārsniedz 500 000 </w:t>
            </w:r>
            <w:r w:rsidR="008F3BE2" w:rsidRPr="009708B6">
              <w:rPr>
                <w:rFonts w:ascii="Times New Roman" w:hAnsi="Times New Roman" w:cs="Times New Roman"/>
                <w:i/>
                <w:color w:val="000000" w:themeColor="text1"/>
                <w:sz w:val="24"/>
                <w:szCs w:val="24"/>
              </w:rPr>
              <w:t>euro</w:t>
            </w:r>
            <w:r w:rsidR="008F3BE2" w:rsidRPr="009708B6">
              <w:rPr>
                <w:rFonts w:ascii="Times New Roman" w:hAnsi="Times New Roman" w:cs="Times New Roman"/>
                <w:color w:val="000000" w:themeColor="text1"/>
                <w:sz w:val="24"/>
                <w:szCs w:val="24"/>
              </w:rPr>
              <w:t xml:space="preserve">.  </w:t>
            </w:r>
          </w:p>
          <w:p w:rsidR="008F3BE2" w:rsidRPr="009708B6" w:rsidRDefault="008F3BE2" w:rsidP="009708B6">
            <w:pPr>
              <w:shd w:val="clear" w:color="auto" w:fill="FFFFFF" w:themeFill="background1"/>
              <w:spacing w:after="0" w:line="240" w:lineRule="auto"/>
              <w:jc w:val="both"/>
              <w:rPr>
                <w:rFonts w:ascii="Times New Roman" w:hAnsi="Times New Roman" w:cs="Times New Roman"/>
                <w:color w:val="000000" w:themeColor="text1"/>
                <w:sz w:val="24"/>
                <w:szCs w:val="24"/>
              </w:rPr>
            </w:pPr>
            <w:r w:rsidRPr="009708B6">
              <w:rPr>
                <w:rFonts w:ascii="Times New Roman" w:eastAsia="Times New Roman" w:hAnsi="Times New Roman" w:cs="Times New Roman"/>
                <w:color w:val="000000" w:themeColor="text1"/>
                <w:sz w:val="24"/>
                <w:szCs w:val="24"/>
                <w:lang w:eastAsia="lv-LV"/>
              </w:rPr>
              <w:t xml:space="preserve">Ņemot vērā šos izņēmumus, noteikumu projekts paredz kārtību, kādā nodrošināt atbrīvojumu no valsts nodevām atbilstību </w:t>
            </w:r>
            <w:r w:rsidRPr="009708B6">
              <w:rPr>
                <w:rFonts w:ascii="Times New Roman" w:hAnsi="Times New Roman" w:cs="Times New Roman"/>
                <w:color w:val="000000" w:themeColor="text1"/>
                <w:sz w:val="24"/>
                <w:szCs w:val="24"/>
              </w:rPr>
              <w:t xml:space="preserve">Komisijas 2013.gada 18. decembra Regulai (ES) Nr.1407/2013 par Līguma par Eiropas Savienības darbību 107. un 108.panta piemērošanu </w:t>
            </w:r>
            <w:r w:rsidRPr="009708B6">
              <w:rPr>
                <w:rFonts w:ascii="Times New Roman" w:hAnsi="Times New Roman" w:cs="Times New Roman"/>
                <w:i/>
                <w:iCs/>
                <w:color w:val="000000" w:themeColor="text1"/>
                <w:sz w:val="24"/>
                <w:szCs w:val="24"/>
              </w:rPr>
              <w:t>de minimis</w:t>
            </w:r>
            <w:r w:rsidRPr="009708B6">
              <w:rPr>
                <w:rFonts w:ascii="Times New Roman" w:hAnsi="Times New Roman" w:cs="Times New Roman"/>
                <w:color w:val="000000" w:themeColor="text1"/>
                <w:sz w:val="24"/>
                <w:szCs w:val="24"/>
              </w:rPr>
              <w:t xml:space="preserve"> atbalstam. Atbilstoši anotācijas </w:t>
            </w:r>
            <w:proofErr w:type="spellStart"/>
            <w:r w:rsidRPr="009708B6">
              <w:rPr>
                <w:rFonts w:ascii="Times New Roman" w:hAnsi="Times New Roman" w:cs="Times New Roman"/>
                <w:color w:val="000000" w:themeColor="text1"/>
                <w:sz w:val="24"/>
                <w:szCs w:val="24"/>
              </w:rPr>
              <w:t>I.sadaļas</w:t>
            </w:r>
            <w:proofErr w:type="spellEnd"/>
            <w:r w:rsidRPr="009708B6">
              <w:rPr>
                <w:rFonts w:ascii="Times New Roman" w:hAnsi="Times New Roman" w:cs="Times New Roman"/>
                <w:color w:val="000000" w:themeColor="text1"/>
                <w:sz w:val="24"/>
                <w:szCs w:val="24"/>
              </w:rPr>
              <w:t xml:space="preserve"> 2.punktā minētajam attiecīgie atbrīvojumi no valsts nodevas nomaksas paredzēti noteiktu politikas mērķu – galvenokārt valsts valodas aizsardzības un retranslācijas likumības uzraudzības – nodrošināšanai. Paredzētais valsts atbalsts ir pārredzams, pēc nediskriminējošiem kritērijiem sadalīts un nepieciešams sabiedrībai būtisku jautājumu risināšanai. </w:t>
            </w:r>
          </w:p>
          <w:p w:rsidR="008F3BE2" w:rsidRPr="009708B6" w:rsidRDefault="008F3BE2" w:rsidP="009708B6">
            <w:pPr>
              <w:shd w:val="clear" w:color="auto" w:fill="FFFFFF" w:themeFill="background1"/>
              <w:spacing w:after="0" w:line="240" w:lineRule="auto"/>
              <w:jc w:val="both"/>
              <w:rPr>
                <w:rFonts w:ascii="Times New Roman" w:hAnsi="Times New Roman" w:cs="Times New Roman"/>
                <w:color w:val="000000" w:themeColor="text1"/>
                <w:sz w:val="24"/>
                <w:szCs w:val="24"/>
              </w:rPr>
            </w:pPr>
          </w:p>
          <w:p w:rsidR="008F3BE2" w:rsidRPr="009708B6" w:rsidRDefault="008F3BE2" w:rsidP="009708B6">
            <w:pPr>
              <w:shd w:val="clear" w:color="auto" w:fill="FFFFFF" w:themeFill="background1"/>
              <w:spacing w:line="240" w:lineRule="auto"/>
              <w:jc w:val="both"/>
              <w:rPr>
                <w:rFonts w:ascii="Times New Roman" w:hAnsi="Times New Roman" w:cs="Times New Roman"/>
                <w:color w:val="000000" w:themeColor="text1"/>
                <w:sz w:val="24"/>
                <w:szCs w:val="24"/>
              </w:rPr>
            </w:pPr>
            <w:r w:rsidRPr="009708B6">
              <w:rPr>
                <w:rFonts w:ascii="Times New Roman" w:hAnsi="Times New Roman" w:cs="Times New Roman"/>
                <w:color w:val="000000" w:themeColor="text1"/>
                <w:sz w:val="24"/>
                <w:szCs w:val="24"/>
              </w:rPr>
              <w:t xml:space="preserve">Valsts atbalsta noteikumi netiek attiecināti uz šo noteikumu 8.3.apakšpunktu, kas paredz atbrīvojumu no valsts nodevas sakarā ar izmaiņu veikšanu apraides atļaujā, ko paredz normatīvie akti. Šis uzskatāms par izņēmumu no valsts nodevas kā tādu, lai nodrošinātu vienlīdzīgu attieksmi visiem EPL un nolūkā nodrošināt sabiedrisko kārtību, proti, </w:t>
            </w:r>
            <w:r w:rsidRPr="009708B6">
              <w:rPr>
                <w:rFonts w:ascii="Times New Roman" w:hAnsi="Times New Roman" w:cs="Times New Roman"/>
                <w:color w:val="000000" w:themeColor="text1"/>
                <w:sz w:val="24"/>
                <w:szCs w:val="24"/>
              </w:rPr>
              <w:lastRenderedPageBreak/>
              <w:t>ka valsts ar likumu noteiktas izmaiņas tiek praktiski ieviestas jau izdotajās apraides atļaujās. Nodevas maksāšana par to nesamērīgi varētu ierobežot EPL tiesības un likumīgās intereses, jo viņi nav apraides atļaujas izmaiņu iniciatori</w:t>
            </w:r>
            <w:r w:rsidR="003B380D" w:rsidRPr="009708B6">
              <w:rPr>
                <w:rFonts w:ascii="Times New Roman" w:hAnsi="Times New Roman" w:cs="Times New Roman"/>
                <w:color w:val="000000" w:themeColor="text1"/>
                <w:sz w:val="24"/>
                <w:szCs w:val="24"/>
              </w:rPr>
              <w:t>, bet izpilda valsts noteiktu prasību, kas paredz veikt izmaiņas apraides atļaujā, kas jau pati par sevi uzskatāma par iejaukšanos apraides atļaujas nosacījumos, kuriem to termiņā parasti nebūtu jāmainās</w:t>
            </w:r>
            <w:r w:rsidRPr="009708B6">
              <w:rPr>
                <w:rFonts w:ascii="Times New Roman" w:hAnsi="Times New Roman" w:cs="Times New Roman"/>
                <w:color w:val="000000" w:themeColor="text1"/>
                <w:sz w:val="24"/>
                <w:szCs w:val="24"/>
              </w:rPr>
              <w:t xml:space="preserve">. </w:t>
            </w:r>
          </w:p>
          <w:p w:rsidR="008312A8" w:rsidRPr="009708B6" w:rsidRDefault="008312A8" w:rsidP="009708B6">
            <w:pPr>
              <w:shd w:val="clear" w:color="auto" w:fill="FFFFFF" w:themeFill="background1"/>
              <w:spacing w:line="240" w:lineRule="auto"/>
              <w:jc w:val="both"/>
              <w:rPr>
                <w:rFonts w:ascii="Times New Roman" w:hAnsi="Times New Roman" w:cs="Times New Roman"/>
                <w:b/>
                <w:color w:val="000000" w:themeColor="text1"/>
                <w:sz w:val="24"/>
                <w:szCs w:val="24"/>
              </w:rPr>
            </w:pPr>
            <w:r w:rsidRPr="009708B6">
              <w:rPr>
                <w:rFonts w:ascii="Times New Roman" w:hAnsi="Times New Roman" w:cs="Times New Roman"/>
                <w:b/>
                <w:color w:val="000000" w:themeColor="text1"/>
                <w:sz w:val="24"/>
                <w:szCs w:val="24"/>
              </w:rPr>
              <w:t>Citu valstu prakses tendences</w:t>
            </w:r>
          </w:p>
          <w:p w:rsidR="008312A8" w:rsidRPr="009708B6" w:rsidRDefault="008312A8" w:rsidP="009708B6">
            <w:pPr>
              <w:shd w:val="clear" w:color="auto" w:fill="FFFFFF" w:themeFill="background1"/>
              <w:spacing w:line="240" w:lineRule="auto"/>
              <w:jc w:val="both"/>
              <w:rPr>
                <w:rFonts w:ascii="Times New Roman" w:hAnsi="Times New Roman" w:cs="Times New Roman"/>
                <w:color w:val="000000" w:themeColor="text1"/>
                <w:sz w:val="24"/>
                <w:szCs w:val="24"/>
              </w:rPr>
            </w:pPr>
            <w:r w:rsidRPr="009708B6">
              <w:rPr>
                <w:rFonts w:ascii="Times New Roman" w:hAnsi="Times New Roman" w:cs="Times New Roman"/>
                <w:color w:val="000000" w:themeColor="text1"/>
                <w:sz w:val="24"/>
                <w:szCs w:val="24"/>
              </w:rPr>
              <w:t>Eiropas valstīs kopumā dominē apraides atļaujas (licences) izsniegšanas prakse, par ko ir jāmaksā nodevas. Tikai dažās valstīs praksē ir ieviesta paziņošanas sistēma, kuras ietvaros EPL ir nepieciešams tikai paziņot uzraudzības institūcijām par plānotajām darbībām. Vairumā Eiropas valstu apraides atļaujas ir terminētas. Atļaujas tiek izsniegtas uz laika periodu no pieciem līdz divpadsmit gadiem. Vairumā valstu</w:t>
            </w:r>
            <w:r w:rsidRPr="009708B6">
              <w:rPr>
                <w:rFonts w:ascii="Times New Roman" w:hAnsi="Times New Roman" w:cs="Times New Roman"/>
                <w:b/>
                <w:color w:val="000000" w:themeColor="text1"/>
                <w:sz w:val="24"/>
                <w:szCs w:val="24"/>
              </w:rPr>
              <w:t xml:space="preserve"> </w:t>
            </w:r>
            <w:r w:rsidRPr="009708B6">
              <w:rPr>
                <w:rFonts w:ascii="Times New Roman" w:hAnsi="Times New Roman" w:cs="Times New Roman"/>
                <w:color w:val="000000" w:themeColor="text1"/>
                <w:sz w:val="24"/>
                <w:szCs w:val="24"/>
              </w:rPr>
              <w:t>apraides atļaujas tiek izmantotas kā instrumenti, lai</w:t>
            </w:r>
            <w:r w:rsidRPr="009708B6">
              <w:rPr>
                <w:rFonts w:ascii="Times New Roman" w:hAnsi="Times New Roman" w:cs="Times New Roman"/>
                <w:b/>
                <w:color w:val="000000" w:themeColor="text1"/>
                <w:sz w:val="24"/>
                <w:szCs w:val="24"/>
              </w:rPr>
              <w:t xml:space="preserve"> </w:t>
            </w:r>
            <w:r w:rsidRPr="009708B6">
              <w:rPr>
                <w:rFonts w:ascii="Times New Roman" w:hAnsi="Times New Roman" w:cs="Times New Roman"/>
                <w:color w:val="000000" w:themeColor="text1"/>
                <w:sz w:val="24"/>
                <w:szCs w:val="24"/>
              </w:rPr>
              <w:t>iesaistītu EPL sabiedrības kopējo interešu sasniegšanā un sociālo uzdevumu pildīšanā.</w:t>
            </w:r>
            <w:r w:rsidRPr="009708B6">
              <w:rPr>
                <w:rFonts w:ascii="Times New Roman" w:hAnsi="Times New Roman" w:cs="Times New Roman"/>
                <w:color w:val="000000" w:themeColor="text1"/>
                <w:sz w:val="24"/>
                <w:szCs w:val="24"/>
                <w:vertAlign w:val="superscript"/>
              </w:rPr>
              <w:footnoteReference w:id="1"/>
            </w:r>
            <w:r w:rsidRPr="009708B6">
              <w:rPr>
                <w:rFonts w:ascii="Times New Roman" w:hAnsi="Times New Roman" w:cs="Times New Roman"/>
                <w:color w:val="000000" w:themeColor="text1"/>
                <w:sz w:val="24"/>
                <w:szCs w:val="24"/>
              </w:rPr>
              <w:t xml:space="preserve"> Tāpat ir raksturīgi, ka maksa par atļaujas saņemšanu ir salīdzinoši neliela, bet vairāk tiek maksāts tieši par ikgadēju uzraudzību. Nodevas mēdz būt fiksētas vai samērā bieži atkarīgas no EPL ieņēmumiem (procentos). </w:t>
            </w:r>
          </w:p>
          <w:p w:rsidR="008312A8" w:rsidRPr="009708B6" w:rsidRDefault="008312A8" w:rsidP="009708B6">
            <w:pPr>
              <w:shd w:val="clear" w:color="auto" w:fill="FFFFFF" w:themeFill="background1"/>
              <w:spacing w:line="240" w:lineRule="auto"/>
              <w:jc w:val="both"/>
              <w:rPr>
                <w:rFonts w:ascii="Times New Roman" w:hAnsi="Times New Roman" w:cs="Times New Roman"/>
                <w:color w:val="000000" w:themeColor="text1"/>
                <w:sz w:val="24"/>
                <w:szCs w:val="24"/>
              </w:rPr>
            </w:pPr>
            <w:r w:rsidRPr="009708B6">
              <w:rPr>
                <w:rFonts w:ascii="Times New Roman" w:hAnsi="Times New Roman" w:cs="Times New Roman"/>
                <w:color w:val="000000" w:themeColor="text1"/>
                <w:sz w:val="24"/>
                <w:szCs w:val="24"/>
              </w:rPr>
              <w:t xml:space="preserve">Tā, piemēram, </w:t>
            </w:r>
            <w:r w:rsidRPr="009708B6">
              <w:rPr>
                <w:rFonts w:ascii="Times New Roman" w:hAnsi="Times New Roman" w:cs="Times New Roman"/>
                <w:b/>
                <w:color w:val="000000" w:themeColor="text1"/>
                <w:sz w:val="24"/>
                <w:szCs w:val="24"/>
              </w:rPr>
              <w:t>Polijā</w:t>
            </w:r>
            <w:r w:rsidRPr="009708B6">
              <w:rPr>
                <w:rFonts w:ascii="Times New Roman" w:hAnsi="Times New Roman" w:cs="Times New Roman"/>
                <w:color w:val="000000" w:themeColor="text1"/>
                <w:sz w:val="24"/>
                <w:szCs w:val="24"/>
              </w:rPr>
              <w:t xml:space="preserve"> tiek noteikta licences maksa par televīzijas vai radio programmu apraides atļauju izsniegšanu, un tā tiek noteikta atsevišķi no ikgadējiem obligātajiem maksājumiem, kas noteikti par tiesībām izmantot piešķirto frekvenci. Licences maksa tiek iekasēta valsts nodevas formā, un tā jāmaksā ik pa 10 gadiem. To var noformēt kā vienu maksājumu, vai arī, pēc pārraidītāja lūguma, – kā vienādus ikgadējus maksājumus. No licences maksas ir atbrīvoti sabiedriskie un sociālie pārraidītāji (ar dažiem izņēmumiem).</w:t>
            </w:r>
          </w:p>
          <w:p w:rsidR="008312A8" w:rsidRPr="009708B6" w:rsidRDefault="008312A8" w:rsidP="009708B6">
            <w:pPr>
              <w:shd w:val="clear" w:color="auto" w:fill="FFFFFF" w:themeFill="background1"/>
              <w:spacing w:line="240" w:lineRule="auto"/>
              <w:jc w:val="both"/>
              <w:rPr>
                <w:rFonts w:ascii="Times New Roman" w:hAnsi="Times New Roman" w:cs="Times New Roman"/>
                <w:color w:val="000000" w:themeColor="text1"/>
                <w:sz w:val="24"/>
                <w:szCs w:val="24"/>
              </w:rPr>
            </w:pPr>
            <w:r w:rsidRPr="009708B6">
              <w:rPr>
                <w:rFonts w:ascii="Times New Roman" w:hAnsi="Times New Roman" w:cs="Times New Roman"/>
                <w:color w:val="000000" w:themeColor="text1"/>
                <w:sz w:val="24"/>
                <w:szCs w:val="24"/>
              </w:rPr>
              <w:t xml:space="preserve">Atsevišķi ir paredzēta arī maksa par retranslāciju aptuveni 501 </w:t>
            </w:r>
            <w:r w:rsidRPr="009708B6">
              <w:rPr>
                <w:rFonts w:ascii="Times New Roman" w:hAnsi="Times New Roman" w:cs="Times New Roman"/>
                <w:i/>
                <w:color w:val="000000" w:themeColor="text1"/>
                <w:sz w:val="24"/>
                <w:szCs w:val="24"/>
              </w:rPr>
              <w:t>euro</w:t>
            </w:r>
            <w:r w:rsidRPr="009708B6">
              <w:rPr>
                <w:rFonts w:ascii="Times New Roman" w:hAnsi="Times New Roman" w:cs="Times New Roman"/>
                <w:color w:val="000000" w:themeColor="text1"/>
                <w:sz w:val="24"/>
                <w:szCs w:val="24"/>
              </w:rPr>
              <w:t>, ko maksā mediju pakalpojuma sniedzējs (kabeļoperators). Par katru retranslācijas programmas reģistrāciju pakalpojumu sniedzējam ir jāmaksā maksa 25</w:t>
            </w:r>
            <w:r w:rsidR="0072072B" w:rsidRPr="009708B6">
              <w:rPr>
                <w:rFonts w:ascii="Times New Roman" w:hAnsi="Times New Roman" w:cs="Times New Roman"/>
                <w:color w:val="000000" w:themeColor="text1"/>
                <w:sz w:val="24"/>
                <w:szCs w:val="24"/>
              </w:rPr>
              <w:t> </w:t>
            </w:r>
            <w:r w:rsidRPr="009708B6">
              <w:rPr>
                <w:rFonts w:ascii="Times New Roman" w:hAnsi="Times New Roman" w:cs="Times New Roman"/>
                <w:i/>
                <w:color w:val="000000" w:themeColor="text1"/>
                <w:sz w:val="24"/>
                <w:szCs w:val="24"/>
              </w:rPr>
              <w:t>euro</w:t>
            </w:r>
            <w:r w:rsidRPr="009708B6">
              <w:rPr>
                <w:rFonts w:ascii="Times New Roman" w:hAnsi="Times New Roman" w:cs="Times New Roman"/>
                <w:color w:val="000000" w:themeColor="text1"/>
                <w:sz w:val="24"/>
                <w:szCs w:val="24"/>
              </w:rPr>
              <w:t xml:space="preserve">. Tas ir vienreizējs maksājums par to termiņu, kas paredzēts līgumā ar programmas pārraidītāju. Pēc tam nodeva maksājama atkārtoti. </w:t>
            </w:r>
          </w:p>
          <w:p w:rsidR="008312A8" w:rsidRPr="009708B6" w:rsidRDefault="008312A8" w:rsidP="009708B6">
            <w:pPr>
              <w:shd w:val="clear" w:color="auto" w:fill="FFFFFF" w:themeFill="background1"/>
              <w:spacing w:line="240" w:lineRule="auto"/>
              <w:jc w:val="both"/>
              <w:rPr>
                <w:rFonts w:ascii="Times New Roman" w:hAnsi="Times New Roman" w:cs="Times New Roman"/>
                <w:color w:val="000000" w:themeColor="text1"/>
                <w:sz w:val="24"/>
                <w:szCs w:val="24"/>
              </w:rPr>
            </w:pPr>
            <w:r w:rsidRPr="009708B6">
              <w:rPr>
                <w:rFonts w:ascii="Times New Roman" w:hAnsi="Times New Roman" w:cs="Times New Roman"/>
                <w:b/>
                <w:color w:val="000000" w:themeColor="text1"/>
                <w:sz w:val="24"/>
                <w:szCs w:val="24"/>
              </w:rPr>
              <w:t>Lielbritānijā</w:t>
            </w:r>
            <w:r w:rsidRPr="009708B6">
              <w:rPr>
                <w:rFonts w:ascii="Times New Roman" w:hAnsi="Times New Roman" w:cs="Times New Roman"/>
                <w:color w:val="000000" w:themeColor="text1"/>
                <w:sz w:val="24"/>
                <w:szCs w:val="24"/>
              </w:rPr>
              <w:t xml:space="preserve"> saskaņā ar 2003. gada Komunikāciju likumu (</w:t>
            </w:r>
            <w:proofErr w:type="spellStart"/>
            <w:r w:rsidRPr="009708B6">
              <w:rPr>
                <w:rFonts w:ascii="Times New Roman" w:hAnsi="Times New Roman" w:cs="Times New Roman"/>
                <w:i/>
                <w:color w:val="000000" w:themeColor="text1"/>
                <w:sz w:val="24"/>
                <w:szCs w:val="24"/>
              </w:rPr>
              <w:t>Communications</w:t>
            </w:r>
            <w:proofErr w:type="spellEnd"/>
            <w:r w:rsidRPr="009708B6">
              <w:rPr>
                <w:rFonts w:ascii="Times New Roman" w:hAnsi="Times New Roman" w:cs="Times New Roman"/>
                <w:i/>
                <w:color w:val="000000" w:themeColor="text1"/>
                <w:sz w:val="24"/>
                <w:szCs w:val="24"/>
              </w:rPr>
              <w:t xml:space="preserve"> </w:t>
            </w:r>
            <w:proofErr w:type="spellStart"/>
            <w:r w:rsidRPr="009708B6">
              <w:rPr>
                <w:rFonts w:ascii="Times New Roman" w:hAnsi="Times New Roman" w:cs="Times New Roman"/>
                <w:i/>
                <w:color w:val="000000" w:themeColor="text1"/>
                <w:sz w:val="24"/>
                <w:szCs w:val="24"/>
              </w:rPr>
              <w:t>Act</w:t>
            </w:r>
            <w:proofErr w:type="spellEnd"/>
            <w:r w:rsidRPr="009708B6">
              <w:rPr>
                <w:rFonts w:ascii="Times New Roman" w:hAnsi="Times New Roman" w:cs="Times New Roman"/>
                <w:color w:val="000000" w:themeColor="text1"/>
                <w:sz w:val="24"/>
                <w:szCs w:val="24"/>
              </w:rPr>
              <w:t xml:space="preserve">) par televīzijas licences izsniegšanu, atjaunošanu vai citos gadījumos ir jāmaksā. Arī par radio </w:t>
            </w:r>
            <w:r w:rsidRPr="009708B6">
              <w:rPr>
                <w:rFonts w:ascii="Times New Roman" w:hAnsi="Times New Roman" w:cs="Times New Roman"/>
                <w:color w:val="000000" w:themeColor="text1"/>
                <w:sz w:val="24"/>
                <w:szCs w:val="24"/>
              </w:rPr>
              <w:lastRenderedPageBreak/>
              <w:t>apraidi ir jāmaksā licences maksa (par licenci, kas saņemta saskaņā ar Apraides likumu (</w:t>
            </w:r>
            <w:proofErr w:type="spellStart"/>
            <w:r w:rsidRPr="009708B6">
              <w:rPr>
                <w:rFonts w:ascii="Times New Roman" w:hAnsi="Times New Roman" w:cs="Times New Roman"/>
                <w:i/>
                <w:color w:val="000000" w:themeColor="text1"/>
                <w:sz w:val="24"/>
                <w:szCs w:val="24"/>
              </w:rPr>
              <w:t>Broadcasting</w:t>
            </w:r>
            <w:proofErr w:type="spellEnd"/>
            <w:r w:rsidRPr="009708B6">
              <w:rPr>
                <w:rFonts w:ascii="Times New Roman" w:hAnsi="Times New Roman" w:cs="Times New Roman"/>
                <w:i/>
                <w:color w:val="000000" w:themeColor="text1"/>
                <w:sz w:val="24"/>
                <w:szCs w:val="24"/>
              </w:rPr>
              <w:t xml:space="preserve"> </w:t>
            </w:r>
            <w:proofErr w:type="spellStart"/>
            <w:r w:rsidRPr="009708B6">
              <w:rPr>
                <w:rFonts w:ascii="Times New Roman" w:hAnsi="Times New Roman" w:cs="Times New Roman"/>
                <w:i/>
                <w:color w:val="000000" w:themeColor="text1"/>
                <w:sz w:val="24"/>
                <w:szCs w:val="24"/>
              </w:rPr>
              <w:t>Act</w:t>
            </w:r>
            <w:proofErr w:type="spellEnd"/>
            <w:r w:rsidRPr="009708B6">
              <w:rPr>
                <w:rFonts w:ascii="Times New Roman" w:hAnsi="Times New Roman" w:cs="Times New Roman"/>
                <w:color w:val="000000" w:themeColor="text1"/>
                <w:sz w:val="24"/>
                <w:szCs w:val="24"/>
              </w:rPr>
              <w:t>)).</w:t>
            </w:r>
            <w:r w:rsidRPr="009708B6">
              <w:rPr>
                <w:rFonts w:ascii="Times New Roman" w:hAnsi="Times New Roman" w:cs="Times New Roman"/>
                <w:color w:val="000000" w:themeColor="text1"/>
                <w:sz w:val="24"/>
                <w:szCs w:val="24"/>
                <w:vertAlign w:val="superscript"/>
              </w:rPr>
              <w:footnoteReference w:id="2"/>
            </w:r>
          </w:p>
          <w:p w:rsidR="008312A8" w:rsidRPr="009708B6" w:rsidRDefault="008312A8" w:rsidP="009708B6">
            <w:pPr>
              <w:shd w:val="clear" w:color="auto" w:fill="FFFFFF" w:themeFill="background1"/>
              <w:spacing w:line="240" w:lineRule="auto"/>
              <w:jc w:val="both"/>
              <w:rPr>
                <w:rFonts w:ascii="Times New Roman" w:hAnsi="Times New Roman" w:cs="Times New Roman"/>
                <w:color w:val="000000" w:themeColor="text1"/>
                <w:sz w:val="24"/>
                <w:szCs w:val="24"/>
              </w:rPr>
            </w:pPr>
            <w:r w:rsidRPr="009708B6">
              <w:rPr>
                <w:rFonts w:ascii="Times New Roman" w:hAnsi="Times New Roman" w:cs="Times New Roman"/>
                <w:color w:val="000000" w:themeColor="text1"/>
                <w:sz w:val="24"/>
                <w:szCs w:val="24"/>
              </w:rPr>
              <w:t>Papildus maksājumam, kas noteikts par licences izsniegšanu, licenciātam ir pienākums maksāt Komunikāciju birojam (</w:t>
            </w:r>
            <w:proofErr w:type="spellStart"/>
            <w:r w:rsidRPr="009708B6">
              <w:rPr>
                <w:rFonts w:ascii="Times New Roman" w:hAnsi="Times New Roman" w:cs="Times New Roman"/>
                <w:i/>
                <w:color w:val="000000" w:themeColor="text1"/>
                <w:sz w:val="24"/>
                <w:szCs w:val="24"/>
              </w:rPr>
              <w:t>Ofcom</w:t>
            </w:r>
            <w:proofErr w:type="spellEnd"/>
            <w:r w:rsidRPr="009708B6">
              <w:rPr>
                <w:rFonts w:ascii="Times New Roman" w:hAnsi="Times New Roman" w:cs="Times New Roman"/>
                <w:color w:val="000000" w:themeColor="text1"/>
                <w:sz w:val="24"/>
                <w:szCs w:val="24"/>
              </w:rPr>
              <w:t xml:space="preserve">) ikgadēju licences maksājumu, kura apmērs tiek pārskatīts ik gadu (šobrīd minimālais apmērs ir aptuveni 1141 </w:t>
            </w:r>
            <w:r w:rsidRPr="009708B6">
              <w:rPr>
                <w:rFonts w:ascii="Times New Roman" w:hAnsi="Times New Roman" w:cs="Times New Roman"/>
                <w:i/>
                <w:color w:val="000000" w:themeColor="text1"/>
                <w:sz w:val="24"/>
                <w:szCs w:val="24"/>
              </w:rPr>
              <w:t>euro</w:t>
            </w:r>
            <w:r w:rsidRPr="009708B6">
              <w:rPr>
                <w:rFonts w:ascii="Times New Roman" w:hAnsi="Times New Roman" w:cs="Times New Roman"/>
                <w:color w:val="000000" w:themeColor="text1"/>
                <w:sz w:val="24"/>
                <w:szCs w:val="24"/>
              </w:rPr>
              <w:t>).</w:t>
            </w:r>
            <w:r w:rsidRPr="009708B6">
              <w:rPr>
                <w:rFonts w:ascii="Times New Roman" w:hAnsi="Times New Roman" w:cs="Times New Roman"/>
                <w:color w:val="000000" w:themeColor="text1"/>
                <w:sz w:val="24"/>
                <w:szCs w:val="24"/>
                <w:vertAlign w:val="superscript"/>
              </w:rPr>
              <w:footnoteReference w:id="3"/>
            </w:r>
            <w:r w:rsidRPr="009708B6">
              <w:rPr>
                <w:rFonts w:ascii="Times New Roman" w:hAnsi="Times New Roman" w:cs="Times New Roman"/>
                <w:color w:val="000000" w:themeColor="text1"/>
                <w:sz w:val="24"/>
                <w:szCs w:val="24"/>
              </w:rPr>
              <w:t xml:space="preserve"> Ikgadēja maksājuma veikšana ir licences spēkā esamības priekšnoteikums – ja licenciāts nav izpildījis ikgadējās nodevas maksāšanas pienākumu, licence var tikt atsaukta. Ikgadējās nodevas apmērs tiek aprēķināts par pamatu ņemot licences saņēmēja gada apgrozījumu. Piemēram, ja gada apgrozījums ir 10 miljoni </w:t>
            </w:r>
            <w:r w:rsidRPr="009708B6">
              <w:rPr>
                <w:rFonts w:ascii="Times New Roman" w:hAnsi="Times New Roman" w:cs="Times New Roman"/>
                <w:i/>
                <w:color w:val="000000" w:themeColor="text1"/>
                <w:sz w:val="24"/>
                <w:szCs w:val="24"/>
              </w:rPr>
              <w:t>euro</w:t>
            </w:r>
            <w:r w:rsidRPr="009708B6">
              <w:rPr>
                <w:rFonts w:ascii="Times New Roman" w:hAnsi="Times New Roman" w:cs="Times New Roman"/>
                <w:color w:val="000000" w:themeColor="text1"/>
                <w:sz w:val="24"/>
                <w:szCs w:val="24"/>
              </w:rPr>
              <w:t xml:space="preserve">, ikgadējā nodeva maksājama vairāk nekā 30 tūkstošu </w:t>
            </w:r>
            <w:r w:rsidRPr="009708B6">
              <w:rPr>
                <w:rFonts w:ascii="Times New Roman" w:hAnsi="Times New Roman" w:cs="Times New Roman"/>
                <w:i/>
                <w:color w:val="000000" w:themeColor="text1"/>
                <w:sz w:val="24"/>
                <w:szCs w:val="24"/>
              </w:rPr>
              <w:t xml:space="preserve">euro </w:t>
            </w:r>
            <w:r w:rsidRPr="009708B6">
              <w:rPr>
                <w:rFonts w:ascii="Times New Roman" w:hAnsi="Times New Roman" w:cs="Times New Roman"/>
                <w:color w:val="000000" w:themeColor="text1"/>
                <w:sz w:val="24"/>
                <w:szCs w:val="24"/>
              </w:rPr>
              <w:t>apmērā.</w:t>
            </w:r>
          </w:p>
          <w:p w:rsidR="008312A8" w:rsidRPr="009708B6" w:rsidRDefault="008312A8" w:rsidP="009708B6">
            <w:pPr>
              <w:shd w:val="clear" w:color="auto" w:fill="FFFFFF" w:themeFill="background1"/>
              <w:spacing w:line="240" w:lineRule="auto"/>
              <w:jc w:val="both"/>
              <w:rPr>
                <w:rFonts w:ascii="Times New Roman" w:hAnsi="Times New Roman" w:cs="Times New Roman"/>
                <w:b/>
                <w:color w:val="000000" w:themeColor="text1"/>
                <w:sz w:val="24"/>
                <w:szCs w:val="24"/>
              </w:rPr>
            </w:pPr>
            <w:r w:rsidRPr="009708B6">
              <w:rPr>
                <w:rFonts w:ascii="Times New Roman" w:hAnsi="Times New Roman" w:cs="Times New Roman"/>
                <w:b/>
                <w:color w:val="000000" w:themeColor="text1"/>
                <w:sz w:val="24"/>
                <w:szCs w:val="24"/>
              </w:rPr>
              <w:t>Nīderlandē</w:t>
            </w:r>
            <w:r w:rsidRPr="009708B6">
              <w:rPr>
                <w:rFonts w:ascii="Times New Roman" w:hAnsi="Times New Roman" w:cs="Times New Roman"/>
                <w:color w:val="000000" w:themeColor="text1"/>
                <w:sz w:val="24"/>
                <w:szCs w:val="24"/>
              </w:rPr>
              <w:t xml:space="preserve"> komerciālajiem EPL izsniedz pārraides atļauju uz pieciem gadiem. Par atļaujas saņemšanu nav</w:t>
            </w:r>
            <w:r w:rsidRPr="009708B6">
              <w:rPr>
                <w:rFonts w:ascii="Times New Roman" w:hAnsi="Times New Roman" w:cs="Times New Roman"/>
                <w:b/>
                <w:color w:val="000000" w:themeColor="text1"/>
                <w:sz w:val="24"/>
                <w:szCs w:val="24"/>
              </w:rPr>
              <w:t xml:space="preserve"> </w:t>
            </w:r>
            <w:r w:rsidRPr="009708B6">
              <w:rPr>
                <w:rFonts w:ascii="Times New Roman" w:hAnsi="Times New Roman" w:cs="Times New Roman"/>
                <w:color w:val="000000" w:themeColor="text1"/>
                <w:sz w:val="24"/>
                <w:szCs w:val="24"/>
              </w:rPr>
              <w:t>jāmaksā</w:t>
            </w:r>
            <w:r w:rsidRPr="009708B6">
              <w:rPr>
                <w:rFonts w:ascii="Times New Roman" w:hAnsi="Times New Roman" w:cs="Times New Roman"/>
                <w:b/>
                <w:color w:val="000000" w:themeColor="text1"/>
                <w:sz w:val="24"/>
                <w:szCs w:val="24"/>
              </w:rPr>
              <w:t xml:space="preserve"> </w:t>
            </w:r>
            <w:r w:rsidRPr="009708B6">
              <w:rPr>
                <w:rFonts w:ascii="Times New Roman" w:hAnsi="Times New Roman" w:cs="Times New Roman"/>
                <w:color w:val="000000" w:themeColor="text1"/>
                <w:sz w:val="24"/>
                <w:szCs w:val="24"/>
              </w:rPr>
              <w:t>nodeva, tomēr ir jāmaksā ikgadējā uzraudzības nodeva (</w:t>
            </w:r>
            <w:proofErr w:type="spellStart"/>
            <w:r w:rsidRPr="009708B6">
              <w:rPr>
                <w:rFonts w:ascii="Times New Roman" w:hAnsi="Times New Roman" w:cs="Times New Roman"/>
                <w:i/>
                <w:color w:val="000000" w:themeColor="text1"/>
                <w:sz w:val="24"/>
                <w:szCs w:val="24"/>
              </w:rPr>
              <w:t>Media</w:t>
            </w:r>
            <w:proofErr w:type="spellEnd"/>
            <w:r w:rsidRPr="009708B6">
              <w:rPr>
                <w:rFonts w:ascii="Times New Roman" w:hAnsi="Times New Roman" w:cs="Times New Roman"/>
                <w:i/>
                <w:color w:val="000000" w:themeColor="text1"/>
                <w:sz w:val="24"/>
                <w:szCs w:val="24"/>
              </w:rPr>
              <w:t xml:space="preserve"> </w:t>
            </w:r>
            <w:proofErr w:type="spellStart"/>
            <w:r w:rsidRPr="009708B6">
              <w:rPr>
                <w:rFonts w:ascii="Times New Roman" w:hAnsi="Times New Roman" w:cs="Times New Roman"/>
                <w:i/>
                <w:color w:val="000000" w:themeColor="text1"/>
                <w:sz w:val="24"/>
                <w:szCs w:val="24"/>
              </w:rPr>
              <w:t>act</w:t>
            </w:r>
            <w:proofErr w:type="spellEnd"/>
            <w:r w:rsidRPr="009708B6">
              <w:rPr>
                <w:rFonts w:ascii="Times New Roman" w:hAnsi="Times New Roman" w:cs="Times New Roman"/>
                <w:i/>
                <w:color w:val="000000" w:themeColor="text1"/>
                <w:sz w:val="24"/>
                <w:szCs w:val="24"/>
              </w:rPr>
              <w:t xml:space="preserve"> 2008 </w:t>
            </w:r>
            <w:proofErr w:type="spellStart"/>
            <w:r w:rsidRPr="009708B6">
              <w:rPr>
                <w:rFonts w:ascii="Times New Roman" w:hAnsi="Times New Roman" w:cs="Times New Roman"/>
                <w:i/>
                <w:color w:val="000000" w:themeColor="text1"/>
                <w:sz w:val="24"/>
                <w:szCs w:val="24"/>
              </w:rPr>
              <w:t>Article</w:t>
            </w:r>
            <w:proofErr w:type="spellEnd"/>
            <w:r w:rsidRPr="009708B6">
              <w:rPr>
                <w:rFonts w:ascii="Times New Roman" w:hAnsi="Times New Roman" w:cs="Times New Roman"/>
                <w:i/>
                <w:color w:val="000000" w:themeColor="text1"/>
                <w:sz w:val="24"/>
                <w:szCs w:val="24"/>
              </w:rPr>
              <w:t xml:space="preserve"> 3:30; </w:t>
            </w:r>
            <w:proofErr w:type="spellStart"/>
            <w:r w:rsidRPr="009708B6">
              <w:rPr>
                <w:rFonts w:ascii="Times New Roman" w:hAnsi="Times New Roman" w:cs="Times New Roman"/>
                <w:i/>
                <w:color w:val="000000" w:themeColor="text1"/>
                <w:sz w:val="24"/>
                <w:szCs w:val="24"/>
              </w:rPr>
              <w:t>Media</w:t>
            </w:r>
            <w:proofErr w:type="spellEnd"/>
            <w:r w:rsidRPr="009708B6">
              <w:rPr>
                <w:rFonts w:ascii="Times New Roman" w:hAnsi="Times New Roman" w:cs="Times New Roman"/>
                <w:i/>
                <w:color w:val="000000" w:themeColor="text1"/>
                <w:sz w:val="24"/>
                <w:szCs w:val="24"/>
              </w:rPr>
              <w:t xml:space="preserve"> </w:t>
            </w:r>
            <w:proofErr w:type="spellStart"/>
            <w:r w:rsidRPr="009708B6">
              <w:rPr>
                <w:rFonts w:ascii="Times New Roman" w:hAnsi="Times New Roman" w:cs="Times New Roman"/>
                <w:i/>
                <w:color w:val="000000" w:themeColor="text1"/>
                <w:sz w:val="24"/>
                <w:szCs w:val="24"/>
              </w:rPr>
              <w:t>Regulations</w:t>
            </w:r>
            <w:proofErr w:type="spellEnd"/>
            <w:r w:rsidRPr="009708B6">
              <w:rPr>
                <w:rFonts w:ascii="Times New Roman" w:hAnsi="Times New Roman" w:cs="Times New Roman"/>
                <w:i/>
                <w:color w:val="000000" w:themeColor="text1"/>
                <w:sz w:val="24"/>
                <w:szCs w:val="24"/>
              </w:rPr>
              <w:t xml:space="preserve"> 2008 </w:t>
            </w:r>
            <w:proofErr w:type="spellStart"/>
            <w:r w:rsidRPr="009708B6">
              <w:rPr>
                <w:rFonts w:ascii="Times New Roman" w:hAnsi="Times New Roman" w:cs="Times New Roman"/>
                <w:i/>
                <w:color w:val="000000" w:themeColor="text1"/>
                <w:sz w:val="24"/>
                <w:szCs w:val="24"/>
              </w:rPr>
              <w:t>Appendix</w:t>
            </w:r>
            <w:proofErr w:type="spellEnd"/>
            <w:r w:rsidRPr="009708B6">
              <w:rPr>
                <w:rFonts w:ascii="Times New Roman" w:hAnsi="Times New Roman" w:cs="Times New Roman"/>
                <w:i/>
                <w:color w:val="000000" w:themeColor="text1"/>
                <w:sz w:val="24"/>
                <w:szCs w:val="24"/>
              </w:rPr>
              <w:t xml:space="preserve"> </w:t>
            </w:r>
            <w:proofErr w:type="spellStart"/>
            <w:r w:rsidRPr="009708B6">
              <w:rPr>
                <w:rFonts w:ascii="Times New Roman" w:hAnsi="Times New Roman" w:cs="Times New Roman"/>
                <w:i/>
                <w:color w:val="000000" w:themeColor="text1"/>
                <w:sz w:val="24"/>
                <w:szCs w:val="24"/>
              </w:rPr>
              <w:t>Article</w:t>
            </w:r>
            <w:proofErr w:type="spellEnd"/>
            <w:r w:rsidRPr="009708B6">
              <w:rPr>
                <w:rFonts w:ascii="Times New Roman" w:hAnsi="Times New Roman" w:cs="Times New Roman"/>
                <w:i/>
                <w:color w:val="000000" w:themeColor="text1"/>
                <w:sz w:val="24"/>
                <w:szCs w:val="24"/>
              </w:rPr>
              <w:t xml:space="preserve"> 1</w:t>
            </w:r>
            <w:r w:rsidRPr="009708B6">
              <w:rPr>
                <w:rFonts w:ascii="Times New Roman" w:hAnsi="Times New Roman" w:cs="Times New Roman"/>
                <w:color w:val="000000" w:themeColor="text1"/>
                <w:sz w:val="24"/>
                <w:szCs w:val="24"/>
              </w:rPr>
              <w:t>). Komerciālie EPL maksā Mediju uzraudzības institūcijai ikgadēju nodevu, lai kompensētu Mediju uzraudzības institūcijas izmaksas, kas saistītas ar uzraudzības funkciju pildīšanu. Maksas noteikumi paredz nodalīt radio un televīzijas programmas. Maksas apmēra aprēķinā ņem vērā pārraides vidējo garumu un Nīderlandes mājsaimniecību skaitu, kas saņem programmas translāciju, kā arī aizņemto tirgus daļu. Kanāliem, kuru mērķauditorija ir ārvalstīs, ir paredzētas lielākas nodevas nekā iekšzemes kanāliem.</w:t>
            </w:r>
          </w:p>
          <w:p w:rsidR="008312A8" w:rsidRPr="009708B6" w:rsidRDefault="008312A8" w:rsidP="009708B6">
            <w:pPr>
              <w:shd w:val="clear" w:color="auto" w:fill="FFFFFF" w:themeFill="background1"/>
              <w:spacing w:line="240" w:lineRule="auto"/>
              <w:jc w:val="both"/>
              <w:rPr>
                <w:rFonts w:ascii="Times New Roman" w:hAnsi="Times New Roman" w:cs="Times New Roman"/>
                <w:color w:val="000000" w:themeColor="text1"/>
                <w:sz w:val="24"/>
                <w:szCs w:val="24"/>
              </w:rPr>
            </w:pPr>
            <w:r w:rsidRPr="009708B6">
              <w:rPr>
                <w:rFonts w:ascii="Times New Roman" w:hAnsi="Times New Roman" w:cs="Times New Roman"/>
                <w:b/>
                <w:color w:val="000000" w:themeColor="text1"/>
                <w:sz w:val="24"/>
                <w:szCs w:val="24"/>
              </w:rPr>
              <w:t>Somijā</w:t>
            </w:r>
            <w:r w:rsidRPr="009708B6">
              <w:rPr>
                <w:rFonts w:ascii="Times New Roman" w:hAnsi="Times New Roman" w:cs="Times New Roman"/>
                <w:color w:val="000000" w:themeColor="text1"/>
                <w:sz w:val="24"/>
                <w:szCs w:val="24"/>
              </w:rPr>
              <w:t xml:space="preserve"> apraides atļauju izsniedz Somijas Mediju uzraudzības institūcija (</w:t>
            </w:r>
            <w:proofErr w:type="spellStart"/>
            <w:r w:rsidRPr="009708B6">
              <w:rPr>
                <w:rFonts w:ascii="Times New Roman" w:hAnsi="Times New Roman" w:cs="Times New Roman"/>
                <w:i/>
                <w:color w:val="000000" w:themeColor="text1"/>
                <w:sz w:val="24"/>
                <w:szCs w:val="24"/>
              </w:rPr>
              <w:t>Information</w:t>
            </w:r>
            <w:proofErr w:type="spellEnd"/>
            <w:r w:rsidRPr="009708B6">
              <w:rPr>
                <w:rFonts w:ascii="Times New Roman" w:hAnsi="Times New Roman" w:cs="Times New Roman"/>
                <w:i/>
                <w:color w:val="000000" w:themeColor="text1"/>
                <w:sz w:val="24"/>
                <w:szCs w:val="24"/>
              </w:rPr>
              <w:t xml:space="preserve"> </w:t>
            </w:r>
            <w:proofErr w:type="spellStart"/>
            <w:r w:rsidRPr="009708B6">
              <w:rPr>
                <w:rFonts w:ascii="Times New Roman" w:hAnsi="Times New Roman" w:cs="Times New Roman"/>
                <w:i/>
                <w:color w:val="000000" w:themeColor="text1"/>
                <w:sz w:val="24"/>
                <w:szCs w:val="24"/>
              </w:rPr>
              <w:t>Society</w:t>
            </w:r>
            <w:proofErr w:type="spellEnd"/>
            <w:r w:rsidRPr="009708B6">
              <w:rPr>
                <w:rFonts w:ascii="Times New Roman" w:hAnsi="Times New Roman" w:cs="Times New Roman"/>
                <w:i/>
                <w:color w:val="000000" w:themeColor="text1"/>
                <w:sz w:val="24"/>
                <w:szCs w:val="24"/>
              </w:rPr>
              <w:t xml:space="preserve"> Code (917/2014) </w:t>
            </w:r>
            <w:proofErr w:type="spellStart"/>
            <w:r w:rsidRPr="009708B6">
              <w:rPr>
                <w:rFonts w:ascii="Times New Roman" w:hAnsi="Times New Roman" w:cs="Times New Roman"/>
                <w:i/>
                <w:color w:val="000000" w:themeColor="text1"/>
                <w:sz w:val="24"/>
                <w:szCs w:val="24"/>
              </w:rPr>
              <w:t>Chapter</w:t>
            </w:r>
            <w:proofErr w:type="spellEnd"/>
            <w:r w:rsidRPr="009708B6">
              <w:rPr>
                <w:rFonts w:ascii="Times New Roman" w:hAnsi="Times New Roman" w:cs="Times New Roman"/>
                <w:i/>
                <w:color w:val="000000" w:themeColor="text1"/>
                <w:sz w:val="24"/>
                <w:szCs w:val="24"/>
              </w:rPr>
              <w:t xml:space="preserve"> 4</w:t>
            </w:r>
            <w:r w:rsidRPr="009708B6">
              <w:rPr>
                <w:rFonts w:ascii="Times New Roman" w:hAnsi="Times New Roman" w:cs="Times New Roman"/>
                <w:color w:val="000000" w:themeColor="text1"/>
                <w:sz w:val="24"/>
                <w:szCs w:val="24"/>
              </w:rPr>
              <w:t xml:space="preserve">). Apraides atļaujas maksimālais termiņš ir desmit gadi. Par televīzijas apraides atļaujas saņemšanu jāmaksā nodeva 5000 </w:t>
            </w:r>
            <w:r w:rsidRPr="009708B6">
              <w:rPr>
                <w:rFonts w:ascii="Times New Roman" w:hAnsi="Times New Roman" w:cs="Times New Roman"/>
                <w:i/>
                <w:color w:val="000000" w:themeColor="text1"/>
                <w:sz w:val="24"/>
                <w:szCs w:val="24"/>
              </w:rPr>
              <w:t>euro</w:t>
            </w:r>
            <w:r w:rsidRPr="009708B6">
              <w:rPr>
                <w:rFonts w:ascii="Times New Roman" w:hAnsi="Times New Roman" w:cs="Times New Roman"/>
                <w:color w:val="000000" w:themeColor="text1"/>
                <w:sz w:val="24"/>
                <w:szCs w:val="24"/>
              </w:rPr>
              <w:t xml:space="preserve">, bet radio apraidi –1500 </w:t>
            </w:r>
            <w:r w:rsidRPr="009708B6">
              <w:rPr>
                <w:rFonts w:ascii="Times New Roman" w:hAnsi="Times New Roman" w:cs="Times New Roman"/>
                <w:i/>
                <w:color w:val="000000" w:themeColor="text1"/>
                <w:sz w:val="24"/>
                <w:szCs w:val="24"/>
              </w:rPr>
              <w:t>euro</w:t>
            </w:r>
            <w:r w:rsidRPr="009708B6">
              <w:rPr>
                <w:rFonts w:ascii="Times New Roman" w:hAnsi="Times New Roman" w:cs="Times New Roman"/>
                <w:color w:val="000000" w:themeColor="text1"/>
                <w:sz w:val="24"/>
                <w:szCs w:val="24"/>
              </w:rPr>
              <w:t>. Papildus tam maksājama ikgadējā uzraudzības nodeva (</w:t>
            </w:r>
            <w:proofErr w:type="spellStart"/>
            <w:r w:rsidRPr="009708B6">
              <w:rPr>
                <w:rFonts w:ascii="Times New Roman" w:hAnsi="Times New Roman" w:cs="Times New Roman"/>
                <w:i/>
                <w:color w:val="000000" w:themeColor="text1"/>
                <w:sz w:val="24"/>
                <w:szCs w:val="24"/>
              </w:rPr>
              <w:t>Information</w:t>
            </w:r>
            <w:proofErr w:type="spellEnd"/>
            <w:r w:rsidRPr="009708B6">
              <w:rPr>
                <w:rFonts w:ascii="Times New Roman" w:hAnsi="Times New Roman" w:cs="Times New Roman"/>
                <w:i/>
                <w:color w:val="000000" w:themeColor="text1"/>
                <w:sz w:val="24"/>
                <w:szCs w:val="24"/>
              </w:rPr>
              <w:t xml:space="preserve"> </w:t>
            </w:r>
            <w:proofErr w:type="spellStart"/>
            <w:r w:rsidRPr="009708B6">
              <w:rPr>
                <w:rFonts w:ascii="Times New Roman" w:hAnsi="Times New Roman" w:cs="Times New Roman"/>
                <w:i/>
                <w:color w:val="000000" w:themeColor="text1"/>
                <w:sz w:val="24"/>
                <w:szCs w:val="24"/>
              </w:rPr>
              <w:t>Society</w:t>
            </w:r>
            <w:proofErr w:type="spellEnd"/>
            <w:r w:rsidRPr="009708B6">
              <w:rPr>
                <w:rFonts w:ascii="Times New Roman" w:hAnsi="Times New Roman" w:cs="Times New Roman"/>
                <w:i/>
                <w:color w:val="000000" w:themeColor="text1"/>
                <w:sz w:val="24"/>
                <w:szCs w:val="24"/>
              </w:rPr>
              <w:t xml:space="preserve"> Code (917/2014) </w:t>
            </w:r>
            <w:proofErr w:type="spellStart"/>
            <w:r w:rsidRPr="009708B6">
              <w:rPr>
                <w:rFonts w:ascii="Times New Roman" w:hAnsi="Times New Roman" w:cs="Times New Roman"/>
                <w:i/>
                <w:color w:val="000000" w:themeColor="text1"/>
                <w:sz w:val="24"/>
                <w:szCs w:val="24"/>
              </w:rPr>
              <w:t>Section</w:t>
            </w:r>
            <w:proofErr w:type="spellEnd"/>
            <w:r w:rsidRPr="009708B6">
              <w:rPr>
                <w:rFonts w:ascii="Times New Roman" w:hAnsi="Times New Roman" w:cs="Times New Roman"/>
                <w:i/>
                <w:color w:val="000000" w:themeColor="text1"/>
                <w:sz w:val="24"/>
                <w:szCs w:val="24"/>
              </w:rPr>
              <w:t xml:space="preserve"> 293., 294</w:t>
            </w:r>
            <w:r w:rsidRPr="009708B6">
              <w:rPr>
                <w:rFonts w:ascii="Times New Roman" w:hAnsi="Times New Roman" w:cs="Times New Roman"/>
                <w:color w:val="000000" w:themeColor="text1"/>
                <w:sz w:val="24"/>
                <w:szCs w:val="24"/>
              </w:rPr>
              <w:t xml:space="preserve">). EPL, kuri ir saņēmuši apraides atļauju, ir jāmaksā ikgadēja uzraudzības nodeva. EPL, kas saņēmis reģionālās televīzijas apraides atļauju, maksā ikgadējo uzraudzības nodevu 800 </w:t>
            </w:r>
            <w:r w:rsidRPr="009708B6">
              <w:rPr>
                <w:rFonts w:ascii="Times New Roman" w:hAnsi="Times New Roman" w:cs="Times New Roman"/>
                <w:i/>
                <w:color w:val="000000" w:themeColor="text1"/>
                <w:sz w:val="24"/>
                <w:szCs w:val="24"/>
              </w:rPr>
              <w:t>euro</w:t>
            </w:r>
            <w:r w:rsidRPr="009708B6">
              <w:rPr>
                <w:rFonts w:ascii="Times New Roman" w:hAnsi="Times New Roman" w:cs="Times New Roman"/>
                <w:color w:val="000000" w:themeColor="text1"/>
                <w:sz w:val="24"/>
                <w:szCs w:val="24"/>
              </w:rPr>
              <w:t xml:space="preserve"> par katru televīzijas programmu. EPL, kas saņēmis televīzijas apraides atļauju, kas nav reģionālā apraides atļauja, katru gadu maksā uzraudzības nodevu 16 000 </w:t>
            </w:r>
            <w:r w:rsidRPr="009708B6">
              <w:rPr>
                <w:rFonts w:ascii="Times New Roman" w:hAnsi="Times New Roman" w:cs="Times New Roman"/>
                <w:i/>
                <w:color w:val="000000" w:themeColor="text1"/>
                <w:sz w:val="24"/>
                <w:szCs w:val="24"/>
              </w:rPr>
              <w:t>euro</w:t>
            </w:r>
            <w:r w:rsidRPr="009708B6">
              <w:rPr>
                <w:rFonts w:ascii="Times New Roman" w:hAnsi="Times New Roman" w:cs="Times New Roman"/>
                <w:color w:val="000000" w:themeColor="text1"/>
                <w:sz w:val="24"/>
                <w:szCs w:val="24"/>
              </w:rPr>
              <w:t>. Somijā nav paredzēta īpaša retranslācijas atļaujas nodeva (</w:t>
            </w:r>
            <w:proofErr w:type="spellStart"/>
            <w:r w:rsidRPr="009708B6">
              <w:rPr>
                <w:rFonts w:ascii="Times New Roman" w:hAnsi="Times New Roman" w:cs="Times New Roman"/>
                <w:i/>
                <w:color w:val="000000" w:themeColor="text1"/>
                <w:sz w:val="24"/>
                <w:szCs w:val="24"/>
              </w:rPr>
              <w:t>Information</w:t>
            </w:r>
            <w:proofErr w:type="spellEnd"/>
            <w:r w:rsidRPr="009708B6">
              <w:rPr>
                <w:rFonts w:ascii="Times New Roman" w:hAnsi="Times New Roman" w:cs="Times New Roman"/>
                <w:i/>
                <w:color w:val="000000" w:themeColor="text1"/>
                <w:sz w:val="24"/>
                <w:szCs w:val="24"/>
              </w:rPr>
              <w:t xml:space="preserve"> </w:t>
            </w:r>
            <w:proofErr w:type="spellStart"/>
            <w:r w:rsidRPr="009708B6">
              <w:rPr>
                <w:rFonts w:ascii="Times New Roman" w:hAnsi="Times New Roman" w:cs="Times New Roman"/>
                <w:i/>
                <w:color w:val="000000" w:themeColor="text1"/>
                <w:sz w:val="24"/>
                <w:szCs w:val="24"/>
              </w:rPr>
              <w:t>Society</w:t>
            </w:r>
            <w:proofErr w:type="spellEnd"/>
            <w:r w:rsidRPr="009708B6">
              <w:rPr>
                <w:rFonts w:ascii="Times New Roman" w:hAnsi="Times New Roman" w:cs="Times New Roman"/>
                <w:i/>
                <w:color w:val="000000" w:themeColor="text1"/>
                <w:sz w:val="24"/>
                <w:szCs w:val="24"/>
              </w:rPr>
              <w:t xml:space="preserve"> Code (917/2014) </w:t>
            </w:r>
            <w:proofErr w:type="spellStart"/>
            <w:r w:rsidRPr="009708B6">
              <w:rPr>
                <w:rFonts w:ascii="Times New Roman" w:hAnsi="Times New Roman" w:cs="Times New Roman"/>
                <w:i/>
                <w:color w:val="000000" w:themeColor="text1"/>
                <w:sz w:val="24"/>
                <w:szCs w:val="24"/>
              </w:rPr>
              <w:t>Section</w:t>
            </w:r>
            <w:proofErr w:type="spellEnd"/>
            <w:r w:rsidRPr="009708B6">
              <w:rPr>
                <w:rFonts w:ascii="Times New Roman" w:hAnsi="Times New Roman" w:cs="Times New Roman"/>
                <w:i/>
                <w:color w:val="000000" w:themeColor="text1"/>
                <w:sz w:val="24"/>
                <w:szCs w:val="24"/>
              </w:rPr>
              <w:t xml:space="preserve"> 339</w:t>
            </w:r>
            <w:r w:rsidRPr="009708B6">
              <w:rPr>
                <w:rFonts w:ascii="Times New Roman" w:hAnsi="Times New Roman" w:cs="Times New Roman"/>
                <w:color w:val="000000" w:themeColor="text1"/>
                <w:sz w:val="24"/>
                <w:szCs w:val="24"/>
              </w:rPr>
              <w:t xml:space="preserve">). </w:t>
            </w:r>
          </w:p>
          <w:p w:rsidR="008312A8" w:rsidRPr="009708B6" w:rsidRDefault="008312A8" w:rsidP="009708B6">
            <w:pPr>
              <w:shd w:val="clear" w:color="auto" w:fill="FFFFFF" w:themeFill="background1"/>
              <w:spacing w:line="240" w:lineRule="auto"/>
              <w:jc w:val="both"/>
              <w:rPr>
                <w:rFonts w:ascii="Times New Roman" w:hAnsi="Times New Roman" w:cs="Times New Roman"/>
                <w:b/>
                <w:color w:val="000000" w:themeColor="text1"/>
                <w:sz w:val="24"/>
                <w:szCs w:val="24"/>
              </w:rPr>
            </w:pPr>
            <w:r w:rsidRPr="009708B6">
              <w:rPr>
                <w:rFonts w:ascii="Times New Roman" w:hAnsi="Times New Roman" w:cs="Times New Roman"/>
                <w:b/>
                <w:color w:val="000000" w:themeColor="text1"/>
                <w:sz w:val="24"/>
                <w:szCs w:val="24"/>
              </w:rPr>
              <w:t>Igaunijā</w:t>
            </w:r>
            <w:r w:rsidRPr="009708B6">
              <w:rPr>
                <w:rFonts w:ascii="Times New Roman" w:hAnsi="Times New Roman" w:cs="Times New Roman"/>
                <w:color w:val="000000" w:themeColor="text1"/>
                <w:sz w:val="24"/>
                <w:szCs w:val="24"/>
              </w:rPr>
              <w:t xml:space="preserve"> (</w:t>
            </w:r>
            <w:proofErr w:type="spellStart"/>
            <w:r w:rsidRPr="009708B6">
              <w:rPr>
                <w:rFonts w:ascii="Times New Roman" w:hAnsi="Times New Roman" w:cs="Times New Roman"/>
                <w:i/>
                <w:color w:val="000000" w:themeColor="text1"/>
                <w:sz w:val="24"/>
                <w:szCs w:val="24"/>
              </w:rPr>
              <w:t>Media</w:t>
            </w:r>
            <w:proofErr w:type="spellEnd"/>
            <w:r w:rsidRPr="009708B6">
              <w:rPr>
                <w:rFonts w:ascii="Times New Roman" w:hAnsi="Times New Roman" w:cs="Times New Roman"/>
                <w:i/>
                <w:color w:val="000000" w:themeColor="text1"/>
                <w:sz w:val="24"/>
                <w:szCs w:val="24"/>
              </w:rPr>
              <w:t xml:space="preserve"> </w:t>
            </w:r>
            <w:proofErr w:type="spellStart"/>
            <w:r w:rsidRPr="009708B6">
              <w:rPr>
                <w:rFonts w:ascii="Times New Roman" w:hAnsi="Times New Roman" w:cs="Times New Roman"/>
                <w:i/>
                <w:color w:val="000000" w:themeColor="text1"/>
                <w:sz w:val="24"/>
                <w:szCs w:val="24"/>
              </w:rPr>
              <w:t>Services</w:t>
            </w:r>
            <w:proofErr w:type="spellEnd"/>
            <w:r w:rsidRPr="009708B6">
              <w:rPr>
                <w:rFonts w:ascii="Times New Roman" w:hAnsi="Times New Roman" w:cs="Times New Roman"/>
                <w:i/>
                <w:color w:val="000000" w:themeColor="text1"/>
                <w:sz w:val="24"/>
                <w:szCs w:val="24"/>
              </w:rPr>
              <w:t xml:space="preserve"> </w:t>
            </w:r>
            <w:proofErr w:type="spellStart"/>
            <w:r w:rsidRPr="009708B6">
              <w:rPr>
                <w:rFonts w:ascii="Times New Roman" w:hAnsi="Times New Roman" w:cs="Times New Roman"/>
                <w:i/>
                <w:color w:val="000000" w:themeColor="text1"/>
                <w:sz w:val="24"/>
                <w:szCs w:val="24"/>
              </w:rPr>
              <w:t>Act</w:t>
            </w:r>
            <w:proofErr w:type="spellEnd"/>
            <w:r w:rsidRPr="009708B6">
              <w:rPr>
                <w:rFonts w:ascii="Times New Roman" w:hAnsi="Times New Roman" w:cs="Times New Roman"/>
                <w:i/>
                <w:color w:val="000000" w:themeColor="text1"/>
                <w:sz w:val="24"/>
                <w:szCs w:val="24"/>
              </w:rPr>
              <w:t xml:space="preserve"> 16.12.2010 </w:t>
            </w:r>
            <w:proofErr w:type="spellStart"/>
            <w:r w:rsidRPr="009708B6">
              <w:rPr>
                <w:rFonts w:ascii="Times New Roman" w:hAnsi="Times New Roman" w:cs="Times New Roman"/>
                <w:i/>
                <w:color w:val="000000" w:themeColor="text1"/>
                <w:sz w:val="24"/>
                <w:szCs w:val="24"/>
              </w:rPr>
              <w:t>Chapter</w:t>
            </w:r>
            <w:proofErr w:type="spellEnd"/>
            <w:r w:rsidRPr="009708B6">
              <w:rPr>
                <w:rFonts w:ascii="Times New Roman" w:hAnsi="Times New Roman" w:cs="Times New Roman"/>
                <w:i/>
                <w:color w:val="000000" w:themeColor="text1"/>
                <w:sz w:val="24"/>
                <w:szCs w:val="24"/>
              </w:rPr>
              <w:t xml:space="preserve"> 2, </w:t>
            </w:r>
            <w:proofErr w:type="spellStart"/>
            <w:r w:rsidRPr="009708B6">
              <w:rPr>
                <w:rFonts w:ascii="Times New Roman" w:hAnsi="Times New Roman" w:cs="Times New Roman"/>
                <w:i/>
                <w:color w:val="000000" w:themeColor="text1"/>
                <w:sz w:val="24"/>
                <w:szCs w:val="24"/>
              </w:rPr>
              <w:t>Sate</w:t>
            </w:r>
            <w:proofErr w:type="spellEnd"/>
            <w:r w:rsidRPr="009708B6">
              <w:rPr>
                <w:rFonts w:ascii="Times New Roman" w:hAnsi="Times New Roman" w:cs="Times New Roman"/>
                <w:i/>
                <w:color w:val="000000" w:themeColor="text1"/>
                <w:sz w:val="24"/>
                <w:szCs w:val="24"/>
              </w:rPr>
              <w:t xml:space="preserve"> </w:t>
            </w:r>
            <w:proofErr w:type="spellStart"/>
            <w:r w:rsidRPr="009708B6">
              <w:rPr>
                <w:rFonts w:ascii="Times New Roman" w:hAnsi="Times New Roman" w:cs="Times New Roman"/>
                <w:i/>
                <w:color w:val="000000" w:themeColor="text1"/>
                <w:sz w:val="24"/>
                <w:szCs w:val="24"/>
              </w:rPr>
              <w:t>Fees</w:t>
            </w:r>
            <w:proofErr w:type="spellEnd"/>
            <w:r w:rsidRPr="009708B6">
              <w:rPr>
                <w:rFonts w:ascii="Times New Roman" w:hAnsi="Times New Roman" w:cs="Times New Roman"/>
                <w:i/>
                <w:color w:val="000000" w:themeColor="text1"/>
                <w:sz w:val="24"/>
                <w:szCs w:val="24"/>
              </w:rPr>
              <w:t xml:space="preserve"> </w:t>
            </w:r>
            <w:proofErr w:type="spellStart"/>
            <w:r w:rsidRPr="009708B6">
              <w:rPr>
                <w:rFonts w:ascii="Times New Roman" w:hAnsi="Times New Roman" w:cs="Times New Roman"/>
                <w:i/>
                <w:color w:val="000000" w:themeColor="text1"/>
                <w:sz w:val="24"/>
                <w:szCs w:val="24"/>
              </w:rPr>
              <w:t>Act</w:t>
            </w:r>
            <w:proofErr w:type="spellEnd"/>
            <w:r w:rsidRPr="009708B6">
              <w:rPr>
                <w:rFonts w:ascii="Times New Roman" w:hAnsi="Times New Roman" w:cs="Times New Roman"/>
                <w:i/>
                <w:color w:val="000000" w:themeColor="text1"/>
                <w:sz w:val="24"/>
                <w:szCs w:val="24"/>
              </w:rPr>
              <w:t xml:space="preserve"> </w:t>
            </w:r>
            <w:proofErr w:type="spellStart"/>
            <w:r w:rsidRPr="009708B6">
              <w:rPr>
                <w:rFonts w:ascii="Times New Roman" w:hAnsi="Times New Roman" w:cs="Times New Roman"/>
                <w:i/>
                <w:color w:val="000000" w:themeColor="text1"/>
                <w:sz w:val="24"/>
                <w:szCs w:val="24"/>
              </w:rPr>
              <w:t>Subdivision</w:t>
            </w:r>
            <w:proofErr w:type="spellEnd"/>
            <w:r w:rsidRPr="009708B6">
              <w:rPr>
                <w:rFonts w:ascii="Times New Roman" w:hAnsi="Times New Roman" w:cs="Times New Roman"/>
                <w:i/>
                <w:color w:val="000000" w:themeColor="text1"/>
                <w:sz w:val="24"/>
                <w:szCs w:val="24"/>
              </w:rPr>
              <w:t xml:space="preserve"> 8</w:t>
            </w:r>
            <w:r w:rsidRPr="009708B6">
              <w:rPr>
                <w:rFonts w:ascii="Times New Roman" w:hAnsi="Times New Roman" w:cs="Times New Roman"/>
                <w:color w:val="000000" w:themeColor="text1"/>
                <w:sz w:val="24"/>
                <w:szCs w:val="24"/>
              </w:rPr>
              <w:t xml:space="preserve">) apraides atļauja tiek izsniegta uz </w:t>
            </w:r>
            <w:r w:rsidRPr="009708B6">
              <w:rPr>
                <w:rFonts w:ascii="Times New Roman" w:hAnsi="Times New Roman" w:cs="Times New Roman"/>
                <w:color w:val="000000" w:themeColor="text1"/>
                <w:sz w:val="24"/>
                <w:szCs w:val="24"/>
              </w:rPr>
              <w:lastRenderedPageBreak/>
              <w:t xml:space="preserve">laika periodu līdz pieciem vai desmit gadiem, atkarībā no apraides atļaujas veida. Tiek nošķirtas apraides atļaujas brīvās piekļuves televīzijas pakalpojumiem, nosacītas piekļuves televīzijas pakalpojumiem, radio pakalpojumiem, satelīttelevīzijas pakalpojumiem un pagaidu radio un televīzijas apraides atļauja, kas tiek izsniegta uz laika periodu līdz vienam mēnesim. Igaunijā nav paredzēta ikgadēja nodeva, bet tiek piemērota vienreizēja valsts nodeva par apraides atļaujas saņemšanas pieteikuma izskatīšanu. Valsts nodevas apmērs atšķiras atbilstoši apraides atļaujas veidam. Par brīvās piekļuves apraides atļauju maksājama valsts nodeva 640 </w:t>
            </w:r>
            <w:r w:rsidRPr="009708B6">
              <w:rPr>
                <w:rFonts w:ascii="Times New Roman" w:hAnsi="Times New Roman" w:cs="Times New Roman"/>
                <w:i/>
                <w:color w:val="000000" w:themeColor="text1"/>
                <w:sz w:val="24"/>
                <w:szCs w:val="24"/>
              </w:rPr>
              <w:t>euro</w:t>
            </w:r>
            <w:r w:rsidRPr="009708B6">
              <w:rPr>
                <w:rFonts w:ascii="Times New Roman" w:hAnsi="Times New Roman" w:cs="Times New Roman"/>
                <w:color w:val="000000" w:themeColor="text1"/>
                <w:sz w:val="24"/>
                <w:szCs w:val="24"/>
              </w:rPr>
              <w:t xml:space="preserve">, par satelīttelevīzijas apraides atļauju </w:t>
            </w:r>
            <w:r w:rsidRPr="009708B6">
              <w:rPr>
                <w:rFonts w:ascii="Times New Roman" w:hAnsi="Times New Roman" w:cs="Times New Roman"/>
                <w:color w:val="000000" w:themeColor="text1"/>
                <w:sz w:val="24"/>
                <w:szCs w:val="24"/>
              </w:rPr>
              <w:sym w:font="Symbol" w:char="F02D"/>
            </w:r>
            <w:r w:rsidRPr="009708B6">
              <w:rPr>
                <w:rFonts w:ascii="Times New Roman" w:hAnsi="Times New Roman" w:cs="Times New Roman"/>
                <w:color w:val="000000" w:themeColor="text1"/>
                <w:sz w:val="24"/>
                <w:szCs w:val="24"/>
              </w:rPr>
              <w:t xml:space="preserve"> 960 </w:t>
            </w:r>
            <w:r w:rsidRPr="009708B6">
              <w:rPr>
                <w:rFonts w:ascii="Times New Roman" w:hAnsi="Times New Roman" w:cs="Times New Roman"/>
                <w:i/>
                <w:color w:val="000000" w:themeColor="text1"/>
                <w:sz w:val="24"/>
                <w:szCs w:val="24"/>
              </w:rPr>
              <w:t>euro</w:t>
            </w:r>
            <w:r w:rsidRPr="009708B6">
              <w:rPr>
                <w:rFonts w:ascii="Times New Roman" w:hAnsi="Times New Roman" w:cs="Times New Roman"/>
                <w:color w:val="000000" w:themeColor="text1"/>
                <w:sz w:val="24"/>
                <w:szCs w:val="24"/>
              </w:rPr>
              <w:t>. Igaunijā netiek ierobežota radio un televīzijas apraides programmu retranslēšana, izņemot normatīvajos aktos īpaši paredzētus gadījumus. Retranslācijai nav nepieciešama īpaša atļauja un nodevu maksa (</w:t>
            </w:r>
            <w:proofErr w:type="spellStart"/>
            <w:r w:rsidRPr="009708B6">
              <w:rPr>
                <w:rFonts w:ascii="Times New Roman" w:hAnsi="Times New Roman" w:cs="Times New Roman"/>
                <w:i/>
                <w:color w:val="000000" w:themeColor="text1"/>
                <w:sz w:val="24"/>
                <w:szCs w:val="24"/>
              </w:rPr>
              <w:t>Media</w:t>
            </w:r>
            <w:proofErr w:type="spellEnd"/>
            <w:r w:rsidRPr="009708B6">
              <w:rPr>
                <w:rFonts w:ascii="Times New Roman" w:hAnsi="Times New Roman" w:cs="Times New Roman"/>
                <w:i/>
                <w:color w:val="000000" w:themeColor="text1"/>
                <w:sz w:val="24"/>
                <w:szCs w:val="24"/>
              </w:rPr>
              <w:t xml:space="preserve"> </w:t>
            </w:r>
            <w:proofErr w:type="spellStart"/>
            <w:r w:rsidRPr="009708B6">
              <w:rPr>
                <w:rFonts w:ascii="Times New Roman" w:hAnsi="Times New Roman" w:cs="Times New Roman"/>
                <w:i/>
                <w:color w:val="000000" w:themeColor="text1"/>
                <w:sz w:val="24"/>
                <w:szCs w:val="24"/>
              </w:rPr>
              <w:t>Services</w:t>
            </w:r>
            <w:proofErr w:type="spellEnd"/>
            <w:r w:rsidRPr="009708B6">
              <w:rPr>
                <w:rFonts w:ascii="Times New Roman" w:hAnsi="Times New Roman" w:cs="Times New Roman"/>
                <w:i/>
                <w:color w:val="000000" w:themeColor="text1"/>
                <w:sz w:val="24"/>
                <w:szCs w:val="24"/>
              </w:rPr>
              <w:t xml:space="preserve"> </w:t>
            </w:r>
            <w:proofErr w:type="spellStart"/>
            <w:r w:rsidRPr="009708B6">
              <w:rPr>
                <w:rFonts w:ascii="Times New Roman" w:hAnsi="Times New Roman" w:cs="Times New Roman"/>
                <w:i/>
                <w:color w:val="000000" w:themeColor="text1"/>
                <w:sz w:val="24"/>
                <w:szCs w:val="24"/>
              </w:rPr>
              <w:t>Act</w:t>
            </w:r>
            <w:proofErr w:type="spellEnd"/>
            <w:r w:rsidRPr="009708B6">
              <w:rPr>
                <w:rFonts w:ascii="Times New Roman" w:hAnsi="Times New Roman" w:cs="Times New Roman"/>
                <w:i/>
                <w:color w:val="000000" w:themeColor="text1"/>
                <w:sz w:val="24"/>
                <w:szCs w:val="24"/>
              </w:rPr>
              <w:t xml:space="preserve"> 16.12.2010 </w:t>
            </w:r>
            <w:proofErr w:type="spellStart"/>
            <w:r w:rsidRPr="009708B6">
              <w:rPr>
                <w:rFonts w:ascii="Times New Roman" w:hAnsi="Times New Roman" w:cs="Times New Roman"/>
                <w:i/>
                <w:color w:val="000000" w:themeColor="text1"/>
                <w:sz w:val="24"/>
                <w:szCs w:val="24"/>
              </w:rPr>
              <w:t>Chapter</w:t>
            </w:r>
            <w:proofErr w:type="spellEnd"/>
            <w:r w:rsidRPr="009708B6">
              <w:rPr>
                <w:rFonts w:ascii="Times New Roman" w:hAnsi="Times New Roman" w:cs="Times New Roman"/>
                <w:i/>
                <w:color w:val="000000" w:themeColor="text1"/>
                <w:sz w:val="24"/>
                <w:szCs w:val="24"/>
              </w:rPr>
              <w:t xml:space="preserve"> 6</w:t>
            </w:r>
            <w:r w:rsidRPr="009708B6">
              <w:rPr>
                <w:rFonts w:ascii="Times New Roman" w:hAnsi="Times New Roman" w:cs="Times New Roman"/>
                <w:color w:val="000000" w:themeColor="text1"/>
                <w:sz w:val="24"/>
                <w:szCs w:val="24"/>
              </w:rPr>
              <w:t>). Pēc</w:t>
            </w:r>
            <w:r w:rsidRPr="009708B6">
              <w:rPr>
                <w:rFonts w:ascii="Times New Roman" w:hAnsi="Times New Roman" w:cs="Times New Roman"/>
                <w:b/>
                <w:color w:val="000000" w:themeColor="text1"/>
                <w:sz w:val="24"/>
                <w:szCs w:val="24"/>
              </w:rPr>
              <w:t xml:space="preserve"> </w:t>
            </w:r>
            <w:r w:rsidRPr="009708B6">
              <w:rPr>
                <w:rFonts w:ascii="Times New Roman" w:hAnsi="Times New Roman" w:cs="Times New Roman"/>
                <w:color w:val="000000" w:themeColor="text1"/>
                <w:sz w:val="24"/>
                <w:szCs w:val="24"/>
              </w:rPr>
              <w:t>NEPLP rīcībā esošās informācijas, Igaunijā ir paredzēta valsts nodevu pārskatīšana.</w:t>
            </w:r>
            <w:r w:rsidRPr="009708B6">
              <w:rPr>
                <w:rFonts w:ascii="Times New Roman" w:hAnsi="Times New Roman" w:cs="Times New Roman"/>
                <w:b/>
                <w:color w:val="000000" w:themeColor="text1"/>
                <w:sz w:val="24"/>
                <w:szCs w:val="24"/>
              </w:rPr>
              <w:t xml:space="preserve"> </w:t>
            </w:r>
          </w:p>
          <w:p w:rsidR="008312A8" w:rsidRPr="009708B6" w:rsidRDefault="008312A8" w:rsidP="009708B6">
            <w:pPr>
              <w:shd w:val="clear" w:color="auto" w:fill="FFFFFF" w:themeFill="background1"/>
              <w:spacing w:line="240" w:lineRule="auto"/>
              <w:jc w:val="both"/>
              <w:rPr>
                <w:rFonts w:ascii="Times New Roman" w:hAnsi="Times New Roman" w:cs="Times New Roman"/>
                <w:color w:val="000000" w:themeColor="text1"/>
                <w:sz w:val="24"/>
                <w:szCs w:val="24"/>
              </w:rPr>
            </w:pPr>
            <w:r w:rsidRPr="009708B6">
              <w:rPr>
                <w:rFonts w:ascii="Times New Roman" w:hAnsi="Times New Roman" w:cs="Times New Roman"/>
                <w:b/>
                <w:color w:val="000000" w:themeColor="text1"/>
                <w:sz w:val="24"/>
                <w:szCs w:val="24"/>
              </w:rPr>
              <w:t>Lietuvā</w:t>
            </w:r>
            <w:r w:rsidRPr="009708B6">
              <w:rPr>
                <w:rFonts w:ascii="Times New Roman" w:hAnsi="Times New Roman" w:cs="Times New Roman"/>
                <w:color w:val="000000" w:themeColor="text1"/>
                <w:sz w:val="24"/>
                <w:szCs w:val="24"/>
              </w:rPr>
              <w:t xml:space="preserve"> apraides atļauju izsniedz Lietuvas Radio un televīzijas komisija (</w:t>
            </w:r>
            <w:proofErr w:type="spellStart"/>
            <w:r w:rsidRPr="009708B6">
              <w:rPr>
                <w:rFonts w:ascii="Times New Roman" w:hAnsi="Times New Roman" w:cs="Times New Roman"/>
                <w:i/>
                <w:color w:val="000000" w:themeColor="text1"/>
                <w:sz w:val="24"/>
                <w:szCs w:val="24"/>
              </w:rPr>
              <w:t>Law</w:t>
            </w:r>
            <w:proofErr w:type="spellEnd"/>
            <w:r w:rsidRPr="009708B6">
              <w:rPr>
                <w:rFonts w:ascii="Times New Roman" w:hAnsi="Times New Roman" w:cs="Times New Roman"/>
                <w:i/>
                <w:color w:val="000000" w:themeColor="text1"/>
                <w:sz w:val="24"/>
                <w:szCs w:val="24"/>
              </w:rPr>
              <w:t xml:space="preserve"> </w:t>
            </w:r>
            <w:proofErr w:type="spellStart"/>
            <w:r w:rsidRPr="009708B6">
              <w:rPr>
                <w:rFonts w:ascii="Times New Roman" w:hAnsi="Times New Roman" w:cs="Times New Roman"/>
                <w:i/>
                <w:color w:val="000000" w:themeColor="text1"/>
                <w:sz w:val="24"/>
                <w:szCs w:val="24"/>
              </w:rPr>
              <w:t>on</w:t>
            </w:r>
            <w:proofErr w:type="spellEnd"/>
            <w:r w:rsidRPr="009708B6">
              <w:rPr>
                <w:rFonts w:ascii="Times New Roman" w:hAnsi="Times New Roman" w:cs="Times New Roman"/>
                <w:i/>
                <w:color w:val="000000" w:themeColor="text1"/>
                <w:sz w:val="24"/>
                <w:szCs w:val="24"/>
              </w:rPr>
              <w:t xml:space="preserve"> </w:t>
            </w:r>
            <w:proofErr w:type="spellStart"/>
            <w:r w:rsidRPr="009708B6">
              <w:rPr>
                <w:rFonts w:ascii="Times New Roman" w:hAnsi="Times New Roman" w:cs="Times New Roman"/>
                <w:i/>
                <w:color w:val="000000" w:themeColor="text1"/>
                <w:sz w:val="24"/>
                <w:szCs w:val="24"/>
              </w:rPr>
              <w:t>the</w:t>
            </w:r>
            <w:proofErr w:type="spellEnd"/>
            <w:r w:rsidRPr="009708B6">
              <w:rPr>
                <w:rFonts w:ascii="Times New Roman" w:hAnsi="Times New Roman" w:cs="Times New Roman"/>
                <w:i/>
                <w:color w:val="000000" w:themeColor="text1"/>
                <w:sz w:val="24"/>
                <w:szCs w:val="24"/>
              </w:rPr>
              <w:t xml:space="preserve"> </w:t>
            </w:r>
            <w:proofErr w:type="spellStart"/>
            <w:r w:rsidRPr="009708B6">
              <w:rPr>
                <w:rFonts w:ascii="Times New Roman" w:hAnsi="Times New Roman" w:cs="Times New Roman"/>
                <w:i/>
                <w:color w:val="000000" w:themeColor="text1"/>
                <w:sz w:val="24"/>
                <w:szCs w:val="24"/>
              </w:rPr>
              <w:t>Provision</w:t>
            </w:r>
            <w:proofErr w:type="spellEnd"/>
            <w:r w:rsidRPr="009708B6">
              <w:rPr>
                <w:rFonts w:ascii="Times New Roman" w:hAnsi="Times New Roman" w:cs="Times New Roman"/>
                <w:i/>
                <w:color w:val="000000" w:themeColor="text1"/>
                <w:sz w:val="24"/>
                <w:szCs w:val="24"/>
              </w:rPr>
              <w:t xml:space="preserve"> of </w:t>
            </w:r>
            <w:proofErr w:type="spellStart"/>
            <w:r w:rsidRPr="009708B6">
              <w:rPr>
                <w:rFonts w:ascii="Times New Roman" w:hAnsi="Times New Roman" w:cs="Times New Roman"/>
                <w:i/>
                <w:color w:val="000000" w:themeColor="text1"/>
                <w:sz w:val="24"/>
                <w:szCs w:val="24"/>
              </w:rPr>
              <w:t>Information</w:t>
            </w:r>
            <w:proofErr w:type="spellEnd"/>
            <w:r w:rsidRPr="009708B6">
              <w:rPr>
                <w:rFonts w:ascii="Times New Roman" w:hAnsi="Times New Roman" w:cs="Times New Roman"/>
                <w:i/>
                <w:color w:val="000000" w:themeColor="text1"/>
                <w:sz w:val="24"/>
                <w:szCs w:val="24"/>
              </w:rPr>
              <w:t xml:space="preserve"> to </w:t>
            </w:r>
            <w:proofErr w:type="spellStart"/>
            <w:r w:rsidRPr="009708B6">
              <w:rPr>
                <w:rFonts w:ascii="Times New Roman" w:hAnsi="Times New Roman" w:cs="Times New Roman"/>
                <w:i/>
                <w:color w:val="000000" w:themeColor="text1"/>
                <w:sz w:val="24"/>
                <w:szCs w:val="24"/>
              </w:rPr>
              <w:t>the</w:t>
            </w:r>
            <w:proofErr w:type="spellEnd"/>
            <w:r w:rsidRPr="009708B6">
              <w:rPr>
                <w:rFonts w:ascii="Times New Roman" w:hAnsi="Times New Roman" w:cs="Times New Roman"/>
                <w:i/>
                <w:color w:val="000000" w:themeColor="text1"/>
                <w:sz w:val="24"/>
                <w:szCs w:val="24"/>
              </w:rPr>
              <w:t xml:space="preserve"> </w:t>
            </w:r>
            <w:proofErr w:type="spellStart"/>
            <w:r w:rsidRPr="009708B6">
              <w:rPr>
                <w:rFonts w:ascii="Times New Roman" w:hAnsi="Times New Roman" w:cs="Times New Roman"/>
                <w:i/>
                <w:color w:val="000000" w:themeColor="text1"/>
                <w:sz w:val="24"/>
                <w:szCs w:val="24"/>
              </w:rPr>
              <w:t>Public</w:t>
            </w:r>
            <w:proofErr w:type="spellEnd"/>
            <w:r w:rsidRPr="009708B6">
              <w:rPr>
                <w:rFonts w:ascii="Times New Roman" w:hAnsi="Times New Roman" w:cs="Times New Roman"/>
                <w:i/>
                <w:color w:val="000000" w:themeColor="text1"/>
                <w:sz w:val="24"/>
                <w:szCs w:val="24"/>
              </w:rPr>
              <w:t xml:space="preserve">, 2 </w:t>
            </w:r>
            <w:proofErr w:type="spellStart"/>
            <w:r w:rsidRPr="009708B6">
              <w:rPr>
                <w:rFonts w:ascii="Times New Roman" w:hAnsi="Times New Roman" w:cs="Times New Roman"/>
                <w:i/>
                <w:color w:val="000000" w:themeColor="text1"/>
                <w:sz w:val="24"/>
                <w:szCs w:val="24"/>
              </w:rPr>
              <w:t>july</w:t>
            </w:r>
            <w:proofErr w:type="spellEnd"/>
            <w:r w:rsidRPr="009708B6">
              <w:rPr>
                <w:rFonts w:ascii="Times New Roman" w:hAnsi="Times New Roman" w:cs="Times New Roman"/>
                <w:i/>
                <w:color w:val="000000" w:themeColor="text1"/>
                <w:sz w:val="24"/>
                <w:szCs w:val="24"/>
              </w:rPr>
              <w:t xml:space="preserve"> 1996 – No I</w:t>
            </w:r>
            <w:r w:rsidRPr="009708B6">
              <w:rPr>
                <w:rFonts w:ascii="Times New Roman" w:hAnsi="Times New Roman" w:cs="Times New Roman"/>
                <w:i/>
                <w:color w:val="000000" w:themeColor="text1"/>
                <w:sz w:val="24"/>
                <w:szCs w:val="24"/>
              </w:rPr>
              <w:sym w:font="Symbol" w:char="F02D"/>
            </w:r>
            <w:r w:rsidRPr="009708B6">
              <w:rPr>
                <w:rFonts w:ascii="Times New Roman" w:hAnsi="Times New Roman" w:cs="Times New Roman"/>
                <w:i/>
                <w:color w:val="000000" w:themeColor="text1"/>
                <w:sz w:val="24"/>
                <w:szCs w:val="24"/>
              </w:rPr>
              <w:t xml:space="preserve">1418, </w:t>
            </w:r>
            <w:proofErr w:type="spellStart"/>
            <w:r w:rsidRPr="009708B6">
              <w:rPr>
                <w:rFonts w:ascii="Times New Roman" w:hAnsi="Times New Roman" w:cs="Times New Roman"/>
                <w:i/>
                <w:color w:val="000000" w:themeColor="text1"/>
                <w:sz w:val="24"/>
                <w:szCs w:val="24"/>
              </w:rPr>
              <w:t>Article</w:t>
            </w:r>
            <w:proofErr w:type="spellEnd"/>
            <w:r w:rsidRPr="009708B6">
              <w:rPr>
                <w:rFonts w:ascii="Times New Roman" w:hAnsi="Times New Roman" w:cs="Times New Roman"/>
                <w:i/>
                <w:color w:val="000000" w:themeColor="text1"/>
                <w:sz w:val="24"/>
                <w:szCs w:val="24"/>
              </w:rPr>
              <w:t xml:space="preserve"> 31</w:t>
            </w:r>
            <w:r w:rsidRPr="009708B6">
              <w:rPr>
                <w:rFonts w:ascii="Times New Roman" w:hAnsi="Times New Roman" w:cs="Times New Roman"/>
                <w:color w:val="000000" w:themeColor="text1"/>
                <w:sz w:val="24"/>
                <w:szCs w:val="24"/>
              </w:rPr>
              <w:t>). Apraides atļaujas izsniedz konkursa kārtībā vai bez konkursa. Apraides atļaujas saņēmējiem ir jāmaksā apraides un retranslācijas pakalpojumu sniegšanas nodeva. Nodeva maksājama Mediju ētikas asociācijai vienreiz gadā. Balstoties uz Lietuvas Radio un televīzijas komisijas rekomendācijām, Lietuvas Kultūras ministrija nodevas apmēru nosaka katram apraides atļaujas saņēmējam individuāli. Nosakot nodevas apmēru tiek ņemti vērā šādi faktori: a) televīzijas vai radio programmas būtība un saturs; b) apraides teritorija un teritorijas iedzīvotāju skaits; c) konkurence apraides vidē; d) apraides programmu nozīmīgums. Nodevas apmērs tiek balstīts uz sociālā pamat pabalsta (</w:t>
            </w:r>
            <w:proofErr w:type="spellStart"/>
            <w:r w:rsidRPr="009708B6">
              <w:rPr>
                <w:rFonts w:ascii="Times New Roman" w:hAnsi="Times New Roman" w:cs="Times New Roman"/>
                <w:i/>
                <w:color w:val="000000" w:themeColor="text1"/>
                <w:sz w:val="24"/>
                <w:szCs w:val="24"/>
              </w:rPr>
              <w:t>Basic</w:t>
            </w:r>
            <w:proofErr w:type="spellEnd"/>
            <w:r w:rsidRPr="009708B6">
              <w:rPr>
                <w:rFonts w:ascii="Times New Roman" w:hAnsi="Times New Roman" w:cs="Times New Roman"/>
                <w:i/>
                <w:color w:val="000000" w:themeColor="text1"/>
                <w:sz w:val="24"/>
                <w:szCs w:val="24"/>
              </w:rPr>
              <w:t xml:space="preserve"> </w:t>
            </w:r>
            <w:proofErr w:type="spellStart"/>
            <w:r w:rsidRPr="009708B6">
              <w:rPr>
                <w:rFonts w:ascii="Times New Roman" w:hAnsi="Times New Roman" w:cs="Times New Roman"/>
                <w:i/>
                <w:color w:val="000000" w:themeColor="text1"/>
                <w:sz w:val="24"/>
                <w:szCs w:val="24"/>
              </w:rPr>
              <w:t>social</w:t>
            </w:r>
            <w:proofErr w:type="spellEnd"/>
            <w:r w:rsidRPr="009708B6">
              <w:rPr>
                <w:rFonts w:ascii="Times New Roman" w:hAnsi="Times New Roman" w:cs="Times New Roman"/>
                <w:i/>
                <w:color w:val="000000" w:themeColor="text1"/>
                <w:sz w:val="24"/>
                <w:szCs w:val="24"/>
              </w:rPr>
              <w:t xml:space="preserve"> </w:t>
            </w:r>
            <w:proofErr w:type="spellStart"/>
            <w:r w:rsidRPr="009708B6">
              <w:rPr>
                <w:rFonts w:ascii="Times New Roman" w:hAnsi="Times New Roman" w:cs="Times New Roman"/>
                <w:i/>
                <w:color w:val="000000" w:themeColor="text1"/>
                <w:sz w:val="24"/>
                <w:szCs w:val="24"/>
              </w:rPr>
              <w:t>benefit</w:t>
            </w:r>
            <w:proofErr w:type="spellEnd"/>
            <w:r w:rsidRPr="009708B6">
              <w:rPr>
                <w:rFonts w:ascii="Times New Roman" w:hAnsi="Times New Roman" w:cs="Times New Roman"/>
                <w:color w:val="000000" w:themeColor="text1"/>
                <w:sz w:val="24"/>
                <w:szCs w:val="24"/>
              </w:rPr>
              <w:t xml:space="preserve">) apmēru, kas ir 38 </w:t>
            </w:r>
            <w:r w:rsidRPr="009708B6">
              <w:rPr>
                <w:rFonts w:ascii="Times New Roman" w:hAnsi="Times New Roman" w:cs="Times New Roman"/>
                <w:i/>
                <w:color w:val="000000" w:themeColor="text1"/>
                <w:sz w:val="24"/>
                <w:szCs w:val="24"/>
              </w:rPr>
              <w:t>euro</w:t>
            </w:r>
            <w:r w:rsidRPr="009708B6">
              <w:rPr>
                <w:rFonts w:ascii="Times New Roman" w:hAnsi="Times New Roman" w:cs="Times New Roman"/>
                <w:color w:val="000000" w:themeColor="text1"/>
                <w:sz w:val="24"/>
                <w:szCs w:val="24"/>
              </w:rPr>
              <w:t xml:space="preserve">. Pēc tam, kad ir izvērtēti katra apraides atļaujas saņēmēja nodevas apmēra faktori, tiek noteikti reizināšanas koeficienti, ar kuriem reizina sociālā pabalsta summu. Praksē reizināmais koeficients var svārstīties no 0,5 </w:t>
            </w:r>
            <w:r w:rsidRPr="009708B6">
              <w:rPr>
                <w:rFonts w:ascii="Times New Roman" w:hAnsi="Times New Roman" w:cs="Times New Roman"/>
                <w:color w:val="000000" w:themeColor="text1"/>
                <w:sz w:val="24"/>
                <w:szCs w:val="24"/>
              </w:rPr>
              <w:sym w:font="Symbol" w:char="F02D"/>
            </w:r>
            <w:r w:rsidRPr="009708B6">
              <w:rPr>
                <w:rFonts w:ascii="Times New Roman" w:hAnsi="Times New Roman" w:cs="Times New Roman"/>
                <w:color w:val="000000" w:themeColor="text1"/>
                <w:sz w:val="24"/>
                <w:szCs w:val="24"/>
              </w:rPr>
              <w:t xml:space="preserve"> 100 un vairāk.</w:t>
            </w:r>
            <w:r w:rsidRPr="009708B6">
              <w:rPr>
                <w:rFonts w:ascii="Times New Roman" w:hAnsi="Times New Roman" w:cs="Times New Roman"/>
                <w:color w:val="000000" w:themeColor="text1"/>
                <w:sz w:val="24"/>
                <w:szCs w:val="24"/>
                <w:vertAlign w:val="superscript"/>
              </w:rPr>
              <w:footnoteReference w:id="4"/>
            </w:r>
          </w:p>
          <w:p w:rsidR="008312A8" w:rsidRPr="009708B6" w:rsidRDefault="008312A8" w:rsidP="009708B6">
            <w:pPr>
              <w:shd w:val="clear" w:color="auto" w:fill="FFFFFF" w:themeFill="background1"/>
              <w:spacing w:line="240" w:lineRule="auto"/>
              <w:jc w:val="both"/>
              <w:rPr>
                <w:rFonts w:ascii="Times New Roman" w:hAnsi="Times New Roman" w:cs="Times New Roman"/>
                <w:color w:val="000000" w:themeColor="text1"/>
                <w:sz w:val="24"/>
                <w:szCs w:val="24"/>
              </w:rPr>
            </w:pPr>
            <w:r w:rsidRPr="009708B6">
              <w:rPr>
                <w:rFonts w:ascii="Times New Roman" w:hAnsi="Times New Roman" w:cs="Times New Roman"/>
                <w:color w:val="000000" w:themeColor="text1"/>
                <w:sz w:val="24"/>
                <w:szCs w:val="24"/>
              </w:rPr>
              <w:t>Programmu retranslācijai arī ir nepieciešams saņemt retranslācijas atļauju (</w:t>
            </w:r>
            <w:proofErr w:type="spellStart"/>
            <w:r w:rsidRPr="009708B6">
              <w:rPr>
                <w:rFonts w:ascii="Times New Roman" w:hAnsi="Times New Roman" w:cs="Times New Roman"/>
                <w:i/>
                <w:color w:val="000000" w:themeColor="text1"/>
                <w:sz w:val="24"/>
                <w:szCs w:val="24"/>
              </w:rPr>
              <w:t>Law</w:t>
            </w:r>
            <w:proofErr w:type="spellEnd"/>
            <w:r w:rsidRPr="009708B6">
              <w:rPr>
                <w:rFonts w:ascii="Times New Roman" w:hAnsi="Times New Roman" w:cs="Times New Roman"/>
                <w:i/>
                <w:color w:val="000000" w:themeColor="text1"/>
                <w:sz w:val="24"/>
                <w:szCs w:val="24"/>
              </w:rPr>
              <w:t xml:space="preserve"> </w:t>
            </w:r>
            <w:proofErr w:type="spellStart"/>
            <w:r w:rsidRPr="009708B6">
              <w:rPr>
                <w:rFonts w:ascii="Times New Roman" w:hAnsi="Times New Roman" w:cs="Times New Roman"/>
                <w:i/>
                <w:color w:val="000000" w:themeColor="text1"/>
                <w:sz w:val="24"/>
                <w:szCs w:val="24"/>
              </w:rPr>
              <w:t>on</w:t>
            </w:r>
            <w:proofErr w:type="spellEnd"/>
            <w:r w:rsidRPr="009708B6">
              <w:rPr>
                <w:rFonts w:ascii="Times New Roman" w:hAnsi="Times New Roman" w:cs="Times New Roman"/>
                <w:i/>
                <w:color w:val="000000" w:themeColor="text1"/>
                <w:sz w:val="24"/>
                <w:szCs w:val="24"/>
              </w:rPr>
              <w:t xml:space="preserve"> </w:t>
            </w:r>
            <w:proofErr w:type="spellStart"/>
            <w:r w:rsidRPr="009708B6">
              <w:rPr>
                <w:rFonts w:ascii="Times New Roman" w:hAnsi="Times New Roman" w:cs="Times New Roman"/>
                <w:i/>
                <w:color w:val="000000" w:themeColor="text1"/>
                <w:sz w:val="24"/>
                <w:szCs w:val="24"/>
              </w:rPr>
              <w:t>the</w:t>
            </w:r>
            <w:proofErr w:type="spellEnd"/>
            <w:r w:rsidRPr="009708B6">
              <w:rPr>
                <w:rFonts w:ascii="Times New Roman" w:hAnsi="Times New Roman" w:cs="Times New Roman"/>
                <w:i/>
                <w:color w:val="000000" w:themeColor="text1"/>
                <w:sz w:val="24"/>
                <w:szCs w:val="24"/>
              </w:rPr>
              <w:t xml:space="preserve"> </w:t>
            </w:r>
            <w:proofErr w:type="spellStart"/>
            <w:r w:rsidRPr="009708B6">
              <w:rPr>
                <w:rFonts w:ascii="Times New Roman" w:hAnsi="Times New Roman" w:cs="Times New Roman"/>
                <w:i/>
                <w:color w:val="000000" w:themeColor="text1"/>
                <w:sz w:val="24"/>
                <w:szCs w:val="24"/>
              </w:rPr>
              <w:t>Provision</w:t>
            </w:r>
            <w:proofErr w:type="spellEnd"/>
            <w:r w:rsidRPr="009708B6">
              <w:rPr>
                <w:rFonts w:ascii="Times New Roman" w:hAnsi="Times New Roman" w:cs="Times New Roman"/>
                <w:i/>
                <w:color w:val="000000" w:themeColor="text1"/>
                <w:sz w:val="24"/>
                <w:szCs w:val="24"/>
              </w:rPr>
              <w:t xml:space="preserve"> of </w:t>
            </w:r>
            <w:proofErr w:type="spellStart"/>
            <w:r w:rsidRPr="009708B6">
              <w:rPr>
                <w:rFonts w:ascii="Times New Roman" w:hAnsi="Times New Roman" w:cs="Times New Roman"/>
                <w:i/>
                <w:color w:val="000000" w:themeColor="text1"/>
                <w:sz w:val="24"/>
                <w:szCs w:val="24"/>
              </w:rPr>
              <w:t>Information</w:t>
            </w:r>
            <w:proofErr w:type="spellEnd"/>
            <w:r w:rsidRPr="009708B6">
              <w:rPr>
                <w:rFonts w:ascii="Times New Roman" w:hAnsi="Times New Roman" w:cs="Times New Roman"/>
                <w:i/>
                <w:color w:val="000000" w:themeColor="text1"/>
                <w:sz w:val="24"/>
                <w:szCs w:val="24"/>
              </w:rPr>
              <w:t xml:space="preserve"> to </w:t>
            </w:r>
            <w:proofErr w:type="spellStart"/>
            <w:r w:rsidRPr="009708B6">
              <w:rPr>
                <w:rFonts w:ascii="Times New Roman" w:hAnsi="Times New Roman" w:cs="Times New Roman"/>
                <w:i/>
                <w:color w:val="000000" w:themeColor="text1"/>
                <w:sz w:val="24"/>
                <w:szCs w:val="24"/>
              </w:rPr>
              <w:t>the</w:t>
            </w:r>
            <w:proofErr w:type="spellEnd"/>
            <w:r w:rsidRPr="009708B6">
              <w:rPr>
                <w:rFonts w:ascii="Times New Roman" w:hAnsi="Times New Roman" w:cs="Times New Roman"/>
                <w:i/>
                <w:color w:val="000000" w:themeColor="text1"/>
                <w:sz w:val="24"/>
                <w:szCs w:val="24"/>
              </w:rPr>
              <w:t xml:space="preserve"> </w:t>
            </w:r>
            <w:proofErr w:type="spellStart"/>
            <w:r w:rsidRPr="009708B6">
              <w:rPr>
                <w:rFonts w:ascii="Times New Roman" w:hAnsi="Times New Roman" w:cs="Times New Roman"/>
                <w:i/>
                <w:color w:val="000000" w:themeColor="text1"/>
                <w:sz w:val="24"/>
                <w:szCs w:val="24"/>
              </w:rPr>
              <w:t>Public</w:t>
            </w:r>
            <w:proofErr w:type="spellEnd"/>
            <w:r w:rsidRPr="009708B6">
              <w:rPr>
                <w:rFonts w:ascii="Times New Roman" w:hAnsi="Times New Roman" w:cs="Times New Roman"/>
                <w:i/>
                <w:color w:val="000000" w:themeColor="text1"/>
                <w:sz w:val="24"/>
                <w:szCs w:val="24"/>
              </w:rPr>
              <w:t xml:space="preserve">, 2 </w:t>
            </w:r>
            <w:proofErr w:type="spellStart"/>
            <w:r w:rsidRPr="009708B6">
              <w:rPr>
                <w:rFonts w:ascii="Times New Roman" w:hAnsi="Times New Roman" w:cs="Times New Roman"/>
                <w:i/>
                <w:color w:val="000000" w:themeColor="text1"/>
                <w:sz w:val="24"/>
                <w:szCs w:val="24"/>
              </w:rPr>
              <w:t>july</w:t>
            </w:r>
            <w:proofErr w:type="spellEnd"/>
            <w:r w:rsidRPr="009708B6">
              <w:rPr>
                <w:rFonts w:ascii="Times New Roman" w:hAnsi="Times New Roman" w:cs="Times New Roman"/>
                <w:i/>
                <w:color w:val="000000" w:themeColor="text1"/>
                <w:sz w:val="24"/>
                <w:szCs w:val="24"/>
              </w:rPr>
              <w:t xml:space="preserve"> 1996 – No I</w:t>
            </w:r>
            <w:r w:rsidRPr="009708B6">
              <w:rPr>
                <w:rFonts w:ascii="Times New Roman" w:hAnsi="Times New Roman" w:cs="Times New Roman"/>
                <w:i/>
                <w:color w:val="000000" w:themeColor="text1"/>
                <w:sz w:val="24"/>
                <w:szCs w:val="24"/>
              </w:rPr>
              <w:sym w:font="Symbol" w:char="F02D"/>
            </w:r>
            <w:r w:rsidRPr="009708B6">
              <w:rPr>
                <w:rFonts w:ascii="Times New Roman" w:hAnsi="Times New Roman" w:cs="Times New Roman"/>
                <w:i/>
                <w:color w:val="000000" w:themeColor="text1"/>
                <w:sz w:val="24"/>
                <w:szCs w:val="24"/>
              </w:rPr>
              <w:t xml:space="preserve">1418, </w:t>
            </w:r>
            <w:proofErr w:type="spellStart"/>
            <w:r w:rsidRPr="009708B6">
              <w:rPr>
                <w:rFonts w:ascii="Times New Roman" w:hAnsi="Times New Roman" w:cs="Times New Roman"/>
                <w:i/>
                <w:color w:val="000000" w:themeColor="text1"/>
                <w:sz w:val="24"/>
                <w:szCs w:val="24"/>
              </w:rPr>
              <w:t>Article</w:t>
            </w:r>
            <w:proofErr w:type="spellEnd"/>
            <w:r w:rsidRPr="009708B6">
              <w:rPr>
                <w:rFonts w:ascii="Times New Roman" w:hAnsi="Times New Roman" w:cs="Times New Roman"/>
                <w:i/>
                <w:color w:val="000000" w:themeColor="text1"/>
                <w:sz w:val="24"/>
                <w:szCs w:val="24"/>
              </w:rPr>
              <w:t xml:space="preserve"> 31</w:t>
            </w:r>
            <w:r w:rsidRPr="009708B6">
              <w:rPr>
                <w:rFonts w:ascii="Times New Roman" w:hAnsi="Times New Roman" w:cs="Times New Roman"/>
                <w:color w:val="000000" w:themeColor="text1"/>
                <w:sz w:val="24"/>
                <w:szCs w:val="24"/>
              </w:rPr>
              <w:t xml:space="preserve">). Retranslācijas atļaujas izsniedz Lietuvas Radio un televīzijas komisija. Retranslācijas atļaujas izsniegšanas un atcelšanas noteikumi ir tādi paši kā apraides atļaujas gadījumā. Retranslācijas atļaujas nodevu aprēķina pēc tāda </w:t>
            </w:r>
            <w:r w:rsidRPr="009708B6">
              <w:rPr>
                <w:rFonts w:ascii="Times New Roman" w:hAnsi="Times New Roman" w:cs="Times New Roman"/>
                <w:color w:val="000000" w:themeColor="text1"/>
                <w:sz w:val="24"/>
                <w:szCs w:val="24"/>
              </w:rPr>
              <w:lastRenderedPageBreak/>
              <w:t>paša principa kā apraides atļaujas nodevu, taču retranslācijas atļaujas nodevas apmēra noteikšanā vienīgais reizināšanas koeficienta noteikšanas faktors ir apraides teritorijas iedzīvotāju skaits. Piemēram, ja teritorijā ar apraidi ir sasniedzami līdz 5000 iedzīvotāji, tad reizināšanas koeficients var būt 0,5 – 1,5. Bet, ja teritorijā ir sasniedzami 3 000 000 vai vairāk iedzīvotāju, tad reizināšanas koeficients var būt 98 – 102.</w:t>
            </w:r>
          </w:p>
          <w:p w:rsidR="008312A8" w:rsidRPr="009708B6" w:rsidRDefault="008312A8" w:rsidP="009708B6">
            <w:pPr>
              <w:shd w:val="clear" w:color="auto" w:fill="FFFFFF" w:themeFill="background1"/>
              <w:spacing w:after="0" w:line="240" w:lineRule="auto"/>
              <w:jc w:val="both"/>
              <w:rPr>
                <w:rFonts w:ascii="Times New Roman" w:hAnsi="Times New Roman" w:cs="Times New Roman"/>
                <w:color w:val="000000" w:themeColor="text1"/>
                <w:sz w:val="24"/>
                <w:szCs w:val="24"/>
              </w:rPr>
            </w:pPr>
            <w:r w:rsidRPr="009708B6">
              <w:rPr>
                <w:rFonts w:ascii="Times New Roman" w:hAnsi="Times New Roman" w:cs="Times New Roman"/>
                <w:color w:val="000000" w:themeColor="text1"/>
                <w:sz w:val="24"/>
                <w:szCs w:val="24"/>
              </w:rPr>
              <w:t>Tātad valsts nodevu regulējums citās valstīs paredz pieeju, ka pastāv ikgadējas maksas par veikto uzraudzību, kā arī bieži vien, bet ne vienmēr, diferencē nodevas apmēru no pakalpojuma izmantotāju skaita.</w:t>
            </w:r>
          </w:p>
          <w:p w:rsidR="00CC061A" w:rsidRPr="009708B6" w:rsidRDefault="00CC061A" w:rsidP="009708B6">
            <w:pPr>
              <w:shd w:val="clear" w:color="auto" w:fill="FFFFFF" w:themeFill="background1"/>
              <w:spacing w:after="0" w:line="240" w:lineRule="auto"/>
              <w:jc w:val="both"/>
              <w:rPr>
                <w:rFonts w:ascii="Times New Roman" w:hAnsi="Times New Roman" w:cs="Times New Roman"/>
                <w:b/>
                <w:sz w:val="24"/>
                <w:szCs w:val="24"/>
              </w:rPr>
            </w:pPr>
            <w:proofErr w:type="spellStart"/>
            <w:r w:rsidRPr="009708B6">
              <w:rPr>
                <w:rFonts w:ascii="Times New Roman" w:hAnsi="Times New Roman" w:cs="Times New Roman"/>
                <w:b/>
                <w:sz w:val="24"/>
                <w:szCs w:val="24"/>
              </w:rPr>
              <w:t>Konstitucionalitātes</w:t>
            </w:r>
            <w:proofErr w:type="spellEnd"/>
            <w:r w:rsidRPr="009708B6">
              <w:rPr>
                <w:rFonts w:ascii="Times New Roman" w:hAnsi="Times New Roman" w:cs="Times New Roman"/>
                <w:b/>
                <w:sz w:val="24"/>
                <w:szCs w:val="24"/>
              </w:rPr>
              <w:t xml:space="preserve"> izvērtējums </w:t>
            </w:r>
          </w:p>
          <w:p w:rsidR="0072072B" w:rsidRPr="009708B6" w:rsidRDefault="0072072B" w:rsidP="009708B6">
            <w:pPr>
              <w:shd w:val="clear" w:color="auto" w:fill="FFFFFF" w:themeFill="background1"/>
              <w:spacing w:after="0" w:line="240" w:lineRule="auto"/>
              <w:jc w:val="both"/>
              <w:rPr>
                <w:rFonts w:ascii="Times New Roman" w:hAnsi="Times New Roman" w:cs="Times New Roman"/>
                <w:b/>
                <w:sz w:val="24"/>
                <w:szCs w:val="24"/>
              </w:rPr>
            </w:pPr>
          </w:p>
          <w:p w:rsidR="00CC061A" w:rsidRPr="009708B6" w:rsidRDefault="0072072B" w:rsidP="009708B6">
            <w:pPr>
              <w:shd w:val="clear" w:color="auto" w:fill="FFFFFF" w:themeFill="background1"/>
              <w:spacing w:line="240" w:lineRule="auto"/>
              <w:jc w:val="both"/>
              <w:rPr>
                <w:rFonts w:ascii="Times New Roman" w:hAnsi="Times New Roman" w:cs="Times New Roman"/>
                <w:sz w:val="24"/>
                <w:szCs w:val="24"/>
              </w:rPr>
            </w:pPr>
            <w:r w:rsidRPr="009708B6">
              <w:rPr>
                <w:rFonts w:ascii="Times New Roman" w:hAnsi="Times New Roman" w:cs="Times New Roman"/>
                <w:sz w:val="24"/>
                <w:szCs w:val="24"/>
              </w:rPr>
              <w:t>P</w:t>
            </w:r>
            <w:r w:rsidR="00CC061A" w:rsidRPr="009708B6">
              <w:rPr>
                <w:rFonts w:ascii="Times New Roman" w:hAnsi="Times New Roman" w:cs="Times New Roman"/>
                <w:sz w:val="24"/>
                <w:szCs w:val="24"/>
              </w:rPr>
              <w:t xml:space="preserve">rojekts paredz ieviest jaunus valsts nodevu objektus nolūkā nodrošināt efektīvāku uzraudzību un vienlaikus sasniegt noteiktus politikas mērķus, paredzot virkni izņēmumu, kas saistīti ar valsts valodas aizsardzību un stiprināšanu. </w:t>
            </w:r>
          </w:p>
          <w:p w:rsidR="00CC061A" w:rsidRPr="009708B6" w:rsidRDefault="00CC061A" w:rsidP="009708B6">
            <w:pPr>
              <w:shd w:val="clear" w:color="auto" w:fill="FFFFFF" w:themeFill="background1"/>
              <w:spacing w:line="240" w:lineRule="auto"/>
              <w:jc w:val="both"/>
              <w:rPr>
                <w:rFonts w:ascii="Times New Roman" w:hAnsi="Times New Roman" w:cs="Times New Roman"/>
                <w:sz w:val="24"/>
                <w:szCs w:val="24"/>
              </w:rPr>
            </w:pPr>
            <w:r w:rsidRPr="009708B6">
              <w:rPr>
                <w:rFonts w:ascii="Times New Roman" w:hAnsi="Times New Roman" w:cs="Times New Roman"/>
                <w:sz w:val="24"/>
                <w:szCs w:val="24"/>
              </w:rPr>
              <w:t xml:space="preserve">Jaunu valsts nodevu objektu paredzēšana ierobežo personas tiesības uz īpašumu, no kurām izriet tiesības uz komercdarbības veikšanu. Tomēr šādam ierobežojumam atbilstoši Satversmes 116.pantam ir </w:t>
            </w:r>
            <w:r w:rsidRPr="009708B6">
              <w:rPr>
                <w:rFonts w:ascii="Times New Roman" w:hAnsi="Times New Roman" w:cs="Times New Roman"/>
                <w:b/>
                <w:sz w:val="24"/>
                <w:szCs w:val="24"/>
              </w:rPr>
              <w:t>leģitīms mērķis</w:t>
            </w:r>
            <w:r w:rsidRPr="009708B6">
              <w:rPr>
                <w:rFonts w:ascii="Times New Roman" w:hAnsi="Times New Roman" w:cs="Times New Roman"/>
                <w:sz w:val="24"/>
                <w:szCs w:val="24"/>
              </w:rPr>
              <w:t xml:space="preserve"> – sabiedrības drošības un labklājības nodrošināšana un citu personu tiesību aizsardzība. Minēto valsts nodevu aprēķināšanas kārtība ļaus stiprināt valsts valodas lietošanu, kas ir valsts konstitucionāls pienākums. Valsts valodas aizsardzības un nodokļu un nodevu jomā likumdevēja rīcības brīvība ir pietiekami plaša. </w:t>
            </w:r>
          </w:p>
          <w:p w:rsidR="00CC061A" w:rsidRPr="009708B6" w:rsidRDefault="00CC061A" w:rsidP="009708B6">
            <w:pPr>
              <w:shd w:val="clear" w:color="auto" w:fill="FFFFFF" w:themeFill="background1"/>
              <w:spacing w:line="240" w:lineRule="auto"/>
              <w:jc w:val="both"/>
              <w:rPr>
                <w:rFonts w:ascii="Times New Roman" w:hAnsi="Times New Roman" w:cs="Times New Roman"/>
                <w:sz w:val="24"/>
                <w:szCs w:val="24"/>
              </w:rPr>
            </w:pPr>
            <w:r w:rsidRPr="009708B6">
              <w:rPr>
                <w:rFonts w:ascii="Times New Roman" w:hAnsi="Times New Roman" w:cs="Times New Roman"/>
                <w:sz w:val="24"/>
                <w:szCs w:val="24"/>
              </w:rPr>
              <w:t xml:space="preserve">Izraudzītais līdzeklis – valsts nodevas samaksa par retranslācijas atļaujas pārreģistrāciju, par pamatu ņemot iepriekšējā gadā retranslētās programmas, vai valsts nodeva apraides tiesību īstenošanas uzraudzībai – </w:t>
            </w:r>
            <w:r w:rsidRPr="009708B6">
              <w:rPr>
                <w:rFonts w:ascii="Times New Roman" w:hAnsi="Times New Roman" w:cs="Times New Roman"/>
                <w:b/>
                <w:sz w:val="24"/>
                <w:szCs w:val="24"/>
              </w:rPr>
              <w:t>ir piemērots leģitīmā mērķa sasniegšanai</w:t>
            </w:r>
            <w:r w:rsidRPr="009708B6">
              <w:rPr>
                <w:rFonts w:ascii="Times New Roman" w:hAnsi="Times New Roman" w:cs="Times New Roman"/>
                <w:sz w:val="24"/>
                <w:szCs w:val="24"/>
              </w:rPr>
              <w:t xml:space="preserve">, jo ļaus iegūt līdzekļus, lai attiecīgi veiktu programmu retranslācijas tiesīguma uzraudzību vai televīzijas programmu satura atbilstības uzraudzību, bet atbrīvojumi no valsts nodevas nomaksas paredzēs virkni izņēmumu, ar kuriem tiks stiprināts valsts valodas lietošana (piemēram, valsts nodeva nav jāmaksā par programmām, kurās ir noteikts valsts valodas īpatsvars). Prasība maksāt valsts nodevu par retranslācijas atļaujas pārreģistrāciju divkāršā apmērā, ko piemērotu konstatēta normatīvo aktu pārkāpuma gadījumā, stimulēs komersantus ievērot normatīvos aktus. Stingrāka retranslējamo programmu tiesīguma kontrole aizsargās programmu īpašnieku intereses, kā arī sabiedrības intereses, nodrošinot godīgāku konkurenci un pasargājot sabiedrību no Latvijā prettiesiski izplatītu programmu iespējamās kaitīgās ietekmes. </w:t>
            </w:r>
          </w:p>
          <w:p w:rsidR="00CC061A" w:rsidRPr="009708B6" w:rsidRDefault="00CC061A" w:rsidP="009708B6">
            <w:pPr>
              <w:shd w:val="clear" w:color="auto" w:fill="FFFFFF" w:themeFill="background1"/>
              <w:spacing w:line="240" w:lineRule="auto"/>
              <w:jc w:val="both"/>
              <w:rPr>
                <w:rFonts w:ascii="Times New Roman" w:hAnsi="Times New Roman" w:cs="Times New Roman"/>
                <w:sz w:val="24"/>
                <w:szCs w:val="24"/>
              </w:rPr>
            </w:pPr>
            <w:r w:rsidRPr="009708B6">
              <w:rPr>
                <w:rFonts w:ascii="Times New Roman" w:hAnsi="Times New Roman" w:cs="Times New Roman"/>
                <w:b/>
                <w:sz w:val="24"/>
                <w:szCs w:val="24"/>
              </w:rPr>
              <w:lastRenderedPageBreak/>
              <w:t>Nepastāv arī saudzējošāki risinājumi</w:t>
            </w:r>
            <w:r w:rsidRPr="009708B6">
              <w:rPr>
                <w:rFonts w:ascii="Times New Roman" w:hAnsi="Times New Roman" w:cs="Times New Roman"/>
                <w:sz w:val="24"/>
                <w:szCs w:val="24"/>
              </w:rPr>
              <w:t xml:space="preserve">, ar kuriem sasniegt leģitīmo mērķi tikpat efektīvi. Saudzējošāks risinājums nav jebkurš cits risinājums. Pirmkārt, ar sodu piemērošanu mērķi vien nevar sasniegt, turklāt kontroles pasākumi prasa ievērojamus resursus, lai nodrošinātu soda neizbēgamības principu. Otrkārt, nodokļu maksātājiem nebūtu samērīgi segt visus izdevumus, kas saistīti ar atsevišķu komersantu darbības uzraudzību televīzijas programmu izplatīšanā papildus likumā noteiktajiem obligātās televīzijas programmu izplatīšanas noteikumiem, it īpaši pārrobežu televīzijas satura uzraudzībā, kas netiek pat izplatīta Latvijā vai valsts valodā, bet Latvijas institūcijas ir atbildīgas par to saturu. Treškārt, </w:t>
            </w:r>
            <w:r w:rsidR="0072072B" w:rsidRPr="009708B6">
              <w:rPr>
                <w:rFonts w:ascii="Times New Roman" w:hAnsi="Times New Roman" w:cs="Times New Roman"/>
                <w:sz w:val="24"/>
                <w:szCs w:val="24"/>
              </w:rPr>
              <w:t>P</w:t>
            </w:r>
            <w:r w:rsidRPr="009708B6">
              <w:rPr>
                <w:rFonts w:ascii="Times New Roman" w:hAnsi="Times New Roman" w:cs="Times New Roman"/>
                <w:sz w:val="24"/>
                <w:szCs w:val="24"/>
              </w:rPr>
              <w:t xml:space="preserve">rojektā paredzētie risinājumi sader arī virknē Eiropas valstu paredzēto kārtību.  </w:t>
            </w:r>
          </w:p>
          <w:p w:rsidR="00CC061A" w:rsidRPr="009708B6" w:rsidRDefault="00CC061A" w:rsidP="009708B6">
            <w:pPr>
              <w:shd w:val="clear" w:color="auto" w:fill="FFFFFF" w:themeFill="background1"/>
              <w:spacing w:line="240" w:lineRule="auto"/>
              <w:jc w:val="both"/>
              <w:rPr>
                <w:rFonts w:ascii="Times New Roman" w:hAnsi="Times New Roman" w:cs="Times New Roman"/>
                <w:sz w:val="24"/>
                <w:szCs w:val="24"/>
              </w:rPr>
            </w:pPr>
            <w:r w:rsidRPr="009708B6">
              <w:rPr>
                <w:rFonts w:ascii="Times New Roman" w:hAnsi="Times New Roman" w:cs="Times New Roman"/>
                <w:sz w:val="24"/>
                <w:szCs w:val="24"/>
              </w:rPr>
              <w:t xml:space="preserve">Izraudzītais līdzeklis </w:t>
            </w:r>
            <w:r w:rsidRPr="009708B6">
              <w:rPr>
                <w:rFonts w:ascii="Times New Roman" w:hAnsi="Times New Roman" w:cs="Times New Roman"/>
                <w:b/>
                <w:sz w:val="24"/>
                <w:szCs w:val="24"/>
              </w:rPr>
              <w:t>nav neproporcionāls</w:t>
            </w:r>
            <w:r w:rsidRPr="009708B6">
              <w:rPr>
                <w:rFonts w:ascii="Times New Roman" w:hAnsi="Times New Roman" w:cs="Times New Roman"/>
                <w:sz w:val="24"/>
                <w:szCs w:val="24"/>
              </w:rPr>
              <w:t xml:space="preserve"> komersantu tiesību ierobežojums, jo paredz samērīgu valsts nodevas apmēru, izņēmumus attiecībā uz obligāto programmu izplatīšanu un izglītības un kultūras programmām, kā arī programmām ar noteiktu valsts valodas īpatsvaru.  Tāpat attiecībā uz kabeļoperatoriem ar nelielu apgrozījumu noteikta valsts nodevas samazināšana par 50 procentiem. Valsts nodevas neattiecas uz sabiedriskajiem un nekomerciālajiem elektroniskajiem plašsaziņas līdzekļiem. </w:t>
            </w:r>
          </w:p>
          <w:p w:rsidR="008F3BE2" w:rsidRPr="009708B6" w:rsidRDefault="00CC061A" w:rsidP="009708B6">
            <w:pPr>
              <w:shd w:val="clear" w:color="auto" w:fill="FFFFFF" w:themeFill="background1"/>
              <w:spacing w:after="0" w:line="240" w:lineRule="auto"/>
              <w:jc w:val="both"/>
              <w:rPr>
                <w:rFonts w:ascii="Times New Roman" w:hAnsi="Times New Roman" w:cs="Times New Roman"/>
                <w:sz w:val="24"/>
                <w:szCs w:val="24"/>
              </w:rPr>
            </w:pPr>
            <w:r w:rsidRPr="009708B6">
              <w:rPr>
                <w:rFonts w:ascii="Times New Roman" w:hAnsi="Times New Roman" w:cs="Times New Roman"/>
                <w:sz w:val="24"/>
                <w:szCs w:val="24"/>
              </w:rPr>
              <w:t xml:space="preserve">Tādējādi </w:t>
            </w:r>
            <w:r w:rsidR="0072072B" w:rsidRPr="009708B6">
              <w:rPr>
                <w:rFonts w:ascii="Times New Roman" w:hAnsi="Times New Roman" w:cs="Times New Roman"/>
                <w:sz w:val="24"/>
                <w:szCs w:val="24"/>
              </w:rPr>
              <w:t>P</w:t>
            </w:r>
            <w:r w:rsidRPr="009708B6">
              <w:rPr>
                <w:rFonts w:ascii="Times New Roman" w:hAnsi="Times New Roman" w:cs="Times New Roman"/>
                <w:sz w:val="24"/>
                <w:szCs w:val="24"/>
              </w:rPr>
              <w:t xml:space="preserve">rojektā paredzētie risinājumi ir samērīgs Satversmes 105.pantā minēto tiesību ierobežojums. </w:t>
            </w:r>
          </w:p>
        </w:tc>
      </w:tr>
      <w:tr w:rsidR="008312A8" w:rsidRPr="009708B6" w:rsidTr="00C11EDC">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312A8" w:rsidRPr="009708B6" w:rsidRDefault="008312A8" w:rsidP="009708B6">
            <w:pPr>
              <w:shd w:val="clear" w:color="auto" w:fill="FFFFFF" w:themeFill="background1"/>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9708B6">
              <w:rPr>
                <w:rFonts w:ascii="Times New Roman" w:eastAsia="Times New Roman" w:hAnsi="Times New Roman" w:cs="Times New Roman"/>
                <w:color w:val="000000" w:themeColor="text1"/>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312A8" w:rsidRPr="009708B6" w:rsidRDefault="008312A8" w:rsidP="009708B6">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lv-LV"/>
              </w:rPr>
            </w:pPr>
            <w:r w:rsidRPr="009708B6">
              <w:rPr>
                <w:rFonts w:ascii="Times New Roman" w:eastAsia="Times New Roman" w:hAnsi="Times New Roman" w:cs="Times New Roman"/>
                <w:color w:val="000000" w:themeColor="text1"/>
                <w:sz w:val="24"/>
                <w:szCs w:val="24"/>
                <w:lang w:eastAsia="lv-LV"/>
              </w:rPr>
              <w:t>Projekta izstrādē iesaistītās institūcijas</w:t>
            </w:r>
          </w:p>
        </w:tc>
        <w:sdt>
          <w:sdtPr>
            <w:rPr>
              <w:rFonts w:ascii="Times New Roman" w:eastAsia="Times New Roman" w:hAnsi="Times New Roman" w:cs="Times New Roman"/>
              <w:color w:val="000000" w:themeColor="text1"/>
              <w:sz w:val="24"/>
              <w:szCs w:val="24"/>
              <w:lang w:eastAsia="lv-LV"/>
            </w:rPr>
            <w:id w:val="281316415"/>
            <w:placeholder>
              <w:docPart w:val="E2C95ECEF7CA4B1396F9C9A2C8351FDC"/>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8312A8" w:rsidRPr="009708B6" w:rsidRDefault="00AF4376" w:rsidP="009708B6">
                <w:pPr>
                  <w:shd w:val="clear" w:color="auto" w:fill="FFFFFF" w:themeFill="background1"/>
                  <w:spacing w:after="0" w:line="240" w:lineRule="auto"/>
                  <w:rPr>
                    <w:rFonts w:ascii="Times New Roman" w:eastAsia="Times New Roman" w:hAnsi="Times New Roman" w:cs="Times New Roman"/>
                    <w:color w:val="414142"/>
                    <w:sz w:val="24"/>
                    <w:szCs w:val="24"/>
                    <w:lang w:eastAsia="lv-LV"/>
                  </w:rPr>
                </w:pPr>
                <w:r w:rsidRPr="009708B6">
                  <w:rPr>
                    <w:rFonts w:ascii="Times New Roman" w:eastAsia="Times New Roman" w:hAnsi="Times New Roman" w:cs="Times New Roman"/>
                    <w:color w:val="000000" w:themeColor="text1"/>
                    <w:sz w:val="24"/>
                    <w:szCs w:val="24"/>
                    <w:lang w:eastAsia="lv-LV"/>
                  </w:rPr>
                  <w:t xml:space="preserve">Nacionālā elektronisko plašsaziņas līdzekļu padome. </w:t>
                </w:r>
              </w:p>
            </w:tc>
          </w:sdtContent>
        </w:sdt>
      </w:tr>
      <w:tr w:rsidR="008312A8" w:rsidRPr="009708B6" w:rsidTr="00C11EDC">
        <w:tc>
          <w:tcPr>
            <w:tcW w:w="250" w:type="pct"/>
            <w:tcBorders>
              <w:top w:val="outset" w:sz="6" w:space="0" w:color="414142"/>
              <w:left w:val="outset" w:sz="6" w:space="0" w:color="414142"/>
              <w:bottom w:val="outset" w:sz="6" w:space="0" w:color="414142"/>
              <w:right w:val="outset" w:sz="6" w:space="0" w:color="414142"/>
            </w:tcBorders>
            <w:hideMark/>
          </w:tcPr>
          <w:p w:rsidR="008312A8" w:rsidRPr="009708B6" w:rsidRDefault="008312A8" w:rsidP="009708B6">
            <w:pPr>
              <w:shd w:val="clear" w:color="auto" w:fill="FFFFFF" w:themeFill="background1"/>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9708B6">
              <w:rPr>
                <w:rFonts w:ascii="Times New Roman" w:eastAsia="Times New Roman" w:hAnsi="Times New Roman" w:cs="Times New Roman"/>
                <w:color w:val="000000" w:themeColor="text1"/>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312A8" w:rsidRPr="009708B6" w:rsidRDefault="008312A8" w:rsidP="009708B6">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lv-LV"/>
              </w:rPr>
            </w:pPr>
            <w:r w:rsidRPr="009708B6">
              <w:rPr>
                <w:rFonts w:ascii="Times New Roman" w:eastAsia="Times New Roman" w:hAnsi="Times New Roman" w:cs="Times New Roman"/>
                <w:color w:val="000000" w:themeColor="text1"/>
                <w:sz w:val="24"/>
                <w:szCs w:val="24"/>
                <w:lang w:eastAsia="lv-LV"/>
              </w:rPr>
              <w:t>Cita informācija</w:t>
            </w:r>
          </w:p>
        </w:tc>
        <w:sdt>
          <w:sdtPr>
            <w:rPr>
              <w:rFonts w:ascii="Times New Roman" w:eastAsia="Times New Roman" w:hAnsi="Times New Roman" w:cs="Times New Roman"/>
              <w:color w:val="000000" w:themeColor="text1"/>
              <w:sz w:val="24"/>
              <w:szCs w:val="24"/>
              <w:lang w:eastAsia="lv-LV"/>
            </w:rPr>
            <w:id w:val="1021208832"/>
            <w:placeholder>
              <w:docPart w:val="E3B3A7D4883B49F2983666819212A1FF"/>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8312A8" w:rsidRPr="009708B6" w:rsidRDefault="00AF4376" w:rsidP="009708B6">
                <w:pPr>
                  <w:shd w:val="clear" w:color="auto" w:fill="FFFFFF" w:themeFill="background1"/>
                  <w:spacing w:after="0" w:line="240" w:lineRule="auto"/>
                  <w:rPr>
                    <w:rFonts w:ascii="Times New Roman" w:eastAsia="Times New Roman" w:hAnsi="Times New Roman" w:cs="Times New Roman"/>
                    <w:color w:val="414142"/>
                    <w:sz w:val="24"/>
                    <w:szCs w:val="24"/>
                    <w:lang w:eastAsia="lv-LV"/>
                  </w:rPr>
                </w:pPr>
                <w:r w:rsidRPr="009708B6">
                  <w:rPr>
                    <w:rFonts w:ascii="Times New Roman" w:eastAsia="Times New Roman" w:hAnsi="Times New Roman" w:cs="Times New Roman"/>
                    <w:color w:val="000000" w:themeColor="text1"/>
                    <w:sz w:val="24"/>
                    <w:szCs w:val="24"/>
                    <w:lang w:eastAsia="lv-LV"/>
                  </w:rPr>
                  <w:t>Nav.</w:t>
                </w:r>
              </w:p>
            </w:tc>
          </w:sdtContent>
        </w:sdt>
      </w:tr>
    </w:tbl>
    <w:p w:rsidR="00BD56FA" w:rsidRPr="009708B6" w:rsidRDefault="00BD56FA" w:rsidP="009708B6">
      <w:pPr>
        <w:pStyle w:val="ParastaisWeb"/>
        <w:shd w:val="clear" w:color="auto" w:fill="FFFFFF" w:themeFill="background1"/>
        <w:spacing w:before="0" w:beforeAutospacing="0" w:after="0" w:afterAutospacing="0"/>
        <w:rPr>
          <w:i/>
        </w:rPr>
      </w:pPr>
    </w:p>
    <w:tbl>
      <w:tblPr>
        <w:tblStyle w:val="Reatabula"/>
        <w:tblW w:w="5000" w:type="pct"/>
        <w:tblLook w:val="04A0"/>
      </w:tblPr>
      <w:tblGrid>
        <w:gridCol w:w="9287"/>
      </w:tblGrid>
      <w:tr w:rsidR="00BD56FA" w:rsidRPr="009708B6" w:rsidTr="00BD56FA">
        <w:trPr>
          <w:trHeight w:val="454"/>
        </w:trPr>
        <w:tc>
          <w:tcPr>
            <w:tcW w:w="5000" w:type="pct"/>
          </w:tcPr>
          <w:p w:rsidR="00BD56FA" w:rsidRPr="009708B6" w:rsidRDefault="00BD56FA" w:rsidP="009708B6">
            <w:pPr>
              <w:shd w:val="clear" w:color="auto" w:fill="FFFFFF" w:themeFill="background1"/>
              <w:jc w:val="center"/>
              <w:rPr>
                <w:rFonts w:ascii="Times New Roman" w:hAnsi="Times New Roman" w:cs="Times New Roman"/>
                <w:b/>
                <w:sz w:val="24"/>
                <w:szCs w:val="24"/>
              </w:rPr>
            </w:pPr>
            <w:r w:rsidRPr="009708B6">
              <w:rPr>
                <w:rFonts w:ascii="Times New Roman" w:hAnsi="Times New Roman" w:cs="Times New Roman"/>
                <w:b/>
                <w:sz w:val="24"/>
                <w:szCs w:val="24"/>
              </w:rPr>
              <w:t>II. Tiesību akta projekta ietekme uz sabiedrību, tautsaimniecības attīstību un administratīvo slogu</w:t>
            </w:r>
          </w:p>
        </w:tc>
      </w:tr>
      <w:tr w:rsidR="00BD56FA" w:rsidRPr="009708B6" w:rsidTr="00BD56FA">
        <w:trPr>
          <w:trHeight w:val="454"/>
        </w:trPr>
        <w:tc>
          <w:tcPr>
            <w:tcW w:w="5000" w:type="pct"/>
            <w:vAlign w:val="center"/>
          </w:tcPr>
          <w:p w:rsidR="00BD56FA" w:rsidRPr="009708B6" w:rsidRDefault="00BD56FA"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Projekts šo jomu neskar.</w:t>
            </w:r>
          </w:p>
        </w:tc>
      </w:tr>
    </w:tbl>
    <w:p w:rsidR="00BD56FA" w:rsidRPr="009708B6" w:rsidRDefault="00BD56FA" w:rsidP="009708B6">
      <w:pPr>
        <w:pStyle w:val="ParastaisWeb"/>
        <w:shd w:val="clear" w:color="auto" w:fill="FFFFFF" w:themeFill="background1"/>
        <w:spacing w:before="0" w:beforeAutospacing="0" w:after="0" w:afterAutospacing="0"/>
        <w:rPr>
          <w:i/>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1668"/>
        <w:gridCol w:w="1372"/>
        <w:gridCol w:w="1467"/>
        <w:gridCol w:w="1206"/>
        <w:gridCol w:w="1539"/>
        <w:gridCol w:w="1959"/>
      </w:tblGrid>
      <w:tr w:rsidR="008312A8" w:rsidRPr="009708B6" w:rsidTr="00BE4997">
        <w:trPr>
          <w:trHeight w:val="360"/>
          <w:tblCellSpacing w:w="15" w:type="dxa"/>
          <w:jc w:val="center"/>
        </w:trPr>
        <w:tc>
          <w:tcPr>
            <w:tcW w:w="4967" w:type="pct"/>
            <w:gridSpan w:val="6"/>
            <w:vAlign w:val="center"/>
            <w:hideMark/>
          </w:tcPr>
          <w:p w:rsidR="008312A8" w:rsidRPr="009708B6" w:rsidRDefault="008312A8" w:rsidP="009708B6">
            <w:pPr>
              <w:shd w:val="clear" w:color="auto" w:fill="FFFFFF" w:themeFill="background1"/>
              <w:spacing w:before="100" w:beforeAutospacing="1" w:after="100" w:afterAutospacing="1"/>
              <w:jc w:val="center"/>
              <w:rPr>
                <w:rFonts w:ascii="Times New Roman" w:hAnsi="Times New Roman" w:cs="Times New Roman"/>
                <w:b/>
                <w:bCs/>
                <w:sz w:val="24"/>
                <w:szCs w:val="24"/>
              </w:rPr>
            </w:pPr>
            <w:bookmarkStart w:id="2" w:name="_Hlk492823934"/>
            <w:r w:rsidRPr="009708B6">
              <w:rPr>
                <w:rFonts w:ascii="Times New Roman" w:hAnsi="Times New Roman" w:cs="Times New Roman"/>
                <w:sz w:val="24"/>
                <w:szCs w:val="24"/>
              </w:rPr>
              <w:t> </w:t>
            </w:r>
            <w:r w:rsidRPr="009708B6">
              <w:rPr>
                <w:rFonts w:ascii="Times New Roman" w:hAnsi="Times New Roman" w:cs="Times New Roman"/>
                <w:b/>
                <w:bCs/>
                <w:sz w:val="24"/>
                <w:szCs w:val="24"/>
              </w:rPr>
              <w:t>III. Tiesību akta projekta ietekme uz valsts budžetu un pašvaldību budžetiem</w:t>
            </w:r>
          </w:p>
        </w:tc>
      </w:tr>
      <w:tr w:rsidR="008312A8" w:rsidRPr="009708B6" w:rsidTr="00BD56FA">
        <w:trPr>
          <w:tblCellSpacing w:w="15" w:type="dxa"/>
          <w:jc w:val="center"/>
        </w:trPr>
        <w:tc>
          <w:tcPr>
            <w:tcW w:w="896" w:type="pct"/>
            <w:vMerge w:val="restart"/>
            <w:vAlign w:val="center"/>
            <w:hideMark/>
          </w:tcPr>
          <w:p w:rsidR="008312A8" w:rsidRPr="009708B6" w:rsidRDefault="008312A8" w:rsidP="009708B6">
            <w:pPr>
              <w:shd w:val="clear" w:color="auto" w:fill="FFFFFF" w:themeFill="background1"/>
              <w:spacing w:before="100" w:beforeAutospacing="1" w:after="100" w:afterAutospacing="1"/>
              <w:jc w:val="center"/>
              <w:rPr>
                <w:rFonts w:ascii="Times New Roman" w:hAnsi="Times New Roman" w:cs="Times New Roman"/>
                <w:b/>
                <w:bCs/>
                <w:sz w:val="24"/>
                <w:szCs w:val="24"/>
              </w:rPr>
            </w:pPr>
            <w:r w:rsidRPr="009708B6">
              <w:rPr>
                <w:rFonts w:ascii="Times New Roman" w:hAnsi="Times New Roman" w:cs="Times New Roman"/>
                <w:b/>
                <w:bCs/>
                <w:sz w:val="24"/>
                <w:szCs w:val="24"/>
              </w:rPr>
              <w:t>Rādītāji</w:t>
            </w:r>
          </w:p>
        </w:tc>
        <w:tc>
          <w:tcPr>
            <w:tcW w:w="1534" w:type="pct"/>
            <w:gridSpan w:val="2"/>
            <w:vMerge w:val="restart"/>
            <w:vAlign w:val="center"/>
            <w:hideMark/>
          </w:tcPr>
          <w:p w:rsidR="008312A8" w:rsidRPr="009708B6" w:rsidRDefault="008312A8" w:rsidP="009708B6">
            <w:pPr>
              <w:shd w:val="clear" w:color="auto" w:fill="FFFFFF" w:themeFill="background1"/>
              <w:spacing w:before="100" w:beforeAutospacing="1" w:after="100" w:afterAutospacing="1"/>
              <w:jc w:val="center"/>
              <w:rPr>
                <w:rFonts w:ascii="Times New Roman" w:hAnsi="Times New Roman" w:cs="Times New Roman"/>
                <w:b/>
                <w:bCs/>
                <w:sz w:val="24"/>
                <w:szCs w:val="24"/>
              </w:rPr>
            </w:pPr>
            <w:r w:rsidRPr="009708B6">
              <w:rPr>
                <w:rFonts w:ascii="Times New Roman" w:hAnsi="Times New Roman" w:cs="Times New Roman"/>
                <w:b/>
                <w:bCs/>
                <w:sz w:val="24"/>
                <w:szCs w:val="24"/>
              </w:rPr>
              <w:t>2017.gads</w:t>
            </w:r>
          </w:p>
        </w:tc>
        <w:tc>
          <w:tcPr>
            <w:tcW w:w="2505" w:type="pct"/>
            <w:gridSpan w:val="3"/>
            <w:vAlign w:val="center"/>
            <w:hideMark/>
          </w:tcPr>
          <w:p w:rsidR="008312A8" w:rsidRPr="009708B6" w:rsidRDefault="008312A8" w:rsidP="009708B6">
            <w:pPr>
              <w:shd w:val="clear" w:color="auto" w:fill="FFFFFF" w:themeFill="background1"/>
              <w:spacing w:before="100" w:beforeAutospacing="1" w:after="100" w:afterAutospacing="1"/>
              <w:jc w:val="center"/>
              <w:rPr>
                <w:rFonts w:ascii="Times New Roman" w:hAnsi="Times New Roman" w:cs="Times New Roman"/>
                <w:sz w:val="24"/>
                <w:szCs w:val="24"/>
              </w:rPr>
            </w:pPr>
            <w:r w:rsidRPr="009708B6">
              <w:rPr>
                <w:rFonts w:ascii="Times New Roman" w:hAnsi="Times New Roman" w:cs="Times New Roman"/>
                <w:sz w:val="24"/>
                <w:szCs w:val="24"/>
              </w:rPr>
              <w:t>Turpmākie trīs gadi (</w:t>
            </w:r>
            <w:r w:rsidRPr="009708B6">
              <w:rPr>
                <w:rFonts w:ascii="Times New Roman" w:hAnsi="Times New Roman" w:cs="Times New Roman"/>
                <w:i/>
                <w:iCs/>
                <w:sz w:val="24"/>
                <w:szCs w:val="24"/>
              </w:rPr>
              <w:t>euro</w:t>
            </w:r>
            <w:r w:rsidRPr="009708B6">
              <w:rPr>
                <w:rFonts w:ascii="Times New Roman" w:hAnsi="Times New Roman" w:cs="Times New Roman"/>
                <w:sz w:val="24"/>
                <w:szCs w:val="24"/>
              </w:rPr>
              <w:t>)</w:t>
            </w:r>
          </w:p>
        </w:tc>
      </w:tr>
      <w:tr w:rsidR="008312A8" w:rsidRPr="009708B6" w:rsidTr="00BD56FA">
        <w:trPr>
          <w:tblCellSpacing w:w="15" w:type="dxa"/>
          <w:jc w:val="center"/>
        </w:trPr>
        <w:tc>
          <w:tcPr>
            <w:tcW w:w="896" w:type="pct"/>
            <w:vMerge/>
            <w:vAlign w:val="center"/>
            <w:hideMark/>
          </w:tcPr>
          <w:p w:rsidR="008312A8" w:rsidRPr="009708B6" w:rsidRDefault="008312A8" w:rsidP="009708B6">
            <w:pPr>
              <w:shd w:val="clear" w:color="auto" w:fill="FFFFFF" w:themeFill="background1"/>
              <w:rPr>
                <w:rFonts w:ascii="Times New Roman" w:hAnsi="Times New Roman" w:cs="Times New Roman"/>
                <w:b/>
                <w:bCs/>
                <w:sz w:val="24"/>
                <w:szCs w:val="24"/>
              </w:rPr>
            </w:pPr>
          </w:p>
        </w:tc>
        <w:tc>
          <w:tcPr>
            <w:tcW w:w="1534" w:type="pct"/>
            <w:gridSpan w:val="2"/>
            <w:vMerge/>
            <w:vAlign w:val="center"/>
            <w:hideMark/>
          </w:tcPr>
          <w:p w:rsidR="008312A8" w:rsidRPr="009708B6" w:rsidRDefault="008312A8" w:rsidP="009708B6">
            <w:pPr>
              <w:shd w:val="clear" w:color="auto" w:fill="FFFFFF" w:themeFill="background1"/>
              <w:rPr>
                <w:rFonts w:ascii="Times New Roman" w:hAnsi="Times New Roman" w:cs="Times New Roman"/>
                <w:b/>
                <w:bCs/>
                <w:sz w:val="24"/>
                <w:szCs w:val="24"/>
              </w:rPr>
            </w:pPr>
          </w:p>
        </w:tc>
        <w:tc>
          <w:tcPr>
            <w:tcW w:w="649" w:type="pct"/>
            <w:vAlign w:val="center"/>
            <w:hideMark/>
          </w:tcPr>
          <w:p w:rsidR="008312A8" w:rsidRPr="009708B6" w:rsidRDefault="008312A8" w:rsidP="009708B6">
            <w:pPr>
              <w:shd w:val="clear" w:color="auto" w:fill="FFFFFF" w:themeFill="background1"/>
              <w:jc w:val="center"/>
              <w:rPr>
                <w:rFonts w:ascii="Times New Roman" w:hAnsi="Times New Roman" w:cs="Times New Roman"/>
                <w:b/>
                <w:bCs/>
                <w:sz w:val="24"/>
                <w:szCs w:val="24"/>
              </w:rPr>
            </w:pPr>
            <w:r w:rsidRPr="009708B6">
              <w:rPr>
                <w:rFonts w:ascii="Times New Roman" w:hAnsi="Times New Roman" w:cs="Times New Roman"/>
                <w:b/>
                <w:bCs/>
                <w:sz w:val="24"/>
                <w:szCs w:val="24"/>
              </w:rPr>
              <w:t>2018.</w:t>
            </w:r>
          </w:p>
        </w:tc>
        <w:tc>
          <w:tcPr>
            <w:tcW w:w="832" w:type="pct"/>
            <w:vAlign w:val="center"/>
            <w:hideMark/>
          </w:tcPr>
          <w:p w:rsidR="008312A8" w:rsidRPr="009708B6" w:rsidRDefault="008312A8" w:rsidP="009708B6">
            <w:pPr>
              <w:shd w:val="clear" w:color="auto" w:fill="FFFFFF" w:themeFill="background1"/>
              <w:jc w:val="center"/>
              <w:rPr>
                <w:rFonts w:ascii="Times New Roman" w:hAnsi="Times New Roman" w:cs="Times New Roman"/>
                <w:b/>
                <w:bCs/>
                <w:sz w:val="24"/>
                <w:szCs w:val="24"/>
              </w:rPr>
            </w:pPr>
            <w:r w:rsidRPr="009708B6">
              <w:rPr>
                <w:rFonts w:ascii="Times New Roman" w:hAnsi="Times New Roman" w:cs="Times New Roman"/>
                <w:b/>
                <w:bCs/>
                <w:sz w:val="24"/>
                <w:szCs w:val="24"/>
              </w:rPr>
              <w:t>2019.</w:t>
            </w:r>
          </w:p>
        </w:tc>
        <w:tc>
          <w:tcPr>
            <w:tcW w:w="992" w:type="pct"/>
            <w:vAlign w:val="center"/>
            <w:hideMark/>
          </w:tcPr>
          <w:p w:rsidR="008312A8" w:rsidRPr="009708B6" w:rsidRDefault="008312A8" w:rsidP="009708B6">
            <w:pPr>
              <w:shd w:val="clear" w:color="auto" w:fill="FFFFFF" w:themeFill="background1"/>
              <w:jc w:val="center"/>
              <w:rPr>
                <w:rFonts w:ascii="Times New Roman" w:hAnsi="Times New Roman" w:cs="Times New Roman"/>
                <w:b/>
                <w:bCs/>
                <w:sz w:val="24"/>
                <w:szCs w:val="24"/>
              </w:rPr>
            </w:pPr>
            <w:r w:rsidRPr="009708B6">
              <w:rPr>
                <w:rFonts w:ascii="Times New Roman" w:hAnsi="Times New Roman" w:cs="Times New Roman"/>
                <w:b/>
                <w:bCs/>
                <w:sz w:val="24"/>
                <w:szCs w:val="24"/>
              </w:rPr>
              <w:t>2020.</w:t>
            </w:r>
          </w:p>
        </w:tc>
      </w:tr>
      <w:tr w:rsidR="008312A8" w:rsidRPr="009708B6" w:rsidTr="00BD56FA">
        <w:trPr>
          <w:tblCellSpacing w:w="15" w:type="dxa"/>
          <w:jc w:val="center"/>
        </w:trPr>
        <w:tc>
          <w:tcPr>
            <w:tcW w:w="896" w:type="pct"/>
            <w:vMerge/>
            <w:vAlign w:val="center"/>
            <w:hideMark/>
          </w:tcPr>
          <w:p w:rsidR="008312A8" w:rsidRPr="009708B6" w:rsidRDefault="008312A8" w:rsidP="009708B6">
            <w:pPr>
              <w:shd w:val="clear" w:color="auto" w:fill="FFFFFF" w:themeFill="background1"/>
              <w:rPr>
                <w:rFonts w:ascii="Times New Roman" w:hAnsi="Times New Roman" w:cs="Times New Roman"/>
                <w:b/>
                <w:bCs/>
                <w:sz w:val="24"/>
                <w:szCs w:val="24"/>
              </w:rPr>
            </w:pPr>
          </w:p>
        </w:tc>
        <w:tc>
          <w:tcPr>
            <w:tcW w:w="741" w:type="pct"/>
            <w:vAlign w:val="center"/>
            <w:hideMark/>
          </w:tcPr>
          <w:p w:rsidR="008312A8" w:rsidRPr="009708B6" w:rsidRDefault="008312A8" w:rsidP="009708B6">
            <w:pPr>
              <w:shd w:val="clear" w:color="auto" w:fill="FFFFFF" w:themeFill="background1"/>
              <w:spacing w:before="100" w:beforeAutospacing="1" w:after="100" w:afterAutospacing="1"/>
              <w:jc w:val="center"/>
              <w:rPr>
                <w:rFonts w:ascii="Times New Roman" w:hAnsi="Times New Roman" w:cs="Times New Roman"/>
                <w:sz w:val="24"/>
                <w:szCs w:val="24"/>
              </w:rPr>
            </w:pPr>
            <w:r w:rsidRPr="009708B6">
              <w:rPr>
                <w:rFonts w:ascii="Times New Roman" w:hAnsi="Times New Roman" w:cs="Times New Roman"/>
                <w:sz w:val="24"/>
                <w:szCs w:val="24"/>
              </w:rPr>
              <w:t>saskaņā ar valsts budžetu kārtējam gadam</w:t>
            </w:r>
          </w:p>
        </w:tc>
        <w:tc>
          <w:tcPr>
            <w:tcW w:w="777" w:type="pct"/>
            <w:vAlign w:val="center"/>
            <w:hideMark/>
          </w:tcPr>
          <w:p w:rsidR="008312A8" w:rsidRPr="009708B6" w:rsidRDefault="008312A8" w:rsidP="009708B6">
            <w:pPr>
              <w:shd w:val="clear" w:color="auto" w:fill="FFFFFF" w:themeFill="background1"/>
              <w:spacing w:before="100" w:beforeAutospacing="1" w:after="100" w:afterAutospacing="1"/>
              <w:jc w:val="center"/>
              <w:rPr>
                <w:rFonts w:ascii="Times New Roman" w:hAnsi="Times New Roman" w:cs="Times New Roman"/>
                <w:sz w:val="24"/>
                <w:szCs w:val="24"/>
              </w:rPr>
            </w:pPr>
            <w:r w:rsidRPr="009708B6">
              <w:rPr>
                <w:rFonts w:ascii="Times New Roman" w:hAnsi="Times New Roman" w:cs="Times New Roman"/>
                <w:sz w:val="24"/>
                <w:szCs w:val="24"/>
              </w:rPr>
              <w:t>izmaiņas kārtējā gadā, salīdzinot ar valsts budžetu kārtējam gadam</w:t>
            </w:r>
          </w:p>
        </w:tc>
        <w:tc>
          <w:tcPr>
            <w:tcW w:w="649" w:type="pct"/>
            <w:vAlign w:val="center"/>
            <w:hideMark/>
          </w:tcPr>
          <w:p w:rsidR="008312A8" w:rsidRPr="009708B6" w:rsidRDefault="008312A8" w:rsidP="009708B6">
            <w:pPr>
              <w:shd w:val="clear" w:color="auto" w:fill="FFFFFF" w:themeFill="background1"/>
              <w:spacing w:before="100" w:beforeAutospacing="1" w:after="100" w:afterAutospacing="1"/>
              <w:jc w:val="center"/>
              <w:rPr>
                <w:rFonts w:ascii="Times New Roman" w:hAnsi="Times New Roman" w:cs="Times New Roman"/>
                <w:sz w:val="24"/>
                <w:szCs w:val="24"/>
              </w:rPr>
            </w:pPr>
            <w:r w:rsidRPr="009708B6">
              <w:rPr>
                <w:rFonts w:ascii="Times New Roman" w:hAnsi="Times New Roman" w:cs="Times New Roman"/>
                <w:sz w:val="24"/>
                <w:szCs w:val="24"/>
              </w:rPr>
              <w:t>izmaiņas, salīdzinot ar kārtējo (2017) gadu</w:t>
            </w:r>
          </w:p>
        </w:tc>
        <w:tc>
          <w:tcPr>
            <w:tcW w:w="832" w:type="pct"/>
            <w:vAlign w:val="center"/>
            <w:hideMark/>
          </w:tcPr>
          <w:p w:rsidR="008312A8" w:rsidRPr="009708B6" w:rsidRDefault="008312A8" w:rsidP="009708B6">
            <w:pPr>
              <w:shd w:val="clear" w:color="auto" w:fill="FFFFFF" w:themeFill="background1"/>
              <w:spacing w:before="100" w:beforeAutospacing="1" w:after="100" w:afterAutospacing="1"/>
              <w:jc w:val="center"/>
              <w:rPr>
                <w:rFonts w:ascii="Times New Roman" w:hAnsi="Times New Roman" w:cs="Times New Roman"/>
                <w:sz w:val="24"/>
                <w:szCs w:val="24"/>
              </w:rPr>
            </w:pPr>
            <w:r w:rsidRPr="009708B6">
              <w:rPr>
                <w:rFonts w:ascii="Times New Roman" w:hAnsi="Times New Roman" w:cs="Times New Roman"/>
                <w:sz w:val="24"/>
                <w:szCs w:val="24"/>
              </w:rPr>
              <w:t>izmaiņas, salīdzinot ar kārtējo (2017) gadu</w:t>
            </w:r>
          </w:p>
        </w:tc>
        <w:tc>
          <w:tcPr>
            <w:tcW w:w="992" w:type="pct"/>
            <w:vAlign w:val="center"/>
            <w:hideMark/>
          </w:tcPr>
          <w:p w:rsidR="008312A8" w:rsidRPr="009708B6" w:rsidRDefault="008312A8" w:rsidP="009708B6">
            <w:pPr>
              <w:shd w:val="clear" w:color="auto" w:fill="FFFFFF" w:themeFill="background1"/>
              <w:spacing w:before="100" w:beforeAutospacing="1" w:after="100" w:afterAutospacing="1"/>
              <w:jc w:val="center"/>
              <w:rPr>
                <w:rFonts w:ascii="Times New Roman" w:hAnsi="Times New Roman" w:cs="Times New Roman"/>
                <w:sz w:val="24"/>
                <w:szCs w:val="24"/>
              </w:rPr>
            </w:pPr>
            <w:r w:rsidRPr="009708B6">
              <w:rPr>
                <w:rFonts w:ascii="Times New Roman" w:hAnsi="Times New Roman" w:cs="Times New Roman"/>
                <w:sz w:val="24"/>
                <w:szCs w:val="24"/>
              </w:rPr>
              <w:t>izmaiņas, salīdzinot ar kārtējo (2017) gadu</w:t>
            </w:r>
          </w:p>
        </w:tc>
      </w:tr>
      <w:tr w:rsidR="008312A8" w:rsidRPr="009708B6" w:rsidTr="00BD56FA">
        <w:trPr>
          <w:tblCellSpacing w:w="15" w:type="dxa"/>
          <w:jc w:val="center"/>
        </w:trPr>
        <w:tc>
          <w:tcPr>
            <w:tcW w:w="896" w:type="pct"/>
            <w:vAlign w:val="center"/>
            <w:hideMark/>
          </w:tcPr>
          <w:p w:rsidR="008312A8" w:rsidRPr="009708B6" w:rsidRDefault="008312A8" w:rsidP="009708B6">
            <w:pPr>
              <w:shd w:val="clear" w:color="auto" w:fill="FFFFFF" w:themeFill="background1"/>
              <w:spacing w:before="100" w:beforeAutospacing="1" w:after="100" w:afterAutospacing="1"/>
              <w:jc w:val="center"/>
              <w:rPr>
                <w:rFonts w:ascii="Times New Roman" w:hAnsi="Times New Roman" w:cs="Times New Roman"/>
                <w:sz w:val="24"/>
                <w:szCs w:val="24"/>
              </w:rPr>
            </w:pPr>
            <w:r w:rsidRPr="009708B6">
              <w:rPr>
                <w:rFonts w:ascii="Times New Roman" w:hAnsi="Times New Roman" w:cs="Times New Roman"/>
                <w:sz w:val="24"/>
                <w:szCs w:val="24"/>
              </w:rPr>
              <w:t>1</w:t>
            </w:r>
          </w:p>
        </w:tc>
        <w:tc>
          <w:tcPr>
            <w:tcW w:w="741" w:type="pct"/>
            <w:vAlign w:val="center"/>
            <w:hideMark/>
          </w:tcPr>
          <w:p w:rsidR="008312A8" w:rsidRPr="009708B6" w:rsidRDefault="008312A8" w:rsidP="009708B6">
            <w:pPr>
              <w:shd w:val="clear" w:color="auto" w:fill="FFFFFF" w:themeFill="background1"/>
              <w:spacing w:before="100" w:beforeAutospacing="1" w:after="100" w:afterAutospacing="1"/>
              <w:jc w:val="center"/>
              <w:rPr>
                <w:rFonts w:ascii="Times New Roman" w:hAnsi="Times New Roman" w:cs="Times New Roman"/>
                <w:sz w:val="24"/>
                <w:szCs w:val="24"/>
              </w:rPr>
            </w:pPr>
            <w:r w:rsidRPr="009708B6">
              <w:rPr>
                <w:rFonts w:ascii="Times New Roman" w:hAnsi="Times New Roman" w:cs="Times New Roman"/>
                <w:sz w:val="24"/>
                <w:szCs w:val="24"/>
              </w:rPr>
              <w:t>2</w:t>
            </w:r>
          </w:p>
        </w:tc>
        <w:tc>
          <w:tcPr>
            <w:tcW w:w="777" w:type="pct"/>
            <w:vAlign w:val="center"/>
            <w:hideMark/>
          </w:tcPr>
          <w:p w:rsidR="008312A8" w:rsidRPr="009708B6" w:rsidRDefault="008312A8" w:rsidP="009708B6">
            <w:pPr>
              <w:shd w:val="clear" w:color="auto" w:fill="FFFFFF" w:themeFill="background1"/>
              <w:spacing w:before="100" w:beforeAutospacing="1" w:after="100" w:afterAutospacing="1"/>
              <w:jc w:val="center"/>
              <w:rPr>
                <w:rFonts w:ascii="Times New Roman" w:hAnsi="Times New Roman" w:cs="Times New Roman"/>
                <w:sz w:val="24"/>
                <w:szCs w:val="24"/>
              </w:rPr>
            </w:pPr>
            <w:r w:rsidRPr="009708B6">
              <w:rPr>
                <w:rFonts w:ascii="Times New Roman" w:hAnsi="Times New Roman" w:cs="Times New Roman"/>
                <w:sz w:val="24"/>
                <w:szCs w:val="24"/>
              </w:rPr>
              <w:t>3</w:t>
            </w:r>
          </w:p>
        </w:tc>
        <w:tc>
          <w:tcPr>
            <w:tcW w:w="649" w:type="pct"/>
            <w:vAlign w:val="center"/>
            <w:hideMark/>
          </w:tcPr>
          <w:p w:rsidR="008312A8" w:rsidRPr="009708B6" w:rsidRDefault="008312A8" w:rsidP="009708B6">
            <w:pPr>
              <w:shd w:val="clear" w:color="auto" w:fill="FFFFFF" w:themeFill="background1"/>
              <w:spacing w:before="100" w:beforeAutospacing="1" w:after="100" w:afterAutospacing="1"/>
              <w:jc w:val="center"/>
              <w:rPr>
                <w:rFonts w:ascii="Times New Roman" w:hAnsi="Times New Roman" w:cs="Times New Roman"/>
                <w:sz w:val="24"/>
                <w:szCs w:val="24"/>
              </w:rPr>
            </w:pPr>
            <w:r w:rsidRPr="009708B6">
              <w:rPr>
                <w:rFonts w:ascii="Times New Roman" w:hAnsi="Times New Roman" w:cs="Times New Roman"/>
                <w:sz w:val="24"/>
                <w:szCs w:val="24"/>
              </w:rPr>
              <w:t>4</w:t>
            </w:r>
          </w:p>
        </w:tc>
        <w:tc>
          <w:tcPr>
            <w:tcW w:w="832" w:type="pct"/>
            <w:vAlign w:val="center"/>
            <w:hideMark/>
          </w:tcPr>
          <w:p w:rsidR="008312A8" w:rsidRPr="009708B6" w:rsidRDefault="008312A8" w:rsidP="009708B6">
            <w:pPr>
              <w:shd w:val="clear" w:color="auto" w:fill="FFFFFF" w:themeFill="background1"/>
              <w:spacing w:before="100" w:beforeAutospacing="1" w:after="100" w:afterAutospacing="1"/>
              <w:jc w:val="center"/>
              <w:rPr>
                <w:rFonts w:ascii="Times New Roman" w:hAnsi="Times New Roman" w:cs="Times New Roman"/>
                <w:sz w:val="24"/>
                <w:szCs w:val="24"/>
              </w:rPr>
            </w:pPr>
            <w:r w:rsidRPr="009708B6">
              <w:rPr>
                <w:rFonts w:ascii="Times New Roman" w:hAnsi="Times New Roman" w:cs="Times New Roman"/>
                <w:sz w:val="24"/>
                <w:szCs w:val="24"/>
              </w:rPr>
              <w:t>5</w:t>
            </w:r>
          </w:p>
        </w:tc>
        <w:tc>
          <w:tcPr>
            <w:tcW w:w="992" w:type="pct"/>
            <w:vAlign w:val="center"/>
            <w:hideMark/>
          </w:tcPr>
          <w:p w:rsidR="008312A8" w:rsidRPr="009708B6" w:rsidRDefault="008312A8" w:rsidP="009708B6">
            <w:pPr>
              <w:shd w:val="clear" w:color="auto" w:fill="FFFFFF" w:themeFill="background1"/>
              <w:spacing w:before="100" w:beforeAutospacing="1" w:after="100" w:afterAutospacing="1"/>
              <w:jc w:val="center"/>
              <w:rPr>
                <w:rFonts w:ascii="Times New Roman" w:hAnsi="Times New Roman" w:cs="Times New Roman"/>
                <w:sz w:val="24"/>
                <w:szCs w:val="24"/>
              </w:rPr>
            </w:pPr>
            <w:r w:rsidRPr="009708B6">
              <w:rPr>
                <w:rFonts w:ascii="Times New Roman" w:hAnsi="Times New Roman" w:cs="Times New Roman"/>
                <w:sz w:val="24"/>
                <w:szCs w:val="24"/>
              </w:rPr>
              <w:t>6</w:t>
            </w:r>
          </w:p>
        </w:tc>
      </w:tr>
      <w:tr w:rsidR="008312A8" w:rsidRPr="009708B6" w:rsidTr="00BD56FA">
        <w:trPr>
          <w:tblCellSpacing w:w="15" w:type="dxa"/>
          <w:jc w:val="center"/>
        </w:trPr>
        <w:tc>
          <w:tcPr>
            <w:tcW w:w="896" w:type="pct"/>
            <w:hideMark/>
          </w:tcPr>
          <w:p w:rsidR="008312A8" w:rsidRPr="009708B6" w:rsidRDefault="008312A8" w:rsidP="009708B6">
            <w:pPr>
              <w:shd w:val="clear" w:color="auto" w:fill="FFFFFF" w:themeFill="background1"/>
              <w:rPr>
                <w:rFonts w:ascii="Times New Roman" w:hAnsi="Times New Roman" w:cs="Times New Roman"/>
                <w:sz w:val="24"/>
                <w:szCs w:val="24"/>
              </w:rPr>
            </w:pPr>
            <w:r w:rsidRPr="009708B6">
              <w:rPr>
                <w:rFonts w:ascii="Times New Roman" w:hAnsi="Times New Roman" w:cs="Times New Roman"/>
                <w:sz w:val="24"/>
                <w:szCs w:val="24"/>
              </w:rPr>
              <w:lastRenderedPageBreak/>
              <w:t>1. Budžeta ieņēmumi:</w:t>
            </w:r>
          </w:p>
        </w:tc>
        <w:tc>
          <w:tcPr>
            <w:tcW w:w="741" w:type="pct"/>
            <w:hideMark/>
          </w:tcPr>
          <w:p w:rsidR="008312A8" w:rsidRPr="009708B6" w:rsidRDefault="00270A96"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13 000</w:t>
            </w:r>
          </w:p>
        </w:tc>
        <w:tc>
          <w:tcPr>
            <w:tcW w:w="777"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649" w:type="pct"/>
            <w:hideMark/>
          </w:tcPr>
          <w:p w:rsidR="008312A8" w:rsidRPr="009708B6" w:rsidRDefault="00CC061A"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 xml:space="preserve"> </w:t>
            </w:r>
            <w:r w:rsidR="00F11B4E" w:rsidRPr="009708B6">
              <w:rPr>
                <w:rFonts w:ascii="Times New Roman" w:hAnsi="Times New Roman" w:cs="Times New Roman"/>
                <w:sz w:val="24"/>
                <w:szCs w:val="24"/>
              </w:rPr>
              <w:t>78 58</w:t>
            </w:r>
            <w:r w:rsidR="005A2CE0" w:rsidRPr="009708B6">
              <w:rPr>
                <w:rFonts w:ascii="Times New Roman" w:hAnsi="Times New Roman" w:cs="Times New Roman"/>
                <w:sz w:val="24"/>
                <w:szCs w:val="24"/>
              </w:rPr>
              <w:t>5</w:t>
            </w:r>
          </w:p>
        </w:tc>
        <w:tc>
          <w:tcPr>
            <w:tcW w:w="832" w:type="pct"/>
            <w:hideMark/>
          </w:tcPr>
          <w:p w:rsidR="008312A8" w:rsidRPr="009708B6" w:rsidRDefault="00F11B4E"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 xml:space="preserve"> 98 08</w:t>
            </w:r>
            <w:r w:rsidR="005A2CE0" w:rsidRPr="009708B6">
              <w:rPr>
                <w:rFonts w:ascii="Times New Roman" w:hAnsi="Times New Roman" w:cs="Times New Roman"/>
                <w:sz w:val="24"/>
                <w:szCs w:val="24"/>
              </w:rPr>
              <w:t>5</w:t>
            </w:r>
          </w:p>
        </w:tc>
        <w:tc>
          <w:tcPr>
            <w:tcW w:w="992" w:type="pct"/>
            <w:hideMark/>
          </w:tcPr>
          <w:p w:rsidR="008312A8" w:rsidRPr="009708B6" w:rsidRDefault="00F11B4E"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 xml:space="preserve"> 98 08</w:t>
            </w:r>
            <w:r w:rsidR="005A2CE0" w:rsidRPr="009708B6">
              <w:rPr>
                <w:rFonts w:ascii="Times New Roman" w:hAnsi="Times New Roman" w:cs="Times New Roman"/>
                <w:sz w:val="24"/>
                <w:szCs w:val="24"/>
              </w:rPr>
              <w:t>5</w:t>
            </w:r>
          </w:p>
        </w:tc>
      </w:tr>
      <w:tr w:rsidR="008312A8" w:rsidRPr="009708B6" w:rsidTr="00BD56FA">
        <w:trPr>
          <w:tblCellSpacing w:w="15" w:type="dxa"/>
          <w:jc w:val="center"/>
        </w:trPr>
        <w:tc>
          <w:tcPr>
            <w:tcW w:w="896" w:type="pct"/>
            <w:hideMark/>
          </w:tcPr>
          <w:p w:rsidR="008312A8" w:rsidRPr="009708B6" w:rsidRDefault="008312A8" w:rsidP="009708B6">
            <w:pPr>
              <w:shd w:val="clear" w:color="auto" w:fill="FFFFFF" w:themeFill="background1"/>
              <w:rPr>
                <w:rFonts w:ascii="Times New Roman" w:hAnsi="Times New Roman" w:cs="Times New Roman"/>
                <w:sz w:val="24"/>
                <w:szCs w:val="24"/>
              </w:rPr>
            </w:pPr>
            <w:r w:rsidRPr="009708B6">
              <w:rPr>
                <w:rFonts w:ascii="Times New Roman" w:hAnsi="Times New Roman" w:cs="Times New Roman"/>
                <w:sz w:val="24"/>
                <w:szCs w:val="24"/>
              </w:rPr>
              <w:t>1.1. valsts pamatbudžets, tai skaitā ieņēmumi no maksas pakalpojumiem un citi pašu ieņēmumi</w:t>
            </w:r>
          </w:p>
        </w:tc>
        <w:tc>
          <w:tcPr>
            <w:tcW w:w="741" w:type="pct"/>
            <w:hideMark/>
          </w:tcPr>
          <w:p w:rsidR="008312A8" w:rsidRPr="009708B6" w:rsidRDefault="00270A96" w:rsidP="009708B6">
            <w:pPr>
              <w:shd w:val="clear" w:color="auto" w:fill="FFFFFF" w:themeFill="background1"/>
              <w:jc w:val="center"/>
              <w:rPr>
                <w:rFonts w:ascii="Times New Roman" w:hAnsi="Times New Roman" w:cs="Times New Roman"/>
                <w:b/>
                <w:sz w:val="24"/>
                <w:szCs w:val="24"/>
              </w:rPr>
            </w:pPr>
            <w:r w:rsidRPr="009708B6">
              <w:rPr>
                <w:rFonts w:ascii="Times New Roman" w:hAnsi="Times New Roman" w:cs="Times New Roman"/>
                <w:sz w:val="24"/>
                <w:szCs w:val="24"/>
              </w:rPr>
              <w:t>13 000</w:t>
            </w:r>
          </w:p>
        </w:tc>
        <w:tc>
          <w:tcPr>
            <w:tcW w:w="777"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649" w:type="pct"/>
            <w:hideMark/>
          </w:tcPr>
          <w:p w:rsidR="008312A8" w:rsidRPr="009708B6" w:rsidRDefault="00F11B4E"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 xml:space="preserve"> 78 58</w:t>
            </w:r>
            <w:r w:rsidR="005A2CE0" w:rsidRPr="009708B6">
              <w:rPr>
                <w:rFonts w:ascii="Times New Roman" w:hAnsi="Times New Roman" w:cs="Times New Roman"/>
                <w:sz w:val="24"/>
                <w:szCs w:val="24"/>
              </w:rPr>
              <w:t>5</w:t>
            </w:r>
          </w:p>
        </w:tc>
        <w:tc>
          <w:tcPr>
            <w:tcW w:w="832" w:type="pct"/>
            <w:hideMark/>
          </w:tcPr>
          <w:p w:rsidR="008312A8" w:rsidRPr="009708B6" w:rsidRDefault="00F11B4E"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 xml:space="preserve"> 98 08</w:t>
            </w:r>
            <w:r w:rsidR="005A2CE0" w:rsidRPr="009708B6">
              <w:rPr>
                <w:rFonts w:ascii="Times New Roman" w:hAnsi="Times New Roman" w:cs="Times New Roman"/>
                <w:sz w:val="24"/>
                <w:szCs w:val="24"/>
              </w:rPr>
              <w:t>5</w:t>
            </w:r>
          </w:p>
        </w:tc>
        <w:tc>
          <w:tcPr>
            <w:tcW w:w="992" w:type="pct"/>
            <w:hideMark/>
          </w:tcPr>
          <w:p w:rsidR="008312A8" w:rsidRPr="009708B6" w:rsidRDefault="00F11B4E"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 xml:space="preserve"> 98 08</w:t>
            </w:r>
            <w:r w:rsidR="005A2CE0" w:rsidRPr="009708B6">
              <w:rPr>
                <w:rFonts w:ascii="Times New Roman" w:hAnsi="Times New Roman" w:cs="Times New Roman"/>
                <w:sz w:val="24"/>
                <w:szCs w:val="24"/>
              </w:rPr>
              <w:t>5</w:t>
            </w:r>
          </w:p>
        </w:tc>
      </w:tr>
      <w:tr w:rsidR="008312A8" w:rsidRPr="009708B6" w:rsidTr="00BD56FA">
        <w:trPr>
          <w:tblCellSpacing w:w="15" w:type="dxa"/>
          <w:jc w:val="center"/>
        </w:trPr>
        <w:tc>
          <w:tcPr>
            <w:tcW w:w="896" w:type="pct"/>
            <w:hideMark/>
          </w:tcPr>
          <w:p w:rsidR="008312A8" w:rsidRPr="009708B6" w:rsidRDefault="008312A8" w:rsidP="009708B6">
            <w:pPr>
              <w:shd w:val="clear" w:color="auto" w:fill="FFFFFF" w:themeFill="background1"/>
              <w:rPr>
                <w:rFonts w:ascii="Times New Roman" w:hAnsi="Times New Roman" w:cs="Times New Roman"/>
                <w:sz w:val="24"/>
                <w:szCs w:val="24"/>
              </w:rPr>
            </w:pPr>
            <w:r w:rsidRPr="009708B6">
              <w:rPr>
                <w:rFonts w:ascii="Times New Roman" w:hAnsi="Times New Roman" w:cs="Times New Roman"/>
                <w:sz w:val="24"/>
                <w:szCs w:val="24"/>
              </w:rPr>
              <w:t>1.2. valsts speciālais budžets</w:t>
            </w:r>
          </w:p>
        </w:tc>
        <w:tc>
          <w:tcPr>
            <w:tcW w:w="741"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777"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649"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832"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992"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r>
      <w:tr w:rsidR="008312A8" w:rsidRPr="009708B6" w:rsidTr="00BD56FA">
        <w:trPr>
          <w:tblCellSpacing w:w="15" w:type="dxa"/>
          <w:jc w:val="center"/>
        </w:trPr>
        <w:tc>
          <w:tcPr>
            <w:tcW w:w="896" w:type="pct"/>
            <w:hideMark/>
          </w:tcPr>
          <w:p w:rsidR="008312A8" w:rsidRPr="009708B6" w:rsidRDefault="008312A8" w:rsidP="009708B6">
            <w:pPr>
              <w:shd w:val="clear" w:color="auto" w:fill="FFFFFF" w:themeFill="background1"/>
              <w:rPr>
                <w:rFonts w:ascii="Times New Roman" w:hAnsi="Times New Roman" w:cs="Times New Roman"/>
                <w:sz w:val="24"/>
                <w:szCs w:val="24"/>
              </w:rPr>
            </w:pPr>
            <w:r w:rsidRPr="009708B6">
              <w:rPr>
                <w:rFonts w:ascii="Times New Roman" w:hAnsi="Times New Roman" w:cs="Times New Roman"/>
                <w:sz w:val="24"/>
                <w:szCs w:val="24"/>
              </w:rPr>
              <w:t>1.3. pašvaldību budžets</w:t>
            </w:r>
          </w:p>
        </w:tc>
        <w:tc>
          <w:tcPr>
            <w:tcW w:w="741"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777"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649"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832"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992"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r>
      <w:tr w:rsidR="008312A8" w:rsidRPr="009708B6" w:rsidTr="00BD56FA">
        <w:trPr>
          <w:tblCellSpacing w:w="15" w:type="dxa"/>
          <w:jc w:val="center"/>
        </w:trPr>
        <w:tc>
          <w:tcPr>
            <w:tcW w:w="896" w:type="pct"/>
            <w:hideMark/>
          </w:tcPr>
          <w:p w:rsidR="008312A8" w:rsidRPr="009708B6" w:rsidRDefault="008312A8" w:rsidP="009708B6">
            <w:pPr>
              <w:shd w:val="clear" w:color="auto" w:fill="FFFFFF" w:themeFill="background1"/>
              <w:rPr>
                <w:rFonts w:ascii="Times New Roman" w:hAnsi="Times New Roman" w:cs="Times New Roman"/>
                <w:sz w:val="24"/>
                <w:szCs w:val="24"/>
              </w:rPr>
            </w:pPr>
            <w:r w:rsidRPr="009708B6">
              <w:rPr>
                <w:rFonts w:ascii="Times New Roman" w:hAnsi="Times New Roman" w:cs="Times New Roman"/>
                <w:sz w:val="24"/>
                <w:szCs w:val="24"/>
              </w:rPr>
              <w:t>2. Budžeta izdevumi:</w:t>
            </w:r>
          </w:p>
        </w:tc>
        <w:tc>
          <w:tcPr>
            <w:tcW w:w="741" w:type="pct"/>
            <w:hideMark/>
          </w:tcPr>
          <w:p w:rsidR="008312A8" w:rsidRPr="009708B6" w:rsidRDefault="00270A96"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13 000</w:t>
            </w:r>
          </w:p>
        </w:tc>
        <w:tc>
          <w:tcPr>
            <w:tcW w:w="777" w:type="pct"/>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649" w:type="pct"/>
            <w:hideMark/>
          </w:tcPr>
          <w:p w:rsidR="008312A8" w:rsidRPr="009708B6" w:rsidRDefault="005A2CE0"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78 585</w:t>
            </w:r>
          </w:p>
        </w:tc>
        <w:tc>
          <w:tcPr>
            <w:tcW w:w="832" w:type="pct"/>
            <w:hideMark/>
          </w:tcPr>
          <w:p w:rsidR="008312A8" w:rsidRPr="009708B6" w:rsidRDefault="005A2CE0"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98 085</w:t>
            </w:r>
          </w:p>
        </w:tc>
        <w:tc>
          <w:tcPr>
            <w:tcW w:w="992" w:type="pct"/>
            <w:hideMark/>
          </w:tcPr>
          <w:p w:rsidR="008312A8" w:rsidRPr="009708B6" w:rsidRDefault="005A2CE0"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98 085</w:t>
            </w:r>
          </w:p>
        </w:tc>
      </w:tr>
      <w:tr w:rsidR="008312A8" w:rsidRPr="009708B6" w:rsidTr="00BD56FA">
        <w:trPr>
          <w:tblCellSpacing w:w="15" w:type="dxa"/>
          <w:jc w:val="center"/>
        </w:trPr>
        <w:tc>
          <w:tcPr>
            <w:tcW w:w="896" w:type="pct"/>
            <w:hideMark/>
          </w:tcPr>
          <w:p w:rsidR="008312A8" w:rsidRPr="009708B6" w:rsidRDefault="008312A8" w:rsidP="009708B6">
            <w:pPr>
              <w:shd w:val="clear" w:color="auto" w:fill="FFFFFF" w:themeFill="background1"/>
              <w:rPr>
                <w:rFonts w:ascii="Times New Roman" w:hAnsi="Times New Roman" w:cs="Times New Roman"/>
                <w:sz w:val="24"/>
                <w:szCs w:val="24"/>
              </w:rPr>
            </w:pPr>
            <w:r w:rsidRPr="009708B6">
              <w:rPr>
                <w:rFonts w:ascii="Times New Roman" w:hAnsi="Times New Roman" w:cs="Times New Roman"/>
                <w:sz w:val="24"/>
                <w:szCs w:val="24"/>
              </w:rPr>
              <w:t>2.1. valsts pamatbudžets</w:t>
            </w:r>
          </w:p>
        </w:tc>
        <w:tc>
          <w:tcPr>
            <w:tcW w:w="741" w:type="pct"/>
            <w:hideMark/>
          </w:tcPr>
          <w:p w:rsidR="008312A8" w:rsidRPr="009708B6" w:rsidRDefault="00270A96"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13 000</w:t>
            </w:r>
          </w:p>
        </w:tc>
        <w:tc>
          <w:tcPr>
            <w:tcW w:w="777" w:type="pct"/>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649" w:type="pct"/>
            <w:hideMark/>
          </w:tcPr>
          <w:p w:rsidR="008312A8" w:rsidRPr="009708B6" w:rsidRDefault="005A2CE0"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78 585</w:t>
            </w:r>
          </w:p>
        </w:tc>
        <w:tc>
          <w:tcPr>
            <w:tcW w:w="832" w:type="pct"/>
            <w:hideMark/>
          </w:tcPr>
          <w:p w:rsidR="008312A8" w:rsidRPr="009708B6" w:rsidRDefault="005A2CE0"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98 085</w:t>
            </w:r>
          </w:p>
        </w:tc>
        <w:tc>
          <w:tcPr>
            <w:tcW w:w="992" w:type="pct"/>
            <w:hideMark/>
          </w:tcPr>
          <w:p w:rsidR="008312A8" w:rsidRPr="009708B6" w:rsidRDefault="005A2CE0"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98 085</w:t>
            </w:r>
          </w:p>
        </w:tc>
      </w:tr>
      <w:tr w:rsidR="008312A8" w:rsidRPr="009708B6" w:rsidTr="00BD56FA">
        <w:trPr>
          <w:tblCellSpacing w:w="15" w:type="dxa"/>
          <w:jc w:val="center"/>
        </w:trPr>
        <w:tc>
          <w:tcPr>
            <w:tcW w:w="896" w:type="pct"/>
            <w:hideMark/>
          </w:tcPr>
          <w:p w:rsidR="008312A8" w:rsidRPr="009708B6" w:rsidRDefault="008312A8" w:rsidP="009708B6">
            <w:pPr>
              <w:shd w:val="clear" w:color="auto" w:fill="FFFFFF" w:themeFill="background1"/>
              <w:rPr>
                <w:rFonts w:ascii="Times New Roman" w:hAnsi="Times New Roman" w:cs="Times New Roman"/>
                <w:sz w:val="24"/>
                <w:szCs w:val="24"/>
              </w:rPr>
            </w:pPr>
            <w:r w:rsidRPr="009708B6">
              <w:rPr>
                <w:rFonts w:ascii="Times New Roman" w:hAnsi="Times New Roman" w:cs="Times New Roman"/>
                <w:sz w:val="24"/>
                <w:szCs w:val="24"/>
              </w:rPr>
              <w:t>2.2. valsts speciālais budžets</w:t>
            </w:r>
          </w:p>
        </w:tc>
        <w:tc>
          <w:tcPr>
            <w:tcW w:w="741"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777"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649"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832"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992"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r>
      <w:tr w:rsidR="008312A8" w:rsidRPr="009708B6" w:rsidTr="00BD56FA">
        <w:trPr>
          <w:tblCellSpacing w:w="15" w:type="dxa"/>
          <w:jc w:val="center"/>
        </w:trPr>
        <w:tc>
          <w:tcPr>
            <w:tcW w:w="896" w:type="pct"/>
            <w:hideMark/>
          </w:tcPr>
          <w:p w:rsidR="008312A8" w:rsidRPr="009708B6" w:rsidRDefault="008312A8" w:rsidP="009708B6">
            <w:pPr>
              <w:shd w:val="clear" w:color="auto" w:fill="FFFFFF" w:themeFill="background1"/>
              <w:rPr>
                <w:rFonts w:ascii="Times New Roman" w:hAnsi="Times New Roman" w:cs="Times New Roman"/>
                <w:sz w:val="24"/>
                <w:szCs w:val="24"/>
              </w:rPr>
            </w:pPr>
            <w:r w:rsidRPr="009708B6">
              <w:rPr>
                <w:rFonts w:ascii="Times New Roman" w:hAnsi="Times New Roman" w:cs="Times New Roman"/>
                <w:sz w:val="24"/>
                <w:szCs w:val="24"/>
              </w:rPr>
              <w:t>2.3. pašvaldību budžets</w:t>
            </w:r>
          </w:p>
        </w:tc>
        <w:tc>
          <w:tcPr>
            <w:tcW w:w="741"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777"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649"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832"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992"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r>
      <w:tr w:rsidR="008312A8" w:rsidRPr="009708B6" w:rsidTr="00BD56FA">
        <w:trPr>
          <w:tblCellSpacing w:w="15" w:type="dxa"/>
          <w:jc w:val="center"/>
        </w:trPr>
        <w:tc>
          <w:tcPr>
            <w:tcW w:w="896" w:type="pct"/>
            <w:hideMark/>
          </w:tcPr>
          <w:p w:rsidR="008312A8" w:rsidRPr="009708B6" w:rsidRDefault="008312A8" w:rsidP="009708B6">
            <w:pPr>
              <w:shd w:val="clear" w:color="auto" w:fill="FFFFFF" w:themeFill="background1"/>
              <w:rPr>
                <w:rFonts w:ascii="Times New Roman" w:hAnsi="Times New Roman" w:cs="Times New Roman"/>
                <w:sz w:val="24"/>
                <w:szCs w:val="24"/>
              </w:rPr>
            </w:pPr>
            <w:r w:rsidRPr="009708B6">
              <w:rPr>
                <w:rFonts w:ascii="Times New Roman" w:hAnsi="Times New Roman" w:cs="Times New Roman"/>
                <w:sz w:val="24"/>
                <w:szCs w:val="24"/>
              </w:rPr>
              <w:t>3. Finansiālā ietekme:</w:t>
            </w:r>
          </w:p>
        </w:tc>
        <w:tc>
          <w:tcPr>
            <w:tcW w:w="741" w:type="pct"/>
            <w:vAlign w:val="center"/>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777"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649" w:type="pct"/>
            <w:hideMark/>
          </w:tcPr>
          <w:p w:rsidR="008312A8" w:rsidRPr="009708B6" w:rsidRDefault="00F11B4E"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 xml:space="preserve"> </w:t>
            </w:r>
            <w:r w:rsidR="005A2CE0" w:rsidRPr="009708B6">
              <w:rPr>
                <w:rFonts w:ascii="Times New Roman" w:hAnsi="Times New Roman" w:cs="Times New Roman"/>
                <w:sz w:val="24"/>
                <w:szCs w:val="24"/>
              </w:rPr>
              <w:t>0</w:t>
            </w:r>
          </w:p>
        </w:tc>
        <w:tc>
          <w:tcPr>
            <w:tcW w:w="832" w:type="pct"/>
            <w:hideMark/>
          </w:tcPr>
          <w:p w:rsidR="008312A8" w:rsidRPr="009708B6" w:rsidRDefault="00F11B4E"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 xml:space="preserve"> </w:t>
            </w:r>
            <w:r w:rsidR="005A2CE0" w:rsidRPr="009708B6">
              <w:rPr>
                <w:rFonts w:ascii="Times New Roman" w:hAnsi="Times New Roman" w:cs="Times New Roman"/>
                <w:sz w:val="24"/>
                <w:szCs w:val="24"/>
              </w:rPr>
              <w:t>0</w:t>
            </w:r>
          </w:p>
        </w:tc>
        <w:tc>
          <w:tcPr>
            <w:tcW w:w="992" w:type="pct"/>
            <w:hideMark/>
          </w:tcPr>
          <w:p w:rsidR="008312A8" w:rsidRPr="009708B6" w:rsidRDefault="00F11B4E"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 xml:space="preserve"> </w:t>
            </w:r>
            <w:r w:rsidR="005A2CE0" w:rsidRPr="009708B6">
              <w:rPr>
                <w:rFonts w:ascii="Times New Roman" w:hAnsi="Times New Roman" w:cs="Times New Roman"/>
                <w:sz w:val="24"/>
                <w:szCs w:val="24"/>
              </w:rPr>
              <w:t>0</w:t>
            </w:r>
          </w:p>
        </w:tc>
      </w:tr>
      <w:tr w:rsidR="008312A8" w:rsidRPr="009708B6" w:rsidTr="00BD56FA">
        <w:trPr>
          <w:tblCellSpacing w:w="15" w:type="dxa"/>
          <w:jc w:val="center"/>
        </w:trPr>
        <w:tc>
          <w:tcPr>
            <w:tcW w:w="896" w:type="pct"/>
            <w:hideMark/>
          </w:tcPr>
          <w:p w:rsidR="008312A8" w:rsidRPr="009708B6" w:rsidRDefault="008312A8" w:rsidP="009708B6">
            <w:pPr>
              <w:shd w:val="clear" w:color="auto" w:fill="FFFFFF" w:themeFill="background1"/>
              <w:rPr>
                <w:rFonts w:ascii="Times New Roman" w:hAnsi="Times New Roman" w:cs="Times New Roman"/>
                <w:sz w:val="24"/>
                <w:szCs w:val="24"/>
              </w:rPr>
            </w:pPr>
            <w:r w:rsidRPr="009708B6">
              <w:rPr>
                <w:rFonts w:ascii="Times New Roman" w:hAnsi="Times New Roman" w:cs="Times New Roman"/>
                <w:sz w:val="24"/>
                <w:szCs w:val="24"/>
              </w:rPr>
              <w:t>3.1. valsts pamatbudžets</w:t>
            </w:r>
          </w:p>
        </w:tc>
        <w:tc>
          <w:tcPr>
            <w:tcW w:w="741"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777"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649" w:type="pct"/>
            <w:hideMark/>
          </w:tcPr>
          <w:p w:rsidR="008312A8" w:rsidRPr="009708B6" w:rsidRDefault="00F11B4E"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 xml:space="preserve"> </w:t>
            </w:r>
            <w:r w:rsidR="005A2CE0" w:rsidRPr="009708B6">
              <w:rPr>
                <w:rFonts w:ascii="Times New Roman" w:hAnsi="Times New Roman" w:cs="Times New Roman"/>
                <w:sz w:val="24"/>
                <w:szCs w:val="24"/>
              </w:rPr>
              <w:t>0</w:t>
            </w:r>
          </w:p>
        </w:tc>
        <w:tc>
          <w:tcPr>
            <w:tcW w:w="832" w:type="pct"/>
            <w:hideMark/>
          </w:tcPr>
          <w:p w:rsidR="008312A8" w:rsidRPr="009708B6" w:rsidRDefault="00F11B4E"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 xml:space="preserve"> </w:t>
            </w:r>
            <w:r w:rsidR="005A2CE0" w:rsidRPr="009708B6">
              <w:rPr>
                <w:rFonts w:ascii="Times New Roman" w:hAnsi="Times New Roman" w:cs="Times New Roman"/>
                <w:sz w:val="24"/>
                <w:szCs w:val="24"/>
              </w:rPr>
              <w:t>0</w:t>
            </w:r>
          </w:p>
        </w:tc>
        <w:tc>
          <w:tcPr>
            <w:tcW w:w="992" w:type="pct"/>
            <w:hideMark/>
          </w:tcPr>
          <w:p w:rsidR="008312A8" w:rsidRPr="009708B6" w:rsidRDefault="00F11B4E"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 xml:space="preserve"> </w:t>
            </w:r>
            <w:r w:rsidR="005A2CE0" w:rsidRPr="009708B6">
              <w:rPr>
                <w:rFonts w:ascii="Times New Roman" w:hAnsi="Times New Roman" w:cs="Times New Roman"/>
                <w:sz w:val="24"/>
                <w:szCs w:val="24"/>
              </w:rPr>
              <w:t>0</w:t>
            </w:r>
          </w:p>
        </w:tc>
      </w:tr>
      <w:tr w:rsidR="008312A8" w:rsidRPr="009708B6" w:rsidTr="00BD56FA">
        <w:trPr>
          <w:tblCellSpacing w:w="15" w:type="dxa"/>
          <w:jc w:val="center"/>
        </w:trPr>
        <w:tc>
          <w:tcPr>
            <w:tcW w:w="896" w:type="pct"/>
            <w:hideMark/>
          </w:tcPr>
          <w:p w:rsidR="008312A8" w:rsidRPr="009708B6" w:rsidRDefault="008312A8" w:rsidP="009708B6">
            <w:pPr>
              <w:shd w:val="clear" w:color="auto" w:fill="FFFFFF" w:themeFill="background1"/>
              <w:rPr>
                <w:rFonts w:ascii="Times New Roman" w:hAnsi="Times New Roman" w:cs="Times New Roman"/>
                <w:sz w:val="24"/>
                <w:szCs w:val="24"/>
              </w:rPr>
            </w:pPr>
            <w:r w:rsidRPr="009708B6">
              <w:rPr>
                <w:rFonts w:ascii="Times New Roman" w:hAnsi="Times New Roman" w:cs="Times New Roman"/>
                <w:sz w:val="24"/>
                <w:szCs w:val="24"/>
              </w:rPr>
              <w:t>3.2. speciālais budžets</w:t>
            </w:r>
          </w:p>
        </w:tc>
        <w:tc>
          <w:tcPr>
            <w:tcW w:w="741"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777"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649"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832"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992"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r>
      <w:tr w:rsidR="008312A8" w:rsidRPr="009708B6" w:rsidTr="00BD56FA">
        <w:trPr>
          <w:tblCellSpacing w:w="15" w:type="dxa"/>
          <w:jc w:val="center"/>
        </w:trPr>
        <w:tc>
          <w:tcPr>
            <w:tcW w:w="896" w:type="pct"/>
            <w:hideMark/>
          </w:tcPr>
          <w:p w:rsidR="008312A8" w:rsidRPr="009708B6" w:rsidRDefault="008312A8" w:rsidP="009708B6">
            <w:pPr>
              <w:shd w:val="clear" w:color="auto" w:fill="FFFFFF" w:themeFill="background1"/>
              <w:rPr>
                <w:rFonts w:ascii="Times New Roman" w:hAnsi="Times New Roman" w:cs="Times New Roman"/>
                <w:sz w:val="24"/>
                <w:szCs w:val="24"/>
              </w:rPr>
            </w:pPr>
            <w:r w:rsidRPr="009708B6">
              <w:rPr>
                <w:rFonts w:ascii="Times New Roman" w:hAnsi="Times New Roman" w:cs="Times New Roman"/>
                <w:sz w:val="24"/>
                <w:szCs w:val="24"/>
              </w:rPr>
              <w:t>3.3. pašvaldību budžets</w:t>
            </w:r>
          </w:p>
        </w:tc>
        <w:tc>
          <w:tcPr>
            <w:tcW w:w="741"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777"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649"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832"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992"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r>
      <w:tr w:rsidR="008312A8" w:rsidRPr="009708B6" w:rsidTr="00BD56FA">
        <w:trPr>
          <w:tblCellSpacing w:w="15" w:type="dxa"/>
          <w:jc w:val="center"/>
        </w:trPr>
        <w:tc>
          <w:tcPr>
            <w:tcW w:w="896" w:type="pct"/>
            <w:vMerge w:val="restart"/>
            <w:hideMark/>
          </w:tcPr>
          <w:p w:rsidR="008312A8" w:rsidRPr="009708B6" w:rsidRDefault="008312A8" w:rsidP="009708B6">
            <w:pPr>
              <w:shd w:val="clear" w:color="auto" w:fill="FFFFFF" w:themeFill="background1"/>
              <w:rPr>
                <w:rFonts w:ascii="Times New Roman" w:hAnsi="Times New Roman" w:cs="Times New Roman"/>
                <w:sz w:val="24"/>
                <w:szCs w:val="24"/>
              </w:rPr>
            </w:pPr>
            <w:r w:rsidRPr="009708B6">
              <w:rPr>
                <w:rFonts w:ascii="Times New Roman" w:hAnsi="Times New Roman" w:cs="Times New Roman"/>
                <w:sz w:val="24"/>
                <w:szCs w:val="24"/>
              </w:rPr>
              <w:t xml:space="preserve">4. Finanšu līdzekļi papildu izdevumu finansēšanai </w:t>
            </w:r>
            <w:r w:rsidRPr="009708B6">
              <w:rPr>
                <w:rFonts w:ascii="Times New Roman" w:hAnsi="Times New Roman" w:cs="Times New Roman"/>
                <w:sz w:val="24"/>
                <w:szCs w:val="24"/>
              </w:rPr>
              <w:lastRenderedPageBreak/>
              <w:t>(kompensējošu izdevumu samazinājumu norāda ar "+" zīmi)</w:t>
            </w:r>
          </w:p>
        </w:tc>
        <w:tc>
          <w:tcPr>
            <w:tcW w:w="741" w:type="pct"/>
            <w:hideMark/>
          </w:tcPr>
          <w:p w:rsidR="008312A8" w:rsidRPr="009708B6" w:rsidRDefault="008312A8" w:rsidP="009708B6">
            <w:pPr>
              <w:shd w:val="clear" w:color="auto" w:fill="FFFFFF" w:themeFill="background1"/>
              <w:spacing w:before="100" w:beforeAutospacing="1" w:after="100" w:afterAutospacing="1"/>
              <w:jc w:val="center"/>
              <w:rPr>
                <w:rFonts w:ascii="Times New Roman" w:hAnsi="Times New Roman" w:cs="Times New Roman"/>
                <w:sz w:val="24"/>
                <w:szCs w:val="24"/>
              </w:rPr>
            </w:pPr>
            <w:r w:rsidRPr="009708B6">
              <w:rPr>
                <w:rFonts w:ascii="Times New Roman" w:hAnsi="Times New Roman" w:cs="Times New Roman"/>
                <w:sz w:val="24"/>
                <w:szCs w:val="24"/>
              </w:rPr>
              <w:lastRenderedPageBreak/>
              <w:t>X</w:t>
            </w:r>
          </w:p>
        </w:tc>
        <w:tc>
          <w:tcPr>
            <w:tcW w:w="777"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649"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832"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992"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r>
      <w:tr w:rsidR="008312A8" w:rsidRPr="009708B6" w:rsidTr="00BD56FA">
        <w:trPr>
          <w:tblCellSpacing w:w="15" w:type="dxa"/>
          <w:jc w:val="center"/>
        </w:trPr>
        <w:tc>
          <w:tcPr>
            <w:tcW w:w="896" w:type="pct"/>
            <w:vMerge/>
            <w:vAlign w:val="center"/>
            <w:hideMark/>
          </w:tcPr>
          <w:p w:rsidR="008312A8" w:rsidRPr="009708B6" w:rsidRDefault="008312A8" w:rsidP="009708B6">
            <w:pPr>
              <w:shd w:val="clear" w:color="auto" w:fill="FFFFFF" w:themeFill="background1"/>
              <w:rPr>
                <w:rFonts w:ascii="Times New Roman" w:hAnsi="Times New Roman" w:cs="Times New Roman"/>
                <w:sz w:val="24"/>
                <w:szCs w:val="24"/>
              </w:rPr>
            </w:pPr>
          </w:p>
        </w:tc>
        <w:tc>
          <w:tcPr>
            <w:tcW w:w="741" w:type="pct"/>
            <w:vAlign w:val="center"/>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p>
        </w:tc>
        <w:tc>
          <w:tcPr>
            <w:tcW w:w="777" w:type="pct"/>
            <w:hideMark/>
          </w:tcPr>
          <w:p w:rsidR="008312A8" w:rsidRPr="009708B6" w:rsidRDefault="008312A8" w:rsidP="009708B6">
            <w:pPr>
              <w:shd w:val="clear" w:color="auto" w:fill="FFFFFF" w:themeFill="background1"/>
              <w:ind w:left="-50"/>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649"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832"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992"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r>
      <w:tr w:rsidR="008312A8" w:rsidRPr="009708B6" w:rsidTr="00BD56FA">
        <w:trPr>
          <w:tblCellSpacing w:w="15" w:type="dxa"/>
          <w:jc w:val="center"/>
        </w:trPr>
        <w:tc>
          <w:tcPr>
            <w:tcW w:w="896" w:type="pct"/>
            <w:hideMark/>
          </w:tcPr>
          <w:p w:rsidR="008312A8" w:rsidRPr="009708B6" w:rsidRDefault="008312A8" w:rsidP="009708B6">
            <w:pPr>
              <w:shd w:val="clear" w:color="auto" w:fill="FFFFFF" w:themeFill="background1"/>
              <w:rPr>
                <w:rFonts w:ascii="Times New Roman" w:hAnsi="Times New Roman" w:cs="Times New Roman"/>
                <w:sz w:val="24"/>
                <w:szCs w:val="24"/>
              </w:rPr>
            </w:pPr>
            <w:r w:rsidRPr="009708B6">
              <w:rPr>
                <w:rFonts w:ascii="Times New Roman" w:hAnsi="Times New Roman" w:cs="Times New Roman"/>
                <w:sz w:val="24"/>
                <w:szCs w:val="24"/>
              </w:rPr>
              <w:lastRenderedPageBreak/>
              <w:t>5. Precizēta finansiālā ietekme:</w:t>
            </w:r>
          </w:p>
        </w:tc>
        <w:tc>
          <w:tcPr>
            <w:tcW w:w="741" w:type="pct"/>
            <w:hideMark/>
          </w:tcPr>
          <w:p w:rsidR="008312A8" w:rsidRPr="009708B6" w:rsidRDefault="008312A8" w:rsidP="009708B6">
            <w:pPr>
              <w:shd w:val="clear" w:color="auto" w:fill="FFFFFF" w:themeFill="background1"/>
              <w:spacing w:before="100" w:beforeAutospacing="1" w:after="100" w:afterAutospacing="1"/>
              <w:jc w:val="center"/>
              <w:rPr>
                <w:rFonts w:ascii="Times New Roman" w:hAnsi="Times New Roman" w:cs="Times New Roman"/>
                <w:sz w:val="24"/>
                <w:szCs w:val="24"/>
              </w:rPr>
            </w:pPr>
            <w:r w:rsidRPr="009708B6">
              <w:rPr>
                <w:rFonts w:ascii="Times New Roman" w:hAnsi="Times New Roman" w:cs="Times New Roman"/>
                <w:sz w:val="24"/>
                <w:szCs w:val="24"/>
              </w:rPr>
              <w:t>X</w:t>
            </w:r>
          </w:p>
        </w:tc>
        <w:tc>
          <w:tcPr>
            <w:tcW w:w="777" w:type="pct"/>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649"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832"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992"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r>
      <w:tr w:rsidR="008312A8" w:rsidRPr="009708B6" w:rsidTr="00BD56FA">
        <w:trPr>
          <w:tblCellSpacing w:w="15" w:type="dxa"/>
          <w:jc w:val="center"/>
        </w:trPr>
        <w:tc>
          <w:tcPr>
            <w:tcW w:w="896" w:type="pct"/>
            <w:hideMark/>
          </w:tcPr>
          <w:p w:rsidR="008312A8" w:rsidRPr="009708B6" w:rsidRDefault="008312A8" w:rsidP="009708B6">
            <w:pPr>
              <w:shd w:val="clear" w:color="auto" w:fill="FFFFFF" w:themeFill="background1"/>
              <w:rPr>
                <w:rFonts w:ascii="Times New Roman" w:hAnsi="Times New Roman" w:cs="Times New Roman"/>
                <w:sz w:val="24"/>
                <w:szCs w:val="24"/>
              </w:rPr>
            </w:pPr>
            <w:r w:rsidRPr="009708B6">
              <w:rPr>
                <w:rFonts w:ascii="Times New Roman" w:hAnsi="Times New Roman" w:cs="Times New Roman"/>
                <w:sz w:val="24"/>
                <w:szCs w:val="24"/>
              </w:rPr>
              <w:t>5.1. valsts pamatbudžets</w:t>
            </w:r>
          </w:p>
        </w:tc>
        <w:tc>
          <w:tcPr>
            <w:tcW w:w="741" w:type="pct"/>
            <w:vMerge w:val="restart"/>
            <w:vAlign w:val="center"/>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p>
        </w:tc>
        <w:tc>
          <w:tcPr>
            <w:tcW w:w="777" w:type="pct"/>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649" w:type="pct"/>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832"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992"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r>
      <w:tr w:rsidR="008312A8" w:rsidRPr="009708B6" w:rsidTr="00BD56FA">
        <w:trPr>
          <w:tblCellSpacing w:w="15" w:type="dxa"/>
          <w:jc w:val="center"/>
        </w:trPr>
        <w:tc>
          <w:tcPr>
            <w:tcW w:w="896" w:type="pct"/>
            <w:hideMark/>
          </w:tcPr>
          <w:p w:rsidR="008312A8" w:rsidRPr="009708B6" w:rsidRDefault="008312A8" w:rsidP="009708B6">
            <w:pPr>
              <w:shd w:val="clear" w:color="auto" w:fill="FFFFFF" w:themeFill="background1"/>
              <w:rPr>
                <w:rFonts w:ascii="Times New Roman" w:hAnsi="Times New Roman" w:cs="Times New Roman"/>
                <w:sz w:val="24"/>
                <w:szCs w:val="24"/>
              </w:rPr>
            </w:pPr>
            <w:r w:rsidRPr="009708B6">
              <w:rPr>
                <w:rFonts w:ascii="Times New Roman" w:hAnsi="Times New Roman" w:cs="Times New Roman"/>
                <w:sz w:val="24"/>
                <w:szCs w:val="24"/>
              </w:rPr>
              <w:t>5.2. speciālais budžets</w:t>
            </w:r>
          </w:p>
        </w:tc>
        <w:tc>
          <w:tcPr>
            <w:tcW w:w="741" w:type="pct"/>
            <w:vMerge/>
            <w:vAlign w:val="center"/>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p>
        </w:tc>
        <w:tc>
          <w:tcPr>
            <w:tcW w:w="777"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649"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832"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992"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r>
      <w:tr w:rsidR="008312A8" w:rsidRPr="009708B6" w:rsidTr="00BD56FA">
        <w:trPr>
          <w:tblCellSpacing w:w="15" w:type="dxa"/>
          <w:jc w:val="center"/>
        </w:trPr>
        <w:tc>
          <w:tcPr>
            <w:tcW w:w="896" w:type="pct"/>
            <w:hideMark/>
          </w:tcPr>
          <w:p w:rsidR="008312A8" w:rsidRPr="009708B6" w:rsidRDefault="008312A8" w:rsidP="009708B6">
            <w:pPr>
              <w:shd w:val="clear" w:color="auto" w:fill="FFFFFF" w:themeFill="background1"/>
              <w:rPr>
                <w:rFonts w:ascii="Times New Roman" w:hAnsi="Times New Roman" w:cs="Times New Roman"/>
                <w:sz w:val="24"/>
                <w:szCs w:val="24"/>
              </w:rPr>
            </w:pPr>
            <w:r w:rsidRPr="009708B6">
              <w:rPr>
                <w:rFonts w:ascii="Times New Roman" w:hAnsi="Times New Roman" w:cs="Times New Roman"/>
                <w:sz w:val="24"/>
                <w:szCs w:val="24"/>
              </w:rPr>
              <w:t>5.3. pašvaldību budžets</w:t>
            </w:r>
          </w:p>
        </w:tc>
        <w:tc>
          <w:tcPr>
            <w:tcW w:w="741" w:type="pct"/>
            <w:vMerge/>
            <w:vAlign w:val="center"/>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p>
        </w:tc>
        <w:tc>
          <w:tcPr>
            <w:tcW w:w="777"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649"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832"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c>
          <w:tcPr>
            <w:tcW w:w="992" w:type="pct"/>
            <w:hideMark/>
          </w:tcPr>
          <w:p w:rsidR="008312A8" w:rsidRPr="009708B6" w:rsidRDefault="008312A8" w:rsidP="009708B6">
            <w:pPr>
              <w:shd w:val="clear" w:color="auto" w:fill="FFFFFF" w:themeFill="background1"/>
              <w:jc w:val="center"/>
              <w:rPr>
                <w:rFonts w:ascii="Times New Roman" w:hAnsi="Times New Roman" w:cs="Times New Roman"/>
                <w:sz w:val="24"/>
                <w:szCs w:val="24"/>
              </w:rPr>
            </w:pPr>
            <w:r w:rsidRPr="009708B6">
              <w:rPr>
                <w:rFonts w:ascii="Times New Roman" w:hAnsi="Times New Roman" w:cs="Times New Roman"/>
                <w:sz w:val="24"/>
                <w:szCs w:val="24"/>
              </w:rPr>
              <w:t>0</w:t>
            </w:r>
          </w:p>
        </w:tc>
      </w:tr>
      <w:tr w:rsidR="008312A8" w:rsidRPr="009708B6" w:rsidTr="00BD56FA">
        <w:trPr>
          <w:trHeight w:val="504"/>
          <w:tblCellSpacing w:w="15" w:type="dxa"/>
          <w:jc w:val="center"/>
        </w:trPr>
        <w:tc>
          <w:tcPr>
            <w:tcW w:w="896" w:type="pct"/>
            <w:hideMark/>
          </w:tcPr>
          <w:p w:rsidR="008312A8" w:rsidRPr="009708B6" w:rsidRDefault="008312A8" w:rsidP="009708B6">
            <w:pPr>
              <w:shd w:val="clear" w:color="auto" w:fill="FFFFFF" w:themeFill="background1"/>
              <w:rPr>
                <w:rFonts w:ascii="Times New Roman" w:hAnsi="Times New Roman" w:cs="Times New Roman"/>
                <w:sz w:val="24"/>
                <w:szCs w:val="24"/>
              </w:rPr>
            </w:pPr>
            <w:r w:rsidRPr="009708B6">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4055" w:type="pct"/>
            <w:gridSpan w:val="5"/>
            <w:hideMark/>
          </w:tcPr>
          <w:p w:rsidR="008312A8" w:rsidRPr="009708B6" w:rsidRDefault="008312A8" w:rsidP="009708B6">
            <w:pPr>
              <w:shd w:val="clear" w:color="auto" w:fill="FFFFFF" w:themeFill="background1"/>
              <w:ind w:firstLine="581"/>
              <w:jc w:val="both"/>
              <w:rPr>
                <w:rFonts w:ascii="Times New Roman" w:hAnsi="Times New Roman" w:cs="Times New Roman"/>
                <w:sz w:val="24"/>
                <w:szCs w:val="24"/>
              </w:rPr>
            </w:pPr>
          </w:p>
        </w:tc>
      </w:tr>
      <w:tr w:rsidR="008312A8" w:rsidRPr="009708B6" w:rsidTr="00BD56FA">
        <w:trPr>
          <w:tblCellSpacing w:w="15" w:type="dxa"/>
          <w:jc w:val="center"/>
        </w:trPr>
        <w:tc>
          <w:tcPr>
            <w:tcW w:w="896" w:type="pct"/>
            <w:hideMark/>
          </w:tcPr>
          <w:p w:rsidR="008312A8" w:rsidRPr="009708B6" w:rsidRDefault="008312A8" w:rsidP="009708B6">
            <w:pPr>
              <w:shd w:val="clear" w:color="auto" w:fill="FFFFFF" w:themeFill="background1"/>
              <w:spacing w:line="240" w:lineRule="auto"/>
              <w:rPr>
                <w:rFonts w:ascii="Times New Roman" w:hAnsi="Times New Roman" w:cs="Times New Roman"/>
                <w:sz w:val="24"/>
                <w:szCs w:val="24"/>
              </w:rPr>
            </w:pPr>
            <w:r w:rsidRPr="009708B6">
              <w:rPr>
                <w:rFonts w:ascii="Times New Roman" w:hAnsi="Times New Roman" w:cs="Times New Roman"/>
                <w:sz w:val="24"/>
                <w:szCs w:val="24"/>
              </w:rPr>
              <w:t>6.1. detalizēts ieņēmumu aprēķins</w:t>
            </w:r>
          </w:p>
        </w:tc>
        <w:tc>
          <w:tcPr>
            <w:tcW w:w="4055" w:type="pct"/>
            <w:gridSpan w:val="5"/>
            <w:vAlign w:val="center"/>
            <w:hideMark/>
          </w:tcPr>
          <w:p w:rsidR="008312A8" w:rsidRPr="009708B6" w:rsidRDefault="005A2CE0" w:rsidP="009708B6">
            <w:pPr>
              <w:shd w:val="clear" w:color="auto" w:fill="FFFFFF" w:themeFill="background1"/>
              <w:spacing w:line="240" w:lineRule="auto"/>
              <w:jc w:val="both"/>
              <w:rPr>
                <w:rFonts w:ascii="Times New Roman" w:hAnsi="Times New Roman" w:cs="Times New Roman"/>
                <w:sz w:val="24"/>
                <w:szCs w:val="24"/>
              </w:rPr>
            </w:pPr>
            <w:r w:rsidRPr="009708B6">
              <w:rPr>
                <w:rFonts w:ascii="Times New Roman" w:hAnsi="Times New Roman" w:cs="Times New Roman"/>
                <w:sz w:val="24"/>
                <w:szCs w:val="24"/>
              </w:rPr>
              <w:t>Š</w:t>
            </w:r>
            <w:r w:rsidR="008312A8" w:rsidRPr="009708B6">
              <w:rPr>
                <w:rFonts w:ascii="Times New Roman" w:hAnsi="Times New Roman" w:cs="Times New Roman"/>
                <w:sz w:val="24"/>
                <w:szCs w:val="24"/>
              </w:rPr>
              <w:t>obrīd Latvijas jurisdikcijā ir 21 pārrobežu programmas</w:t>
            </w:r>
            <w:r w:rsidR="0072072B" w:rsidRPr="009708B6">
              <w:rPr>
                <w:rFonts w:ascii="Times New Roman" w:hAnsi="Times New Roman" w:cs="Times New Roman"/>
                <w:sz w:val="24"/>
                <w:szCs w:val="24"/>
              </w:rPr>
              <w:t xml:space="preserve"> un 4 </w:t>
            </w:r>
            <w:r w:rsidR="008312A8" w:rsidRPr="009708B6">
              <w:rPr>
                <w:rFonts w:ascii="Times New Roman" w:hAnsi="Times New Roman" w:cs="Times New Roman"/>
                <w:sz w:val="24"/>
                <w:szCs w:val="24"/>
              </w:rPr>
              <w:t>nacionālo EPL programmas, no kur</w:t>
            </w:r>
            <w:r w:rsidR="0072072B" w:rsidRPr="009708B6">
              <w:rPr>
                <w:rFonts w:ascii="Times New Roman" w:hAnsi="Times New Roman" w:cs="Times New Roman"/>
                <w:sz w:val="24"/>
                <w:szCs w:val="24"/>
              </w:rPr>
              <w:t>ām</w:t>
            </w:r>
            <w:r w:rsidR="008312A8" w:rsidRPr="009708B6">
              <w:rPr>
                <w:rFonts w:ascii="Times New Roman" w:hAnsi="Times New Roman" w:cs="Times New Roman"/>
                <w:sz w:val="24"/>
                <w:szCs w:val="24"/>
              </w:rPr>
              <w:t xml:space="preserve"> attiecīgi 13 EPL maksātu valsts nodevu pilnā apmērā un viens maksātu valsts nodevu 50 procentu apmērā. Tādējādi ieņēmumi valsts budžetā par uzraudzību veidotu </w:t>
            </w:r>
            <w:r w:rsidR="008312A8" w:rsidRPr="009708B6">
              <w:rPr>
                <w:rFonts w:ascii="Times New Roman" w:hAnsi="Times New Roman" w:cs="Times New Roman"/>
                <w:b/>
                <w:sz w:val="24"/>
                <w:szCs w:val="24"/>
              </w:rPr>
              <w:t>76 83</w:t>
            </w:r>
            <w:r w:rsidRPr="009708B6">
              <w:rPr>
                <w:rFonts w:ascii="Times New Roman" w:hAnsi="Times New Roman" w:cs="Times New Roman"/>
                <w:b/>
                <w:sz w:val="24"/>
                <w:szCs w:val="24"/>
              </w:rPr>
              <w:t>5</w:t>
            </w:r>
            <w:r w:rsidR="008312A8" w:rsidRPr="009708B6">
              <w:rPr>
                <w:rFonts w:ascii="Times New Roman" w:hAnsi="Times New Roman" w:cs="Times New Roman"/>
                <w:sz w:val="24"/>
                <w:szCs w:val="24"/>
              </w:rPr>
              <w:t xml:space="preserve"> </w:t>
            </w:r>
            <w:r w:rsidR="008312A8" w:rsidRPr="009708B6">
              <w:rPr>
                <w:rFonts w:ascii="Times New Roman" w:hAnsi="Times New Roman" w:cs="Times New Roman"/>
                <w:i/>
                <w:sz w:val="24"/>
                <w:szCs w:val="24"/>
              </w:rPr>
              <w:t>euro</w:t>
            </w:r>
            <w:r w:rsidR="008312A8" w:rsidRPr="009708B6">
              <w:rPr>
                <w:rFonts w:ascii="Times New Roman" w:hAnsi="Times New Roman" w:cs="Times New Roman"/>
                <w:sz w:val="24"/>
                <w:szCs w:val="24"/>
              </w:rPr>
              <w:t xml:space="preserve"> gadā.</w:t>
            </w:r>
          </w:p>
          <w:p w:rsidR="005A2CE0" w:rsidRPr="009708B6" w:rsidRDefault="005A2CE0" w:rsidP="009708B6">
            <w:pPr>
              <w:shd w:val="clear" w:color="auto" w:fill="FFFFFF" w:themeFill="background1"/>
              <w:spacing w:line="240" w:lineRule="auto"/>
              <w:jc w:val="both"/>
              <w:rPr>
                <w:rFonts w:ascii="Times New Roman" w:hAnsi="Times New Roman" w:cs="Times New Roman"/>
                <w:sz w:val="24"/>
                <w:szCs w:val="24"/>
              </w:rPr>
            </w:pPr>
            <w:r w:rsidRPr="009708B6">
              <w:rPr>
                <w:rFonts w:ascii="Times New Roman" w:hAnsi="Times New Roman" w:cs="Times New Roman"/>
                <w:sz w:val="24"/>
                <w:szCs w:val="24"/>
              </w:rPr>
              <w:t>G</w:t>
            </w:r>
            <w:r w:rsidR="008312A8" w:rsidRPr="009708B6">
              <w:rPr>
                <w:rFonts w:ascii="Times New Roman" w:hAnsi="Times New Roman" w:cs="Times New Roman"/>
                <w:sz w:val="24"/>
                <w:szCs w:val="24"/>
              </w:rPr>
              <w:t xml:space="preserve">ada laikā tiek izskatīti aptuveni 50 iesniegumi par grozījumu izdarīšanu apraides atļaujās. To reizinot ar 50 iesniegumiem gadā, tiek iegūti </w:t>
            </w:r>
            <w:r w:rsidR="008312A8" w:rsidRPr="009708B6">
              <w:rPr>
                <w:rFonts w:ascii="Times New Roman" w:hAnsi="Times New Roman" w:cs="Times New Roman"/>
                <w:b/>
                <w:sz w:val="24"/>
                <w:szCs w:val="24"/>
              </w:rPr>
              <w:t>1</w:t>
            </w:r>
            <w:r w:rsidR="006E0DCA" w:rsidRPr="009708B6">
              <w:rPr>
                <w:rFonts w:ascii="Times New Roman" w:hAnsi="Times New Roman" w:cs="Times New Roman"/>
                <w:b/>
                <w:sz w:val="24"/>
                <w:szCs w:val="24"/>
              </w:rPr>
              <w:t> </w:t>
            </w:r>
            <w:r w:rsidR="008312A8" w:rsidRPr="009708B6">
              <w:rPr>
                <w:rFonts w:ascii="Times New Roman" w:hAnsi="Times New Roman" w:cs="Times New Roman"/>
                <w:b/>
                <w:sz w:val="24"/>
                <w:szCs w:val="24"/>
              </w:rPr>
              <w:t>750</w:t>
            </w:r>
            <w:r w:rsidR="006E0DCA" w:rsidRPr="009708B6">
              <w:rPr>
                <w:rFonts w:ascii="Times New Roman" w:hAnsi="Times New Roman" w:cs="Times New Roman"/>
                <w:sz w:val="24"/>
                <w:szCs w:val="24"/>
              </w:rPr>
              <w:t> </w:t>
            </w:r>
            <w:r w:rsidR="008312A8" w:rsidRPr="009708B6">
              <w:rPr>
                <w:rFonts w:ascii="Times New Roman" w:hAnsi="Times New Roman" w:cs="Times New Roman"/>
                <w:i/>
                <w:sz w:val="24"/>
                <w:szCs w:val="24"/>
              </w:rPr>
              <w:t>euro</w:t>
            </w:r>
            <w:r w:rsidR="008312A8" w:rsidRPr="009708B6">
              <w:rPr>
                <w:rFonts w:ascii="Times New Roman" w:hAnsi="Times New Roman" w:cs="Times New Roman"/>
                <w:sz w:val="24"/>
                <w:szCs w:val="24"/>
              </w:rPr>
              <w:t xml:space="preserve"> gadā.</w:t>
            </w:r>
            <w:r w:rsidRPr="009708B6">
              <w:rPr>
                <w:rFonts w:ascii="Times New Roman" w:hAnsi="Times New Roman" w:cs="Times New Roman"/>
                <w:sz w:val="24"/>
                <w:szCs w:val="24"/>
              </w:rPr>
              <w:t xml:space="preserve"> </w:t>
            </w:r>
          </w:p>
          <w:p w:rsidR="008312A8" w:rsidRPr="009708B6" w:rsidRDefault="005A2CE0" w:rsidP="009708B6">
            <w:pPr>
              <w:shd w:val="clear" w:color="auto" w:fill="FFFFFF" w:themeFill="background1"/>
              <w:spacing w:line="240" w:lineRule="auto"/>
              <w:jc w:val="both"/>
              <w:rPr>
                <w:rFonts w:ascii="Times New Roman" w:hAnsi="Times New Roman" w:cs="Times New Roman"/>
                <w:sz w:val="24"/>
                <w:szCs w:val="24"/>
              </w:rPr>
            </w:pPr>
            <w:r w:rsidRPr="009708B6">
              <w:rPr>
                <w:rFonts w:ascii="Times New Roman" w:hAnsi="Times New Roman" w:cs="Times New Roman"/>
                <w:sz w:val="24"/>
                <w:szCs w:val="24"/>
              </w:rPr>
              <w:t>Vidēji (programmu skaits katram kabeļoperatoram ir svārstīgs, tāpēc ņemam aptuveno skaitu) varētu būt 50 programmas n</w:t>
            </w:r>
            <w:r w:rsidR="00283BD2" w:rsidRPr="009708B6">
              <w:rPr>
                <w:rFonts w:ascii="Times New Roman" w:hAnsi="Times New Roman" w:cs="Times New Roman"/>
                <w:sz w:val="24"/>
                <w:szCs w:val="24"/>
              </w:rPr>
              <w:t>o kabeļoperatora (Latvijā ir 39 </w:t>
            </w:r>
            <w:r w:rsidRPr="009708B6">
              <w:rPr>
                <w:rFonts w:ascii="Times New Roman" w:hAnsi="Times New Roman" w:cs="Times New Roman"/>
                <w:sz w:val="24"/>
                <w:szCs w:val="24"/>
              </w:rPr>
              <w:t xml:space="preserve">kabeļoperatori), kas veidotu </w:t>
            </w:r>
            <w:r w:rsidRPr="009708B6">
              <w:rPr>
                <w:rFonts w:ascii="Times New Roman" w:hAnsi="Times New Roman" w:cs="Times New Roman"/>
                <w:b/>
                <w:sz w:val="24"/>
                <w:szCs w:val="24"/>
              </w:rPr>
              <w:t>19 500</w:t>
            </w:r>
            <w:r w:rsidRPr="009708B6">
              <w:rPr>
                <w:rFonts w:ascii="Times New Roman" w:hAnsi="Times New Roman" w:cs="Times New Roman"/>
                <w:sz w:val="24"/>
                <w:szCs w:val="24"/>
              </w:rPr>
              <w:t xml:space="preserve"> </w:t>
            </w:r>
            <w:r w:rsidRPr="009708B6">
              <w:rPr>
                <w:rFonts w:ascii="Times New Roman" w:hAnsi="Times New Roman" w:cs="Times New Roman"/>
                <w:i/>
                <w:sz w:val="24"/>
                <w:szCs w:val="24"/>
              </w:rPr>
              <w:t>euro</w:t>
            </w:r>
            <w:r w:rsidRPr="009708B6">
              <w:rPr>
                <w:rFonts w:ascii="Times New Roman" w:hAnsi="Times New Roman" w:cs="Times New Roman"/>
                <w:sz w:val="24"/>
                <w:szCs w:val="24"/>
              </w:rPr>
              <w:t xml:space="preserve"> gadā no 2019.gada. Šis aprēķins ietver arī paredzētos izņēmumus, jo parasti kabeļoperatoriem ir vairāk nekā tikai 50 izplatāmo programmu.</w:t>
            </w:r>
          </w:p>
          <w:p w:rsidR="005F0505" w:rsidRPr="009708B6" w:rsidRDefault="005F0505" w:rsidP="009708B6">
            <w:pPr>
              <w:shd w:val="clear" w:color="auto" w:fill="FFFFFF" w:themeFill="background1"/>
              <w:spacing w:line="240" w:lineRule="auto"/>
              <w:jc w:val="both"/>
              <w:rPr>
                <w:rFonts w:ascii="Times New Roman" w:hAnsi="Times New Roman" w:cs="Times New Roman"/>
                <w:sz w:val="24"/>
                <w:szCs w:val="24"/>
              </w:rPr>
            </w:pPr>
            <w:r w:rsidRPr="009708B6">
              <w:rPr>
                <w:rFonts w:ascii="Times New Roman" w:hAnsi="Times New Roman" w:cs="Times New Roman"/>
                <w:sz w:val="24"/>
                <w:szCs w:val="24"/>
              </w:rPr>
              <w:t>Plānotais valsts nodevas ieņēmumu pieaugums ir iekļauts vidēja termiņa budžeta ietvara 2018., 2019. un 2020.gadam aktuālajās ieņēmumu prognozēs.</w:t>
            </w:r>
          </w:p>
        </w:tc>
      </w:tr>
      <w:tr w:rsidR="008312A8" w:rsidRPr="009708B6" w:rsidTr="00BD56FA">
        <w:trPr>
          <w:tblCellSpacing w:w="15" w:type="dxa"/>
          <w:jc w:val="center"/>
        </w:trPr>
        <w:tc>
          <w:tcPr>
            <w:tcW w:w="896" w:type="pct"/>
            <w:hideMark/>
          </w:tcPr>
          <w:p w:rsidR="008312A8" w:rsidRPr="009708B6" w:rsidRDefault="008312A8" w:rsidP="009708B6">
            <w:pPr>
              <w:shd w:val="clear" w:color="auto" w:fill="FFFFFF" w:themeFill="background1"/>
              <w:rPr>
                <w:rFonts w:ascii="Times New Roman" w:hAnsi="Times New Roman" w:cs="Times New Roman"/>
                <w:sz w:val="24"/>
                <w:szCs w:val="24"/>
              </w:rPr>
            </w:pPr>
            <w:r w:rsidRPr="009708B6">
              <w:rPr>
                <w:rFonts w:ascii="Times New Roman" w:hAnsi="Times New Roman" w:cs="Times New Roman"/>
                <w:sz w:val="24"/>
                <w:szCs w:val="24"/>
              </w:rPr>
              <w:lastRenderedPageBreak/>
              <w:t>6.2. detalizēts izdevumu aprēķins</w:t>
            </w:r>
          </w:p>
        </w:tc>
        <w:tc>
          <w:tcPr>
            <w:tcW w:w="4055" w:type="pct"/>
            <w:gridSpan w:val="5"/>
            <w:vAlign w:val="center"/>
            <w:hideMark/>
          </w:tcPr>
          <w:p w:rsidR="008312A8" w:rsidRPr="009708B6" w:rsidRDefault="008312A8" w:rsidP="009708B6">
            <w:pPr>
              <w:shd w:val="clear" w:color="auto" w:fill="FFFFFF" w:themeFill="background1"/>
              <w:spacing w:line="240" w:lineRule="auto"/>
              <w:jc w:val="both"/>
              <w:rPr>
                <w:rFonts w:ascii="Times New Roman" w:hAnsi="Times New Roman" w:cs="Times New Roman"/>
                <w:sz w:val="24"/>
                <w:szCs w:val="24"/>
              </w:rPr>
            </w:pPr>
            <w:r w:rsidRPr="009708B6">
              <w:rPr>
                <w:rFonts w:ascii="Times New Roman" w:hAnsi="Times New Roman" w:cs="Times New Roman"/>
                <w:sz w:val="24"/>
                <w:szCs w:val="24"/>
              </w:rPr>
              <w:t xml:space="preserve">NEPLP 2013.gadā ir izsniegusi vienu pārrobežu apraides atļauju, 2014.gadā – piecas pārrobežu apraides atļaujas, 2015.gadā – sešas pārrobežu apraides atļaujas, 2016.gadā – trīs pārrobežu apraides atļaujas, savukārt 2017.gada pirmajā pusgadā NEPLP ir saņēmusi septiņus iesniegumus pārrobežu apraides atļauju saņemšanai, kam pastarpināti tiek apstrādāti arī tādi privātpersonu iesniegumi, kuros tiek vaicāta kārtība un iesniedzamie dokumenti, lai saņemtu pārrobežu apraides atļaujas. </w:t>
            </w:r>
          </w:p>
          <w:p w:rsidR="008312A8" w:rsidRPr="009708B6" w:rsidRDefault="008312A8" w:rsidP="009708B6">
            <w:pPr>
              <w:shd w:val="clear" w:color="auto" w:fill="FFFFFF" w:themeFill="background1"/>
              <w:spacing w:line="240" w:lineRule="auto"/>
              <w:jc w:val="both"/>
              <w:rPr>
                <w:rFonts w:ascii="Times New Roman" w:hAnsi="Times New Roman" w:cs="Times New Roman"/>
                <w:sz w:val="24"/>
                <w:szCs w:val="24"/>
              </w:rPr>
            </w:pPr>
            <w:r w:rsidRPr="009708B6">
              <w:rPr>
                <w:rFonts w:ascii="Times New Roman" w:hAnsi="Times New Roman" w:cs="Times New Roman"/>
                <w:sz w:val="24"/>
                <w:szCs w:val="24"/>
              </w:rPr>
              <w:t xml:space="preserve">2016.gada nogalē NEPLP ir izveidojusi un uztur elektronisko plašsaziņas līdzekļu, kuri retranslē audio un audiovizuālās programmas, elektronisko reģistrācijas sistēmu, kas sastāv no divām daļām – no elektroniskajiem plašsaziņas līdzekļiem, kuri retranslē audio un audiovizuālās programmas, reģistra un no Latvijā retranslējamo audio un audiovizuālo programmu saraksta. Līdz 2017.gadam nebija izstrādāta vienota, pārskatāma sistēma, kurā būtu vienkopus redzami kabeļoperatori un to pārraidītās programmas. Šobrīd kabeļoperatori var uzticēties programmu sarakstā esošajām programmām un tās iekļaut savā piedāvājumā, tādējādi NEPLP ļaujot realizēt efektīvāku programmu uzraudzību. Līdz šim NEPLP ir ieguldījusi 3557,40 </w:t>
            </w:r>
            <w:r w:rsidR="00283BD2" w:rsidRPr="009708B6">
              <w:rPr>
                <w:rFonts w:ascii="Times New Roman" w:hAnsi="Times New Roman" w:cs="Times New Roman"/>
                <w:i/>
                <w:sz w:val="24"/>
                <w:szCs w:val="24"/>
              </w:rPr>
              <w:t>euro</w:t>
            </w:r>
            <w:r w:rsidRPr="009708B6">
              <w:rPr>
                <w:rFonts w:ascii="Times New Roman" w:hAnsi="Times New Roman" w:cs="Times New Roman"/>
                <w:sz w:val="24"/>
                <w:szCs w:val="24"/>
              </w:rPr>
              <w:t xml:space="preserve"> (ar PVN) minētā reģistra izveidei, kam papildus tiek plānota reģistrācijas sistēmas uzlabošana (izveidojot papildus funkcijas). Reģistrā esošās informācijas aktualizāciju un atbilstību izdotajām apraides atļaujām (ne tikai Latvijā izdotajām, bet arī citu valstu izdotajām apraides atļaujām) uzrauga juriskonsults, savukārt par tehnisko uzraudzību (piemēram, kabeļoperatora piekļuves tiesību nodrošināšana elektroniskajai reģistrācijas sistēmai) īsteno Informācijas centra vadītāja. </w:t>
            </w:r>
          </w:p>
          <w:p w:rsidR="008312A8" w:rsidRPr="009708B6" w:rsidRDefault="008312A8" w:rsidP="009708B6">
            <w:pPr>
              <w:shd w:val="clear" w:color="auto" w:fill="FFFFFF" w:themeFill="background1"/>
              <w:spacing w:line="240" w:lineRule="auto"/>
              <w:jc w:val="both"/>
              <w:rPr>
                <w:rFonts w:ascii="Times New Roman" w:hAnsi="Times New Roman" w:cs="Times New Roman"/>
                <w:sz w:val="24"/>
                <w:szCs w:val="24"/>
              </w:rPr>
            </w:pPr>
            <w:r w:rsidRPr="009708B6">
              <w:rPr>
                <w:rFonts w:ascii="Times New Roman" w:hAnsi="Times New Roman" w:cs="Times New Roman"/>
                <w:sz w:val="24"/>
                <w:szCs w:val="24"/>
              </w:rPr>
              <w:t xml:space="preserve">Ar 2016.gada 10.decembra grozījumiem EPLL tika papildināta 60.panta pirmā daļa ar </w:t>
            </w:r>
            <w:r w:rsidRPr="009708B6">
              <w:rPr>
                <w:rFonts w:ascii="Times New Roman" w:hAnsi="Times New Roman" w:cs="Times New Roman"/>
                <w:sz w:val="24"/>
                <w:szCs w:val="24"/>
                <w:lang w:eastAsia="lv-LV"/>
              </w:rPr>
              <w:t>8.</w:t>
            </w:r>
            <w:r w:rsidRPr="009708B6">
              <w:rPr>
                <w:rFonts w:ascii="Times New Roman" w:hAnsi="Times New Roman" w:cs="Times New Roman"/>
                <w:sz w:val="24"/>
                <w:szCs w:val="24"/>
                <w:vertAlign w:val="superscript"/>
                <w:lang w:eastAsia="lv-LV"/>
              </w:rPr>
              <w:t>1</w:t>
            </w:r>
            <w:r w:rsidR="0037097B" w:rsidRPr="009708B6">
              <w:rPr>
                <w:rFonts w:ascii="Times New Roman" w:hAnsi="Times New Roman" w:cs="Times New Roman"/>
                <w:sz w:val="24"/>
                <w:szCs w:val="24"/>
                <w:lang w:eastAsia="lv-LV"/>
              </w:rPr>
              <w:t xml:space="preserve"> </w:t>
            </w:r>
            <w:r w:rsidRPr="009708B6">
              <w:rPr>
                <w:rFonts w:ascii="Times New Roman" w:hAnsi="Times New Roman" w:cs="Times New Roman"/>
                <w:sz w:val="24"/>
                <w:szCs w:val="24"/>
              </w:rPr>
              <w:t xml:space="preserve">punktu, nosakot, ka NEPLP atbilstoši kompetencei īsteno uzraudzības iestādes funkcijas Informācijas sabiedrības pakalpojuma likuma izpratnē. Minētā funkcija nozīmētu internetā ievietotā nelegālā satura (attiecībā uz televīziju) uzraudzību – NEPLP monitoringa centra darbinieks, konstatējot kādā no mājas lapām ievietotu tādu saturu, kam nav izsniegta NEPLP apraides atļauja, paziņotu mājas lapas uzturētājam par nelegāla satura esamību.  Līdz ar paziņošanas brīdi, aicinot nelegālo saturu no mājas lapas izņemt, mājas lapas uzturētājs ir atbildīgs par nelegālā satura atrašanos mājas lapā. </w:t>
            </w:r>
          </w:p>
          <w:p w:rsidR="00F66931" w:rsidRPr="009708B6" w:rsidRDefault="008312A8" w:rsidP="009708B6">
            <w:pPr>
              <w:shd w:val="clear" w:color="auto" w:fill="FFFFFF" w:themeFill="background1"/>
              <w:spacing w:line="240" w:lineRule="auto"/>
              <w:jc w:val="both"/>
              <w:rPr>
                <w:rFonts w:ascii="Times New Roman" w:hAnsi="Times New Roman" w:cs="Times New Roman"/>
                <w:sz w:val="24"/>
                <w:szCs w:val="24"/>
              </w:rPr>
            </w:pPr>
            <w:r w:rsidRPr="009708B6">
              <w:rPr>
                <w:rFonts w:ascii="Times New Roman" w:hAnsi="Times New Roman" w:cs="Times New Roman"/>
                <w:sz w:val="24"/>
                <w:szCs w:val="24"/>
              </w:rPr>
              <w:t xml:space="preserve">Lai pēc iespējas efektīvi realizētu NEPLP noteikto uzraudzības funkciju (gan EPLL, gan Informācijas sabiedrības pakalpojuma likuma izpratnē), nepieciešams veikt apjomīgus nozares pētījumus – tie parādītu </w:t>
            </w:r>
            <w:proofErr w:type="spellStart"/>
            <w:r w:rsidRPr="009708B6">
              <w:rPr>
                <w:rFonts w:ascii="Times New Roman" w:hAnsi="Times New Roman" w:cs="Times New Roman"/>
                <w:sz w:val="24"/>
                <w:szCs w:val="24"/>
              </w:rPr>
              <w:t>problēmpunktus</w:t>
            </w:r>
            <w:proofErr w:type="spellEnd"/>
            <w:r w:rsidRPr="009708B6">
              <w:rPr>
                <w:rFonts w:ascii="Times New Roman" w:hAnsi="Times New Roman" w:cs="Times New Roman"/>
                <w:sz w:val="24"/>
                <w:szCs w:val="24"/>
              </w:rPr>
              <w:t xml:space="preserve">, kuru uzraudzība ir jāpilnveido vai jāievieš no jauna. Izvērtējot iegūtos pētījumu rezultātus un aptverot funkciju izpildes pilnveidi vai jaunradi, kā arī ņemot vērā jau NEPLP uzsāktās uzraudzības stiprināšanas darbības, kas prasa gan cilvēkresursu, gan tehnisko nodrošinājumu, NEPLP būs nepieciešama vai nu pastāvīga darbaspēka piesaiste, vai arī jāizmanto ārpakalpojuma funkcija. </w:t>
            </w:r>
            <w:r w:rsidR="0072072B" w:rsidRPr="009708B6">
              <w:rPr>
                <w:rFonts w:ascii="Times New Roman" w:hAnsi="Times New Roman" w:cs="Times New Roman"/>
                <w:sz w:val="24"/>
                <w:szCs w:val="24"/>
              </w:rPr>
              <w:t xml:space="preserve">NEPLP ir paredzējusi plānotos līdzekļus izlietot nozares pētījumiem un uzraudzības funkciju stiprināšanai, palielinot darbavietu skaitu Monitoringa nodaļā un piesaistot ārpakalpojuma funkciju. </w:t>
            </w:r>
          </w:p>
          <w:p w:rsidR="00270A96" w:rsidRPr="009708B6" w:rsidRDefault="00FE3649" w:rsidP="009708B6">
            <w:pPr>
              <w:shd w:val="clear" w:color="auto" w:fill="FFFFFF" w:themeFill="background1"/>
              <w:spacing w:line="240" w:lineRule="auto"/>
              <w:jc w:val="both"/>
              <w:rPr>
                <w:rFonts w:ascii="Times New Roman" w:hAnsi="Times New Roman" w:cs="Times New Roman"/>
                <w:sz w:val="24"/>
                <w:szCs w:val="24"/>
              </w:rPr>
            </w:pPr>
            <w:r w:rsidRPr="009708B6">
              <w:rPr>
                <w:rFonts w:ascii="Times New Roman" w:hAnsi="Times New Roman" w:cs="Times New Roman"/>
                <w:sz w:val="24"/>
                <w:szCs w:val="24"/>
              </w:rPr>
              <w:t>Pētījumi tiks izmantoti e</w:t>
            </w:r>
            <w:r w:rsidR="00270A96" w:rsidRPr="009708B6">
              <w:rPr>
                <w:rFonts w:ascii="Times New Roman" w:hAnsi="Times New Roman" w:cs="Times New Roman"/>
                <w:sz w:val="24"/>
                <w:szCs w:val="24"/>
              </w:rPr>
              <w:t xml:space="preserve">lektronisko plašsaziņas līdzekļu nozares uzraudzības veikšanai. Pētījumu izmaksas ir aprēķinātas provizoriski, saskaņā ar līdzīgu </w:t>
            </w:r>
            <w:r w:rsidR="00270A96" w:rsidRPr="009708B6">
              <w:rPr>
                <w:rFonts w:ascii="Times New Roman" w:hAnsi="Times New Roman" w:cs="Times New Roman"/>
                <w:sz w:val="24"/>
                <w:szCs w:val="24"/>
              </w:rPr>
              <w:lastRenderedPageBreak/>
              <w:t>pētījumu izmaksām iepriekšējos periodos:</w:t>
            </w:r>
          </w:p>
          <w:p w:rsidR="00270A96" w:rsidRPr="009708B6" w:rsidRDefault="00270A96" w:rsidP="009708B6">
            <w:pPr>
              <w:pStyle w:val="Sarakstarindkopa"/>
              <w:numPr>
                <w:ilvl w:val="0"/>
                <w:numId w:val="3"/>
              </w:numPr>
              <w:shd w:val="clear" w:color="auto" w:fill="FFFFFF" w:themeFill="background1"/>
              <w:spacing w:line="240" w:lineRule="auto"/>
              <w:jc w:val="both"/>
              <w:rPr>
                <w:rFonts w:ascii="Times New Roman" w:hAnsi="Times New Roman" w:cs="Times New Roman"/>
                <w:sz w:val="24"/>
                <w:szCs w:val="24"/>
              </w:rPr>
            </w:pPr>
            <w:r w:rsidRPr="009708B6">
              <w:rPr>
                <w:rFonts w:ascii="Times New Roman" w:hAnsi="Times New Roman" w:cs="Times New Roman"/>
                <w:sz w:val="24"/>
                <w:szCs w:val="24"/>
              </w:rPr>
              <w:t>2018.gadā raidorganizāciju pētījums (radio, TV, PPP) –</w:t>
            </w:r>
            <w:r w:rsidR="002E178D" w:rsidRPr="009708B6">
              <w:rPr>
                <w:rFonts w:ascii="Times New Roman" w:hAnsi="Times New Roman" w:cs="Times New Roman"/>
                <w:sz w:val="24"/>
                <w:szCs w:val="24"/>
              </w:rPr>
              <w:t xml:space="preserve"> 30</w:t>
            </w:r>
            <w:r w:rsidRPr="009708B6">
              <w:rPr>
                <w:rFonts w:ascii="Times New Roman" w:hAnsi="Times New Roman" w:cs="Times New Roman"/>
                <w:sz w:val="24"/>
                <w:szCs w:val="24"/>
              </w:rPr>
              <w:t> </w:t>
            </w:r>
            <w:r w:rsidR="0029684C" w:rsidRPr="009708B6">
              <w:rPr>
                <w:rFonts w:ascii="Times New Roman" w:hAnsi="Times New Roman" w:cs="Times New Roman"/>
                <w:sz w:val="24"/>
                <w:szCs w:val="24"/>
              </w:rPr>
              <w:t>585</w:t>
            </w:r>
            <w:r w:rsidRPr="009708B6">
              <w:rPr>
                <w:rFonts w:ascii="Times New Roman" w:hAnsi="Times New Roman" w:cs="Times New Roman"/>
                <w:sz w:val="24"/>
                <w:szCs w:val="24"/>
              </w:rPr>
              <w:t xml:space="preserve"> </w:t>
            </w:r>
            <w:r w:rsidRPr="009708B6">
              <w:rPr>
                <w:rFonts w:ascii="Times New Roman" w:hAnsi="Times New Roman" w:cs="Times New Roman"/>
                <w:i/>
                <w:sz w:val="24"/>
                <w:szCs w:val="24"/>
              </w:rPr>
              <w:t>euro</w:t>
            </w:r>
            <w:r w:rsidR="00597726" w:rsidRPr="009708B6">
              <w:rPr>
                <w:rFonts w:ascii="Times New Roman" w:hAnsi="Times New Roman" w:cs="Times New Roman"/>
                <w:sz w:val="24"/>
                <w:szCs w:val="24"/>
              </w:rPr>
              <w:t>;</w:t>
            </w:r>
          </w:p>
          <w:p w:rsidR="00270A96" w:rsidRPr="009708B6" w:rsidRDefault="00270A96" w:rsidP="009708B6">
            <w:pPr>
              <w:pStyle w:val="Sarakstarindkopa"/>
              <w:numPr>
                <w:ilvl w:val="0"/>
                <w:numId w:val="3"/>
              </w:numPr>
              <w:shd w:val="clear" w:color="auto" w:fill="FFFFFF" w:themeFill="background1"/>
              <w:spacing w:line="240" w:lineRule="auto"/>
              <w:jc w:val="both"/>
              <w:rPr>
                <w:rFonts w:ascii="Times New Roman" w:hAnsi="Times New Roman" w:cs="Times New Roman"/>
                <w:sz w:val="24"/>
                <w:szCs w:val="24"/>
              </w:rPr>
            </w:pPr>
            <w:r w:rsidRPr="009708B6">
              <w:rPr>
                <w:rFonts w:ascii="Times New Roman" w:hAnsi="Times New Roman" w:cs="Times New Roman"/>
                <w:sz w:val="24"/>
                <w:szCs w:val="24"/>
              </w:rPr>
              <w:t xml:space="preserve">2019.gadā </w:t>
            </w:r>
            <w:r w:rsidR="002E178D" w:rsidRPr="009708B6">
              <w:rPr>
                <w:rFonts w:ascii="Times New Roman" w:hAnsi="Times New Roman" w:cs="Times New Roman"/>
                <w:sz w:val="24"/>
                <w:szCs w:val="24"/>
              </w:rPr>
              <w:t>auditorijas un sabiedriskā pasūtījuma izvērtējums</w:t>
            </w:r>
            <w:r w:rsidR="0029684C" w:rsidRPr="009708B6">
              <w:rPr>
                <w:rFonts w:ascii="Times New Roman" w:hAnsi="Times New Roman" w:cs="Times New Roman"/>
                <w:sz w:val="24"/>
                <w:szCs w:val="24"/>
              </w:rPr>
              <w:t xml:space="preserve"> – 50 085</w:t>
            </w:r>
            <w:r w:rsidRPr="009708B6">
              <w:rPr>
                <w:rFonts w:ascii="Times New Roman" w:hAnsi="Times New Roman" w:cs="Times New Roman"/>
                <w:sz w:val="24"/>
                <w:szCs w:val="24"/>
              </w:rPr>
              <w:t xml:space="preserve"> </w:t>
            </w:r>
            <w:r w:rsidRPr="009708B6">
              <w:rPr>
                <w:rFonts w:ascii="Times New Roman" w:hAnsi="Times New Roman" w:cs="Times New Roman"/>
                <w:i/>
                <w:sz w:val="24"/>
                <w:szCs w:val="24"/>
              </w:rPr>
              <w:t>euro</w:t>
            </w:r>
            <w:r w:rsidR="00597726" w:rsidRPr="009708B6">
              <w:rPr>
                <w:rFonts w:ascii="Times New Roman" w:hAnsi="Times New Roman" w:cs="Times New Roman"/>
                <w:sz w:val="24"/>
                <w:szCs w:val="24"/>
              </w:rPr>
              <w:t>;</w:t>
            </w:r>
          </w:p>
          <w:p w:rsidR="00270A96" w:rsidRPr="009708B6" w:rsidRDefault="00270A96" w:rsidP="009708B6">
            <w:pPr>
              <w:pStyle w:val="Sarakstarindkopa"/>
              <w:numPr>
                <w:ilvl w:val="0"/>
                <w:numId w:val="3"/>
              </w:numPr>
              <w:shd w:val="clear" w:color="auto" w:fill="FFFFFF" w:themeFill="background1"/>
              <w:spacing w:line="240" w:lineRule="auto"/>
              <w:jc w:val="both"/>
              <w:rPr>
                <w:rFonts w:ascii="Times New Roman" w:hAnsi="Times New Roman" w:cs="Times New Roman"/>
                <w:sz w:val="24"/>
                <w:szCs w:val="24"/>
              </w:rPr>
            </w:pPr>
            <w:r w:rsidRPr="009708B6">
              <w:rPr>
                <w:rFonts w:ascii="Times New Roman" w:hAnsi="Times New Roman" w:cs="Times New Roman"/>
                <w:sz w:val="24"/>
                <w:szCs w:val="24"/>
              </w:rPr>
              <w:t xml:space="preserve">2020.gadā </w:t>
            </w:r>
            <w:r w:rsidR="00FE3649" w:rsidRPr="009708B6">
              <w:rPr>
                <w:rFonts w:ascii="Times New Roman" w:hAnsi="Times New Roman" w:cs="Times New Roman"/>
                <w:sz w:val="24"/>
                <w:szCs w:val="24"/>
              </w:rPr>
              <w:t>e</w:t>
            </w:r>
            <w:r w:rsidR="002E178D" w:rsidRPr="009708B6">
              <w:rPr>
                <w:rFonts w:ascii="Times New Roman" w:hAnsi="Times New Roman" w:cs="Times New Roman"/>
                <w:sz w:val="24"/>
                <w:szCs w:val="24"/>
              </w:rPr>
              <w:t xml:space="preserve">lektronisko plašsaziņas līdzekļu tirgus analīze </w:t>
            </w:r>
            <w:r w:rsidR="00A90F6D" w:rsidRPr="009708B6">
              <w:rPr>
                <w:rFonts w:ascii="Times New Roman" w:hAnsi="Times New Roman" w:cs="Times New Roman"/>
                <w:sz w:val="24"/>
                <w:szCs w:val="24"/>
              </w:rPr>
              <w:t xml:space="preserve">(ieskaitot nelegālo pakalpojumu tirgu) </w:t>
            </w:r>
            <w:r w:rsidRPr="009708B6">
              <w:rPr>
                <w:rFonts w:ascii="Times New Roman" w:hAnsi="Times New Roman" w:cs="Times New Roman"/>
                <w:sz w:val="24"/>
                <w:szCs w:val="24"/>
              </w:rPr>
              <w:t>–</w:t>
            </w:r>
            <w:r w:rsidR="00597726" w:rsidRPr="009708B6">
              <w:rPr>
                <w:rFonts w:ascii="Times New Roman" w:hAnsi="Times New Roman" w:cs="Times New Roman"/>
                <w:sz w:val="24"/>
                <w:szCs w:val="24"/>
              </w:rPr>
              <w:t xml:space="preserve"> 77</w:t>
            </w:r>
            <w:r w:rsidR="0029684C" w:rsidRPr="009708B6">
              <w:rPr>
                <w:rFonts w:ascii="Times New Roman" w:hAnsi="Times New Roman" w:cs="Times New Roman"/>
                <w:sz w:val="24"/>
                <w:szCs w:val="24"/>
              </w:rPr>
              <w:t> 085</w:t>
            </w:r>
            <w:r w:rsidRPr="009708B6">
              <w:rPr>
                <w:rFonts w:ascii="Times New Roman" w:hAnsi="Times New Roman" w:cs="Times New Roman"/>
                <w:sz w:val="24"/>
                <w:szCs w:val="24"/>
              </w:rPr>
              <w:t xml:space="preserve"> </w:t>
            </w:r>
            <w:r w:rsidRPr="009708B6">
              <w:rPr>
                <w:rFonts w:ascii="Times New Roman" w:hAnsi="Times New Roman" w:cs="Times New Roman"/>
                <w:i/>
                <w:sz w:val="24"/>
                <w:szCs w:val="24"/>
              </w:rPr>
              <w:t>euro</w:t>
            </w:r>
            <w:r w:rsidRPr="009708B6">
              <w:rPr>
                <w:rFonts w:ascii="Times New Roman" w:hAnsi="Times New Roman" w:cs="Times New Roman"/>
                <w:sz w:val="24"/>
                <w:szCs w:val="24"/>
              </w:rPr>
              <w:t>.</w:t>
            </w:r>
          </w:p>
          <w:p w:rsidR="00270A96" w:rsidRPr="009708B6" w:rsidRDefault="002E178D" w:rsidP="009708B6">
            <w:pPr>
              <w:shd w:val="clear" w:color="auto" w:fill="FFFFFF" w:themeFill="background1"/>
              <w:spacing w:line="240" w:lineRule="auto"/>
              <w:jc w:val="both"/>
              <w:rPr>
                <w:rFonts w:ascii="Times New Roman" w:hAnsi="Times New Roman" w:cs="Times New Roman"/>
                <w:sz w:val="24"/>
                <w:szCs w:val="24"/>
              </w:rPr>
            </w:pPr>
            <w:r w:rsidRPr="009708B6">
              <w:rPr>
                <w:rFonts w:ascii="Times New Roman" w:hAnsi="Times New Roman" w:cs="Times New Roman"/>
                <w:sz w:val="24"/>
                <w:szCs w:val="24"/>
              </w:rPr>
              <w:t xml:space="preserve">Uzraudzības funkcijas nodrošināšanai NEPLP plāno piesaistīt speciālistu/ekspertu </w:t>
            </w:r>
            <w:r w:rsidR="0029684C" w:rsidRPr="009708B6">
              <w:rPr>
                <w:rFonts w:ascii="Times New Roman" w:hAnsi="Times New Roman" w:cs="Times New Roman"/>
                <w:sz w:val="24"/>
                <w:szCs w:val="24"/>
              </w:rPr>
              <w:t>ār</w:t>
            </w:r>
            <w:r w:rsidRPr="009708B6">
              <w:rPr>
                <w:rFonts w:ascii="Times New Roman" w:hAnsi="Times New Roman" w:cs="Times New Roman"/>
                <w:sz w:val="24"/>
                <w:szCs w:val="24"/>
              </w:rPr>
              <w:t>pakalpojumus</w:t>
            </w:r>
            <w:r w:rsidR="00597726" w:rsidRPr="009708B6">
              <w:rPr>
                <w:rFonts w:ascii="Times New Roman" w:hAnsi="Times New Roman" w:cs="Times New Roman"/>
                <w:sz w:val="24"/>
                <w:szCs w:val="24"/>
              </w:rPr>
              <w:t>, kuru provizoriskās izmaksas varētu būt šādas:</w:t>
            </w:r>
          </w:p>
          <w:p w:rsidR="00597726" w:rsidRPr="009708B6" w:rsidRDefault="00597726" w:rsidP="009708B6">
            <w:pPr>
              <w:pStyle w:val="Sarakstarindkopa"/>
              <w:numPr>
                <w:ilvl w:val="0"/>
                <w:numId w:val="4"/>
              </w:numPr>
              <w:shd w:val="clear" w:color="auto" w:fill="FFFFFF" w:themeFill="background1"/>
              <w:spacing w:line="240" w:lineRule="auto"/>
              <w:jc w:val="both"/>
              <w:rPr>
                <w:rFonts w:ascii="Times New Roman" w:hAnsi="Times New Roman" w:cs="Times New Roman"/>
                <w:sz w:val="24"/>
                <w:szCs w:val="24"/>
              </w:rPr>
            </w:pPr>
            <w:r w:rsidRPr="009708B6">
              <w:rPr>
                <w:rFonts w:ascii="Times New Roman" w:hAnsi="Times New Roman" w:cs="Times New Roman"/>
                <w:sz w:val="24"/>
                <w:szCs w:val="24"/>
              </w:rPr>
              <w:t xml:space="preserve">2018.gadā – 90 </w:t>
            </w:r>
            <w:r w:rsidR="00FE3649" w:rsidRPr="009708B6">
              <w:rPr>
                <w:rFonts w:ascii="Times New Roman" w:hAnsi="Times New Roman" w:cs="Times New Roman"/>
                <w:i/>
                <w:sz w:val="24"/>
                <w:szCs w:val="24"/>
              </w:rPr>
              <w:t>euro</w:t>
            </w:r>
            <w:r w:rsidRPr="009708B6">
              <w:rPr>
                <w:rFonts w:ascii="Times New Roman" w:hAnsi="Times New Roman" w:cs="Times New Roman"/>
                <w:sz w:val="24"/>
                <w:szCs w:val="24"/>
              </w:rPr>
              <w:t xml:space="preserve"> dienā, 2 000 </w:t>
            </w:r>
            <w:proofErr w:type="spellStart"/>
            <w:r w:rsidR="00FE3649" w:rsidRPr="009708B6">
              <w:rPr>
                <w:rFonts w:ascii="Times New Roman" w:hAnsi="Times New Roman" w:cs="Times New Roman"/>
                <w:i/>
                <w:sz w:val="24"/>
                <w:szCs w:val="24"/>
              </w:rPr>
              <w:t>euro</w:t>
            </w:r>
            <w:proofErr w:type="spellEnd"/>
            <w:r w:rsidRPr="009708B6">
              <w:rPr>
                <w:rFonts w:ascii="Times New Roman" w:hAnsi="Times New Roman" w:cs="Times New Roman"/>
                <w:sz w:val="24"/>
                <w:szCs w:val="24"/>
              </w:rPr>
              <w:t xml:space="preserve"> mēnesī *12 </w:t>
            </w:r>
            <w:proofErr w:type="spellStart"/>
            <w:r w:rsidRPr="009708B6">
              <w:rPr>
                <w:rFonts w:ascii="Times New Roman" w:hAnsi="Times New Roman" w:cs="Times New Roman"/>
                <w:sz w:val="24"/>
                <w:szCs w:val="24"/>
              </w:rPr>
              <w:t>mēn</w:t>
            </w:r>
            <w:proofErr w:type="spellEnd"/>
            <w:r w:rsidRPr="009708B6">
              <w:rPr>
                <w:rFonts w:ascii="Times New Roman" w:hAnsi="Times New Roman" w:cs="Times New Roman"/>
                <w:sz w:val="24"/>
                <w:szCs w:val="24"/>
              </w:rPr>
              <w:t>.= 24</w:t>
            </w:r>
            <w:r w:rsidR="00FE3649" w:rsidRPr="009708B6">
              <w:rPr>
                <w:rFonts w:ascii="Times New Roman" w:hAnsi="Times New Roman" w:cs="Times New Roman"/>
                <w:sz w:val="24"/>
                <w:szCs w:val="24"/>
              </w:rPr>
              <w:t> </w:t>
            </w:r>
            <w:r w:rsidRPr="009708B6">
              <w:rPr>
                <w:rFonts w:ascii="Times New Roman" w:hAnsi="Times New Roman" w:cs="Times New Roman"/>
                <w:sz w:val="24"/>
                <w:szCs w:val="24"/>
              </w:rPr>
              <w:t>000</w:t>
            </w:r>
            <w:r w:rsidR="00FE3649" w:rsidRPr="009708B6">
              <w:rPr>
                <w:rFonts w:ascii="Times New Roman" w:hAnsi="Times New Roman" w:cs="Times New Roman"/>
                <w:sz w:val="24"/>
                <w:szCs w:val="24"/>
              </w:rPr>
              <w:t> </w:t>
            </w:r>
            <w:proofErr w:type="spellStart"/>
            <w:r w:rsidR="00FE3649" w:rsidRPr="009708B6">
              <w:rPr>
                <w:rFonts w:ascii="Times New Roman" w:hAnsi="Times New Roman" w:cs="Times New Roman"/>
                <w:i/>
                <w:sz w:val="24"/>
                <w:szCs w:val="24"/>
              </w:rPr>
              <w:t>euro</w:t>
            </w:r>
            <w:proofErr w:type="spellEnd"/>
            <w:r w:rsidRPr="009708B6">
              <w:rPr>
                <w:rFonts w:ascii="Times New Roman" w:hAnsi="Times New Roman" w:cs="Times New Roman"/>
                <w:sz w:val="24"/>
                <w:szCs w:val="24"/>
              </w:rPr>
              <w:t xml:space="preserve"> gadā par </w:t>
            </w:r>
            <w:r w:rsidR="0097593F" w:rsidRPr="009708B6">
              <w:rPr>
                <w:rFonts w:ascii="Times New Roman" w:hAnsi="Times New Roman" w:cs="Times New Roman"/>
                <w:sz w:val="24"/>
                <w:szCs w:val="24"/>
              </w:rPr>
              <w:t>vienu speciālistu/ekspertu</w:t>
            </w:r>
            <w:r w:rsidR="0029684C" w:rsidRPr="009708B6">
              <w:rPr>
                <w:rFonts w:ascii="Times New Roman" w:hAnsi="Times New Roman" w:cs="Times New Roman"/>
                <w:sz w:val="24"/>
                <w:szCs w:val="24"/>
              </w:rPr>
              <w:t>, kurš sniegs ārpakalpojumu</w:t>
            </w:r>
            <w:r w:rsidR="0097593F" w:rsidRPr="009708B6">
              <w:rPr>
                <w:rFonts w:ascii="Times New Roman" w:hAnsi="Times New Roman" w:cs="Times New Roman"/>
                <w:sz w:val="24"/>
                <w:szCs w:val="24"/>
              </w:rPr>
              <w:t>. 2018</w:t>
            </w:r>
            <w:r w:rsidRPr="009708B6">
              <w:rPr>
                <w:rFonts w:ascii="Times New Roman" w:hAnsi="Times New Roman" w:cs="Times New Roman"/>
                <w:sz w:val="24"/>
                <w:szCs w:val="24"/>
              </w:rPr>
              <w:t xml:space="preserve">.gadā plānots piesaistīt divus </w:t>
            </w:r>
            <w:r w:rsidR="0029684C" w:rsidRPr="009708B6">
              <w:rPr>
                <w:rFonts w:ascii="Times New Roman" w:hAnsi="Times New Roman" w:cs="Times New Roman"/>
                <w:sz w:val="24"/>
                <w:szCs w:val="24"/>
              </w:rPr>
              <w:t>ār</w:t>
            </w:r>
            <w:r w:rsidRPr="009708B6">
              <w:rPr>
                <w:rFonts w:ascii="Times New Roman" w:hAnsi="Times New Roman" w:cs="Times New Roman"/>
                <w:sz w:val="24"/>
                <w:szCs w:val="24"/>
              </w:rPr>
              <w:t xml:space="preserve">pakalpojumu sniedzējus, tādējādi veidojot 48 000 </w:t>
            </w:r>
            <w:r w:rsidR="00FE3649" w:rsidRPr="009708B6">
              <w:rPr>
                <w:rFonts w:ascii="Times New Roman" w:hAnsi="Times New Roman" w:cs="Times New Roman"/>
                <w:i/>
                <w:sz w:val="24"/>
                <w:szCs w:val="24"/>
              </w:rPr>
              <w:t>euro</w:t>
            </w:r>
            <w:r w:rsidRPr="009708B6">
              <w:rPr>
                <w:rFonts w:ascii="Times New Roman" w:hAnsi="Times New Roman" w:cs="Times New Roman"/>
                <w:sz w:val="24"/>
                <w:szCs w:val="24"/>
              </w:rPr>
              <w:t xml:space="preserve"> gadā (24 000 </w:t>
            </w:r>
            <w:r w:rsidR="00FE3649" w:rsidRPr="009708B6">
              <w:rPr>
                <w:rFonts w:ascii="Times New Roman" w:hAnsi="Times New Roman" w:cs="Times New Roman"/>
                <w:i/>
                <w:sz w:val="24"/>
                <w:szCs w:val="24"/>
              </w:rPr>
              <w:t>euro</w:t>
            </w:r>
            <w:r w:rsidRPr="009708B6">
              <w:rPr>
                <w:rFonts w:ascii="Times New Roman" w:hAnsi="Times New Roman" w:cs="Times New Roman"/>
                <w:sz w:val="24"/>
                <w:szCs w:val="24"/>
              </w:rPr>
              <w:t xml:space="preserve"> *2=48 000 </w:t>
            </w:r>
            <w:r w:rsidR="00FE3649" w:rsidRPr="009708B6">
              <w:rPr>
                <w:rFonts w:ascii="Times New Roman" w:hAnsi="Times New Roman" w:cs="Times New Roman"/>
                <w:i/>
                <w:sz w:val="24"/>
                <w:szCs w:val="24"/>
              </w:rPr>
              <w:t>euro</w:t>
            </w:r>
            <w:r w:rsidRPr="009708B6">
              <w:rPr>
                <w:rFonts w:ascii="Times New Roman" w:hAnsi="Times New Roman" w:cs="Times New Roman"/>
                <w:sz w:val="24"/>
                <w:szCs w:val="24"/>
              </w:rPr>
              <w:t>);</w:t>
            </w:r>
          </w:p>
          <w:p w:rsidR="00597726" w:rsidRPr="009708B6" w:rsidRDefault="00597726" w:rsidP="009708B6">
            <w:pPr>
              <w:pStyle w:val="Sarakstarindkopa"/>
              <w:numPr>
                <w:ilvl w:val="0"/>
                <w:numId w:val="4"/>
              </w:numPr>
              <w:shd w:val="clear" w:color="auto" w:fill="FFFFFF" w:themeFill="background1"/>
              <w:spacing w:line="240" w:lineRule="auto"/>
              <w:jc w:val="both"/>
              <w:rPr>
                <w:rFonts w:ascii="Times New Roman" w:hAnsi="Times New Roman" w:cs="Times New Roman"/>
                <w:sz w:val="24"/>
                <w:szCs w:val="24"/>
              </w:rPr>
            </w:pPr>
            <w:r w:rsidRPr="009708B6">
              <w:rPr>
                <w:rFonts w:ascii="Times New Roman" w:hAnsi="Times New Roman" w:cs="Times New Roman"/>
                <w:sz w:val="24"/>
                <w:szCs w:val="24"/>
              </w:rPr>
              <w:t xml:space="preserve">2019.gadā </w:t>
            </w:r>
            <w:r w:rsidR="00FE3649" w:rsidRPr="009708B6">
              <w:rPr>
                <w:rFonts w:ascii="Times New Roman" w:hAnsi="Times New Roman" w:cs="Times New Roman"/>
                <w:sz w:val="24"/>
                <w:szCs w:val="24"/>
              </w:rPr>
              <w:t>–</w:t>
            </w:r>
            <w:r w:rsidRPr="009708B6">
              <w:rPr>
                <w:rFonts w:ascii="Times New Roman" w:hAnsi="Times New Roman" w:cs="Times New Roman"/>
                <w:sz w:val="24"/>
                <w:szCs w:val="24"/>
              </w:rPr>
              <w:t xml:space="preserve"> 90 </w:t>
            </w:r>
            <w:r w:rsidR="00FE3649" w:rsidRPr="009708B6">
              <w:rPr>
                <w:rFonts w:ascii="Times New Roman" w:hAnsi="Times New Roman" w:cs="Times New Roman"/>
                <w:i/>
                <w:sz w:val="24"/>
                <w:szCs w:val="24"/>
              </w:rPr>
              <w:t>euro</w:t>
            </w:r>
            <w:r w:rsidRPr="009708B6">
              <w:rPr>
                <w:rFonts w:ascii="Times New Roman" w:hAnsi="Times New Roman" w:cs="Times New Roman"/>
                <w:sz w:val="24"/>
                <w:szCs w:val="24"/>
              </w:rPr>
              <w:t xml:space="preserve"> dienā, 2 000 </w:t>
            </w:r>
            <w:proofErr w:type="spellStart"/>
            <w:r w:rsidR="00FE3649" w:rsidRPr="009708B6">
              <w:rPr>
                <w:rFonts w:ascii="Times New Roman" w:hAnsi="Times New Roman" w:cs="Times New Roman"/>
                <w:i/>
                <w:sz w:val="24"/>
                <w:szCs w:val="24"/>
              </w:rPr>
              <w:t>euro</w:t>
            </w:r>
            <w:proofErr w:type="spellEnd"/>
            <w:r w:rsidRPr="009708B6">
              <w:rPr>
                <w:rFonts w:ascii="Times New Roman" w:hAnsi="Times New Roman" w:cs="Times New Roman"/>
                <w:sz w:val="24"/>
                <w:szCs w:val="24"/>
              </w:rPr>
              <w:t xml:space="preserve"> mēnesī *12 </w:t>
            </w:r>
            <w:proofErr w:type="spellStart"/>
            <w:r w:rsidRPr="009708B6">
              <w:rPr>
                <w:rFonts w:ascii="Times New Roman" w:hAnsi="Times New Roman" w:cs="Times New Roman"/>
                <w:sz w:val="24"/>
                <w:szCs w:val="24"/>
              </w:rPr>
              <w:t>mēn</w:t>
            </w:r>
            <w:proofErr w:type="spellEnd"/>
            <w:r w:rsidRPr="009708B6">
              <w:rPr>
                <w:rFonts w:ascii="Times New Roman" w:hAnsi="Times New Roman" w:cs="Times New Roman"/>
                <w:sz w:val="24"/>
                <w:szCs w:val="24"/>
              </w:rPr>
              <w:t>.= 24</w:t>
            </w:r>
            <w:r w:rsidR="00FE3649" w:rsidRPr="009708B6">
              <w:rPr>
                <w:rFonts w:ascii="Times New Roman" w:hAnsi="Times New Roman" w:cs="Times New Roman"/>
                <w:sz w:val="24"/>
                <w:szCs w:val="24"/>
              </w:rPr>
              <w:t> </w:t>
            </w:r>
            <w:r w:rsidRPr="009708B6">
              <w:rPr>
                <w:rFonts w:ascii="Times New Roman" w:hAnsi="Times New Roman" w:cs="Times New Roman"/>
                <w:sz w:val="24"/>
                <w:szCs w:val="24"/>
              </w:rPr>
              <w:t>000</w:t>
            </w:r>
            <w:r w:rsidR="00FE3649" w:rsidRPr="009708B6">
              <w:rPr>
                <w:rFonts w:ascii="Times New Roman" w:hAnsi="Times New Roman" w:cs="Times New Roman"/>
                <w:sz w:val="24"/>
                <w:szCs w:val="24"/>
              </w:rPr>
              <w:t> </w:t>
            </w:r>
            <w:proofErr w:type="spellStart"/>
            <w:r w:rsidR="00FE3649" w:rsidRPr="009708B6">
              <w:rPr>
                <w:rFonts w:ascii="Times New Roman" w:hAnsi="Times New Roman" w:cs="Times New Roman"/>
                <w:i/>
                <w:sz w:val="24"/>
                <w:szCs w:val="24"/>
              </w:rPr>
              <w:t>euro</w:t>
            </w:r>
            <w:proofErr w:type="spellEnd"/>
            <w:r w:rsidRPr="009708B6">
              <w:rPr>
                <w:rFonts w:ascii="Times New Roman" w:hAnsi="Times New Roman" w:cs="Times New Roman"/>
                <w:sz w:val="24"/>
                <w:szCs w:val="24"/>
              </w:rPr>
              <w:t xml:space="preserve"> gadā par </w:t>
            </w:r>
            <w:r w:rsidR="0097593F" w:rsidRPr="009708B6">
              <w:rPr>
                <w:rFonts w:ascii="Times New Roman" w:hAnsi="Times New Roman" w:cs="Times New Roman"/>
                <w:sz w:val="24"/>
                <w:szCs w:val="24"/>
              </w:rPr>
              <w:t>vienu speciālistu/ekspertu</w:t>
            </w:r>
            <w:r w:rsidR="0029684C" w:rsidRPr="009708B6">
              <w:rPr>
                <w:rFonts w:ascii="Times New Roman" w:hAnsi="Times New Roman" w:cs="Times New Roman"/>
                <w:sz w:val="24"/>
                <w:szCs w:val="24"/>
              </w:rPr>
              <w:t>, kurš sniegs ārpakalpojumu</w:t>
            </w:r>
            <w:r w:rsidR="0097593F" w:rsidRPr="009708B6">
              <w:rPr>
                <w:rFonts w:ascii="Times New Roman" w:hAnsi="Times New Roman" w:cs="Times New Roman"/>
                <w:sz w:val="24"/>
                <w:szCs w:val="24"/>
              </w:rPr>
              <w:t>. 2019</w:t>
            </w:r>
            <w:r w:rsidRPr="009708B6">
              <w:rPr>
                <w:rFonts w:ascii="Times New Roman" w:hAnsi="Times New Roman" w:cs="Times New Roman"/>
                <w:sz w:val="24"/>
                <w:szCs w:val="24"/>
              </w:rPr>
              <w:t xml:space="preserve">.gadā plānots piesaistīt divus </w:t>
            </w:r>
            <w:r w:rsidR="0029684C" w:rsidRPr="009708B6">
              <w:rPr>
                <w:rFonts w:ascii="Times New Roman" w:hAnsi="Times New Roman" w:cs="Times New Roman"/>
                <w:sz w:val="24"/>
                <w:szCs w:val="24"/>
              </w:rPr>
              <w:t>ār</w:t>
            </w:r>
            <w:r w:rsidRPr="009708B6">
              <w:rPr>
                <w:rFonts w:ascii="Times New Roman" w:hAnsi="Times New Roman" w:cs="Times New Roman"/>
                <w:sz w:val="24"/>
                <w:szCs w:val="24"/>
              </w:rPr>
              <w:t xml:space="preserve">pakalpojumu sniedzējus, tādējādi veidojot 48 000 </w:t>
            </w:r>
            <w:r w:rsidR="00FE3649" w:rsidRPr="009708B6">
              <w:rPr>
                <w:rFonts w:ascii="Times New Roman" w:hAnsi="Times New Roman" w:cs="Times New Roman"/>
                <w:i/>
                <w:sz w:val="24"/>
                <w:szCs w:val="24"/>
              </w:rPr>
              <w:t>euro</w:t>
            </w:r>
            <w:r w:rsidRPr="009708B6">
              <w:rPr>
                <w:rFonts w:ascii="Times New Roman" w:hAnsi="Times New Roman" w:cs="Times New Roman"/>
                <w:sz w:val="24"/>
                <w:szCs w:val="24"/>
              </w:rPr>
              <w:t xml:space="preserve"> gadā (24 000 </w:t>
            </w:r>
            <w:r w:rsidR="00FE3649" w:rsidRPr="009708B6">
              <w:rPr>
                <w:rFonts w:ascii="Times New Roman" w:hAnsi="Times New Roman" w:cs="Times New Roman"/>
                <w:i/>
                <w:sz w:val="24"/>
                <w:szCs w:val="24"/>
              </w:rPr>
              <w:t>euro</w:t>
            </w:r>
            <w:r w:rsidRPr="009708B6">
              <w:rPr>
                <w:rFonts w:ascii="Times New Roman" w:hAnsi="Times New Roman" w:cs="Times New Roman"/>
                <w:sz w:val="24"/>
                <w:szCs w:val="24"/>
              </w:rPr>
              <w:t xml:space="preserve"> *2=48 000 </w:t>
            </w:r>
            <w:r w:rsidR="00FE3649" w:rsidRPr="009708B6">
              <w:rPr>
                <w:rFonts w:ascii="Times New Roman" w:hAnsi="Times New Roman" w:cs="Times New Roman"/>
                <w:i/>
                <w:sz w:val="24"/>
                <w:szCs w:val="24"/>
              </w:rPr>
              <w:t>euro</w:t>
            </w:r>
            <w:r w:rsidRPr="009708B6">
              <w:rPr>
                <w:rFonts w:ascii="Times New Roman" w:hAnsi="Times New Roman" w:cs="Times New Roman"/>
                <w:sz w:val="24"/>
                <w:szCs w:val="24"/>
              </w:rPr>
              <w:t>);</w:t>
            </w:r>
          </w:p>
          <w:p w:rsidR="00597726" w:rsidRPr="009708B6" w:rsidRDefault="00597726" w:rsidP="009708B6">
            <w:pPr>
              <w:pStyle w:val="Sarakstarindkopa"/>
              <w:numPr>
                <w:ilvl w:val="0"/>
                <w:numId w:val="4"/>
              </w:numPr>
              <w:shd w:val="clear" w:color="auto" w:fill="FFFFFF" w:themeFill="background1"/>
              <w:spacing w:line="240" w:lineRule="auto"/>
              <w:jc w:val="both"/>
              <w:rPr>
                <w:rFonts w:ascii="Times New Roman" w:hAnsi="Times New Roman" w:cs="Times New Roman"/>
                <w:sz w:val="24"/>
                <w:szCs w:val="24"/>
              </w:rPr>
            </w:pPr>
            <w:r w:rsidRPr="009708B6">
              <w:rPr>
                <w:rFonts w:ascii="Times New Roman" w:hAnsi="Times New Roman" w:cs="Times New Roman"/>
                <w:sz w:val="24"/>
                <w:szCs w:val="24"/>
              </w:rPr>
              <w:t xml:space="preserve">2020.gadā – 80 </w:t>
            </w:r>
            <w:r w:rsidR="00FE3649" w:rsidRPr="009708B6">
              <w:rPr>
                <w:rFonts w:ascii="Times New Roman" w:hAnsi="Times New Roman" w:cs="Times New Roman"/>
                <w:i/>
                <w:sz w:val="24"/>
                <w:szCs w:val="24"/>
              </w:rPr>
              <w:t>euro</w:t>
            </w:r>
            <w:r w:rsidRPr="009708B6">
              <w:rPr>
                <w:rFonts w:ascii="Times New Roman" w:hAnsi="Times New Roman" w:cs="Times New Roman"/>
                <w:sz w:val="24"/>
                <w:szCs w:val="24"/>
              </w:rPr>
              <w:t xml:space="preserve"> dienā, 1 700 </w:t>
            </w:r>
            <w:proofErr w:type="spellStart"/>
            <w:r w:rsidR="00FE3649" w:rsidRPr="009708B6">
              <w:rPr>
                <w:rFonts w:ascii="Times New Roman" w:hAnsi="Times New Roman" w:cs="Times New Roman"/>
                <w:i/>
                <w:sz w:val="24"/>
                <w:szCs w:val="24"/>
              </w:rPr>
              <w:t>euro</w:t>
            </w:r>
            <w:proofErr w:type="spellEnd"/>
            <w:r w:rsidRPr="009708B6">
              <w:rPr>
                <w:rFonts w:ascii="Times New Roman" w:hAnsi="Times New Roman" w:cs="Times New Roman"/>
                <w:sz w:val="24"/>
                <w:szCs w:val="24"/>
              </w:rPr>
              <w:t xml:space="preserve"> mēnesī *12 </w:t>
            </w:r>
            <w:proofErr w:type="spellStart"/>
            <w:r w:rsidRPr="009708B6">
              <w:rPr>
                <w:rFonts w:ascii="Times New Roman" w:hAnsi="Times New Roman" w:cs="Times New Roman"/>
                <w:sz w:val="24"/>
                <w:szCs w:val="24"/>
              </w:rPr>
              <w:t>mēn</w:t>
            </w:r>
            <w:proofErr w:type="spellEnd"/>
            <w:r w:rsidRPr="009708B6">
              <w:rPr>
                <w:rFonts w:ascii="Times New Roman" w:hAnsi="Times New Roman" w:cs="Times New Roman"/>
                <w:sz w:val="24"/>
                <w:szCs w:val="24"/>
              </w:rPr>
              <w:t>.= 21</w:t>
            </w:r>
            <w:r w:rsidR="00FE3649" w:rsidRPr="009708B6">
              <w:rPr>
                <w:rFonts w:ascii="Times New Roman" w:hAnsi="Times New Roman" w:cs="Times New Roman"/>
                <w:sz w:val="24"/>
                <w:szCs w:val="24"/>
              </w:rPr>
              <w:t> </w:t>
            </w:r>
            <w:r w:rsidRPr="009708B6">
              <w:rPr>
                <w:rFonts w:ascii="Times New Roman" w:hAnsi="Times New Roman" w:cs="Times New Roman"/>
                <w:sz w:val="24"/>
                <w:szCs w:val="24"/>
              </w:rPr>
              <w:t>000</w:t>
            </w:r>
            <w:r w:rsidR="00FE3649" w:rsidRPr="009708B6">
              <w:rPr>
                <w:rFonts w:ascii="Times New Roman" w:hAnsi="Times New Roman" w:cs="Times New Roman"/>
                <w:sz w:val="24"/>
                <w:szCs w:val="24"/>
              </w:rPr>
              <w:t> </w:t>
            </w:r>
            <w:proofErr w:type="spellStart"/>
            <w:r w:rsidR="00FE3649" w:rsidRPr="009708B6">
              <w:rPr>
                <w:rFonts w:ascii="Times New Roman" w:hAnsi="Times New Roman" w:cs="Times New Roman"/>
                <w:i/>
                <w:sz w:val="24"/>
                <w:szCs w:val="24"/>
              </w:rPr>
              <w:t>euro</w:t>
            </w:r>
            <w:proofErr w:type="spellEnd"/>
            <w:r w:rsidRPr="009708B6">
              <w:rPr>
                <w:rFonts w:ascii="Times New Roman" w:hAnsi="Times New Roman" w:cs="Times New Roman"/>
                <w:sz w:val="24"/>
                <w:szCs w:val="24"/>
              </w:rPr>
              <w:t xml:space="preserve"> gadā par vienu speciālistu/ekspertu</w:t>
            </w:r>
            <w:r w:rsidR="0029684C" w:rsidRPr="009708B6">
              <w:rPr>
                <w:rFonts w:ascii="Times New Roman" w:hAnsi="Times New Roman" w:cs="Times New Roman"/>
                <w:sz w:val="24"/>
                <w:szCs w:val="24"/>
              </w:rPr>
              <w:t>, kurš sniegs ārpakalpojumu</w:t>
            </w:r>
            <w:r w:rsidRPr="009708B6">
              <w:rPr>
                <w:rFonts w:ascii="Times New Roman" w:hAnsi="Times New Roman" w:cs="Times New Roman"/>
                <w:sz w:val="24"/>
                <w:szCs w:val="24"/>
              </w:rPr>
              <w:t>.</w:t>
            </w:r>
          </w:p>
          <w:p w:rsidR="00A90F6D" w:rsidRPr="009708B6" w:rsidRDefault="00A90F6D" w:rsidP="009708B6">
            <w:pPr>
              <w:shd w:val="clear" w:color="auto" w:fill="FFFFFF" w:themeFill="background1"/>
              <w:spacing w:line="240" w:lineRule="auto"/>
              <w:jc w:val="both"/>
              <w:rPr>
                <w:rFonts w:ascii="Times New Roman" w:hAnsi="Times New Roman" w:cs="Times New Roman"/>
                <w:sz w:val="24"/>
                <w:szCs w:val="24"/>
              </w:rPr>
            </w:pPr>
            <w:r w:rsidRPr="009708B6">
              <w:rPr>
                <w:rFonts w:ascii="Times New Roman" w:hAnsi="Times New Roman" w:cs="Times New Roman"/>
                <w:sz w:val="24"/>
                <w:szCs w:val="24"/>
              </w:rPr>
              <w:t xml:space="preserve">Ekspertu/speciālistu </w:t>
            </w:r>
            <w:r w:rsidR="0029684C" w:rsidRPr="009708B6">
              <w:rPr>
                <w:rFonts w:ascii="Times New Roman" w:hAnsi="Times New Roman" w:cs="Times New Roman"/>
                <w:sz w:val="24"/>
                <w:szCs w:val="24"/>
              </w:rPr>
              <w:t xml:space="preserve">ārpakalpojuma </w:t>
            </w:r>
            <w:r w:rsidRPr="009708B6">
              <w:rPr>
                <w:rFonts w:ascii="Times New Roman" w:hAnsi="Times New Roman" w:cs="Times New Roman"/>
                <w:sz w:val="24"/>
                <w:szCs w:val="24"/>
              </w:rPr>
              <w:t>pi</w:t>
            </w:r>
            <w:r w:rsidR="00FE3649" w:rsidRPr="009708B6">
              <w:rPr>
                <w:rFonts w:ascii="Times New Roman" w:hAnsi="Times New Roman" w:cs="Times New Roman"/>
                <w:sz w:val="24"/>
                <w:szCs w:val="24"/>
              </w:rPr>
              <w:t>esaiste ir pamatojama ar jauno e</w:t>
            </w:r>
            <w:r w:rsidRPr="009708B6">
              <w:rPr>
                <w:rFonts w:ascii="Times New Roman" w:hAnsi="Times New Roman" w:cs="Times New Roman"/>
                <w:sz w:val="24"/>
                <w:szCs w:val="24"/>
              </w:rPr>
              <w:t>lektronisko plašsaziņas līdzekļu normu ievietošanu, paredzot NEPLP papildus funkciju – īstenot uzraudzības iestādes funkcijas Informācijas sabiedrības pakalpojumu likuma izpratnē. Tāpat NEPLP ir nācis klāt jauns uzraudzības subjekts – elektroniskie plašsaziņas līdzekļi, kas sniedz pakalpojumus pēc pieprasījuma.</w:t>
            </w:r>
          </w:p>
        </w:tc>
      </w:tr>
      <w:tr w:rsidR="008312A8" w:rsidRPr="009708B6" w:rsidTr="00BD56FA">
        <w:trPr>
          <w:trHeight w:val="15"/>
          <w:tblCellSpacing w:w="15" w:type="dxa"/>
          <w:jc w:val="center"/>
        </w:trPr>
        <w:tc>
          <w:tcPr>
            <w:tcW w:w="896" w:type="pct"/>
            <w:hideMark/>
          </w:tcPr>
          <w:p w:rsidR="008312A8" w:rsidRPr="009708B6" w:rsidRDefault="008312A8" w:rsidP="009708B6">
            <w:pPr>
              <w:shd w:val="clear" w:color="auto" w:fill="FFFFFF" w:themeFill="background1"/>
              <w:rPr>
                <w:rFonts w:ascii="Times New Roman" w:hAnsi="Times New Roman" w:cs="Times New Roman"/>
                <w:sz w:val="24"/>
                <w:szCs w:val="24"/>
              </w:rPr>
            </w:pPr>
            <w:r w:rsidRPr="009708B6">
              <w:rPr>
                <w:rFonts w:ascii="Times New Roman" w:hAnsi="Times New Roman" w:cs="Times New Roman"/>
                <w:sz w:val="24"/>
                <w:szCs w:val="24"/>
              </w:rPr>
              <w:lastRenderedPageBreak/>
              <w:t>7. Cita informācija</w:t>
            </w:r>
          </w:p>
        </w:tc>
        <w:tc>
          <w:tcPr>
            <w:tcW w:w="4055" w:type="pct"/>
            <w:gridSpan w:val="5"/>
            <w:hideMark/>
          </w:tcPr>
          <w:p w:rsidR="008312A8" w:rsidRPr="009708B6" w:rsidRDefault="008312A8" w:rsidP="009708B6">
            <w:pPr>
              <w:shd w:val="clear" w:color="auto" w:fill="FFFFFF" w:themeFill="background1"/>
              <w:spacing w:before="100" w:beforeAutospacing="1" w:after="100" w:afterAutospacing="1"/>
              <w:jc w:val="both"/>
              <w:rPr>
                <w:rFonts w:ascii="Times New Roman" w:hAnsi="Times New Roman" w:cs="Times New Roman"/>
                <w:sz w:val="24"/>
                <w:szCs w:val="24"/>
              </w:rPr>
            </w:pPr>
            <w:r w:rsidRPr="009708B6">
              <w:rPr>
                <w:rFonts w:ascii="Times New Roman" w:hAnsi="Times New Roman" w:cs="Times New Roman"/>
                <w:sz w:val="24"/>
                <w:szCs w:val="24"/>
              </w:rPr>
              <w:t xml:space="preserve">Nav. </w:t>
            </w:r>
          </w:p>
        </w:tc>
      </w:tr>
      <w:bookmarkEnd w:id="2"/>
    </w:tbl>
    <w:p w:rsidR="008312A8" w:rsidRPr="009708B6" w:rsidRDefault="008312A8" w:rsidP="009708B6">
      <w:pPr>
        <w:shd w:val="clear" w:color="auto" w:fill="FFFFFF" w:themeFill="background1"/>
        <w:jc w:val="center"/>
        <w:rPr>
          <w:b/>
          <w:bCs/>
          <w:sz w:val="16"/>
          <w:szCs w:val="16"/>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5"/>
        <w:gridCol w:w="2645"/>
        <w:gridCol w:w="6019"/>
      </w:tblGrid>
      <w:tr w:rsidR="008312A8" w:rsidRPr="009708B6" w:rsidTr="00C11EDC">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312A8" w:rsidRPr="009708B6" w:rsidRDefault="008312A8" w:rsidP="009708B6">
            <w:pPr>
              <w:shd w:val="clear" w:color="auto" w:fill="FFFFFF" w:themeFill="background1"/>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9708B6">
              <w:rPr>
                <w:rFonts w:ascii="Times New Roman" w:eastAsia="Times New Roman" w:hAnsi="Times New Roman" w:cs="Times New Roman"/>
                <w:b/>
                <w:bCs/>
                <w:color w:val="000000" w:themeColor="text1"/>
                <w:sz w:val="24"/>
                <w:szCs w:val="24"/>
                <w:lang w:eastAsia="lv-LV"/>
              </w:rPr>
              <w:t>IV. Tiesību akta projekta ietekme uz spēkā esošo tiesību normu sistēmu</w:t>
            </w:r>
          </w:p>
        </w:tc>
      </w:tr>
      <w:tr w:rsidR="008312A8" w:rsidRPr="009708B6" w:rsidTr="00C11EDC">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312A8" w:rsidRPr="009708B6" w:rsidRDefault="008312A8" w:rsidP="009708B6">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lv-LV"/>
              </w:rPr>
            </w:pPr>
            <w:r w:rsidRPr="009708B6">
              <w:rPr>
                <w:rFonts w:ascii="Times New Roman" w:eastAsia="Times New Roman" w:hAnsi="Times New Roman" w:cs="Times New Roman"/>
                <w:color w:val="000000" w:themeColor="text1"/>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8312A8" w:rsidRPr="009708B6" w:rsidRDefault="008312A8" w:rsidP="009708B6">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lv-LV"/>
              </w:rPr>
            </w:pPr>
            <w:r w:rsidRPr="009708B6">
              <w:rPr>
                <w:rFonts w:ascii="Times New Roman" w:eastAsia="Times New Roman" w:hAnsi="Times New Roman" w:cs="Times New Roman"/>
                <w:color w:val="000000" w:themeColor="text1"/>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8312A8" w:rsidRPr="009708B6" w:rsidRDefault="008312A8" w:rsidP="009708B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lv-LV"/>
              </w:rPr>
            </w:pPr>
            <w:r w:rsidRPr="009708B6">
              <w:rPr>
                <w:rFonts w:ascii="Times New Roman" w:eastAsia="Times New Roman" w:hAnsi="Times New Roman" w:cs="Times New Roman"/>
                <w:color w:val="000000" w:themeColor="text1"/>
                <w:sz w:val="24"/>
                <w:szCs w:val="24"/>
                <w:lang w:eastAsia="lv-LV"/>
              </w:rPr>
              <w:t>Grozījumi Elektronisko plašsaziņas līdzekļu likumā</w:t>
            </w:r>
            <w:r w:rsidR="0037097B" w:rsidRPr="009708B6">
              <w:rPr>
                <w:rFonts w:ascii="Times New Roman" w:eastAsia="Times New Roman" w:hAnsi="Times New Roman" w:cs="Times New Roman"/>
                <w:color w:val="000000" w:themeColor="text1"/>
                <w:sz w:val="24"/>
                <w:szCs w:val="24"/>
                <w:lang w:eastAsia="lv-LV"/>
              </w:rPr>
              <w:t>.</w:t>
            </w:r>
          </w:p>
          <w:p w:rsidR="008312A8" w:rsidRPr="009708B6" w:rsidRDefault="0037097B" w:rsidP="009708B6">
            <w:pPr>
              <w:shd w:val="clear" w:color="auto" w:fill="FFFFFF" w:themeFill="background1"/>
              <w:spacing w:after="0" w:line="240" w:lineRule="auto"/>
              <w:jc w:val="both"/>
              <w:rPr>
                <w:rFonts w:ascii="Times New Roman" w:hAnsi="Times New Roman" w:cs="Times New Roman"/>
                <w:color w:val="000000" w:themeColor="text1"/>
                <w:sz w:val="24"/>
                <w:szCs w:val="24"/>
              </w:rPr>
            </w:pPr>
            <w:r w:rsidRPr="009708B6">
              <w:rPr>
                <w:rFonts w:ascii="Times New Roman" w:eastAsia="Times New Roman" w:hAnsi="Times New Roman" w:cs="Times New Roman"/>
                <w:color w:val="000000" w:themeColor="text1"/>
                <w:sz w:val="24"/>
                <w:szCs w:val="24"/>
                <w:lang w:eastAsia="lv-LV"/>
              </w:rPr>
              <w:t xml:space="preserve">Grozījumi </w:t>
            </w:r>
            <w:r w:rsidR="008312A8" w:rsidRPr="009708B6">
              <w:rPr>
                <w:rFonts w:ascii="Times New Roman" w:hAnsi="Times New Roman" w:cs="Times New Roman"/>
                <w:color w:val="000000" w:themeColor="text1"/>
                <w:sz w:val="24"/>
                <w:szCs w:val="24"/>
              </w:rPr>
              <w:t>Elektronisko plašsaziņas līdzekļu nozares attīstības nacio</w:t>
            </w:r>
            <w:r w:rsidRPr="009708B6">
              <w:rPr>
                <w:rFonts w:ascii="Times New Roman" w:hAnsi="Times New Roman" w:cs="Times New Roman"/>
                <w:color w:val="000000" w:themeColor="text1"/>
                <w:sz w:val="24"/>
                <w:szCs w:val="24"/>
              </w:rPr>
              <w:t>nālās stratēģijas 2012. – 2017.</w:t>
            </w:r>
            <w:r w:rsidR="008312A8" w:rsidRPr="009708B6">
              <w:rPr>
                <w:rFonts w:ascii="Times New Roman" w:hAnsi="Times New Roman" w:cs="Times New Roman"/>
                <w:color w:val="000000" w:themeColor="text1"/>
                <w:sz w:val="24"/>
                <w:szCs w:val="24"/>
              </w:rPr>
              <w:t>gadam pielikumā</w:t>
            </w:r>
            <w:r w:rsidRPr="009708B6">
              <w:rPr>
                <w:rFonts w:ascii="Times New Roman" w:hAnsi="Times New Roman" w:cs="Times New Roman"/>
                <w:color w:val="000000" w:themeColor="text1"/>
                <w:sz w:val="24"/>
                <w:szCs w:val="24"/>
              </w:rPr>
              <w:t xml:space="preserve"> Nr.</w:t>
            </w:r>
            <w:r w:rsidR="008312A8" w:rsidRPr="009708B6">
              <w:rPr>
                <w:rFonts w:ascii="Times New Roman" w:hAnsi="Times New Roman" w:cs="Times New Roman"/>
                <w:color w:val="000000" w:themeColor="text1"/>
                <w:sz w:val="24"/>
                <w:szCs w:val="24"/>
              </w:rPr>
              <w:t xml:space="preserve">5 </w:t>
            </w:r>
            <w:r w:rsidRPr="009708B6">
              <w:rPr>
                <w:rFonts w:ascii="Times New Roman" w:hAnsi="Times New Roman" w:cs="Times New Roman"/>
                <w:color w:val="000000" w:themeColor="text1"/>
                <w:sz w:val="24"/>
                <w:szCs w:val="24"/>
              </w:rPr>
              <w:t>„</w:t>
            </w:r>
            <w:r w:rsidR="008312A8" w:rsidRPr="009708B6">
              <w:rPr>
                <w:rFonts w:ascii="Times New Roman" w:hAnsi="Times New Roman" w:cs="Times New Roman"/>
                <w:color w:val="000000" w:themeColor="text1"/>
                <w:sz w:val="24"/>
                <w:szCs w:val="24"/>
              </w:rPr>
              <w:t>Kārtība, kādā izsniedz retranslācijas atļaujas un elektroniskajiem plašsaziņas līdzekļiem piešķir tiesības retranslēt audio un audiovizuālās programmas”.</w:t>
            </w:r>
          </w:p>
        </w:tc>
      </w:tr>
      <w:tr w:rsidR="008312A8" w:rsidRPr="009708B6" w:rsidTr="00C11EDC">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312A8" w:rsidRPr="009708B6" w:rsidRDefault="008312A8" w:rsidP="009708B6">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lv-LV"/>
              </w:rPr>
            </w:pPr>
            <w:r w:rsidRPr="009708B6">
              <w:rPr>
                <w:rFonts w:ascii="Times New Roman" w:eastAsia="Times New Roman" w:hAnsi="Times New Roman" w:cs="Times New Roman"/>
                <w:color w:val="000000" w:themeColor="text1"/>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8312A8" w:rsidRPr="009708B6" w:rsidRDefault="008312A8" w:rsidP="009708B6">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lv-LV"/>
              </w:rPr>
            </w:pPr>
            <w:r w:rsidRPr="009708B6">
              <w:rPr>
                <w:rFonts w:ascii="Times New Roman" w:eastAsia="Times New Roman" w:hAnsi="Times New Roman" w:cs="Times New Roman"/>
                <w:color w:val="000000" w:themeColor="text1"/>
                <w:sz w:val="24"/>
                <w:szCs w:val="24"/>
                <w:lang w:eastAsia="lv-LV"/>
              </w:rPr>
              <w:t>Atbildīgā institūcija</w:t>
            </w:r>
          </w:p>
        </w:tc>
        <w:sdt>
          <w:sdtPr>
            <w:rPr>
              <w:rFonts w:ascii="Times New Roman" w:eastAsia="Times New Roman" w:hAnsi="Times New Roman" w:cs="Times New Roman"/>
              <w:color w:val="000000" w:themeColor="text1"/>
              <w:sz w:val="24"/>
              <w:szCs w:val="24"/>
              <w:lang w:eastAsia="lv-LV"/>
            </w:rPr>
            <w:id w:val="-1911233947"/>
            <w:placeholder>
              <w:docPart w:val="403703E3486C4171A23111C09DC99013"/>
            </w:placeholder>
            <w:text/>
          </w:sdtPr>
          <w:sdtContent>
            <w:tc>
              <w:tcPr>
                <w:tcW w:w="3300" w:type="pct"/>
                <w:tcBorders>
                  <w:top w:val="outset" w:sz="6" w:space="0" w:color="414142"/>
                  <w:left w:val="outset" w:sz="6" w:space="0" w:color="414142"/>
                  <w:bottom w:val="outset" w:sz="6" w:space="0" w:color="414142"/>
                  <w:right w:val="outset" w:sz="6" w:space="0" w:color="414142"/>
                </w:tcBorders>
                <w:hideMark/>
              </w:tcPr>
              <w:p w:rsidR="008312A8" w:rsidRPr="009708B6" w:rsidRDefault="00AF4376" w:rsidP="009708B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lv-LV"/>
                  </w:rPr>
                </w:pPr>
                <w:r w:rsidRPr="009708B6">
                  <w:rPr>
                    <w:rFonts w:ascii="Times New Roman" w:eastAsia="Times New Roman" w:hAnsi="Times New Roman" w:cs="Times New Roman"/>
                    <w:color w:val="000000" w:themeColor="text1"/>
                    <w:sz w:val="24"/>
                    <w:szCs w:val="24"/>
                    <w:lang w:eastAsia="lv-LV"/>
                  </w:rPr>
                  <w:t>Nacionālā elektronisko plašsaziņas līdzekļu padome, Kultūras ministrija.</w:t>
                </w:r>
              </w:p>
            </w:tc>
          </w:sdtContent>
        </w:sdt>
      </w:tr>
      <w:tr w:rsidR="008312A8" w:rsidRPr="009708B6" w:rsidTr="00C11EDC">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312A8" w:rsidRPr="009708B6" w:rsidRDefault="008312A8" w:rsidP="009708B6">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lv-LV"/>
              </w:rPr>
            </w:pPr>
            <w:r w:rsidRPr="009708B6">
              <w:rPr>
                <w:rFonts w:ascii="Times New Roman" w:eastAsia="Times New Roman" w:hAnsi="Times New Roman" w:cs="Times New Roman"/>
                <w:color w:val="000000" w:themeColor="text1"/>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8312A8" w:rsidRPr="009708B6" w:rsidRDefault="008312A8" w:rsidP="009708B6">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lv-LV"/>
              </w:rPr>
            </w:pPr>
            <w:r w:rsidRPr="009708B6">
              <w:rPr>
                <w:rFonts w:ascii="Times New Roman" w:eastAsia="Times New Roman" w:hAnsi="Times New Roman" w:cs="Times New Roman"/>
                <w:color w:val="000000" w:themeColor="text1"/>
                <w:sz w:val="24"/>
                <w:szCs w:val="24"/>
                <w:lang w:eastAsia="lv-LV"/>
              </w:rPr>
              <w:t>Cita informācija</w:t>
            </w:r>
          </w:p>
        </w:tc>
        <w:sdt>
          <w:sdtPr>
            <w:rPr>
              <w:rFonts w:ascii="Times New Roman" w:eastAsia="Times New Roman" w:hAnsi="Times New Roman" w:cs="Times New Roman"/>
              <w:color w:val="000000" w:themeColor="text1"/>
              <w:sz w:val="24"/>
              <w:szCs w:val="24"/>
              <w:lang w:eastAsia="lv-LV"/>
            </w:rPr>
            <w:id w:val="-2016684222"/>
            <w:placeholder>
              <w:docPart w:val="6F0BA39AC3374D36BD808C8E84F6734D"/>
            </w:placeholder>
            <w:text/>
          </w:sdtPr>
          <w:sdtContent>
            <w:tc>
              <w:tcPr>
                <w:tcW w:w="3300" w:type="pct"/>
                <w:tcBorders>
                  <w:top w:val="outset" w:sz="6" w:space="0" w:color="414142"/>
                  <w:left w:val="outset" w:sz="6" w:space="0" w:color="414142"/>
                  <w:bottom w:val="outset" w:sz="6" w:space="0" w:color="414142"/>
                  <w:right w:val="outset" w:sz="6" w:space="0" w:color="414142"/>
                </w:tcBorders>
                <w:hideMark/>
              </w:tcPr>
              <w:p w:rsidR="008312A8" w:rsidRPr="009708B6" w:rsidRDefault="00AF4376" w:rsidP="009708B6">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lv-LV"/>
                  </w:rPr>
                </w:pPr>
                <w:r w:rsidRPr="009708B6">
                  <w:rPr>
                    <w:rFonts w:ascii="Times New Roman" w:eastAsia="Times New Roman" w:hAnsi="Times New Roman" w:cs="Times New Roman"/>
                    <w:color w:val="000000" w:themeColor="text1"/>
                    <w:sz w:val="24"/>
                    <w:szCs w:val="24"/>
                    <w:lang w:eastAsia="lv-LV"/>
                  </w:rPr>
                  <w:t>Nav.</w:t>
                </w:r>
              </w:p>
            </w:tc>
          </w:sdtContent>
        </w:sdt>
      </w:tr>
    </w:tbl>
    <w:p w:rsidR="008312A8" w:rsidRPr="009708B6" w:rsidRDefault="008312A8" w:rsidP="009708B6">
      <w:pPr>
        <w:shd w:val="clear" w:color="auto" w:fill="FFFFFF" w:themeFill="background1"/>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119"/>
      </w:tblGrid>
      <w:tr w:rsidR="008312A8" w:rsidRPr="009708B6" w:rsidTr="00C11EDC">
        <w:tc>
          <w:tcPr>
            <w:tcW w:w="5000" w:type="pct"/>
            <w:tcBorders>
              <w:top w:val="outset" w:sz="6" w:space="0" w:color="414142"/>
              <w:left w:val="outset" w:sz="6" w:space="0" w:color="414142"/>
              <w:bottom w:val="outset" w:sz="6" w:space="0" w:color="414142"/>
              <w:right w:val="outset" w:sz="6" w:space="0" w:color="414142"/>
            </w:tcBorders>
            <w:vAlign w:val="center"/>
            <w:hideMark/>
          </w:tcPr>
          <w:p w:rsidR="008312A8" w:rsidRPr="009708B6" w:rsidRDefault="008312A8" w:rsidP="009708B6">
            <w:pPr>
              <w:shd w:val="clear" w:color="auto" w:fill="FFFFFF" w:themeFill="background1"/>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9708B6">
              <w:rPr>
                <w:rFonts w:ascii="Times New Roman" w:eastAsia="Times New Roman" w:hAnsi="Times New Roman" w:cs="Times New Roman"/>
                <w:b/>
                <w:bCs/>
                <w:color w:val="000000" w:themeColor="text1"/>
                <w:sz w:val="24"/>
                <w:szCs w:val="24"/>
                <w:lang w:eastAsia="lv-LV"/>
              </w:rPr>
              <w:t>V. Tiesību akta projekta atbilstība Latvijas Republikas starptautiskajām saistībām</w:t>
            </w:r>
          </w:p>
        </w:tc>
      </w:tr>
      <w:tr w:rsidR="008312A8" w:rsidRPr="009708B6" w:rsidTr="00C11EDC">
        <w:tc>
          <w:tcPr>
            <w:tcW w:w="5000" w:type="pct"/>
            <w:tcBorders>
              <w:top w:val="outset" w:sz="6" w:space="0" w:color="414142"/>
              <w:left w:val="outset" w:sz="6" w:space="0" w:color="414142"/>
              <w:bottom w:val="outset" w:sz="6" w:space="0" w:color="414142"/>
              <w:right w:val="outset" w:sz="6" w:space="0" w:color="414142"/>
            </w:tcBorders>
          </w:tcPr>
          <w:p w:rsidR="008312A8" w:rsidRPr="009708B6" w:rsidRDefault="008312A8" w:rsidP="009708B6">
            <w:pPr>
              <w:shd w:val="clear" w:color="auto" w:fill="FFFFFF" w:themeFill="background1"/>
              <w:spacing w:line="240" w:lineRule="auto"/>
              <w:jc w:val="both"/>
              <w:rPr>
                <w:rFonts w:ascii="Times New Roman" w:hAnsi="Times New Roman" w:cs="Times New Roman"/>
                <w:color w:val="000000" w:themeColor="text1"/>
                <w:sz w:val="24"/>
                <w:szCs w:val="24"/>
              </w:rPr>
            </w:pPr>
            <w:r w:rsidRPr="009708B6">
              <w:rPr>
                <w:rFonts w:ascii="Times New Roman" w:hAnsi="Times New Roman" w:cs="Times New Roman"/>
                <w:color w:val="000000" w:themeColor="text1"/>
                <w:sz w:val="24"/>
                <w:szCs w:val="24"/>
              </w:rPr>
              <w:t xml:space="preserve">Starptautisko tiesību ietvarā </w:t>
            </w:r>
            <w:r w:rsidR="0037097B" w:rsidRPr="009708B6">
              <w:rPr>
                <w:rFonts w:ascii="Times New Roman" w:hAnsi="Times New Roman" w:cs="Times New Roman"/>
                <w:color w:val="000000" w:themeColor="text1"/>
                <w:sz w:val="24"/>
                <w:szCs w:val="24"/>
              </w:rPr>
              <w:t>nozīme ir Eiropas Padomes 1989.</w:t>
            </w:r>
            <w:r w:rsidRPr="009708B6">
              <w:rPr>
                <w:rFonts w:ascii="Times New Roman" w:hAnsi="Times New Roman" w:cs="Times New Roman"/>
                <w:color w:val="000000" w:themeColor="text1"/>
                <w:sz w:val="24"/>
                <w:szCs w:val="24"/>
              </w:rPr>
              <w:t xml:space="preserve">gada Eiropas konvencijai par pārrobežu televīziju (turpmāk – Konvencija). Konvencijas mērķis ir veicināt pārrobežu </w:t>
            </w:r>
            <w:r w:rsidRPr="009708B6">
              <w:rPr>
                <w:rFonts w:ascii="Times New Roman" w:hAnsi="Times New Roman" w:cs="Times New Roman"/>
                <w:color w:val="000000" w:themeColor="text1"/>
                <w:sz w:val="24"/>
                <w:szCs w:val="24"/>
              </w:rPr>
              <w:lastRenderedPageBreak/>
              <w:t xml:space="preserve">pārraides un televīzijas programmu pakalpojumu retranslēšanu starp konvencijas dalībvalstīm. </w:t>
            </w:r>
          </w:p>
          <w:p w:rsidR="008312A8" w:rsidRPr="009708B6" w:rsidRDefault="008312A8" w:rsidP="009708B6">
            <w:pPr>
              <w:shd w:val="clear" w:color="auto" w:fill="FFFFFF" w:themeFill="background1"/>
              <w:spacing w:line="240" w:lineRule="auto"/>
              <w:jc w:val="both"/>
              <w:rPr>
                <w:rFonts w:ascii="Times New Roman" w:hAnsi="Times New Roman" w:cs="Times New Roman"/>
                <w:color w:val="000000" w:themeColor="text1"/>
                <w:sz w:val="24"/>
                <w:szCs w:val="24"/>
              </w:rPr>
            </w:pPr>
            <w:r w:rsidRPr="009708B6">
              <w:rPr>
                <w:rFonts w:ascii="Times New Roman" w:hAnsi="Times New Roman" w:cs="Times New Roman"/>
                <w:color w:val="000000" w:themeColor="text1"/>
                <w:sz w:val="24"/>
                <w:szCs w:val="24"/>
              </w:rPr>
              <w:t>Savukārt</w:t>
            </w:r>
            <w:r w:rsidRPr="009708B6">
              <w:rPr>
                <w:rFonts w:ascii="Times New Roman" w:hAnsi="Times New Roman" w:cs="Times New Roman"/>
                <w:b/>
                <w:color w:val="000000" w:themeColor="text1"/>
                <w:sz w:val="24"/>
                <w:szCs w:val="24"/>
              </w:rPr>
              <w:t xml:space="preserve"> </w:t>
            </w:r>
            <w:r w:rsidRPr="009708B6">
              <w:rPr>
                <w:rStyle w:val="Izteiksmgs"/>
                <w:rFonts w:ascii="Times New Roman" w:hAnsi="Times New Roman" w:cs="Times New Roman"/>
                <w:color w:val="000000" w:themeColor="text1"/>
                <w:sz w:val="24"/>
                <w:szCs w:val="24"/>
                <w:bdr w:val="none" w:sz="0" w:space="0" w:color="auto" w:frame="1"/>
                <w:shd w:val="clear" w:color="auto" w:fill="FFFFFF"/>
              </w:rPr>
              <w:t>Eiropas Parlamenta un Pado</w:t>
            </w:r>
            <w:r w:rsidR="0037097B" w:rsidRPr="009708B6">
              <w:rPr>
                <w:rStyle w:val="Izteiksmgs"/>
                <w:rFonts w:ascii="Times New Roman" w:hAnsi="Times New Roman" w:cs="Times New Roman"/>
                <w:color w:val="000000" w:themeColor="text1"/>
                <w:sz w:val="24"/>
                <w:szCs w:val="24"/>
                <w:bdr w:val="none" w:sz="0" w:space="0" w:color="auto" w:frame="1"/>
                <w:shd w:val="clear" w:color="auto" w:fill="FFFFFF"/>
              </w:rPr>
              <w:t>mes Direktīva 2010/13/ES (2010.</w:t>
            </w:r>
            <w:r w:rsidRPr="009708B6">
              <w:rPr>
                <w:rStyle w:val="Izteiksmgs"/>
                <w:rFonts w:ascii="Times New Roman" w:hAnsi="Times New Roman" w:cs="Times New Roman"/>
                <w:color w:val="000000" w:themeColor="text1"/>
                <w:sz w:val="24"/>
                <w:szCs w:val="24"/>
                <w:bdr w:val="none" w:sz="0" w:space="0" w:color="auto" w:frame="1"/>
                <w:shd w:val="clear" w:color="auto" w:fill="FFFFFF"/>
              </w:rPr>
              <w:t>gada 10.marts), par to, lai koordinētu dažus dalībvalstu normatīvajos un administratīvajos aktos paredzētus noteikumus par audiovizuālo mediju pakalpojumu sniegšanu (Audiovizuālo mediju pakalpojumu direktīva) (turp</w:t>
            </w:r>
            <w:r w:rsidR="0037097B" w:rsidRPr="009708B6">
              <w:rPr>
                <w:rStyle w:val="Izteiksmgs"/>
                <w:rFonts w:ascii="Times New Roman" w:hAnsi="Times New Roman" w:cs="Times New Roman"/>
                <w:color w:val="000000" w:themeColor="text1"/>
                <w:sz w:val="24"/>
                <w:szCs w:val="24"/>
                <w:bdr w:val="none" w:sz="0" w:space="0" w:color="auto" w:frame="1"/>
                <w:shd w:val="clear" w:color="auto" w:fill="FFFFFF"/>
              </w:rPr>
              <w:t>māk – Direktīva) preambulas 19.</w:t>
            </w:r>
            <w:r w:rsidRPr="009708B6">
              <w:rPr>
                <w:rStyle w:val="Izteiksmgs"/>
                <w:rFonts w:ascii="Times New Roman" w:hAnsi="Times New Roman" w:cs="Times New Roman"/>
                <w:color w:val="000000" w:themeColor="text1"/>
                <w:sz w:val="24"/>
                <w:szCs w:val="24"/>
                <w:bdr w:val="none" w:sz="0" w:space="0" w:color="auto" w:frame="1"/>
                <w:shd w:val="clear" w:color="auto" w:fill="FFFFFF"/>
              </w:rPr>
              <w:t>apsvērums norāda, ka</w:t>
            </w:r>
            <w:r w:rsidRPr="009708B6">
              <w:rPr>
                <w:rFonts w:ascii="Times New Roman" w:hAnsi="Times New Roman" w:cs="Times New Roman"/>
                <w:b/>
                <w:color w:val="000000" w:themeColor="text1"/>
                <w:sz w:val="24"/>
                <w:szCs w:val="24"/>
                <w:shd w:val="clear" w:color="auto" w:fill="FFFFFF"/>
              </w:rPr>
              <w:t xml:space="preserve"> </w:t>
            </w:r>
            <w:r w:rsidRPr="009708B6">
              <w:rPr>
                <w:rFonts w:ascii="Times New Roman" w:hAnsi="Times New Roman" w:cs="Times New Roman"/>
                <w:color w:val="000000" w:themeColor="text1"/>
                <w:sz w:val="24"/>
                <w:szCs w:val="24"/>
                <w:shd w:val="clear" w:color="auto" w:fill="FFFFFF"/>
              </w:rPr>
              <w:t xml:space="preserve">direktīva neietekmē dalībvalstu un to iestāžu atbildību par organizatoriskiem pasākumiem – tostarp licencēšanas, administratīvu atļauju vai nodokļu sistēmu,– finansēšanu un raidījumu saturu. </w:t>
            </w:r>
            <w:r w:rsidRPr="009708B6">
              <w:rPr>
                <w:rFonts w:ascii="Times New Roman" w:hAnsi="Times New Roman" w:cs="Times New Roman"/>
                <w:color w:val="000000" w:themeColor="text1"/>
                <w:sz w:val="24"/>
                <w:szCs w:val="24"/>
              </w:rPr>
              <w:t>Tādējādi paliek neskarta dalībvalstu neatkarība Savienības kultūras attīstībā un kultūras daudzveidības saglabāšanā.</w:t>
            </w:r>
          </w:p>
          <w:p w:rsidR="008312A8" w:rsidRPr="009708B6" w:rsidRDefault="008312A8" w:rsidP="009708B6">
            <w:pPr>
              <w:shd w:val="clear" w:color="auto" w:fill="FFFFFF" w:themeFill="background1"/>
              <w:spacing w:line="240" w:lineRule="auto"/>
              <w:jc w:val="both"/>
              <w:rPr>
                <w:rFonts w:ascii="Times New Roman" w:hAnsi="Times New Roman" w:cs="Times New Roman"/>
                <w:color w:val="000000" w:themeColor="text1"/>
                <w:sz w:val="24"/>
                <w:szCs w:val="24"/>
              </w:rPr>
            </w:pPr>
            <w:r w:rsidRPr="009708B6">
              <w:rPr>
                <w:rFonts w:ascii="Times New Roman" w:hAnsi="Times New Roman" w:cs="Times New Roman"/>
                <w:color w:val="000000" w:themeColor="text1"/>
                <w:sz w:val="24"/>
                <w:szCs w:val="24"/>
              </w:rPr>
              <w:t>Direktīvas pamatā ir izcelsmes valsts princips – audiovizuālo mediju pakalpojumu sniedzējiem jāievēro tās dalībvalsts noteikumi, kurā tie ir reģistrēti un kurā tiek pieņemti svarīgākie redakcionālie l</w:t>
            </w:r>
            <w:r w:rsidR="0037097B" w:rsidRPr="009708B6">
              <w:rPr>
                <w:rFonts w:ascii="Times New Roman" w:hAnsi="Times New Roman" w:cs="Times New Roman"/>
                <w:color w:val="000000" w:themeColor="text1"/>
                <w:sz w:val="24"/>
                <w:szCs w:val="24"/>
              </w:rPr>
              <w:t>ēmumi. Saskaņā ar Direktīvas 3.</w:t>
            </w:r>
            <w:r w:rsidRPr="009708B6">
              <w:rPr>
                <w:rFonts w:ascii="Times New Roman" w:hAnsi="Times New Roman" w:cs="Times New Roman"/>
                <w:color w:val="000000" w:themeColor="text1"/>
                <w:sz w:val="24"/>
                <w:szCs w:val="24"/>
              </w:rPr>
              <w:t>pantu dalībvalstīm jānodrošina uztveršanas brīvība un tās savā teritorijā nedrīkst ierobežot retranslāciju no citām dalībvalstīm, izņemot, ja ar retranslāciju tiek pieļauti būtiski pārkāpumi.</w:t>
            </w:r>
          </w:p>
          <w:p w:rsidR="008312A8" w:rsidRPr="009708B6" w:rsidRDefault="0037097B" w:rsidP="009708B6">
            <w:pPr>
              <w:shd w:val="clear" w:color="auto" w:fill="FFFFFF" w:themeFill="background1"/>
              <w:spacing w:line="240" w:lineRule="auto"/>
              <w:jc w:val="both"/>
              <w:rPr>
                <w:rFonts w:ascii="Times New Roman" w:hAnsi="Times New Roman" w:cs="Times New Roman"/>
                <w:color w:val="000000" w:themeColor="text1"/>
                <w:sz w:val="24"/>
                <w:szCs w:val="24"/>
              </w:rPr>
            </w:pPr>
            <w:r w:rsidRPr="009708B6">
              <w:rPr>
                <w:rFonts w:ascii="Times New Roman" w:hAnsi="Times New Roman" w:cs="Times New Roman"/>
                <w:color w:val="000000" w:themeColor="text1"/>
                <w:sz w:val="24"/>
                <w:szCs w:val="24"/>
              </w:rPr>
              <w:t>Taču Direktīvas preambulas 94.</w:t>
            </w:r>
            <w:r w:rsidR="008312A8" w:rsidRPr="009708B6">
              <w:rPr>
                <w:rFonts w:ascii="Times New Roman" w:hAnsi="Times New Roman" w:cs="Times New Roman"/>
                <w:color w:val="000000" w:themeColor="text1"/>
                <w:sz w:val="24"/>
                <w:szCs w:val="24"/>
              </w:rPr>
              <w:t>apsvērums paredz, ka dalībvalstis var brīvi izvēlēties atbilstīgus instrumentus saskaņā ar savām tiesiskajām tradīcijām un izveidotajām struktūrām un jo īpaši izvēlēties kompetento neatkarīgo regulatīvo struktūru formu, lai tās varētu veikt savu darbu neatkarīgi un caurskatāmi. Īpaši svarīga ir dalībvalstu un to regulatīvo struktūru sadarbība saistībā ar ietekmi, ko raidorganizācijas, kas veic uzņēmējdarbību vienā dalībvalstī, varētu radīt citā dalībvalstī. Ja valsts tiesību aktos ir paredzētas licencēšanas procedūras un ja ir iesaistīta vairāk nekā viena dalībvalsts, ir vēlams, lai attiecīgās struktūras savā starpā sazinātos, pirms tās izsniedz šādu licenci.</w:t>
            </w:r>
          </w:p>
          <w:p w:rsidR="008312A8" w:rsidRPr="009708B6" w:rsidRDefault="008312A8" w:rsidP="009708B6">
            <w:pPr>
              <w:shd w:val="clear" w:color="auto" w:fill="FFFFFF" w:themeFill="background1"/>
              <w:spacing w:line="240" w:lineRule="auto"/>
              <w:jc w:val="both"/>
              <w:rPr>
                <w:rFonts w:ascii="Times New Roman" w:hAnsi="Times New Roman" w:cs="Times New Roman"/>
                <w:color w:val="000000" w:themeColor="text1"/>
                <w:sz w:val="24"/>
                <w:szCs w:val="24"/>
              </w:rPr>
            </w:pPr>
            <w:r w:rsidRPr="009708B6">
              <w:rPr>
                <w:rFonts w:ascii="Times New Roman" w:hAnsi="Times New Roman" w:cs="Times New Roman"/>
                <w:color w:val="000000" w:themeColor="text1"/>
                <w:sz w:val="24"/>
                <w:szCs w:val="24"/>
              </w:rPr>
              <w:t>Direktīvā paredzēti atsevišķi nosacījumi attiecībā uz pārraižu saturu (piemēram, raidlaiku). Dalībvalstis var noteikt satura prasības kā nosacījumu atļaujas izsniegšanai, ņemot vērā Direktīvā noteiktos vispārīgos principus.</w:t>
            </w:r>
          </w:p>
          <w:p w:rsidR="008312A8" w:rsidRPr="009708B6" w:rsidRDefault="0037097B" w:rsidP="009708B6">
            <w:pPr>
              <w:shd w:val="clear" w:color="auto" w:fill="FFFFFF" w:themeFill="background1"/>
              <w:spacing w:line="240" w:lineRule="auto"/>
              <w:jc w:val="both"/>
              <w:rPr>
                <w:rFonts w:ascii="Times New Roman" w:hAnsi="Times New Roman" w:cs="Times New Roman"/>
                <w:color w:val="000000" w:themeColor="text1"/>
                <w:sz w:val="24"/>
                <w:szCs w:val="24"/>
              </w:rPr>
            </w:pPr>
            <w:r w:rsidRPr="009708B6">
              <w:rPr>
                <w:rFonts w:ascii="Times New Roman" w:hAnsi="Times New Roman" w:cs="Times New Roman"/>
                <w:color w:val="000000" w:themeColor="text1"/>
                <w:sz w:val="24"/>
                <w:szCs w:val="24"/>
              </w:rPr>
              <w:t>Direktīvas preambulas 78.</w:t>
            </w:r>
            <w:r w:rsidR="008312A8" w:rsidRPr="009708B6">
              <w:rPr>
                <w:rFonts w:ascii="Times New Roman" w:hAnsi="Times New Roman" w:cs="Times New Roman"/>
                <w:color w:val="000000" w:themeColor="text1"/>
                <w:sz w:val="24"/>
                <w:szCs w:val="24"/>
              </w:rPr>
              <w:t xml:space="preserve">punkts </w:t>
            </w:r>
            <w:proofErr w:type="spellStart"/>
            <w:r w:rsidR="008312A8" w:rsidRPr="009708B6">
              <w:rPr>
                <w:rFonts w:ascii="Times New Roman" w:hAnsi="Times New Roman" w:cs="Times New Roman"/>
                <w:color w:val="000000" w:themeColor="text1"/>
                <w:sz w:val="24"/>
                <w:szCs w:val="24"/>
              </w:rPr>
              <w:t>citastarp</w:t>
            </w:r>
            <w:proofErr w:type="spellEnd"/>
            <w:r w:rsidR="008312A8" w:rsidRPr="009708B6">
              <w:rPr>
                <w:rFonts w:ascii="Times New Roman" w:hAnsi="Times New Roman" w:cs="Times New Roman"/>
                <w:color w:val="000000" w:themeColor="text1"/>
                <w:sz w:val="24"/>
                <w:szCs w:val="24"/>
              </w:rPr>
              <w:t xml:space="preserve"> paredz iespēju dalībvalstīm brīvi noteikt sīkāk izstrādātus vai stingrākus noteikumus atkarībā no valodas kritērijiem, ja vien šie noteikumi ir saderīgi ar ES tiesību aktiem un jo īpaši nav piemērojami tādas apraides retranslācijai, kuras izcelsme ir citās dalībvalstīs. </w:t>
            </w:r>
          </w:p>
          <w:p w:rsidR="008312A8" w:rsidRPr="009708B6" w:rsidRDefault="008312A8" w:rsidP="009708B6">
            <w:pPr>
              <w:shd w:val="clear" w:color="auto" w:fill="FFFFFF" w:themeFill="background1"/>
              <w:spacing w:after="0" w:line="240" w:lineRule="auto"/>
              <w:jc w:val="both"/>
              <w:rPr>
                <w:rFonts w:ascii="Times New Roman" w:hAnsi="Times New Roman" w:cs="Times New Roman"/>
                <w:color w:val="000000" w:themeColor="text1"/>
                <w:sz w:val="24"/>
                <w:szCs w:val="24"/>
              </w:rPr>
            </w:pPr>
            <w:r w:rsidRPr="009708B6">
              <w:rPr>
                <w:rFonts w:ascii="Times New Roman" w:hAnsi="Times New Roman" w:cs="Times New Roman"/>
                <w:color w:val="000000" w:themeColor="text1"/>
                <w:sz w:val="24"/>
                <w:szCs w:val="24"/>
              </w:rPr>
              <w:t>Tātad nedz Konvencija, nedz Direktīva nenosaka ierobežojumus dalībvalstīm attiecībā uz kompetento uzraudzības iestāžu tiesībām noteikt maksu par atļauju izsniegšanu, grozījumu veikšanu, atļaujas nosacījumu pārskatīšanu vai par uzraudzības veikšanu. Turklāt nepastāv nekādi nosacījumi nedz par retranslācijas testa vai pagaidu režīmu, nedz arī par retranslācijas atļauju termiņiem. Dalībvalstis var izvēlēties, ciktāl tās nosaka ierobežojumus attiecībā uz pārraižu saturu (piemēram, kā nosacījumu atļaujas izsniegšanai vai pārreģistrācijai), ņemot vērā Direktīvā noteiktos principus.</w:t>
            </w:r>
          </w:p>
          <w:p w:rsidR="00E34F19" w:rsidRPr="009708B6" w:rsidRDefault="00E34F19" w:rsidP="009708B6">
            <w:pPr>
              <w:shd w:val="clear" w:color="auto" w:fill="FFFFFF" w:themeFill="background1"/>
              <w:spacing w:after="0" w:line="240" w:lineRule="auto"/>
              <w:jc w:val="both"/>
              <w:rPr>
                <w:rFonts w:ascii="Times New Roman" w:hAnsi="Times New Roman" w:cs="Times New Roman"/>
                <w:color w:val="000000" w:themeColor="text1"/>
                <w:sz w:val="24"/>
                <w:szCs w:val="24"/>
              </w:rPr>
            </w:pPr>
          </w:p>
          <w:p w:rsidR="00E34F19" w:rsidRPr="009708B6" w:rsidRDefault="00E34F19" w:rsidP="009708B6">
            <w:pPr>
              <w:shd w:val="clear" w:color="auto" w:fill="FFFFFF" w:themeFill="background1"/>
              <w:spacing w:after="0" w:line="240" w:lineRule="auto"/>
              <w:jc w:val="both"/>
              <w:rPr>
                <w:rFonts w:ascii="Times New Roman" w:hAnsi="Times New Roman" w:cs="Times New Roman"/>
                <w:color w:val="000000" w:themeColor="text1"/>
                <w:sz w:val="24"/>
                <w:szCs w:val="24"/>
              </w:rPr>
            </w:pPr>
            <w:r w:rsidRPr="009708B6">
              <w:rPr>
                <w:rFonts w:ascii="Times New Roman" w:eastAsia="Times New Roman" w:hAnsi="Times New Roman" w:cs="Times New Roman"/>
                <w:color w:val="000000" w:themeColor="text1"/>
                <w:sz w:val="24"/>
                <w:szCs w:val="24"/>
                <w:lang w:eastAsia="lv-LV"/>
              </w:rPr>
              <w:t>Noteikumu projekta 8</w:t>
            </w:r>
            <w:r w:rsidRPr="009708B6">
              <w:rPr>
                <w:rFonts w:ascii="Times New Roman" w:hAnsi="Times New Roman" w:cs="Times New Roman"/>
                <w:color w:val="000000" w:themeColor="text1"/>
                <w:sz w:val="24"/>
                <w:szCs w:val="24"/>
              </w:rPr>
              <w:t xml:space="preserve">.2., 9.1. un 9.2.apakšpunktā paredzētie atbrīvojumi no valsts nodevas samaksas uzskatāmi par valsts atbalstu. Ņemot vērā šo apstākli un paredzēto naudas summu apmēru, Noteikumu projekta 13.punktā ietverta kārtība, kā rīkoties attiecībā uz šiem atbrīvojumiem no valsts nodevas samaksas, piemērojot Komisijas 2013.gada 18. decembra Regulai (ES) Nr.1407/2013 par Līguma par Eiropas Savienības darbību 107. un 108.panta piemērošanu </w:t>
            </w:r>
            <w:r w:rsidRPr="009708B6">
              <w:rPr>
                <w:rFonts w:ascii="Times New Roman" w:hAnsi="Times New Roman" w:cs="Times New Roman"/>
                <w:i/>
                <w:color w:val="000000" w:themeColor="text1"/>
                <w:sz w:val="24"/>
                <w:szCs w:val="24"/>
              </w:rPr>
              <w:t>de minimis</w:t>
            </w:r>
            <w:r w:rsidRPr="009708B6">
              <w:rPr>
                <w:rFonts w:ascii="Times New Roman" w:hAnsi="Times New Roman" w:cs="Times New Roman"/>
                <w:color w:val="000000" w:themeColor="text1"/>
                <w:sz w:val="24"/>
                <w:szCs w:val="24"/>
              </w:rPr>
              <w:t xml:space="preserve"> atbalstam. </w:t>
            </w:r>
            <w:r w:rsidR="00130B74" w:rsidRPr="009708B6">
              <w:rPr>
                <w:rFonts w:ascii="Times New Roman" w:hAnsi="Times New Roman" w:cs="Times New Roman"/>
                <w:color w:val="000000" w:themeColor="text1"/>
                <w:sz w:val="24"/>
                <w:szCs w:val="24"/>
              </w:rPr>
              <w:t>Š</w:t>
            </w:r>
            <w:r w:rsidRPr="009708B6">
              <w:rPr>
                <w:rFonts w:ascii="Times New Roman" w:hAnsi="Times New Roman" w:cs="Times New Roman"/>
                <w:color w:val="000000" w:themeColor="text1"/>
                <w:sz w:val="24"/>
                <w:szCs w:val="24"/>
              </w:rPr>
              <w:t xml:space="preserve">āds atbalsts ir jāuzskaita kopsakarā ar citu EPL piešķirto valsts atbalstu un </w:t>
            </w:r>
            <w:r w:rsidR="00130B74" w:rsidRPr="009708B6">
              <w:rPr>
                <w:rFonts w:ascii="Times New Roman" w:hAnsi="Times New Roman" w:cs="Times New Roman"/>
                <w:color w:val="000000" w:themeColor="text1"/>
                <w:sz w:val="24"/>
                <w:szCs w:val="24"/>
              </w:rPr>
              <w:t xml:space="preserve">kopā </w:t>
            </w:r>
            <w:r w:rsidR="00130B74" w:rsidRPr="009708B6">
              <w:rPr>
                <w:rFonts w:ascii="Times New Roman" w:hAnsi="Times New Roman" w:cs="Times New Roman"/>
                <w:i/>
                <w:color w:val="000000" w:themeColor="text1"/>
                <w:sz w:val="24"/>
                <w:szCs w:val="24"/>
              </w:rPr>
              <w:t>de minimis</w:t>
            </w:r>
            <w:r w:rsidR="00130B74" w:rsidRPr="009708B6">
              <w:rPr>
                <w:rFonts w:ascii="Times New Roman" w:hAnsi="Times New Roman" w:cs="Times New Roman"/>
                <w:color w:val="000000" w:themeColor="text1"/>
                <w:sz w:val="24"/>
                <w:szCs w:val="24"/>
              </w:rPr>
              <w:t xml:space="preserve"> atbalsts </w:t>
            </w:r>
            <w:r w:rsidRPr="009708B6">
              <w:rPr>
                <w:rFonts w:ascii="Times New Roman" w:hAnsi="Times New Roman" w:cs="Times New Roman"/>
                <w:color w:val="000000" w:themeColor="text1"/>
                <w:sz w:val="24"/>
                <w:szCs w:val="24"/>
              </w:rPr>
              <w:t xml:space="preserve">nedrīkst pārsniegt 200 000 euro </w:t>
            </w:r>
            <w:r w:rsidR="00130B74" w:rsidRPr="009708B6">
              <w:rPr>
                <w:rFonts w:ascii="Times New Roman" w:hAnsi="Times New Roman" w:cs="Times New Roman"/>
                <w:color w:val="000000" w:themeColor="text1"/>
                <w:sz w:val="24"/>
                <w:szCs w:val="24"/>
              </w:rPr>
              <w:t xml:space="preserve">pēdējo </w:t>
            </w:r>
            <w:r w:rsidRPr="009708B6">
              <w:rPr>
                <w:rFonts w:ascii="Times New Roman" w:hAnsi="Times New Roman" w:cs="Times New Roman"/>
                <w:color w:val="000000" w:themeColor="text1"/>
                <w:sz w:val="24"/>
                <w:szCs w:val="24"/>
              </w:rPr>
              <w:t xml:space="preserve">trīs </w:t>
            </w:r>
            <w:r w:rsidR="00130B74" w:rsidRPr="009708B6">
              <w:rPr>
                <w:rFonts w:ascii="Times New Roman" w:hAnsi="Times New Roman" w:cs="Times New Roman"/>
                <w:color w:val="000000" w:themeColor="text1"/>
                <w:sz w:val="24"/>
                <w:szCs w:val="24"/>
              </w:rPr>
              <w:t xml:space="preserve">fiskālo </w:t>
            </w:r>
            <w:r w:rsidRPr="009708B6">
              <w:rPr>
                <w:rFonts w:ascii="Times New Roman" w:hAnsi="Times New Roman" w:cs="Times New Roman"/>
                <w:color w:val="000000" w:themeColor="text1"/>
                <w:sz w:val="24"/>
                <w:szCs w:val="24"/>
              </w:rPr>
              <w:t>gadu laikā. Ja šis slieksnis būs sasniegts, not</w:t>
            </w:r>
            <w:r w:rsidR="00E00E3A" w:rsidRPr="009708B6">
              <w:rPr>
                <w:rFonts w:ascii="Times New Roman" w:hAnsi="Times New Roman" w:cs="Times New Roman"/>
                <w:color w:val="000000" w:themeColor="text1"/>
                <w:sz w:val="24"/>
                <w:szCs w:val="24"/>
              </w:rPr>
              <w:t>ei</w:t>
            </w:r>
            <w:r w:rsidRPr="009708B6">
              <w:rPr>
                <w:rFonts w:ascii="Times New Roman" w:hAnsi="Times New Roman" w:cs="Times New Roman"/>
                <w:color w:val="000000" w:themeColor="text1"/>
                <w:sz w:val="24"/>
                <w:szCs w:val="24"/>
              </w:rPr>
              <w:t xml:space="preserve">kumu projekta 8.2., 9.1. vai 9.2.apakšpunktā paredzētos atbrīvojumus attiecīgajam komersantam nepiemēros. </w:t>
            </w:r>
          </w:p>
          <w:p w:rsidR="00E34F19" w:rsidRPr="009708B6" w:rsidRDefault="00E34F19" w:rsidP="009708B6">
            <w:pPr>
              <w:shd w:val="clear" w:color="auto" w:fill="FFFFFF" w:themeFill="background1"/>
              <w:spacing w:after="0" w:line="240" w:lineRule="auto"/>
              <w:jc w:val="both"/>
              <w:rPr>
                <w:rFonts w:ascii="Times New Roman" w:hAnsi="Times New Roman" w:cs="Times New Roman"/>
                <w:color w:val="000000" w:themeColor="text1"/>
                <w:sz w:val="24"/>
                <w:szCs w:val="24"/>
              </w:rPr>
            </w:pPr>
          </w:p>
          <w:p w:rsidR="00E34F19" w:rsidRPr="009708B6" w:rsidRDefault="00E34F19" w:rsidP="009708B6">
            <w:pPr>
              <w:shd w:val="clear" w:color="auto" w:fill="FFFFFF" w:themeFill="background1"/>
              <w:spacing w:after="0" w:line="240" w:lineRule="auto"/>
              <w:jc w:val="both"/>
              <w:rPr>
                <w:rFonts w:ascii="Times New Roman" w:hAnsi="Times New Roman" w:cs="Times New Roman"/>
                <w:color w:val="000000" w:themeColor="text1"/>
                <w:sz w:val="24"/>
                <w:szCs w:val="24"/>
              </w:rPr>
            </w:pPr>
            <w:r w:rsidRPr="009708B6">
              <w:rPr>
                <w:rFonts w:ascii="Times New Roman" w:hAnsi="Times New Roman" w:cs="Times New Roman"/>
                <w:color w:val="000000" w:themeColor="text1"/>
                <w:sz w:val="24"/>
                <w:szCs w:val="24"/>
              </w:rPr>
              <w:t xml:space="preserve">Līdz ar to </w:t>
            </w:r>
            <w:r w:rsidRPr="009708B6">
              <w:rPr>
                <w:rFonts w:ascii="Times New Roman" w:eastAsia="Times New Roman" w:hAnsi="Times New Roman" w:cs="Times New Roman"/>
                <w:color w:val="000000" w:themeColor="text1"/>
                <w:sz w:val="24"/>
                <w:szCs w:val="24"/>
                <w:lang w:eastAsia="lv-LV"/>
              </w:rPr>
              <w:t xml:space="preserve">Noteikumu projekts paredz kārtību, kādā nodrošināt atbrīvojumu no valsts </w:t>
            </w:r>
            <w:r w:rsidRPr="009708B6">
              <w:rPr>
                <w:rFonts w:ascii="Times New Roman" w:eastAsia="Times New Roman" w:hAnsi="Times New Roman" w:cs="Times New Roman"/>
                <w:color w:val="000000" w:themeColor="text1"/>
                <w:sz w:val="24"/>
                <w:szCs w:val="24"/>
                <w:lang w:eastAsia="lv-LV"/>
              </w:rPr>
              <w:lastRenderedPageBreak/>
              <w:t xml:space="preserve">nodevām atbilstību </w:t>
            </w:r>
            <w:r w:rsidRPr="009708B6">
              <w:rPr>
                <w:rFonts w:ascii="Times New Roman" w:hAnsi="Times New Roman" w:cs="Times New Roman"/>
                <w:color w:val="000000" w:themeColor="text1"/>
                <w:sz w:val="24"/>
                <w:szCs w:val="24"/>
              </w:rPr>
              <w:t xml:space="preserve">Komisijas 2013.gada 18. decembra Regulai (ES) Nr.1407/2013 par Līguma par Eiropas Savienības darbību 107. un 108.panta piemērošanu </w:t>
            </w:r>
            <w:r w:rsidRPr="009708B6">
              <w:rPr>
                <w:rFonts w:ascii="Times New Roman" w:hAnsi="Times New Roman" w:cs="Times New Roman"/>
                <w:i/>
                <w:color w:val="000000" w:themeColor="text1"/>
                <w:sz w:val="24"/>
                <w:szCs w:val="24"/>
              </w:rPr>
              <w:t>de minimis</w:t>
            </w:r>
            <w:r w:rsidRPr="009708B6">
              <w:rPr>
                <w:rFonts w:ascii="Times New Roman" w:hAnsi="Times New Roman" w:cs="Times New Roman"/>
                <w:color w:val="000000" w:themeColor="text1"/>
                <w:sz w:val="24"/>
                <w:szCs w:val="24"/>
              </w:rPr>
              <w:t xml:space="preserve"> atbalstam. Atbilstoši anotācijas </w:t>
            </w:r>
            <w:proofErr w:type="spellStart"/>
            <w:r w:rsidRPr="009708B6">
              <w:rPr>
                <w:rFonts w:ascii="Times New Roman" w:hAnsi="Times New Roman" w:cs="Times New Roman"/>
                <w:color w:val="000000" w:themeColor="text1"/>
                <w:sz w:val="24"/>
                <w:szCs w:val="24"/>
              </w:rPr>
              <w:t>I.sadaļas</w:t>
            </w:r>
            <w:proofErr w:type="spellEnd"/>
            <w:r w:rsidRPr="009708B6">
              <w:rPr>
                <w:rFonts w:ascii="Times New Roman" w:hAnsi="Times New Roman" w:cs="Times New Roman"/>
                <w:color w:val="000000" w:themeColor="text1"/>
                <w:sz w:val="24"/>
                <w:szCs w:val="24"/>
              </w:rPr>
              <w:t xml:space="preserve"> 2.punktā minētajam attiecīgie atbrīvojumi no valsts nodevas nomaksas paredzēti noteiktu politikas mērķu – galvenokārt valsts valodas aizsardzības un retranslācijas likumības uzraudzības – nodrošināšanai. Paredzētais valsts atbalsts ir pārredzams, pēc nediskriminējošiem kritērijiem sadalīts un nepieciešams sabiedrībai būtisku jautājumu risināšanai.</w:t>
            </w:r>
          </w:p>
          <w:p w:rsidR="00E34F19" w:rsidRPr="009708B6" w:rsidRDefault="00E34F19" w:rsidP="009708B6">
            <w:pPr>
              <w:shd w:val="clear" w:color="auto" w:fill="FFFFFF" w:themeFill="background1"/>
              <w:spacing w:after="0" w:line="240" w:lineRule="auto"/>
              <w:jc w:val="both"/>
              <w:rPr>
                <w:rFonts w:ascii="Times New Roman" w:hAnsi="Times New Roman" w:cs="Times New Roman"/>
                <w:color w:val="000000" w:themeColor="text1"/>
                <w:sz w:val="24"/>
                <w:szCs w:val="24"/>
              </w:rPr>
            </w:pPr>
          </w:p>
          <w:p w:rsidR="006D7693" w:rsidRPr="009708B6" w:rsidRDefault="00E34F19" w:rsidP="009708B6">
            <w:pPr>
              <w:shd w:val="clear" w:color="auto" w:fill="FFFFFF" w:themeFill="background1"/>
              <w:spacing w:after="0" w:line="240" w:lineRule="auto"/>
              <w:jc w:val="both"/>
              <w:rPr>
                <w:rFonts w:ascii="Times New Roman" w:hAnsi="Times New Roman" w:cs="Times New Roman"/>
                <w:color w:val="000000" w:themeColor="text1"/>
                <w:sz w:val="24"/>
                <w:szCs w:val="24"/>
              </w:rPr>
            </w:pPr>
            <w:r w:rsidRPr="009708B6">
              <w:rPr>
                <w:rFonts w:ascii="Times New Roman" w:hAnsi="Times New Roman" w:cs="Times New Roman"/>
                <w:color w:val="000000" w:themeColor="text1"/>
                <w:sz w:val="24"/>
                <w:szCs w:val="24"/>
              </w:rPr>
              <w:t xml:space="preserve">Atbalsta saņēmējs vismaz 10 darbdienas pirms valsts nodevas samaksas iesniegs pieteikumu atbalsta piešķiršanai Nacionālajai elektronisko plašsaziņas līdzekļu padomei, kas pirms atbalsta piešķiršanas pretendentam pārbaudīs, vai piešķiramā atbalsta summa kopā ar fiskālajā gadā un iepriekšējos divos fiskālajos gados pretendenta jau saņemto </w:t>
            </w:r>
            <w:r w:rsidRPr="009708B6">
              <w:rPr>
                <w:rFonts w:ascii="Times New Roman" w:hAnsi="Times New Roman" w:cs="Times New Roman"/>
                <w:i/>
                <w:color w:val="000000" w:themeColor="text1"/>
                <w:sz w:val="24"/>
                <w:szCs w:val="24"/>
              </w:rPr>
              <w:t>de minimis</w:t>
            </w:r>
            <w:r w:rsidRPr="009708B6">
              <w:rPr>
                <w:rFonts w:ascii="Times New Roman" w:hAnsi="Times New Roman" w:cs="Times New Roman"/>
                <w:color w:val="000000" w:themeColor="text1"/>
                <w:sz w:val="24"/>
                <w:szCs w:val="24"/>
              </w:rPr>
              <w:t xml:space="preserve"> atbalstu nepārsniedz maksimālo atbalsta summu vienam vienotam uzņēmumam. Nacionālā elektronisko plašsaziņas līdzekļu padome </w:t>
            </w:r>
            <w:r w:rsidRPr="009708B6">
              <w:rPr>
                <w:rFonts w:ascii="Times New Roman" w:hAnsi="Times New Roman" w:cs="Times New Roman"/>
                <w:i/>
                <w:color w:val="000000" w:themeColor="text1"/>
                <w:sz w:val="24"/>
                <w:szCs w:val="24"/>
              </w:rPr>
              <w:t>de minimis</w:t>
            </w:r>
            <w:r w:rsidRPr="009708B6">
              <w:rPr>
                <w:rFonts w:ascii="Times New Roman" w:hAnsi="Times New Roman" w:cs="Times New Roman"/>
                <w:color w:val="000000" w:themeColor="text1"/>
                <w:sz w:val="24"/>
                <w:szCs w:val="24"/>
              </w:rPr>
              <w:t xml:space="preserve"> atbalsta uzskaiti veic saskaņā ar Ministru kabineta 2014.gada 2.decembra noteikumiem Nr. 740 “</w:t>
            </w:r>
            <w:r w:rsidRPr="009708B6">
              <w:rPr>
                <w:rFonts w:ascii="Times New Roman" w:hAnsi="Times New Roman" w:cs="Times New Roman"/>
                <w:i/>
                <w:sz w:val="24"/>
                <w:szCs w:val="24"/>
              </w:rPr>
              <w:t>De minimis</w:t>
            </w:r>
            <w:r w:rsidRPr="009708B6">
              <w:rPr>
                <w:rFonts w:ascii="Times New Roman" w:hAnsi="Times New Roman" w:cs="Times New Roman"/>
                <w:sz w:val="24"/>
                <w:szCs w:val="24"/>
              </w:rPr>
              <w:t xml:space="preserve"> atbalsta uzskaites un piešķiršanas kārtība un uzskaites veidlapu paraugi”.</w:t>
            </w:r>
          </w:p>
        </w:tc>
      </w:tr>
    </w:tbl>
    <w:p w:rsidR="008A7837" w:rsidRPr="009708B6" w:rsidRDefault="008A7837" w:rsidP="009708B6">
      <w:pPr>
        <w:shd w:val="clear" w:color="auto" w:fill="FFFFFF" w:themeFill="background1"/>
        <w:spacing w:after="0" w:line="240" w:lineRule="auto"/>
        <w:rPr>
          <w:rFonts w:ascii="Times New Roman" w:eastAsia="Times New Roman" w:hAnsi="Times New Roman" w:cs="Times New Roman"/>
          <w:color w:val="414142"/>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2338"/>
        <w:gridCol w:w="2186"/>
        <w:gridCol w:w="2186"/>
        <w:gridCol w:w="2417"/>
      </w:tblGrid>
      <w:tr w:rsidR="00AA424D" w:rsidRPr="009708B6" w:rsidTr="00E6137A">
        <w:tc>
          <w:tcPr>
            <w:tcW w:w="9061" w:type="dxa"/>
            <w:gridSpan w:val="4"/>
            <w:tcBorders>
              <w:top w:val="single" w:sz="4" w:space="0" w:color="auto"/>
              <w:left w:val="single" w:sz="4" w:space="0" w:color="auto"/>
              <w:bottom w:val="single" w:sz="4" w:space="0" w:color="auto"/>
              <w:right w:val="single" w:sz="4" w:space="0" w:color="auto"/>
            </w:tcBorders>
            <w:hideMark/>
          </w:tcPr>
          <w:p w:rsidR="00AA424D" w:rsidRPr="009708B6" w:rsidRDefault="006264D1" w:rsidP="009708B6">
            <w:pPr>
              <w:shd w:val="clear" w:color="auto" w:fill="FFFFFF" w:themeFill="background1"/>
              <w:spacing w:after="0" w:line="240" w:lineRule="auto"/>
              <w:jc w:val="center"/>
              <w:rPr>
                <w:rFonts w:ascii="Times New Roman" w:hAnsi="Times New Roman" w:cs="Times New Roman"/>
                <w:b/>
                <w:sz w:val="24"/>
                <w:szCs w:val="24"/>
              </w:rPr>
            </w:pPr>
            <w:r w:rsidRPr="009708B6">
              <w:rPr>
                <w:rFonts w:ascii="Times New Roman" w:hAnsi="Times New Roman" w:cs="Times New Roman"/>
                <w:b/>
                <w:sz w:val="24"/>
                <w:szCs w:val="24"/>
              </w:rPr>
              <w:t xml:space="preserve">1. </w:t>
            </w:r>
            <w:r w:rsidR="00AA424D" w:rsidRPr="009708B6">
              <w:rPr>
                <w:rFonts w:ascii="Times New Roman" w:hAnsi="Times New Roman" w:cs="Times New Roman"/>
                <w:b/>
                <w:sz w:val="24"/>
                <w:szCs w:val="24"/>
              </w:rPr>
              <w:t>tabula. Tiesību akta projekta atbilstība ES tiesību aktiem</w:t>
            </w:r>
          </w:p>
        </w:tc>
      </w:tr>
      <w:tr w:rsidR="00AA424D" w:rsidRPr="009708B6" w:rsidTr="00E6137A">
        <w:tc>
          <w:tcPr>
            <w:tcW w:w="2321" w:type="dxa"/>
            <w:tcBorders>
              <w:top w:val="single" w:sz="4" w:space="0" w:color="auto"/>
              <w:left w:val="single" w:sz="4" w:space="0" w:color="auto"/>
              <w:bottom w:val="single" w:sz="4" w:space="0" w:color="auto"/>
              <w:right w:val="single" w:sz="4" w:space="0" w:color="auto"/>
            </w:tcBorders>
            <w:hideMark/>
          </w:tcPr>
          <w:p w:rsidR="00AA424D" w:rsidRPr="009708B6" w:rsidRDefault="00AA424D" w:rsidP="009708B6">
            <w:pPr>
              <w:shd w:val="clear" w:color="auto" w:fill="FFFFFF" w:themeFill="background1"/>
              <w:spacing w:after="0" w:line="240" w:lineRule="auto"/>
              <w:rPr>
                <w:rFonts w:ascii="Times New Roman" w:hAnsi="Times New Roman" w:cs="Times New Roman"/>
                <w:sz w:val="24"/>
                <w:szCs w:val="24"/>
              </w:rPr>
            </w:pPr>
            <w:r w:rsidRPr="009708B6">
              <w:rPr>
                <w:rFonts w:ascii="Times New Roman" w:hAnsi="Times New Roman" w:cs="Times New Roman"/>
                <w:sz w:val="24"/>
                <w:szCs w:val="24"/>
              </w:rPr>
              <w:t>Attiecīgā ES tiesību akta datums, numurs un nosaukums</w:t>
            </w:r>
          </w:p>
        </w:tc>
        <w:tc>
          <w:tcPr>
            <w:tcW w:w="6740" w:type="dxa"/>
            <w:gridSpan w:val="3"/>
            <w:tcBorders>
              <w:top w:val="single" w:sz="4" w:space="0" w:color="auto"/>
              <w:left w:val="single" w:sz="4" w:space="0" w:color="auto"/>
              <w:bottom w:val="single" w:sz="4" w:space="0" w:color="auto"/>
              <w:right w:val="single" w:sz="4" w:space="0" w:color="auto"/>
            </w:tcBorders>
            <w:hideMark/>
          </w:tcPr>
          <w:p w:rsidR="00AA424D" w:rsidRPr="009708B6" w:rsidRDefault="00FE1D09" w:rsidP="009708B6">
            <w:pPr>
              <w:shd w:val="clear" w:color="auto" w:fill="FFFFFF" w:themeFill="background1"/>
              <w:spacing w:after="0" w:line="240" w:lineRule="auto"/>
              <w:rPr>
                <w:rFonts w:ascii="Times New Roman" w:hAnsi="Times New Roman" w:cs="Times New Roman"/>
                <w:sz w:val="24"/>
                <w:szCs w:val="24"/>
              </w:rPr>
            </w:pPr>
            <w:r w:rsidRPr="009708B6">
              <w:rPr>
                <w:rFonts w:ascii="Times New Roman" w:hAnsi="Times New Roman" w:cs="Times New Roman"/>
                <w:sz w:val="24"/>
                <w:szCs w:val="24"/>
              </w:rPr>
              <w:t>N</w:t>
            </w:r>
            <w:r w:rsidR="00AA424D" w:rsidRPr="009708B6">
              <w:rPr>
                <w:rFonts w:ascii="Times New Roman" w:hAnsi="Times New Roman" w:cs="Times New Roman"/>
                <w:sz w:val="24"/>
                <w:szCs w:val="24"/>
              </w:rPr>
              <w:t>ormatīv</w:t>
            </w:r>
            <w:r w:rsidRPr="009708B6">
              <w:rPr>
                <w:rFonts w:ascii="Times New Roman" w:hAnsi="Times New Roman" w:cs="Times New Roman"/>
                <w:sz w:val="24"/>
                <w:szCs w:val="24"/>
              </w:rPr>
              <w:t>ajā</w:t>
            </w:r>
            <w:r w:rsidR="00AA424D" w:rsidRPr="009708B6">
              <w:rPr>
                <w:rFonts w:ascii="Times New Roman" w:hAnsi="Times New Roman" w:cs="Times New Roman"/>
                <w:sz w:val="24"/>
                <w:szCs w:val="24"/>
              </w:rPr>
              <w:t xml:space="preserve"> akt</w:t>
            </w:r>
            <w:r w:rsidRPr="009708B6">
              <w:rPr>
                <w:rFonts w:ascii="Times New Roman" w:hAnsi="Times New Roman" w:cs="Times New Roman"/>
                <w:sz w:val="24"/>
                <w:szCs w:val="24"/>
              </w:rPr>
              <w:t>ā</w:t>
            </w:r>
            <w:r w:rsidR="00AA424D" w:rsidRPr="009708B6">
              <w:rPr>
                <w:rFonts w:ascii="Times New Roman" w:hAnsi="Times New Roman" w:cs="Times New Roman"/>
                <w:sz w:val="24"/>
                <w:szCs w:val="24"/>
              </w:rPr>
              <w:t xml:space="preserve"> </w:t>
            </w:r>
            <w:r w:rsidRPr="009708B6">
              <w:rPr>
                <w:rFonts w:ascii="Times New Roman" w:hAnsi="Times New Roman" w:cs="Times New Roman"/>
                <w:sz w:val="24"/>
                <w:szCs w:val="24"/>
              </w:rPr>
              <w:t>par</w:t>
            </w:r>
            <w:r w:rsidR="00FD3A9E" w:rsidRPr="009708B6">
              <w:rPr>
                <w:rFonts w:ascii="Times New Roman" w:hAnsi="Times New Roman" w:cs="Times New Roman"/>
                <w:sz w:val="24"/>
                <w:szCs w:val="24"/>
              </w:rPr>
              <w:t>edzēta</w:t>
            </w:r>
            <w:r w:rsidR="009E6BB6" w:rsidRPr="009708B6">
              <w:rPr>
                <w:rFonts w:ascii="Times New Roman" w:hAnsi="Times New Roman" w:cs="Times New Roman"/>
                <w:sz w:val="24"/>
                <w:szCs w:val="24"/>
              </w:rPr>
              <w:t xml:space="preserve"> Komisijas 2013.gada 18. decembra Regulai (ES) Nr.1407/2013 par Līguma par Eiropas Savienības darbību 107. un 108.panta piemērošanu </w:t>
            </w:r>
            <w:r w:rsidR="009E6BB6" w:rsidRPr="009708B6">
              <w:rPr>
                <w:rFonts w:ascii="Times New Roman" w:hAnsi="Times New Roman" w:cs="Times New Roman"/>
                <w:i/>
                <w:sz w:val="24"/>
                <w:szCs w:val="24"/>
              </w:rPr>
              <w:t>de minimis</w:t>
            </w:r>
            <w:r w:rsidR="009E6BB6" w:rsidRPr="009708B6">
              <w:rPr>
                <w:rFonts w:ascii="Times New Roman" w:hAnsi="Times New Roman" w:cs="Times New Roman"/>
                <w:sz w:val="24"/>
                <w:szCs w:val="24"/>
              </w:rPr>
              <w:t xml:space="preserve"> atbalstam</w:t>
            </w:r>
            <w:r w:rsidR="00FD3A9E" w:rsidRPr="009708B6">
              <w:rPr>
                <w:rFonts w:ascii="Times New Roman" w:hAnsi="Times New Roman" w:cs="Times New Roman"/>
                <w:sz w:val="24"/>
                <w:szCs w:val="24"/>
              </w:rPr>
              <w:t xml:space="preserve"> noteikt</w:t>
            </w:r>
            <w:r w:rsidR="001E31C1" w:rsidRPr="009708B6">
              <w:rPr>
                <w:rFonts w:ascii="Times New Roman" w:hAnsi="Times New Roman" w:cs="Times New Roman"/>
                <w:sz w:val="24"/>
                <w:szCs w:val="24"/>
              </w:rPr>
              <w:t>o</w:t>
            </w:r>
            <w:r w:rsidR="00FD3A9E" w:rsidRPr="009708B6">
              <w:rPr>
                <w:rFonts w:ascii="Times New Roman" w:hAnsi="Times New Roman" w:cs="Times New Roman"/>
                <w:sz w:val="24"/>
                <w:szCs w:val="24"/>
              </w:rPr>
              <w:t xml:space="preserve"> prasību izpilde</w:t>
            </w:r>
          </w:p>
        </w:tc>
      </w:tr>
      <w:tr w:rsidR="00AA424D" w:rsidRPr="009708B6" w:rsidTr="00E6137A">
        <w:tc>
          <w:tcPr>
            <w:tcW w:w="2321" w:type="dxa"/>
            <w:tcBorders>
              <w:top w:val="single" w:sz="4" w:space="0" w:color="auto"/>
              <w:left w:val="single" w:sz="4" w:space="0" w:color="auto"/>
              <w:bottom w:val="single" w:sz="4" w:space="0" w:color="auto"/>
              <w:right w:val="single" w:sz="4" w:space="0" w:color="auto"/>
            </w:tcBorders>
            <w:hideMark/>
          </w:tcPr>
          <w:p w:rsidR="00AA424D" w:rsidRPr="009708B6" w:rsidRDefault="00AA424D" w:rsidP="009708B6">
            <w:pPr>
              <w:shd w:val="clear" w:color="auto" w:fill="FFFFFF" w:themeFill="background1"/>
              <w:spacing w:after="0" w:line="240" w:lineRule="auto"/>
              <w:jc w:val="center"/>
              <w:rPr>
                <w:rFonts w:ascii="Times New Roman" w:hAnsi="Times New Roman" w:cs="Times New Roman"/>
                <w:sz w:val="24"/>
                <w:szCs w:val="24"/>
              </w:rPr>
            </w:pPr>
            <w:r w:rsidRPr="009708B6">
              <w:rPr>
                <w:rFonts w:ascii="Times New Roman" w:hAnsi="Times New Roman" w:cs="Times New Roman"/>
                <w:sz w:val="24"/>
                <w:szCs w:val="24"/>
              </w:rPr>
              <w:t>A</w:t>
            </w:r>
          </w:p>
        </w:tc>
        <w:tc>
          <w:tcPr>
            <w:tcW w:w="2170" w:type="dxa"/>
            <w:tcBorders>
              <w:top w:val="single" w:sz="4" w:space="0" w:color="auto"/>
              <w:left w:val="single" w:sz="4" w:space="0" w:color="auto"/>
              <w:bottom w:val="single" w:sz="4" w:space="0" w:color="auto"/>
              <w:right w:val="single" w:sz="4" w:space="0" w:color="auto"/>
            </w:tcBorders>
            <w:hideMark/>
          </w:tcPr>
          <w:p w:rsidR="00AA424D" w:rsidRPr="009708B6" w:rsidRDefault="00AA424D" w:rsidP="009708B6">
            <w:pPr>
              <w:shd w:val="clear" w:color="auto" w:fill="FFFFFF" w:themeFill="background1"/>
              <w:spacing w:after="0" w:line="240" w:lineRule="auto"/>
              <w:jc w:val="center"/>
              <w:rPr>
                <w:rFonts w:ascii="Times New Roman" w:hAnsi="Times New Roman" w:cs="Times New Roman"/>
                <w:sz w:val="24"/>
                <w:szCs w:val="24"/>
              </w:rPr>
            </w:pPr>
            <w:r w:rsidRPr="009708B6">
              <w:rPr>
                <w:rFonts w:ascii="Times New Roman" w:hAnsi="Times New Roman" w:cs="Times New Roman"/>
                <w:sz w:val="24"/>
                <w:szCs w:val="24"/>
              </w:rPr>
              <w:t>B</w:t>
            </w:r>
          </w:p>
        </w:tc>
        <w:tc>
          <w:tcPr>
            <w:tcW w:w="2170" w:type="dxa"/>
            <w:tcBorders>
              <w:top w:val="single" w:sz="4" w:space="0" w:color="auto"/>
              <w:left w:val="single" w:sz="4" w:space="0" w:color="auto"/>
              <w:bottom w:val="single" w:sz="4" w:space="0" w:color="auto"/>
              <w:right w:val="single" w:sz="4" w:space="0" w:color="auto"/>
            </w:tcBorders>
            <w:hideMark/>
          </w:tcPr>
          <w:p w:rsidR="00AA424D" w:rsidRPr="009708B6" w:rsidRDefault="00AA424D" w:rsidP="009708B6">
            <w:pPr>
              <w:shd w:val="clear" w:color="auto" w:fill="FFFFFF" w:themeFill="background1"/>
              <w:spacing w:after="0" w:line="240" w:lineRule="auto"/>
              <w:jc w:val="center"/>
              <w:rPr>
                <w:rFonts w:ascii="Times New Roman" w:hAnsi="Times New Roman" w:cs="Times New Roman"/>
                <w:sz w:val="24"/>
                <w:szCs w:val="24"/>
              </w:rPr>
            </w:pPr>
            <w:r w:rsidRPr="009708B6">
              <w:rPr>
                <w:rFonts w:ascii="Times New Roman" w:hAnsi="Times New Roman" w:cs="Times New Roman"/>
                <w:sz w:val="24"/>
                <w:szCs w:val="24"/>
              </w:rPr>
              <w:t>C</w:t>
            </w:r>
          </w:p>
        </w:tc>
        <w:tc>
          <w:tcPr>
            <w:tcW w:w="2400" w:type="dxa"/>
            <w:tcBorders>
              <w:top w:val="single" w:sz="4" w:space="0" w:color="auto"/>
              <w:left w:val="single" w:sz="4" w:space="0" w:color="auto"/>
              <w:bottom w:val="single" w:sz="4" w:space="0" w:color="auto"/>
              <w:right w:val="single" w:sz="4" w:space="0" w:color="auto"/>
            </w:tcBorders>
            <w:hideMark/>
          </w:tcPr>
          <w:p w:rsidR="00AA424D" w:rsidRPr="009708B6" w:rsidRDefault="00AA424D" w:rsidP="009708B6">
            <w:pPr>
              <w:shd w:val="clear" w:color="auto" w:fill="FFFFFF" w:themeFill="background1"/>
              <w:spacing w:after="0" w:line="240" w:lineRule="auto"/>
              <w:jc w:val="center"/>
              <w:rPr>
                <w:rFonts w:ascii="Times New Roman" w:hAnsi="Times New Roman" w:cs="Times New Roman"/>
                <w:sz w:val="24"/>
                <w:szCs w:val="24"/>
              </w:rPr>
            </w:pPr>
            <w:r w:rsidRPr="009708B6">
              <w:rPr>
                <w:rFonts w:ascii="Times New Roman" w:hAnsi="Times New Roman" w:cs="Times New Roman"/>
                <w:sz w:val="24"/>
                <w:szCs w:val="24"/>
              </w:rPr>
              <w:t>D</w:t>
            </w:r>
          </w:p>
        </w:tc>
      </w:tr>
      <w:tr w:rsidR="00AA424D" w:rsidRPr="009708B6" w:rsidTr="00E6137A">
        <w:tc>
          <w:tcPr>
            <w:tcW w:w="2321" w:type="dxa"/>
            <w:tcBorders>
              <w:top w:val="single" w:sz="4" w:space="0" w:color="auto"/>
              <w:left w:val="single" w:sz="4" w:space="0" w:color="auto"/>
              <w:bottom w:val="single" w:sz="4" w:space="0" w:color="auto"/>
              <w:right w:val="single" w:sz="4" w:space="0" w:color="auto"/>
            </w:tcBorders>
            <w:hideMark/>
          </w:tcPr>
          <w:p w:rsidR="00AA424D" w:rsidRPr="009708B6" w:rsidRDefault="00690AB3" w:rsidP="009708B6">
            <w:pPr>
              <w:shd w:val="clear" w:color="auto" w:fill="FFFFFF" w:themeFill="background1"/>
              <w:spacing w:after="0" w:line="240" w:lineRule="auto"/>
              <w:rPr>
                <w:rFonts w:ascii="Times New Roman" w:hAnsi="Times New Roman" w:cs="Times New Roman"/>
                <w:sz w:val="24"/>
                <w:szCs w:val="24"/>
              </w:rPr>
            </w:pPr>
            <w:r w:rsidRPr="009708B6">
              <w:rPr>
                <w:rFonts w:ascii="Times New Roman" w:hAnsi="Times New Roman" w:cs="Times New Roman"/>
                <w:sz w:val="24"/>
                <w:szCs w:val="24"/>
              </w:rPr>
              <w:t>Attiecīgā ES tiesību akta panta numurs (uzskaitot katru tiesību akta vienību – pantu, daļu, punktu, apakšpunktu)</w:t>
            </w:r>
          </w:p>
        </w:tc>
        <w:tc>
          <w:tcPr>
            <w:tcW w:w="2170" w:type="dxa"/>
            <w:tcBorders>
              <w:top w:val="single" w:sz="4" w:space="0" w:color="auto"/>
              <w:left w:val="single" w:sz="4" w:space="0" w:color="auto"/>
              <w:bottom w:val="single" w:sz="4" w:space="0" w:color="auto"/>
              <w:right w:val="single" w:sz="4" w:space="0" w:color="auto"/>
            </w:tcBorders>
            <w:hideMark/>
          </w:tcPr>
          <w:p w:rsidR="00AA424D" w:rsidRPr="009708B6" w:rsidRDefault="00B537B7" w:rsidP="009708B6">
            <w:pPr>
              <w:shd w:val="clear" w:color="auto" w:fill="FFFFFF" w:themeFill="background1"/>
              <w:spacing w:after="0" w:line="240" w:lineRule="auto"/>
              <w:rPr>
                <w:rFonts w:ascii="Times New Roman" w:hAnsi="Times New Roman" w:cs="Times New Roman"/>
                <w:sz w:val="24"/>
                <w:szCs w:val="24"/>
              </w:rPr>
            </w:pPr>
            <w:r w:rsidRPr="009708B6">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170" w:type="dxa"/>
            <w:tcBorders>
              <w:top w:val="single" w:sz="4" w:space="0" w:color="auto"/>
              <w:left w:val="single" w:sz="4" w:space="0" w:color="auto"/>
              <w:bottom w:val="single" w:sz="4" w:space="0" w:color="auto"/>
              <w:right w:val="single" w:sz="4" w:space="0" w:color="auto"/>
            </w:tcBorders>
            <w:hideMark/>
          </w:tcPr>
          <w:p w:rsidR="00B537B7" w:rsidRPr="009708B6" w:rsidRDefault="00B537B7" w:rsidP="009708B6">
            <w:pPr>
              <w:shd w:val="clear" w:color="auto" w:fill="FFFFFF" w:themeFill="background1"/>
              <w:spacing w:after="0" w:line="240" w:lineRule="auto"/>
              <w:rPr>
                <w:rFonts w:ascii="Times New Roman" w:hAnsi="Times New Roman" w:cs="Times New Roman"/>
                <w:sz w:val="24"/>
                <w:szCs w:val="24"/>
              </w:rPr>
            </w:pPr>
            <w:r w:rsidRPr="009708B6">
              <w:rPr>
                <w:rFonts w:ascii="Times New Roman" w:hAnsi="Times New Roman" w:cs="Times New Roman"/>
                <w:sz w:val="24"/>
                <w:szCs w:val="24"/>
              </w:rPr>
              <w:t>Informācija par to, vai šīs tabulas A ailē minētās ES tiesību akta vienības tiek pārņemtas vai ieviestas pilnībā vai daļēji.</w:t>
            </w:r>
          </w:p>
          <w:p w:rsidR="00B537B7" w:rsidRPr="009708B6" w:rsidRDefault="00B537B7" w:rsidP="009708B6">
            <w:pPr>
              <w:shd w:val="clear" w:color="auto" w:fill="FFFFFF" w:themeFill="background1"/>
              <w:spacing w:after="0" w:line="240" w:lineRule="auto"/>
              <w:rPr>
                <w:rFonts w:ascii="Times New Roman" w:hAnsi="Times New Roman" w:cs="Times New Roman"/>
                <w:sz w:val="24"/>
                <w:szCs w:val="24"/>
              </w:rPr>
            </w:pPr>
          </w:p>
          <w:p w:rsidR="00B537B7" w:rsidRPr="009708B6" w:rsidRDefault="00B537B7" w:rsidP="009708B6">
            <w:pPr>
              <w:shd w:val="clear" w:color="auto" w:fill="FFFFFF" w:themeFill="background1"/>
              <w:spacing w:after="0" w:line="240" w:lineRule="auto"/>
              <w:rPr>
                <w:rFonts w:ascii="Times New Roman" w:hAnsi="Times New Roman" w:cs="Times New Roman"/>
                <w:sz w:val="24"/>
                <w:szCs w:val="24"/>
              </w:rPr>
            </w:pPr>
            <w:r w:rsidRPr="009708B6">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rsidR="00B537B7" w:rsidRPr="009708B6" w:rsidRDefault="00B537B7" w:rsidP="009708B6">
            <w:pPr>
              <w:shd w:val="clear" w:color="auto" w:fill="FFFFFF" w:themeFill="background1"/>
              <w:spacing w:after="0" w:line="240" w:lineRule="auto"/>
              <w:rPr>
                <w:rFonts w:ascii="Times New Roman" w:hAnsi="Times New Roman" w:cs="Times New Roman"/>
                <w:sz w:val="24"/>
                <w:szCs w:val="24"/>
              </w:rPr>
            </w:pPr>
          </w:p>
          <w:p w:rsidR="00AA424D" w:rsidRPr="009708B6" w:rsidRDefault="00B537B7" w:rsidP="009708B6">
            <w:pPr>
              <w:shd w:val="clear" w:color="auto" w:fill="FFFFFF" w:themeFill="background1"/>
              <w:spacing w:after="0" w:line="240" w:lineRule="auto"/>
              <w:rPr>
                <w:rFonts w:ascii="Times New Roman" w:hAnsi="Times New Roman" w:cs="Times New Roman"/>
                <w:sz w:val="24"/>
                <w:szCs w:val="24"/>
              </w:rPr>
            </w:pPr>
            <w:r w:rsidRPr="009708B6">
              <w:rPr>
                <w:rFonts w:ascii="Times New Roman" w:hAnsi="Times New Roman" w:cs="Times New Roman"/>
                <w:sz w:val="24"/>
                <w:szCs w:val="24"/>
              </w:rPr>
              <w:t>Norāda institūciju, kas ir atbildīga par šo saistību izpildi pilnībā</w:t>
            </w:r>
          </w:p>
        </w:tc>
        <w:tc>
          <w:tcPr>
            <w:tcW w:w="2400" w:type="dxa"/>
            <w:tcBorders>
              <w:top w:val="single" w:sz="4" w:space="0" w:color="auto"/>
              <w:left w:val="single" w:sz="4" w:space="0" w:color="auto"/>
              <w:bottom w:val="single" w:sz="4" w:space="0" w:color="auto"/>
              <w:right w:val="single" w:sz="4" w:space="0" w:color="auto"/>
            </w:tcBorders>
            <w:hideMark/>
          </w:tcPr>
          <w:p w:rsidR="00E6137A" w:rsidRPr="009708B6" w:rsidRDefault="00E6137A" w:rsidP="009708B6">
            <w:pPr>
              <w:shd w:val="clear" w:color="auto" w:fill="FFFFFF" w:themeFill="background1"/>
              <w:spacing w:after="0" w:line="240" w:lineRule="auto"/>
              <w:rPr>
                <w:rFonts w:ascii="Times New Roman" w:hAnsi="Times New Roman" w:cs="Times New Roman"/>
                <w:sz w:val="24"/>
                <w:szCs w:val="24"/>
              </w:rPr>
            </w:pPr>
            <w:r w:rsidRPr="009708B6">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rsidR="00E6137A" w:rsidRPr="009708B6" w:rsidRDefault="00E6137A" w:rsidP="009708B6">
            <w:pPr>
              <w:shd w:val="clear" w:color="auto" w:fill="FFFFFF" w:themeFill="background1"/>
              <w:spacing w:after="0" w:line="240" w:lineRule="auto"/>
              <w:rPr>
                <w:rFonts w:ascii="Times New Roman" w:hAnsi="Times New Roman" w:cs="Times New Roman"/>
                <w:sz w:val="24"/>
                <w:szCs w:val="24"/>
              </w:rPr>
            </w:pPr>
          </w:p>
          <w:p w:rsidR="00E6137A" w:rsidRPr="009708B6" w:rsidRDefault="00E6137A" w:rsidP="009708B6">
            <w:pPr>
              <w:shd w:val="clear" w:color="auto" w:fill="FFFFFF" w:themeFill="background1"/>
              <w:spacing w:after="0" w:line="240" w:lineRule="auto"/>
              <w:rPr>
                <w:rFonts w:ascii="Times New Roman" w:hAnsi="Times New Roman" w:cs="Times New Roman"/>
                <w:sz w:val="24"/>
                <w:szCs w:val="24"/>
              </w:rPr>
            </w:pPr>
            <w:r w:rsidRPr="009708B6">
              <w:rPr>
                <w:rFonts w:ascii="Times New Roman" w:hAnsi="Times New Roman" w:cs="Times New Roman"/>
                <w:sz w:val="24"/>
                <w:szCs w:val="24"/>
              </w:rPr>
              <w:t>Ja projekts satur stingrākas prasības nekā attiecīgais ES tiesību akts, norāda pamatojumu un samērīgumu.</w:t>
            </w:r>
          </w:p>
          <w:p w:rsidR="00E6137A" w:rsidRPr="009708B6" w:rsidRDefault="00E6137A" w:rsidP="009708B6">
            <w:pPr>
              <w:shd w:val="clear" w:color="auto" w:fill="FFFFFF" w:themeFill="background1"/>
              <w:spacing w:after="0" w:line="240" w:lineRule="auto"/>
              <w:rPr>
                <w:rFonts w:ascii="Times New Roman" w:hAnsi="Times New Roman" w:cs="Times New Roman"/>
                <w:sz w:val="24"/>
                <w:szCs w:val="24"/>
              </w:rPr>
            </w:pPr>
          </w:p>
          <w:p w:rsidR="00AA424D" w:rsidRPr="009708B6" w:rsidRDefault="00E6137A" w:rsidP="009708B6">
            <w:pPr>
              <w:shd w:val="clear" w:color="auto" w:fill="FFFFFF" w:themeFill="background1"/>
              <w:spacing w:after="0" w:line="240" w:lineRule="auto"/>
              <w:rPr>
                <w:rFonts w:ascii="Times New Roman" w:hAnsi="Times New Roman" w:cs="Times New Roman"/>
                <w:sz w:val="24"/>
                <w:szCs w:val="24"/>
              </w:rPr>
            </w:pPr>
            <w:r w:rsidRPr="009708B6">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C26917" w:rsidRPr="009708B6" w:rsidTr="00E6137A">
        <w:tc>
          <w:tcPr>
            <w:tcW w:w="2321" w:type="dxa"/>
            <w:tcBorders>
              <w:top w:val="single" w:sz="4" w:space="0" w:color="auto"/>
              <w:left w:val="single" w:sz="4" w:space="0" w:color="auto"/>
              <w:bottom w:val="single" w:sz="4" w:space="0" w:color="auto"/>
              <w:right w:val="single" w:sz="4" w:space="0" w:color="auto"/>
            </w:tcBorders>
          </w:tcPr>
          <w:p w:rsidR="00C26917" w:rsidRPr="009708B6" w:rsidRDefault="00C26917" w:rsidP="009708B6">
            <w:pPr>
              <w:shd w:val="clear" w:color="auto" w:fill="FFFFFF" w:themeFill="background1"/>
              <w:spacing w:after="0" w:line="240" w:lineRule="auto"/>
              <w:rPr>
                <w:rFonts w:ascii="Times New Roman" w:hAnsi="Times New Roman" w:cs="Times New Roman"/>
                <w:sz w:val="24"/>
                <w:szCs w:val="24"/>
              </w:rPr>
            </w:pPr>
            <w:r w:rsidRPr="009708B6">
              <w:rPr>
                <w:rFonts w:ascii="Times New Roman" w:hAnsi="Times New Roman" w:cs="Times New Roman"/>
                <w:sz w:val="24"/>
                <w:szCs w:val="24"/>
              </w:rPr>
              <w:t xml:space="preserve">Komisijas regulas Nr. </w:t>
            </w:r>
            <w:r w:rsidRPr="009708B6">
              <w:rPr>
                <w:rFonts w:ascii="Times New Roman" w:hAnsi="Times New Roman" w:cs="Times New Roman"/>
                <w:sz w:val="24"/>
                <w:szCs w:val="24"/>
              </w:rPr>
              <w:lastRenderedPageBreak/>
              <w:t xml:space="preserve">1407/2013 </w:t>
            </w:r>
            <w:r w:rsidR="00E61812" w:rsidRPr="009708B6">
              <w:rPr>
                <w:rFonts w:ascii="Times New Roman" w:hAnsi="Times New Roman" w:cs="Times New Roman"/>
                <w:sz w:val="24"/>
                <w:szCs w:val="24"/>
              </w:rPr>
              <w:t>1</w:t>
            </w:r>
            <w:r w:rsidRPr="009708B6">
              <w:rPr>
                <w:rFonts w:ascii="Times New Roman" w:hAnsi="Times New Roman" w:cs="Times New Roman"/>
                <w:sz w:val="24"/>
                <w:szCs w:val="24"/>
              </w:rPr>
              <w:t xml:space="preserve">. panta </w:t>
            </w:r>
            <w:r w:rsidR="00E61812" w:rsidRPr="009708B6">
              <w:rPr>
                <w:rFonts w:ascii="Times New Roman" w:hAnsi="Times New Roman" w:cs="Times New Roman"/>
                <w:sz w:val="24"/>
                <w:szCs w:val="24"/>
              </w:rPr>
              <w:t>1</w:t>
            </w:r>
            <w:r w:rsidRPr="009708B6">
              <w:rPr>
                <w:rFonts w:ascii="Times New Roman" w:hAnsi="Times New Roman" w:cs="Times New Roman"/>
                <w:sz w:val="24"/>
                <w:szCs w:val="24"/>
              </w:rPr>
              <w:t xml:space="preserve">. </w:t>
            </w:r>
            <w:r w:rsidR="00E61812" w:rsidRPr="009708B6">
              <w:rPr>
                <w:rFonts w:ascii="Times New Roman" w:hAnsi="Times New Roman" w:cs="Times New Roman"/>
                <w:sz w:val="24"/>
                <w:szCs w:val="24"/>
              </w:rPr>
              <w:t xml:space="preserve">un 2. </w:t>
            </w:r>
            <w:r w:rsidRPr="009708B6">
              <w:rPr>
                <w:rFonts w:ascii="Times New Roman" w:hAnsi="Times New Roman" w:cs="Times New Roman"/>
                <w:sz w:val="24"/>
                <w:szCs w:val="24"/>
              </w:rPr>
              <w:t>punkts</w:t>
            </w:r>
          </w:p>
        </w:tc>
        <w:tc>
          <w:tcPr>
            <w:tcW w:w="2170" w:type="dxa"/>
            <w:tcBorders>
              <w:top w:val="single" w:sz="4" w:space="0" w:color="auto"/>
              <w:left w:val="single" w:sz="4" w:space="0" w:color="auto"/>
              <w:bottom w:val="single" w:sz="4" w:space="0" w:color="auto"/>
              <w:right w:val="single" w:sz="4" w:space="0" w:color="auto"/>
            </w:tcBorders>
          </w:tcPr>
          <w:p w:rsidR="00C26917" w:rsidRPr="009708B6" w:rsidRDefault="00C26917" w:rsidP="009708B6">
            <w:pPr>
              <w:shd w:val="clear" w:color="auto" w:fill="FFFFFF" w:themeFill="background1"/>
              <w:spacing w:after="0" w:line="240" w:lineRule="auto"/>
              <w:rPr>
                <w:rFonts w:ascii="Times New Roman" w:hAnsi="Times New Roman" w:cs="Times New Roman"/>
                <w:sz w:val="24"/>
                <w:szCs w:val="24"/>
              </w:rPr>
            </w:pPr>
            <w:r w:rsidRPr="009708B6">
              <w:rPr>
                <w:rFonts w:ascii="Times New Roman" w:hAnsi="Times New Roman" w:cs="Times New Roman"/>
                <w:sz w:val="24"/>
                <w:szCs w:val="24"/>
              </w:rPr>
              <w:lastRenderedPageBreak/>
              <w:t xml:space="preserve">Noteikumu projekta </w:t>
            </w:r>
            <w:r w:rsidR="000D5A55" w:rsidRPr="009708B6">
              <w:rPr>
                <w:rFonts w:ascii="Times New Roman" w:hAnsi="Times New Roman" w:cs="Times New Roman"/>
                <w:sz w:val="24"/>
                <w:szCs w:val="24"/>
              </w:rPr>
              <w:lastRenderedPageBreak/>
              <w:t>13.</w:t>
            </w:r>
            <w:r w:rsidR="00E61812" w:rsidRPr="009708B6">
              <w:rPr>
                <w:rFonts w:ascii="Times New Roman" w:hAnsi="Times New Roman" w:cs="Times New Roman"/>
                <w:sz w:val="24"/>
                <w:szCs w:val="24"/>
              </w:rPr>
              <w:t>2</w:t>
            </w:r>
            <w:r w:rsidR="000D5A55" w:rsidRPr="009708B6">
              <w:rPr>
                <w:rFonts w:ascii="Times New Roman" w:hAnsi="Times New Roman" w:cs="Times New Roman"/>
                <w:sz w:val="24"/>
                <w:szCs w:val="24"/>
              </w:rPr>
              <w:t xml:space="preserve">. </w:t>
            </w:r>
            <w:r w:rsidR="006F18BA" w:rsidRPr="009708B6">
              <w:rPr>
                <w:rFonts w:ascii="Times New Roman" w:hAnsi="Times New Roman" w:cs="Times New Roman"/>
                <w:sz w:val="24"/>
                <w:szCs w:val="24"/>
              </w:rPr>
              <w:t>apakš</w:t>
            </w:r>
            <w:r w:rsidR="000D5A55" w:rsidRPr="009708B6">
              <w:rPr>
                <w:rFonts w:ascii="Times New Roman" w:hAnsi="Times New Roman" w:cs="Times New Roman"/>
                <w:sz w:val="24"/>
                <w:szCs w:val="24"/>
              </w:rPr>
              <w:t>punkts</w:t>
            </w:r>
          </w:p>
        </w:tc>
        <w:tc>
          <w:tcPr>
            <w:tcW w:w="2170" w:type="dxa"/>
            <w:tcBorders>
              <w:top w:val="single" w:sz="4" w:space="0" w:color="auto"/>
              <w:left w:val="single" w:sz="4" w:space="0" w:color="auto"/>
              <w:bottom w:val="single" w:sz="4" w:space="0" w:color="auto"/>
              <w:right w:val="single" w:sz="4" w:space="0" w:color="auto"/>
            </w:tcBorders>
          </w:tcPr>
          <w:p w:rsidR="00C26917" w:rsidRPr="009708B6" w:rsidRDefault="000D5A55" w:rsidP="009708B6">
            <w:pPr>
              <w:shd w:val="clear" w:color="auto" w:fill="FFFFFF" w:themeFill="background1"/>
              <w:spacing w:after="0" w:line="240" w:lineRule="auto"/>
              <w:rPr>
                <w:rFonts w:ascii="Times New Roman" w:hAnsi="Times New Roman" w:cs="Times New Roman"/>
                <w:sz w:val="24"/>
                <w:szCs w:val="24"/>
              </w:rPr>
            </w:pPr>
            <w:r w:rsidRPr="009708B6">
              <w:rPr>
                <w:rFonts w:ascii="Times New Roman" w:hAnsi="Times New Roman" w:cs="Times New Roman"/>
                <w:sz w:val="24"/>
                <w:szCs w:val="24"/>
              </w:rPr>
              <w:lastRenderedPageBreak/>
              <w:t>Ieviests pilnībā</w:t>
            </w:r>
          </w:p>
        </w:tc>
        <w:tc>
          <w:tcPr>
            <w:tcW w:w="2400" w:type="dxa"/>
            <w:tcBorders>
              <w:top w:val="single" w:sz="4" w:space="0" w:color="auto"/>
              <w:left w:val="single" w:sz="4" w:space="0" w:color="auto"/>
              <w:bottom w:val="single" w:sz="4" w:space="0" w:color="auto"/>
              <w:right w:val="single" w:sz="4" w:space="0" w:color="auto"/>
            </w:tcBorders>
          </w:tcPr>
          <w:p w:rsidR="00C26917" w:rsidRPr="009708B6" w:rsidRDefault="000D5A55" w:rsidP="009708B6">
            <w:pPr>
              <w:shd w:val="clear" w:color="auto" w:fill="FFFFFF" w:themeFill="background1"/>
              <w:spacing w:after="0" w:line="240" w:lineRule="auto"/>
              <w:rPr>
                <w:rFonts w:ascii="Times New Roman" w:hAnsi="Times New Roman" w:cs="Times New Roman"/>
                <w:sz w:val="24"/>
                <w:szCs w:val="24"/>
              </w:rPr>
            </w:pPr>
            <w:r w:rsidRPr="009708B6">
              <w:rPr>
                <w:rFonts w:ascii="Times New Roman" w:hAnsi="Times New Roman" w:cs="Times New Roman"/>
                <w:sz w:val="24"/>
                <w:szCs w:val="24"/>
              </w:rPr>
              <w:t xml:space="preserve">Neparedz stingrākas </w:t>
            </w:r>
            <w:r w:rsidRPr="009708B6">
              <w:rPr>
                <w:rFonts w:ascii="Times New Roman" w:hAnsi="Times New Roman" w:cs="Times New Roman"/>
                <w:sz w:val="24"/>
                <w:szCs w:val="24"/>
              </w:rPr>
              <w:lastRenderedPageBreak/>
              <w:t>prasības</w:t>
            </w:r>
          </w:p>
        </w:tc>
      </w:tr>
      <w:tr w:rsidR="009E6BB6" w:rsidRPr="009708B6" w:rsidTr="00E6137A">
        <w:tc>
          <w:tcPr>
            <w:tcW w:w="2321" w:type="dxa"/>
            <w:tcBorders>
              <w:top w:val="single" w:sz="4" w:space="0" w:color="auto"/>
              <w:left w:val="single" w:sz="4" w:space="0" w:color="auto"/>
              <w:bottom w:val="single" w:sz="4" w:space="0" w:color="auto"/>
              <w:right w:val="single" w:sz="4" w:space="0" w:color="auto"/>
            </w:tcBorders>
          </w:tcPr>
          <w:p w:rsidR="009E6BB6" w:rsidRPr="009708B6" w:rsidRDefault="009E6BB6" w:rsidP="009708B6">
            <w:pPr>
              <w:shd w:val="clear" w:color="auto" w:fill="FFFFFF" w:themeFill="background1"/>
              <w:spacing w:after="0" w:line="240" w:lineRule="auto"/>
              <w:rPr>
                <w:rFonts w:ascii="Times New Roman" w:hAnsi="Times New Roman" w:cs="Times New Roman"/>
                <w:sz w:val="24"/>
                <w:szCs w:val="24"/>
              </w:rPr>
            </w:pPr>
            <w:r w:rsidRPr="009708B6">
              <w:rPr>
                <w:rFonts w:ascii="Times New Roman" w:hAnsi="Times New Roman" w:cs="Times New Roman"/>
                <w:sz w:val="24"/>
                <w:szCs w:val="24"/>
              </w:rPr>
              <w:lastRenderedPageBreak/>
              <w:t xml:space="preserve">Komisijas regulas Nr. 1407/2013 </w:t>
            </w:r>
            <w:r w:rsidR="00E61812" w:rsidRPr="009708B6">
              <w:rPr>
                <w:rFonts w:ascii="Times New Roman" w:hAnsi="Times New Roman" w:cs="Times New Roman"/>
                <w:sz w:val="24"/>
                <w:szCs w:val="24"/>
              </w:rPr>
              <w:t>2. panta 2. punkts</w:t>
            </w:r>
            <w:r w:rsidR="001E31C1" w:rsidRPr="009708B6">
              <w:rPr>
                <w:rFonts w:ascii="Times New Roman" w:hAnsi="Times New Roman" w:cs="Times New Roman"/>
                <w:sz w:val="24"/>
                <w:szCs w:val="24"/>
              </w:rPr>
              <w:t>,</w:t>
            </w:r>
            <w:r w:rsidR="00E61812" w:rsidRPr="009708B6">
              <w:rPr>
                <w:rFonts w:ascii="Times New Roman" w:hAnsi="Times New Roman" w:cs="Times New Roman"/>
                <w:sz w:val="24"/>
                <w:szCs w:val="24"/>
              </w:rPr>
              <w:t xml:space="preserve"> </w:t>
            </w:r>
            <w:r w:rsidRPr="009708B6">
              <w:rPr>
                <w:rFonts w:ascii="Times New Roman" w:hAnsi="Times New Roman" w:cs="Times New Roman"/>
                <w:sz w:val="24"/>
                <w:szCs w:val="24"/>
              </w:rPr>
              <w:t xml:space="preserve">3. panta 2. punkts </w:t>
            </w:r>
            <w:r w:rsidR="001E31C1" w:rsidRPr="009708B6">
              <w:rPr>
                <w:rFonts w:ascii="Times New Roman" w:hAnsi="Times New Roman" w:cs="Times New Roman"/>
                <w:sz w:val="24"/>
                <w:szCs w:val="24"/>
              </w:rPr>
              <w:t>un 6. panta 1. punkts</w:t>
            </w:r>
          </w:p>
        </w:tc>
        <w:tc>
          <w:tcPr>
            <w:tcW w:w="2170" w:type="dxa"/>
            <w:tcBorders>
              <w:top w:val="single" w:sz="4" w:space="0" w:color="auto"/>
              <w:left w:val="single" w:sz="4" w:space="0" w:color="auto"/>
              <w:bottom w:val="single" w:sz="4" w:space="0" w:color="auto"/>
              <w:right w:val="single" w:sz="4" w:space="0" w:color="auto"/>
            </w:tcBorders>
          </w:tcPr>
          <w:p w:rsidR="009E6BB6" w:rsidRPr="009708B6" w:rsidRDefault="009E6BB6" w:rsidP="009708B6">
            <w:pPr>
              <w:shd w:val="clear" w:color="auto" w:fill="FFFFFF" w:themeFill="background1"/>
              <w:spacing w:after="0" w:line="240" w:lineRule="auto"/>
              <w:rPr>
                <w:rFonts w:ascii="Times New Roman" w:hAnsi="Times New Roman" w:cs="Times New Roman"/>
                <w:sz w:val="24"/>
                <w:szCs w:val="24"/>
              </w:rPr>
            </w:pPr>
            <w:r w:rsidRPr="009708B6">
              <w:rPr>
                <w:rFonts w:ascii="Times New Roman" w:hAnsi="Times New Roman" w:cs="Times New Roman"/>
                <w:sz w:val="24"/>
                <w:szCs w:val="24"/>
              </w:rPr>
              <w:t>Noteikumu projekta 13.</w:t>
            </w:r>
            <w:r w:rsidR="000667C8" w:rsidRPr="009708B6">
              <w:rPr>
                <w:rFonts w:ascii="Times New Roman" w:hAnsi="Times New Roman" w:cs="Times New Roman"/>
                <w:sz w:val="24"/>
                <w:szCs w:val="24"/>
              </w:rPr>
              <w:t>4</w:t>
            </w:r>
            <w:r w:rsidRPr="009708B6">
              <w:rPr>
                <w:rFonts w:ascii="Times New Roman" w:hAnsi="Times New Roman" w:cs="Times New Roman"/>
                <w:sz w:val="24"/>
                <w:szCs w:val="24"/>
              </w:rPr>
              <w:t xml:space="preserve">. </w:t>
            </w:r>
            <w:r w:rsidR="006F18BA" w:rsidRPr="009708B6">
              <w:rPr>
                <w:rFonts w:ascii="Times New Roman" w:hAnsi="Times New Roman" w:cs="Times New Roman"/>
                <w:sz w:val="24"/>
                <w:szCs w:val="24"/>
              </w:rPr>
              <w:t>apakš</w:t>
            </w:r>
            <w:r w:rsidRPr="009708B6">
              <w:rPr>
                <w:rFonts w:ascii="Times New Roman" w:hAnsi="Times New Roman" w:cs="Times New Roman"/>
                <w:sz w:val="24"/>
                <w:szCs w:val="24"/>
              </w:rPr>
              <w:t>punkts</w:t>
            </w:r>
          </w:p>
        </w:tc>
        <w:tc>
          <w:tcPr>
            <w:tcW w:w="2170" w:type="dxa"/>
            <w:tcBorders>
              <w:top w:val="single" w:sz="4" w:space="0" w:color="auto"/>
              <w:left w:val="single" w:sz="4" w:space="0" w:color="auto"/>
              <w:bottom w:val="single" w:sz="4" w:space="0" w:color="auto"/>
              <w:right w:val="single" w:sz="4" w:space="0" w:color="auto"/>
            </w:tcBorders>
          </w:tcPr>
          <w:p w:rsidR="009E6BB6" w:rsidRPr="009708B6" w:rsidRDefault="009E6BB6" w:rsidP="009708B6">
            <w:pPr>
              <w:shd w:val="clear" w:color="auto" w:fill="FFFFFF" w:themeFill="background1"/>
              <w:spacing w:after="0" w:line="240" w:lineRule="auto"/>
              <w:rPr>
                <w:rFonts w:ascii="Times New Roman" w:hAnsi="Times New Roman" w:cs="Times New Roman"/>
                <w:sz w:val="24"/>
                <w:szCs w:val="24"/>
              </w:rPr>
            </w:pPr>
            <w:r w:rsidRPr="009708B6">
              <w:rPr>
                <w:rFonts w:ascii="Times New Roman" w:hAnsi="Times New Roman" w:cs="Times New Roman"/>
                <w:sz w:val="24"/>
                <w:szCs w:val="24"/>
              </w:rPr>
              <w:t>Ieviests pilnībā</w:t>
            </w:r>
          </w:p>
        </w:tc>
        <w:tc>
          <w:tcPr>
            <w:tcW w:w="2400" w:type="dxa"/>
            <w:tcBorders>
              <w:top w:val="single" w:sz="4" w:space="0" w:color="auto"/>
              <w:left w:val="single" w:sz="4" w:space="0" w:color="auto"/>
              <w:bottom w:val="single" w:sz="4" w:space="0" w:color="auto"/>
              <w:right w:val="single" w:sz="4" w:space="0" w:color="auto"/>
            </w:tcBorders>
          </w:tcPr>
          <w:p w:rsidR="009E6BB6" w:rsidRPr="009708B6" w:rsidRDefault="009E6BB6" w:rsidP="009708B6">
            <w:pPr>
              <w:shd w:val="clear" w:color="auto" w:fill="FFFFFF" w:themeFill="background1"/>
              <w:spacing w:after="0" w:line="240" w:lineRule="auto"/>
              <w:rPr>
                <w:rFonts w:ascii="Times New Roman" w:hAnsi="Times New Roman" w:cs="Times New Roman"/>
                <w:sz w:val="24"/>
                <w:szCs w:val="24"/>
              </w:rPr>
            </w:pPr>
            <w:r w:rsidRPr="009708B6">
              <w:rPr>
                <w:rFonts w:ascii="Times New Roman" w:hAnsi="Times New Roman" w:cs="Times New Roman"/>
                <w:sz w:val="24"/>
                <w:szCs w:val="24"/>
              </w:rPr>
              <w:t>Neparedz stingrākas prasības</w:t>
            </w:r>
          </w:p>
        </w:tc>
      </w:tr>
      <w:tr w:rsidR="003042BA" w:rsidRPr="009708B6" w:rsidTr="00E6137A">
        <w:tc>
          <w:tcPr>
            <w:tcW w:w="2321" w:type="dxa"/>
            <w:tcBorders>
              <w:top w:val="single" w:sz="4" w:space="0" w:color="auto"/>
              <w:left w:val="single" w:sz="4" w:space="0" w:color="auto"/>
              <w:bottom w:val="single" w:sz="4" w:space="0" w:color="auto"/>
              <w:right w:val="single" w:sz="4" w:space="0" w:color="auto"/>
            </w:tcBorders>
          </w:tcPr>
          <w:p w:rsidR="003042BA" w:rsidRPr="009708B6" w:rsidRDefault="003042BA" w:rsidP="009708B6">
            <w:pPr>
              <w:shd w:val="clear" w:color="auto" w:fill="FFFFFF" w:themeFill="background1"/>
              <w:spacing w:after="0" w:line="240" w:lineRule="auto"/>
              <w:rPr>
                <w:rFonts w:ascii="Times New Roman" w:hAnsi="Times New Roman" w:cs="Times New Roman"/>
                <w:sz w:val="24"/>
                <w:szCs w:val="24"/>
              </w:rPr>
            </w:pPr>
            <w:r w:rsidRPr="009708B6">
              <w:rPr>
                <w:rFonts w:ascii="Times New Roman" w:hAnsi="Times New Roman" w:cs="Times New Roman"/>
                <w:sz w:val="24"/>
                <w:szCs w:val="24"/>
              </w:rPr>
              <w:t xml:space="preserve">Komisijas regulas </w:t>
            </w:r>
            <w:r w:rsidR="008D36E0" w:rsidRPr="009708B6">
              <w:rPr>
                <w:rFonts w:ascii="Times New Roman" w:hAnsi="Times New Roman" w:cs="Times New Roman"/>
                <w:sz w:val="24"/>
                <w:szCs w:val="24"/>
              </w:rPr>
              <w:t>Nr. 1407/2013 5. panta 1. punkts</w:t>
            </w:r>
          </w:p>
        </w:tc>
        <w:tc>
          <w:tcPr>
            <w:tcW w:w="2170" w:type="dxa"/>
            <w:tcBorders>
              <w:top w:val="single" w:sz="4" w:space="0" w:color="auto"/>
              <w:left w:val="single" w:sz="4" w:space="0" w:color="auto"/>
              <w:bottom w:val="single" w:sz="4" w:space="0" w:color="auto"/>
              <w:right w:val="single" w:sz="4" w:space="0" w:color="auto"/>
            </w:tcBorders>
          </w:tcPr>
          <w:p w:rsidR="003042BA" w:rsidRPr="009708B6" w:rsidRDefault="00F72814" w:rsidP="009708B6">
            <w:pPr>
              <w:shd w:val="clear" w:color="auto" w:fill="FFFFFF" w:themeFill="background1"/>
              <w:spacing w:after="0" w:line="240" w:lineRule="auto"/>
              <w:rPr>
                <w:rFonts w:ascii="Times New Roman" w:hAnsi="Times New Roman" w:cs="Times New Roman"/>
                <w:sz w:val="24"/>
                <w:szCs w:val="24"/>
              </w:rPr>
            </w:pPr>
            <w:r w:rsidRPr="009708B6">
              <w:rPr>
                <w:rFonts w:ascii="Times New Roman" w:hAnsi="Times New Roman" w:cs="Times New Roman"/>
                <w:sz w:val="24"/>
                <w:szCs w:val="24"/>
              </w:rPr>
              <w:t>Noteikumu projekta 13.</w:t>
            </w:r>
            <w:r w:rsidR="000667C8" w:rsidRPr="009708B6">
              <w:rPr>
                <w:rFonts w:ascii="Times New Roman" w:hAnsi="Times New Roman" w:cs="Times New Roman"/>
                <w:sz w:val="24"/>
                <w:szCs w:val="24"/>
              </w:rPr>
              <w:t>6</w:t>
            </w:r>
            <w:r w:rsidRPr="009708B6">
              <w:rPr>
                <w:rFonts w:ascii="Times New Roman" w:hAnsi="Times New Roman" w:cs="Times New Roman"/>
                <w:sz w:val="24"/>
                <w:szCs w:val="24"/>
              </w:rPr>
              <w:t xml:space="preserve">. </w:t>
            </w:r>
            <w:r w:rsidR="006F18BA" w:rsidRPr="009708B6">
              <w:rPr>
                <w:rFonts w:ascii="Times New Roman" w:hAnsi="Times New Roman" w:cs="Times New Roman"/>
                <w:sz w:val="24"/>
                <w:szCs w:val="24"/>
              </w:rPr>
              <w:t>apakš</w:t>
            </w:r>
            <w:r w:rsidRPr="009708B6">
              <w:rPr>
                <w:rFonts w:ascii="Times New Roman" w:hAnsi="Times New Roman" w:cs="Times New Roman"/>
                <w:sz w:val="24"/>
                <w:szCs w:val="24"/>
              </w:rPr>
              <w:t>punkts</w:t>
            </w:r>
          </w:p>
        </w:tc>
        <w:tc>
          <w:tcPr>
            <w:tcW w:w="2170" w:type="dxa"/>
            <w:tcBorders>
              <w:top w:val="single" w:sz="4" w:space="0" w:color="auto"/>
              <w:left w:val="single" w:sz="4" w:space="0" w:color="auto"/>
              <w:bottom w:val="single" w:sz="4" w:space="0" w:color="auto"/>
              <w:right w:val="single" w:sz="4" w:space="0" w:color="auto"/>
            </w:tcBorders>
          </w:tcPr>
          <w:p w:rsidR="003042BA" w:rsidRPr="009708B6" w:rsidRDefault="00F72814" w:rsidP="009708B6">
            <w:pPr>
              <w:shd w:val="clear" w:color="auto" w:fill="FFFFFF" w:themeFill="background1"/>
              <w:spacing w:after="0" w:line="240" w:lineRule="auto"/>
              <w:rPr>
                <w:rFonts w:ascii="Times New Roman" w:hAnsi="Times New Roman" w:cs="Times New Roman"/>
                <w:sz w:val="24"/>
                <w:szCs w:val="24"/>
              </w:rPr>
            </w:pPr>
            <w:r w:rsidRPr="009708B6">
              <w:rPr>
                <w:rFonts w:ascii="Times New Roman" w:hAnsi="Times New Roman" w:cs="Times New Roman"/>
                <w:sz w:val="24"/>
                <w:szCs w:val="24"/>
              </w:rPr>
              <w:t>Ieviests pilnībā</w:t>
            </w:r>
          </w:p>
        </w:tc>
        <w:tc>
          <w:tcPr>
            <w:tcW w:w="2400" w:type="dxa"/>
            <w:tcBorders>
              <w:top w:val="single" w:sz="4" w:space="0" w:color="auto"/>
              <w:left w:val="single" w:sz="4" w:space="0" w:color="auto"/>
              <w:bottom w:val="single" w:sz="4" w:space="0" w:color="auto"/>
              <w:right w:val="single" w:sz="4" w:space="0" w:color="auto"/>
            </w:tcBorders>
          </w:tcPr>
          <w:p w:rsidR="003042BA" w:rsidRPr="009708B6" w:rsidRDefault="00F72814" w:rsidP="009708B6">
            <w:pPr>
              <w:shd w:val="clear" w:color="auto" w:fill="FFFFFF" w:themeFill="background1"/>
              <w:spacing w:after="0" w:line="240" w:lineRule="auto"/>
              <w:rPr>
                <w:rFonts w:ascii="Times New Roman" w:hAnsi="Times New Roman" w:cs="Times New Roman"/>
                <w:sz w:val="24"/>
                <w:szCs w:val="24"/>
              </w:rPr>
            </w:pPr>
            <w:r w:rsidRPr="009708B6">
              <w:rPr>
                <w:rFonts w:ascii="Times New Roman" w:hAnsi="Times New Roman" w:cs="Times New Roman"/>
                <w:sz w:val="24"/>
                <w:szCs w:val="24"/>
              </w:rPr>
              <w:t>Neparedz stingrākas prasības</w:t>
            </w:r>
          </w:p>
        </w:tc>
      </w:tr>
      <w:tr w:rsidR="006F18BA" w:rsidRPr="009708B6" w:rsidTr="00E6137A">
        <w:tc>
          <w:tcPr>
            <w:tcW w:w="2321" w:type="dxa"/>
            <w:tcBorders>
              <w:top w:val="single" w:sz="4" w:space="0" w:color="auto"/>
              <w:left w:val="single" w:sz="4" w:space="0" w:color="auto"/>
              <w:bottom w:val="single" w:sz="4" w:space="0" w:color="auto"/>
              <w:right w:val="single" w:sz="4" w:space="0" w:color="auto"/>
            </w:tcBorders>
          </w:tcPr>
          <w:p w:rsidR="006F18BA" w:rsidRPr="009708B6" w:rsidRDefault="006F18BA" w:rsidP="009708B6">
            <w:pPr>
              <w:shd w:val="clear" w:color="auto" w:fill="FFFFFF" w:themeFill="background1"/>
              <w:spacing w:after="0" w:line="240" w:lineRule="auto"/>
              <w:rPr>
                <w:rFonts w:ascii="Times New Roman" w:hAnsi="Times New Roman" w:cs="Times New Roman"/>
                <w:sz w:val="24"/>
                <w:szCs w:val="24"/>
              </w:rPr>
            </w:pPr>
            <w:r w:rsidRPr="009708B6">
              <w:rPr>
                <w:rFonts w:ascii="Times New Roman" w:hAnsi="Times New Roman" w:cs="Times New Roman"/>
                <w:sz w:val="24"/>
                <w:szCs w:val="24"/>
              </w:rPr>
              <w:t>Komisijas regulas Nr. 1407/2013 6. panta 4. punkts</w:t>
            </w:r>
          </w:p>
        </w:tc>
        <w:tc>
          <w:tcPr>
            <w:tcW w:w="2170" w:type="dxa"/>
            <w:tcBorders>
              <w:top w:val="single" w:sz="4" w:space="0" w:color="auto"/>
              <w:left w:val="single" w:sz="4" w:space="0" w:color="auto"/>
              <w:bottom w:val="single" w:sz="4" w:space="0" w:color="auto"/>
              <w:right w:val="single" w:sz="4" w:space="0" w:color="auto"/>
            </w:tcBorders>
          </w:tcPr>
          <w:p w:rsidR="006F18BA" w:rsidRPr="009708B6" w:rsidRDefault="006F18BA" w:rsidP="009708B6">
            <w:pPr>
              <w:shd w:val="clear" w:color="auto" w:fill="FFFFFF" w:themeFill="background1"/>
              <w:spacing w:after="0" w:line="240" w:lineRule="auto"/>
              <w:rPr>
                <w:rFonts w:ascii="Times New Roman" w:hAnsi="Times New Roman" w:cs="Times New Roman"/>
                <w:sz w:val="24"/>
                <w:szCs w:val="24"/>
              </w:rPr>
            </w:pPr>
            <w:r w:rsidRPr="009708B6">
              <w:rPr>
                <w:rFonts w:ascii="Times New Roman" w:hAnsi="Times New Roman" w:cs="Times New Roman"/>
                <w:sz w:val="24"/>
                <w:szCs w:val="24"/>
              </w:rPr>
              <w:t>Noteikumu projekta 13.7. apakšpunkts</w:t>
            </w:r>
          </w:p>
        </w:tc>
        <w:tc>
          <w:tcPr>
            <w:tcW w:w="2170" w:type="dxa"/>
            <w:tcBorders>
              <w:top w:val="single" w:sz="4" w:space="0" w:color="auto"/>
              <w:left w:val="single" w:sz="4" w:space="0" w:color="auto"/>
              <w:bottom w:val="single" w:sz="4" w:space="0" w:color="auto"/>
              <w:right w:val="single" w:sz="4" w:space="0" w:color="auto"/>
            </w:tcBorders>
          </w:tcPr>
          <w:p w:rsidR="006F18BA" w:rsidRPr="009708B6" w:rsidRDefault="006F18BA" w:rsidP="009708B6">
            <w:pPr>
              <w:shd w:val="clear" w:color="auto" w:fill="FFFFFF" w:themeFill="background1"/>
              <w:spacing w:after="0" w:line="240" w:lineRule="auto"/>
              <w:rPr>
                <w:rFonts w:ascii="Times New Roman" w:hAnsi="Times New Roman" w:cs="Times New Roman"/>
                <w:sz w:val="24"/>
                <w:szCs w:val="24"/>
              </w:rPr>
            </w:pPr>
            <w:r w:rsidRPr="009708B6">
              <w:rPr>
                <w:rFonts w:ascii="Times New Roman" w:hAnsi="Times New Roman" w:cs="Times New Roman"/>
                <w:sz w:val="24"/>
                <w:szCs w:val="24"/>
              </w:rPr>
              <w:t>Ieviests pilnībā</w:t>
            </w:r>
          </w:p>
        </w:tc>
        <w:tc>
          <w:tcPr>
            <w:tcW w:w="2400" w:type="dxa"/>
            <w:tcBorders>
              <w:top w:val="single" w:sz="4" w:space="0" w:color="auto"/>
              <w:left w:val="single" w:sz="4" w:space="0" w:color="auto"/>
              <w:bottom w:val="single" w:sz="4" w:space="0" w:color="auto"/>
              <w:right w:val="single" w:sz="4" w:space="0" w:color="auto"/>
            </w:tcBorders>
          </w:tcPr>
          <w:p w:rsidR="006F18BA" w:rsidRPr="009708B6" w:rsidRDefault="006F18BA" w:rsidP="009708B6">
            <w:pPr>
              <w:shd w:val="clear" w:color="auto" w:fill="FFFFFF" w:themeFill="background1"/>
              <w:spacing w:after="0" w:line="240" w:lineRule="auto"/>
              <w:rPr>
                <w:rFonts w:ascii="Times New Roman" w:hAnsi="Times New Roman" w:cs="Times New Roman"/>
                <w:sz w:val="24"/>
                <w:szCs w:val="24"/>
              </w:rPr>
            </w:pPr>
            <w:r w:rsidRPr="009708B6">
              <w:rPr>
                <w:rFonts w:ascii="Times New Roman" w:hAnsi="Times New Roman" w:cs="Times New Roman"/>
                <w:sz w:val="24"/>
                <w:szCs w:val="24"/>
              </w:rPr>
              <w:t>Neparedz stingrākas prasības</w:t>
            </w:r>
          </w:p>
        </w:tc>
      </w:tr>
      <w:tr w:rsidR="0088604F" w:rsidRPr="009708B6" w:rsidTr="00E6137A">
        <w:tc>
          <w:tcPr>
            <w:tcW w:w="2321" w:type="dxa"/>
            <w:tcBorders>
              <w:top w:val="single" w:sz="4" w:space="0" w:color="auto"/>
              <w:left w:val="single" w:sz="4" w:space="0" w:color="auto"/>
              <w:bottom w:val="single" w:sz="4" w:space="0" w:color="auto"/>
              <w:right w:val="single" w:sz="4" w:space="0" w:color="auto"/>
            </w:tcBorders>
          </w:tcPr>
          <w:p w:rsidR="0088604F" w:rsidRPr="009708B6" w:rsidRDefault="0088604F" w:rsidP="009708B6">
            <w:pPr>
              <w:shd w:val="clear" w:color="auto" w:fill="FFFFFF" w:themeFill="background1"/>
              <w:spacing w:after="0" w:line="240" w:lineRule="auto"/>
              <w:rPr>
                <w:rFonts w:ascii="Times New Roman" w:hAnsi="Times New Roman" w:cs="Times New Roman"/>
                <w:sz w:val="24"/>
                <w:szCs w:val="24"/>
              </w:rPr>
            </w:pPr>
            <w:r w:rsidRPr="009708B6">
              <w:rPr>
                <w:rFonts w:ascii="Times New Roman" w:hAnsi="Times New Roman" w:cs="Times New Roman"/>
                <w:sz w:val="24"/>
                <w:szCs w:val="24"/>
              </w:rPr>
              <w:t xml:space="preserve">Komisijas regulas Nr. 1407/2013 </w:t>
            </w:r>
            <w:r w:rsidR="001E31C1" w:rsidRPr="009708B6">
              <w:rPr>
                <w:rFonts w:ascii="Times New Roman" w:hAnsi="Times New Roman" w:cs="Times New Roman"/>
                <w:sz w:val="24"/>
                <w:szCs w:val="24"/>
              </w:rPr>
              <w:t xml:space="preserve">7. panta 4. punkts un </w:t>
            </w:r>
            <w:r w:rsidRPr="009708B6">
              <w:rPr>
                <w:rFonts w:ascii="Times New Roman" w:hAnsi="Times New Roman" w:cs="Times New Roman"/>
                <w:sz w:val="24"/>
                <w:szCs w:val="24"/>
              </w:rPr>
              <w:t>8. pants</w:t>
            </w:r>
          </w:p>
        </w:tc>
        <w:tc>
          <w:tcPr>
            <w:tcW w:w="2170" w:type="dxa"/>
            <w:tcBorders>
              <w:top w:val="single" w:sz="4" w:space="0" w:color="auto"/>
              <w:left w:val="single" w:sz="4" w:space="0" w:color="auto"/>
              <w:bottom w:val="single" w:sz="4" w:space="0" w:color="auto"/>
              <w:right w:val="single" w:sz="4" w:space="0" w:color="auto"/>
            </w:tcBorders>
          </w:tcPr>
          <w:p w:rsidR="0088604F" w:rsidRPr="009708B6" w:rsidRDefault="0088604F" w:rsidP="009708B6">
            <w:pPr>
              <w:shd w:val="clear" w:color="auto" w:fill="FFFFFF" w:themeFill="background1"/>
              <w:spacing w:after="0" w:line="240" w:lineRule="auto"/>
              <w:rPr>
                <w:rFonts w:ascii="Times New Roman" w:hAnsi="Times New Roman" w:cs="Times New Roman"/>
                <w:sz w:val="24"/>
                <w:szCs w:val="24"/>
              </w:rPr>
            </w:pPr>
            <w:r w:rsidRPr="009708B6">
              <w:rPr>
                <w:rFonts w:ascii="Times New Roman" w:hAnsi="Times New Roman" w:cs="Times New Roman"/>
                <w:sz w:val="24"/>
                <w:szCs w:val="24"/>
              </w:rPr>
              <w:t>Noteikumu projekta 13.8. apakšpunkts</w:t>
            </w:r>
          </w:p>
        </w:tc>
        <w:tc>
          <w:tcPr>
            <w:tcW w:w="2170" w:type="dxa"/>
            <w:tcBorders>
              <w:top w:val="single" w:sz="4" w:space="0" w:color="auto"/>
              <w:left w:val="single" w:sz="4" w:space="0" w:color="auto"/>
              <w:bottom w:val="single" w:sz="4" w:space="0" w:color="auto"/>
              <w:right w:val="single" w:sz="4" w:space="0" w:color="auto"/>
            </w:tcBorders>
          </w:tcPr>
          <w:p w:rsidR="0088604F" w:rsidRPr="009708B6" w:rsidRDefault="0088604F" w:rsidP="009708B6">
            <w:pPr>
              <w:shd w:val="clear" w:color="auto" w:fill="FFFFFF" w:themeFill="background1"/>
              <w:spacing w:after="0" w:line="240" w:lineRule="auto"/>
              <w:rPr>
                <w:rFonts w:ascii="Times New Roman" w:hAnsi="Times New Roman" w:cs="Times New Roman"/>
                <w:sz w:val="24"/>
                <w:szCs w:val="24"/>
              </w:rPr>
            </w:pPr>
            <w:r w:rsidRPr="009708B6">
              <w:rPr>
                <w:rFonts w:ascii="Times New Roman" w:hAnsi="Times New Roman" w:cs="Times New Roman"/>
                <w:sz w:val="24"/>
                <w:szCs w:val="24"/>
              </w:rPr>
              <w:t>Ieviests pilnībā</w:t>
            </w:r>
          </w:p>
        </w:tc>
        <w:tc>
          <w:tcPr>
            <w:tcW w:w="2400" w:type="dxa"/>
            <w:tcBorders>
              <w:top w:val="single" w:sz="4" w:space="0" w:color="auto"/>
              <w:left w:val="single" w:sz="4" w:space="0" w:color="auto"/>
              <w:bottom w:val="single" w:sz="4" w:space="0" w:color="auto"/>
              <w:right w:val="single" w:sz="4" w:space="0" w:color="auto"/>
            </w:tcBorders>
          </w:tcPr>
          <w:p w:rsidR="0088604F" w:rsidRPr="009708B6" w:rsidRDefault="0088604F" w:rsidP="009708B6">
            <w:pPr>
              <w:shd w:val="clear" w:color="auto" w:fill="FFFFFF" w:themeFill="background1"/>
              <w:spacing w:after="0" w:line="240" w:lineRule="auto"/>
              <w:rPr>
                <w:rFonts w:ascii="Times New Roman" w:hAnsi="Times New Roman" w:cs="Times New Roman"/>
                <w:sz w:val="24"/>
                <w:szCs w:val="24"/>
              </w:rPr>
            </w:pPr>
            <w:r w:rsidRPr="009708B6">
              <w:rPr>
                <w:rFonts w:ascii="Times New Roman" w:hAnsi="Times New Roman" w:cs="Times New Roman"/>
                <w:sz w:val="24"/>
                <w:szCs w:val="24"/>
              </w:rPr>
              <w:t>Neparedz stingrākas prasības</w:t>
            </w:r>
          </w:p>
        </w:tc>
      </w:tr>
      <w:tr w:rsidR="00AA424D" w:rsidRPr="009708B6" w:rsidTr="00E6137A">
        <w:tc>
          <w:tcPr>
            <w:tcW w:w="4491" w:type="dxa"/>
            <w:gridSpan w:val="2"/>
            <w:tcBorders>
              <w:top w:val="single" w:sz="4" w:space="0" w:color="auto"/>
              <w:left w:val="single" w:sz="4" w:space="0" w:color="auto"/>
              <w:bottom w:val="single" w:sz="4" w:space="0" w:color="auto"/>
              <w:right w:val="single" w:sz="4" w:space="0" w:color="auto"/>
            </w:tcBorders>
            <w:hideMark/>
          </w:tcPr>
          <w:p w:rsidR="00491BC4" w:rsidRPr="009708B6" w:rsidRDefault="00491BC4" w:rsidP="009708B6">
            <w:pPr>
              <w:shd w:val="clear" w:color="auto" w:fill="FFFFFF" w:themeFill="background1"/>
              <w:spacing w:after="0" w:line="240" w:lineRule="auto"/>
              <w:rPr>
                <w:rFonts w:ascii="Times New Roman" w:hAnsi="Times New Roman" w:cs="Times New Roman"/>
                <w:sz w:val="24"/>
                <w:szCs w:val="24"/>
              </w:rPr>
            </w:pPr>
            <w:r w:rsidRPr="009708B6">
              <w:rPr>
                <w:rFonts w:ascii="Times New Roman" w:hAnsi="Times New Roman" w:cs="Times New Roman"/>
                <w:sz w:val="24"/>
                <w:szCs w:val="24"/>
              </w:rPr>
              <w:t>Kā ir izmantota ES tiesību aktā paredzētā rīcības brīvība dalībvalstij pārņemt vai ieviest noteiktas ES tiesību akta normas?</w:t>
            </w:r>
          </w:p>
          <w:p w:rsidR="00AA424D" w:rsidRPr="009708B6" w:rsidRDefault="00491BC4" w:rsidP="009708B6">
            <w:pPr>
              <w:shd w:val="clear" w:color="auto" w:fill="FFFFFF" w:themeFill="background1"/>
              <w:spacing w:after="0" w:line="240" w:lineRule="auto"/>
              <w:rPr>
                <w:rFonts w:ascii="Times New Roman" w:hAnsi="Times New Roman" w:cs="Times New Roman"/>
                <w:sz w:val="24"/>
                <w:szCs w:val="24"/>
              </w:rPr>
            </w:pPr>
            <w:r w:rsidRPr="009708B6">
              <w:rPr>
                <w:rFonts w:ascii="Times New Roman" w:hAnsi="Times New Roman" w:cs="Times New Roman"/>
                <w:sz w:val="24"/>
                <w:szCs w:val="24"/>
              </w:rPr>
              <w:t>Kādēļ?</w:t>
            </w:r>
          </w:p>
        </w:tc>
        <w:tc>
          <w:tcPr>
            <w:tcW w:w="4570" w:type="dxa"/>
            <w:gridSpan w:val="2"/>
            <w:tcBorders>
              <w:top w:val="single" w:sz="4" w:space="0" w:color="auto"/>
              <w:left w:val="single" w:sz="4" w:space="0" w:color="auto"/>
              <w:bottom w:val="single" w:sz="4" w:space="0" w:color="auto"/>
              <w:right w:val="single" w:sz="4" w:space="0" w:color="auto"/>
            </w:tcBorders>
            <w:hideMark/>
          </w:tcPr>
          <w:p w:rsidR="00AA424D" w:rsidRPr="009708B6" w:rsidRDefault="00AA424D" w:rsidP="009708B6">
            <w:pPr>
              <w:shd w:val="clear" w:color="auto" w:fill="FFFFFF" w:themeFill="background1"/>
              <w:spacing w:after="0" w:line="240" w:lineRule="auto"/>
              <w:rPr>
                <w:rFonts w:ascii="Times New Roman" w:hAnsi="Times New Roman" w:cs="Times New Roman"/>
                <w:sz w:val="24"/>
                <w:szCs w:val="24"/>
              </w:rPr>
            </w:pPr>
            <w:r w:rsidRPr="009708B6">
              <w:rPr>
                <w:rFonts w:ascii="Times New Roman" w:hAnsi="Times New Roman" w:cs="Times New Roman"/>
                <w:sz w:val="24"/>
                <w:szCs w:val="24"/>
              </w:rPr>
              <w:t xml:space="preserve">Noteikumu projekts šo </w:t>
            </w:r>
            <w:r w:rsidR="00B25CD5" w:rsidRPr="009708B6">
              <w:rPr>
                <w:rFonts w:ascii="Times New Roman" w:hAnsi="Times New Roman" w:cs="Times New Roman"/>
                <w:sz w:val="24"/>
                <w:szCs w:val="24"/>
              </w:rPr>
              <w:t>jautājumu</w:t>
            </w:r>
            <w:r w:rsidRPr="009708B6">
              <w:rPr>
                <w:rFonts w:ascii="Times New Roman" w:hAnsi="Times New Roman" w:cs="Times New Roman"/>
                <w:sz w:val="24"/>
                <w:szCs w:val="24"/>
              </w:rPr>
              <w:t xml:space="preserve"> neskar.</w:t>
            </w:r>
          </w:p>
        </w:tc>
      </w:tr>
      <w:tr w:rsidR="00AA424D" w:rsidRPr="009708B6" w:rsidTr="00E6137A">
        <w:tc>
          <w:tcPr>
            <w:tcW w:w="4491" w:type="dxa"/>
            <w:gridSpan w:val="2"/>
            <w:tcBorders>
              <w:top w:val="single" w:sz="4" w:space="0" w:color="auto"/>
              <w:left w:val="single" w:sz="4" w:space="0" w:color="auto"/>
              <w:bottom w:val="single" w:sz="4" w:space="0" w:color="auto"/>
              <w:right w:val="single" w:sz="4" w:space="0" w:color="auto"/>
            </w:tcBorders>
            <w:hideMark/>
          </w:tcPr>
          <w:p w:rsidR="00AA424D" w:rsidRPr="009708B6" w:rsidRDefault="00491BC4" w:rsidP="009708B6">
            <w:pPr>
              <w:shd w:val="clear" w:color="auto" w:fill="FFFFFF" w:themeFill="background1"/>
              <w:spacing w:after="0" w:line="240" w:lineRule="auto"/>
              <w:rPr>
                <w:rFonts w:ascii="Times New Roman" w:hAnsi="Times New Roman" w:cs="Times New Roman"/>
                <w:sz w:val="24"/>
                <w:szCs w:val="24"/>
              </w:rPr>
            </w:pPr>
            <w:r w:rsidRPr="009708B6">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r w:rsidR="00E00E3A" w:rsidRPr="009708B6">
              <w:rPr>
                <w:rFonts w:ascii="Times New Roman" w:hAnsi="Times New Roman" w:cs="Times New Roman"/>
                <w:sz w:val="24"/>
                <w:szCs w:val="24"/>
              </w:rPr>
              <w:t>.</w:t>
            </w:r>
          </w:p>
        </w:tc>
        <w:tc>
          <w:tcPr>
            <w:tcW w:w="4570" w:type="dxa"/>
            <w:gridSpan w:val="2"/>
            <w:tcBorders>
              <w:top w:val="single" w:sz="4" w:space="0" w:color="auto"/>
              <w:left w:val="single" w:sz="4" w:space="0" w:color="auto"/>
              <w:bottom w:val="single" w:sz="4" w:space="0" w:color="auto"/>
              <w:right w:val="single" w:sz="4" w:space="0" w:color="auto"/>
            </w:tcBorders>
            <w:hideMark/>
          </w:tcPr>
          <w:p w:rsidR="00AA424D" w:rsidRPr="009708B6" w:rsidRDefault="00804FDF" w:rsidP="009708B6">
            <w:pPr>
              <w:shd w:val="clear" w:color="auto" w:fill="FFFFFF" w:themeFill="background1"/>
              <w:spacing w:after="0" w:line="240" w:lineRule="auto"/>
              <w:rPr>
                <w:rFonts w:ascii="Times New Roman" w:hAnsi="Times New Roman" w:cs="Times New Roman"/>
                <w:sz w:val="24"/>
                <w:szCs w:val="24"/>
              </w:rPr>
            </w:pPr>
            <w:r w:rsidRPr="009708B6">
              <w:rPr>
                <w:rFonts w:ascii="Times New Roman" w:hAnsi="Times New Roman" w:cs="Times New Roman"/>
                <w:sz w:val="24"/>
                <w:szCs w:val="24"/>
              </w:rPr>
              <w:t xml:space="preserve">Komisijas regula Nr. 1407/2013 nenoteic </w:t>
            </w:r>
            <w:r w:rsidR="004D4906" w:rsidRPr="009708B6">
              <w:rPr>
                <w:rFonts w:ascii="Times New Roman" w:hAnsi="Times New Roman" w:cs="Times New Roman"/>
                <w:sz w:val="24"/>
                <w:szCs w:val="24"/>
              </w:rPr>
              <w:t xml:space="preserve">beznosacījumu pienākumu sniegt paziņojumus. </w:t>
            </w:r>
          </w:p>
        </w:tc>
      </w:tr>
      <w:tr w:rsidR="00AA424D" w:rsidRPr="009708B6" w:rsidTr="00E6137A">
        <w:tc>
          <w:tcPr>
            <w:tcW w:w="4491" w:type="dxa"/>
            <w:gridSpan w:val="2"/>
            <w:tcBorders>
              <w:top w:val="single" w:sz="4" w:space="0" w:color="auto"/>
              <w:left w:val="single" w:sz="4" w:space="0" w:color="auto"/>
              <w:bottom w:val="single" w:sz="4" w:space="0" w:color="auto"/>
              <w:right w:val="single" w:sz="4" w:space="0" w:color="auto"/>
            </w:tcBorders>
            <w:hideMark/>
          </w:tcPr>
          <w:p w:rsidR="00AA424D" w:rsidRPr="009708B6" w:rsidRDefault="00AA424D" w:rsidP="009708B6">
            <w:pPr>
              <w:shd w:val="clear" w:color="auto" w:fill="FFFFFF" w:themeFill="background1"/>
              <w:spacing w:after="0" w:line="240" w:lineRule="auto"/>
              <w:rPr>
                <w:rFonts w:ascii="Times New Roman" w:hAnsi="Times New Roman" w:cs="Times New Roman"/>
                <w:sz w:val="24"/>
                <w:szCs w:val="24"/>
              </w:rPr>
            </w:pPr>
            <w:r w:rsidRPr="009708B6">
              <w:rPr>
                <w:rFonts w:ascii="Times New Roman" w:hAnsi="Times New Roman" w:cs="Times New Roman"/>
                <w:sz w:val="24"/>
                <w:szCs w:val="24"/>
              </w:rPr>
              <w:t>Cita informācija</w:t>
            </w:r>
          </w:p>
        </w:tc>
        <w:tc>
          <w:tcPr>
            <w:tcW w:w="4570" w:type="dxa"/>
            <w:gridSpan w:val="2"/>
            <w:tcBorders>
              <w:top w:val="single" w:sz="4" w:space="0" w:color="auto"/>
              <w:left w:val="single" w:sz="4" w:space="0" w:color="auto"/>
              <w:bottom w:val="single" w:sz="4" w:space="0" w:color="auto"/>
              <w:right w:val="single" w:sz="4" w:space="0" w:color="auto"/>
            </w:tcBorders>
            <w:hideMark/>
          </w:tcPr>
          <w:p w:rsidR="00AA424D" w:rsidRPr="009708B6" w:rsidRDefault="00AA424D" w:rsidP="009708B6">
            <w:pPr>
              <w:shd w:val="clear" w:color="auto" w:fill="FFFFFF" w:themeFill="background1"/>
              <w:spacing w:after="0" w:line="240" w:lineRule="auto"/>
              <w:rPr>
                <w:rFonts w:ascii="Times New Roman" w:hAnsi="Times New Roman" w:cs="Times New Roman"/>
                <w:sz w:val="24"/>
                <w:szCs w:val="24"/>
              </w:rPr>
            </w:pPr>
            <w:r w:rsidRPr="009708B6">
              <w:rPr>
                <w:rFonts w:ascii="Times New Roman" w:hAnsi="Times New Roman" w:cs="Times New Roman"/>
                <w:sz w:val="24"/>
                <w:szCs w:val="24"/>
              </w:rPr>
              <w:t>Nav.</w:t>
            </w:r>
          </w:p>
        </w:tc>
      </w:tr>
    </w:tbl>
    <w:p w:rsidR="00FE3649" w:rsidRPr="009708B6" w:rsidRDefault="00FE3649" w:rsidP="009708B6">
      <w:pPr>
        <w:shd w:val="clear" w:color="auto" w:fill="FFFFFF" w:themeFill="background1"/>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736"/>
        <w:gridCol w:w="5927"/>
      </w:tblGrid>
      <w:tr w:rsidR="008312A8" w:rsidRPr="009708B6" w:rsidTr="00C11EDC">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312A8" w:rsidRPr="009708B6" w:rsidRDefault="008312A8" w:rsidP="009708B6">
            <w:pPr>
              <w:shd w:val="clear" w:color="auto" w:fill="FFFFFF" w:themeFill="background1"/>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9708B6">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8312A8" w:rsidRPr="009708B6" w:rsidTr="00C11EDC">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312A8" w:rsidRPr="009708B6" w:rsidRDefault="008312A8" w:rsidP="009708B6">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lv-LV"/>
              </w:rPr>
            </w:pPr>
            <w:r w:rsidRPr="009708B6">
              <w:rPr>
                <w:rFonts w:ascii="Times New Roman" w:eastAsia="Times New Roman" w:hAnsi="Times New Roman" w:cs="Times New Roman"/>
                <w:color w:val="000000" w:themeColor="text1"/>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312A8" w:rsidRPr="009708B6" w:rsidRDefault="008312A8" w:rsidP="009708B6">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lv-LV"/>
              </w:rPr>
            </w:pPr>
            <w:r w:rsidRPr="009708B6">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sdt>
          <w:sdtPr>
            <w:rPr>
              <w:rFonts w:ascii="Times New Roman" w:hAnsi="Times New Roman" w:cs="Times New Roman"/>
              <w:sz w:val="24"/>
              <w:szCs w:val="24"/>
            </w:rPr>
            <w:id w:val="-1156844014"/>
            <w:placeholder>
              <w:docPart w:val="D8AA6DF871224112ACF966EF11FED9FE"/>
            </w:placeholder>
            <w:text/>
          </w:sdtPr>
          <w:sdtContent>
            <w:tc>
              <w:tcPr>
                <w:tcW w:w="3250" w:type="pct"/>
                <w:tcBorders>
                  <w:top w:val="outset" w:sz="6" w:space="0" w:color="414142"/>
                  <w:left w:val="outset" w:sz="6" w:space="0" w:color="414142"/>
                  <w:bottom w:val="outset" w:sz="6" w:space="0" w:color="414142"/>
                  <w:right w:val="outset" w:sz="6" w:space="0" w:color="414142"/>
                </w:tcBorders>
                <w:hideMark/>
              </w:tcPr>
              <w:p w:rsidR="008312A8" w:rsidRPr="009708B6" w:rsidRDefault="00AF4376" w:rsidP="009708B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lv-LV"/>
                  </w:rPr>
                </w:pPr>
                <w:r w:rsidRPr="009708B6">
                  <w:rPr>
                    <w:rFonts w:ascii="Times New Roman" w:hAnsi="Times New Roman" w:cs="Times New Roman"/>
                    <w:sz w:val="24"/>
                    <w:szCs w:val="24"/>
                  </w:rPr>
                  <w:t>Notikušas konsultācijas ar Latvijas Raidorganizāciju asociāciju un Latvijas Elektronisko komunikāciju Asociāciju (turpmāk – asociācijas).</w:t>
                </w:r>
              </w:p>
            </w:tc>
          </w:sdtContent>
        </w:sdt>
      </w:tr>
      <w:tr w:rsidR="008312A8" w:rsidRPr="009708B6" w:rsidTr="00C11EDC">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312A8" w:rsidRPr="009708B6" w:rsidRDefault="008312A8" w:rsidP="009708B6">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lv-LV"/>
              </w:rPr>
            </w:pPr>
            <w:r w:rsidRPr="009708B6">
              <w:rPr>
                <w:rFonts w:ascii="Times New Roman" w:eastAsia="Times New Roman" w:hAnsi="Times New Roman" w:cs="Times New Roman"/>
                <w:color w:val="000000" w:themeColor="text1"/>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312A8" w:rsidRPr="009708B6" w:rsidRDefault="008312A8" w:rsidP="009708B6">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lv-LV"/>
              </w:rPr>
            </w:pPr>
            <w:r w:rsidRPr="009708B6">
              <w:rPr>
                <w:rFonts w:ascii="Times New Roman" w:eastAsia="Times New Roman" w:hAnsi="Times New Roman" w:cs="Times New Roman"/>
                <w:color w:val="000000" w:themeColor="text1"/>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311732" w:rsidRPr="009708B6" w:rsidRDefault="00311732" w:rsidP="009708B6">
            <w:pPr>
              <w:shd w:val="clear" w:color="auto" w:fill="FFFFFF" w:themeFill="background1"/>
              <w:spacing w:line="240" w:lineRule="auto"/>
              <w:jc w:val="both"/>
              <w:rPr>
                <w:rFonts w:ascii="Times New Roman" w:eastAsia="Times New Roman" w:hAnsi="Times New Roman" w:cs="Times New Roman"/>
                <w:color w:val="000000" w:themeColor="text1"/>
                <w:sz w:val="24"/>
                <w:szCs w:val="24"/>
                <w:lang w:eastAsia="lv-LV"/>
              </w:rPr>
            </w:pPr>
            <w:r w:rsidRPr="009708B6">
              <w:rPr>
                <w:rFonts w:ascii="Times New Roman" w:eastAsia="Times New Roman" w:hAnsi="Times New Roman" w:cs="Times New Roman"/>
                <w:color w:val="000000" w:themeColor="text1"/>
                <w:sz w:val="24"/>
                <w:szCs w:val="24"/>
                <w:lang w:eastAsia="lv-LV"/>
              </w:rPr>
              <w:t>Asociācijas atbalsta to, ka var tikt ieviesti uzraudzības maksājumi, tomēr izteica vairākas piebildes, proti:</w:t>
            </w:r>
          </w:p>
          <w:p w:rsidR="00311732" w:rsidRPr="009708B6" w:rsidRDefault="00311732" w:rsidP="009708B6">
            <w:pPr>
              <w:pStyle w:val="Sarakstarindkopa"/>
              <w:numPr>
                <w:ilvl w:val="0"/>
                <w:numId w:val="2"/>
              </w:numPr>
              <w:shd w:val="clear" w:color="auto" w:fill="FFFFFF" w:themeFill="background1"/>
              <w:spacing w:after="0" w:line="240" w:lineRule="auto"/>
              <w:ind w:left="494"/>
              <w:jc w:val="both"/>
              <w:rPr>
                <w:rFonts w:ascii="Times New Roman" w:eastAsia="Times New Roman" w:hAnsi="Times New Roman" w:cs="Times New Roman"/>
                <w:color w:val="000000" w:themeColor="text1"/>
                <w:sz w:val="24"/>
                <w:szCs w:val="24"/>
                <w:lang w:eastAsia="lv-LV"/>
              </w:rPr>
            </w:pPr>
            <w:r w:rsidRPr="009708B6">
              <w:rPr>
                <w:rFonts w:ascii="Times New Roman" w:eastAsia="Times New Roman" w:hAnsi="Times New Roman" w:cs="Times New Roman"/>
                <w:color w:val="000000" w:themeColor="text1"/>
                <w:sz w:val="24"/>
                <w:szCs w:val="24"/>
                <w:lang w:eastAsia="lv-LV"/>
              </w:rPr>
              <w:t>Retranslācijas definīcija un regulējums spēkā esošajā likumā neesot konsekvents, kam var piekrist, un tādēļ anotācija papildināta ar papildu skaidrojumu;</w:t>
            </w:r>
          </w:p>
          <w:p w:rsidR="00311732" w:rsidRPr="009708B6" w:rsidRDefault="00311732" w:rsidP="009708B6">
            <w:pPr>
              <w:pStyle w:val="Sarakstarindkopa"/>
              <w:numPr>
                <w:ilvl w:val="0"/>
                <w:numId w:val="2"/>
              </w:numPr>
              <w:shd w:val="clear" w:color="auto" w:fill="FFFFFF" w:themeFill="background1"/>
              <w:spacing w:after="0" w:line="240" w:lineRule="auto"/>
              <w:ind w:left="494"/>
              <w:jc w:val="both"/>
              <w:rPr>
                <w:rFonts w:ascii="Times New Roman" w:eastAsia="Times New Roman" w:hAnsi="Times New Roman" w:cs="Times New Roman"/>
                <w:color w:val="000000" w:themeColor="text1"/>
                <w:sz w:val="24"/>
                <w:szCs w:val="24"/>
                <w:lang w:eastAsia="lv-LV"/>
              </w:rPr>
            </w:pPr>
            <w:r w:rsidRPr="009708B6">
              <w:rPr>
                <w:rFonts w:ascii="Times New Roman" w:eastAsia="Times New Roman" w:hAnsi="Times New Roman" w:cs="Times New Roman"/>
                <w:color w:val="000000" w:themeColor="text1"/>
                <w:sz w:val="24"/>
                <w:szCs w:val="24"/>
                <w:lang w:eastAsia="lv-LV"/>
              </w:rPr>
              <w:t xml:space="preserve">Uzraudzības maksājumu par kabeļoperatoru izplatītajām programmām varētu veidot kā procentu no apgrozījuma. Pēc NEPLP ieskatiem, </w:t>
            </w:r>
            <w:r w:rsidRPr="009708B6">
              <w:rPr>
                <w:rFonts w:ascii="Times New Roman" w:hAnsi="Times New Roman" w:cs="Times New Roman"/>
                <w:sz w:val="24"/>
                <w:szCs w:val="24"/>
                <w:lang w:eastAsia="lv-LV"/>
              </w:rPr>
              <w:t xml:space="preserve">noteikt nodevu procentuāli no apgrozījuma ir iespējams, tomēr tas būs neizdevīgāk lielajiem komersantiem, ņemot vērā to, ka uzraudzības darbības neatšķiras liela vai maza komersanta gadījumā. Turklāt daudziem komersantiem šis apgrozījums ir grūti pārbaudāms, jo viņi veic arī citu saimniecisko darbību. NEPLP piekrīt izmantot apgrozījuma rādītāju tikai, lai nošķirtu komersantus ar mazu apgrozījumu. Paredzētais nodevas maksājums </w:t>
            </w:r>
            <w:r w:rsidRPr="009708B6">
              <w:rPr>
                <w:rFonts w:ascii="Times New Roman" w:hAnsi="Times New Roman" w:cs="Times New Roman"/>
                <w:sz w:val="24"/>
                <w:szCs w:val="24"/>
                <w:lang w:eastAsia="lv-LV"/>
              </w:rPr>
              <w:lastRenderedPageBreak/>
              <w:t xml:space="preserve">gadā ir salīdzinoši neliels, turklāt komersantiem ar neto apgrozījumu līdz 500 000 </w:t>
            </w:r>
            <w:r w:rsidRPr="009708B6">
              <w:rPr>
                <w:rFonts w:ascii="Times New Roman" w:hAnsi="Times New Roman" w:cs="Times New Roman"/>
                <w:i/>
                <w:sz w:val="24"/>
                <w:szCs w:val="24"/>
                <w:lang w:eastAsia="lv-LV"/>
              </w:rPr>
              <w:t>euro</w:t>
            </w:r>
            <w:r w:rsidRPr="009708B6">
              <w:rPr>
                <w:rFonts w:ascii="Times New Roman" w:hAnsi="Times New Roman" w:cs="Times New Roman"/>
                <w:sz w:val="24"/>
                <w:szCs w:val="24"/>
                <w:lang w:eastAsia="lv-LV"/>
              </w:rPr>
              <w:t xml:space="preserve"> gadā, paredzēts maksas samazinājums par 50 procentiem;</w:t>
            </w:r>
          </w:p>
          <w:p w:rsidR="00311732" w:rsidRPr="009708B6" w:rsidRDefault="00311732" w:rsidP="009708B6">
            <w:pPr>
              <w:pStyle w:val="Sarakstarindkopa"/>
              <w:numPr>
                <w:ilvl w:val="0"/>
                <w:numId w:val="2"/>
              </w:numPr>
              <w:shd w:val="clear" w:color="auto" w:fill="FFFFFF" w:themeFill="background1"/>
              <w:spacing w:after="0" w:line="240" w:lineRule="auto"/>
              <w:ind w:left="494"/>
              <w:jc w:val="both"/>
              <w:rPr>
                <w:rFonts w:ascii="Times New Roman" w:eastAsia="Times New Roman" w:hAnsi="Times New Roman" w:cs="Times New Roman"/>
                <w:color w:val="000000" w:themeColor="text1"/>
                <w:sz w:val="24"/>
                <w:szCs w:val="24"/>
                <w:lang w:eastAsia="lv-LV"/>
              </w:rPr>
            </w:pPr>
            <w:r w:rsidRPr="009708B6">
              <w:rPr>
                <w:rFonts w:ascii="Times New Roman" w:eastAsia="Times New Roman" w:hAnsi="Times New Roman" w:cs="Times New Roman"/>
                <w:color w:val="000000" w:themeColor="text1"/>
                <w:sz w:val="24"/>
                <w:szCs w:val="24"/>
                <w:lang w:eastAsia="lv-LV"/>
              </w:rPr>
              <w:t>Paredzēt papildu atvieglojumus no uzraudzības maksājuma tiem televīzijas kanāliem, kuri nodrošina vairāk vietējo saturu. Pēc NEPLP ieskatiem, to nevar tieši nodrošināt ar valsts nodevu palīdzību, jo tas varētu pārkāpt ES brīvā tirgus principus;</w:t>
            </w:r>
          </w:p>
          <w:p w:rsidR="00311732" w:rsidRPr="009708B6" w:rsidRDefault="00311732" w:rsidP="009708B6">
            <w:pPr>
              <w:pStyle w:val="Sarakstarindkopa"/>
              <w:numPr>
                <w:ilvl w:val="0"/>
                <w:numId w:val="2"/>
              </w:numPr>
              <w:shd w:val="clear" w:color="auto" w:fill="FFFFFF" w:themeFill="background1"/>
              <w:spacing w:after="0" w:line="240" w:lineRule="auto"/>
              <w:ind w:left="494"/>
              <w:jc w:val="both"/>
              <w:rPr>
                <w:rFonts w:ascii="Times New Roman" w:eastAsia="Times New Roman" w:hAnsi="Times New Roman" w:cs="Times New Roman"/>
                <w:color w:val="000000" w:themeColor="text1"/>
                <w:sz w:val="24"/>
                <w:szCs w:val="24"/>
                <w:lang w:eastAsia="lv-LV"/>
              </w:rPr>
            </w:pPr>
            <w:r w:rsidRPr="009708B6">
              <w:rPr>
                <w:rFonts w:ascii="Times New Roman" w:eastAsia="Times New Roman" w:hAnsi="Times New Roman" w:cs="Times New Roman"/>
                <w:color w:val="000000" w:themeColor="text1"/>
                <w:sz w:val="24"/>
                <w:szCs w:val="24"/>
                <w:lang w:eastAsia="lv-LV"/>
              </w:rPr>
              <w:t>Valsts nodevu par apraides atļaujas grozījumiem noteikt fiksētā apmērā, kas tika ņemts vērā, atsakoties no procentuāla aprēķina kārtības. Fiksētais apmērs 35</w:t>
            </w:r>
            <w:r w:rsidR="00FE3649" w:rsidRPr="009708B6">
              <w:rPr>
                <w:rFonts w:ascii="Times New Roman" w:eastAsia="Times New Roman" w:hAnsi="Times New Roman" w:cs="Times New Roman"/>
                <w:color w:val="000000" w:themeColor="text1"/>
                <w:sz w:val="24"/>
                <w:szCs w:val="24"/>
                <w:lang w:eastAsia="lv-LV"/>
              </w:rPr>
              <w:t> </w:t>
            </w:r>
            <w:r w:rsidRPr="009708B6">
              <w:rPr>
                <w:rFonts w:ascii="Times New Roman" w:eastAsia="Times New Roman" w:hAnsi="Times New Roman" w:cs="Times New Roman"/>
                <w:i/>
                <w:color w:val="000000" w:themeColor="text1"/>
                <w:sz w:val="24"/>
                <w:szCs w:val="24"/>
                <w:lang w:eastAsia="lv-LV"/>
              </w:rPr>
              <w:t xml:space="preserve">euro </w:t>
            </w:r>
            <w:r w:rsidRPr="009708B6">
              <w:rPr>
                <w:rFonts w:ascii="Times New Roman" w:eastAsia="Times New Roman" w:hAnsi="Times New Roman" w:cs="Times New Roman"/>
                <w:color w:val="000000" w:themeColor="text1"/>
                <w:sz w:val="24"/>
                <w:szCs w:val="24"/>
                <w:lang w:eastAsia="lv-LV"/>
              </w:rPr>
              <w:t>izraudzīts tādējādi, ka tā ir puse no valsts nodevas par apraides atļauju, kurai noteikumos paredzēta vismazākā valsts nodeva;</w:t>
            </w:r>
          </w:p>
          <w:p w:rsidR="00311732" w:rsidRPr="009708B6" w:rsidRDefault="00311732" w:rsidP="009708B6">
            <w:pPr>
              <w:pStyle w:val="Sarakstarindkopa"/>
              <w:numPr>
                <w:ilvl w:val="0"/>
                <w:numId w:val="2"/>
              </w:numPr>
              <w:shd w:val="clear" w:color="auto" w:fill="FFFFFF" w:themeFill="background1"/>
              <w:spacing w:after="0" w:line="240" w:lineRule="auto"/>
              <w:ind w:left="494"/>
              <w:jc w:val="both"/>
              <w:rPr>
                <w:rFonts w:ascii="Times New Roman" w:eastAsia="Times New Roman" w:hAnsi="Times New Roman" w:cs="Times New Roman"/>
                <w:color w:val="000000" w:themeColor="text1"/>
                <w:sz w:val="24"/>
                <w:szCs w:val="24"/>
                <w:lang w:eastAsia="lv-LV"/>
              </w:rPr>
            </w:pPr>
            <w:r w:rsidRPr="009708B6">
              <w:rPr>
                <w:rFonts w:ascii="Times New Roman" w:eastAsia="Times New Roman" w:hAnsi="Times New Roman" w:cs="Times New Roman"/>
                <w:color w:val="000000" w:themeColor="text1"/>
                <w:sz w:val="24"/>
                <w:szCs w:val="24"/>
                <w:lang w:eastAsia="lv-LV"/>
              </w:rPr>
              <w:t>Gada uzraudzības maksu celt vēl vairāk, bet paredzēt plašāku izņēmumu sarakstu, ņemot vērā arī iespējamo pārrobežu TV skaita pieaugumu  sakarā ar Lielbritānijas paredzamo izstāšanos no Eiropas Savienības. Pēc NEPLP ieskatiem, šobrīd šāds risinājums vēl ir pāragrs un vēl iegūstama pieredze administrēt vienkārši konstatējamus kritērijus, ņemot vērā arī apraides atļauju formulējumus, kas būtu jāpieskaņo izvērstam izņēmuma kritēriju kopumam.</w:t>
            </w:r>
          </w:p>
          <w:p w:rsidR="008312A8" w:rsidRPr="009708B6" w:rsidRDefault="00311732" w:rsidP="009708B6">
            <w:pPr>
              <w:pStyle w:val="Sarakstarindkopa"/>
              <w:numPr>
                <w:ilvl w:val="0"/>
                <w:numId w:val="2"/>
              </w:numPr>
              <w:shd w:val="clear" w:color="auto" w:fill="FFFFFF" w:themeFill="background1"/>
              <w:spacing w:after="0" w:line="240" w:lineRule="auto"/>
              <w:ind w:left="494"/>
              <w:jc w:val="both"/>
              <w:rPr>
                <w:rFonts w:ascii="Times New Roman" w:eastAsia="Times New Roman" w:hAnsi="Times New Roman" w:cs="Times New Roman"/>
                <w:color w:val="000000" w:themeColor="text1"/>
                <w:sz w:val="24"/>
                <w:szCs w:val="24"/>
                <w:lang w:eastAsia="lv-LV"/>
              </w:rPr>
            </w:pPr>
            <w:r w:rsidRPr="009708B6">
              <w:rPr>
                <w:rFonts w:ascii="Times New Roman" w:eastAsia="Times New Roman" w:hAnsi="Times New Roman" w:cs="Times New Roman"/>
                <w:color w:val="000000" w:themeColor="text1"/>
                <w:sz w:val="24"/>
                <w:szCs w:val="24"/>
                <w:lang w:eastAsia="lv-LV"/>
              </w:rPr>
              <w:t>Asociācijas norādīja, ka ir būtiski, ka līdzekļi, kas iegūti jauno nodevu piemērošanas rezultātā, tiek piešķirti NEPLP uzraudzības funkciju veikšanai.</w:t>
            </w:r>
          </w:p>
        </w:tc>
      </w:tr>
      <w:tr w:rsidR="008312A8" w:rsidRPr="009708B6" w:rsidTr="00C11EDC">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312A8" w:rsidRPr="009708B6" w:rsidRDefault="008312A8" w:rsidP="009708B6">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lv-LV"/>
              </w:rPr>
            </w:pPr>
            <w:r w:rsidRPr="009708B6">
              <w:rPr>
                <w:rFonts w:ascii="Times New Roman" w:eastAsia="Times New Roman" w:hAnsi="Times New Roman" w:cs="Times New Roman"/>
                <w:color w:val="000000" w:themeColor="text1"/>
                <w:sz w:val="24"/>
                <w:szCs w:val="24"/>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rsidR="008312A8" w:rsidRPr="009708B6" w:rsidRDefault="008312A8" w:rsidP="009708B6">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lv-LV"/>
              </w:rPr>
            </w:pPr>
            <w:r w:rsidRPr="009708B6">
              <w:rPr>
                <w:rFonts w:ascii="Times New Roman" w:eastAsia="Times New Roman" w:hAnsi="Times New Roman" w:cs="Times New Roman"/>
                <w:color w:val="000000" w:themeColor="text1"/>
                <w:sz w:val="24"/>
                <w:szCs w:val="24"/>
                <w:lang w:eastAsia="lv-LV"/>
              </w:rPr>
              <w:t>Sabiedrības līdzdalības rezultāti</w:t>
            </w:r>
          </w:p>
        </w:tc>
        <w:sdt>
          <w:sdtPr>
            <w:rPr>
              <w:rFonts w:ascii="Times New Roman" w:eastAsia="Times New Roman" w:hAnsi="Times New Roman" w:cs="Times New Roman"/>
              <w:color w:val="000000" w:themeColor="text1"/>
              <w:sz w:val="24"/>
              <w:szCs w:val="24"/>
              <w:lang w:eastAsia="lv-LV"/>
            </w:rPr>
            <w:id w:val="-658998965"/>
            <w:placeholder>
              <w:docPart w:val="716D7D5DF3994AF094C8DD761CDAFB9D"/>
            </w:placeholder>
            <w:text/>
          </w:sdtPr>
          <w:sdtContent>
            <w:tc>
              <w:tcPr>
                <w:tcW w:w="3250" w:type="pct"/>
                <w:tcBorders>
                  <w:top w:val="outset" w:sz="6" w:space="0" w:color="414142"/>
                  <w:left w:val="outset" w:sz="6" w:space="0" w:color="414142"/>
                  <w:bottom w:val="outset" w:sz="6" w:space="0" w:color="414142"/>
                  <w:right w:val="outset" w:sz="6" w:space="0" w:color="414142"/>
                </w:tcBorders>
                <w:hideMark/>
              </w:tcPr>
              <w:p w:rsidR="008312A8" w:rsidRPr="009708B6" w:rsidRDefault="00AF4376" w:rsidP="009708B6">
                <w:pPr>
                  <w:pStyle w:val="Sarakstarindkopa"/>
                  <w:shd w:val="clear" w:color="auto" w:fill="FFFFFF" w:themeFill="background1"/>
                  <w:spacing w:after="0" w:line="240" w:lineRule="auto"/>
                  <w:ind w:left="69"/>
                  <w:jc w:val="both"/>
                  <w:rPr>
                    <w:rFonts w:ascii="Times New Roman" w:eastAsia="Times New Roman" w:hAnsi="Times New Roman" w:cs="Times New Roman"/>
                    <w:color w:val="000000" w:themeColor="text1"/>
                    <w:sz w:val="24"/>
                    <w:szCs w:val="24"/>
                    <w:lang w:eastAsia="lv-LV"/>
                  </w:rPr>
                </w:pPr>
                <w:r w:rsidRPr="009708B6">
                  <w:rPr>
                    <w:rFonts w:ascii="Times New Roman" w:eastAsia="Times New Roman" w:hAnsi="Times New Roman" w:cs="Times New Roman"/>
                    <w:color w:val="000000" w:themeColor="text1"/>
                    <w:sz w:val="24"/>
                    <w:szCs w:val="24"/>
                    <w:lang w:eastAsia="lv-LV"/>
                  </w:rPr>
                  <w:t>Asociācijas konceptuāli atbalsta Projekta turpmāku virzību.</w:t>
                </w:r>
              </w:p>
            </w:tc>
          </w:sdtContent>
        </w:sdt>
      </w:tr>
      <w:tr w:rsidR="008312A8" w:rsidRPr="009708B6" w:rsidTr="00C11EDC">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312A8" w:rsidRPr="009708B6" w:rsidRDefault="008312A8" w:rsidP="009708B6">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lv-LV"/>
              </w:rPr>
            </w:pPr>
            <w:r w:rsidRPr="009708B6">
              <w:rPr>
                <w:rFonts w:ascii="Times New Roman" w:eastAsia="Times New Roman" w:hAnsi="Times New Roman" w:cs="Times New Roman"/>
                <w:color w:val="000000" w:themeColor="text1"/>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312A8" w:rsidRPr="009708B6" w:rsidRDefault="008312A8" w:rsidP="009708B6">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lv-LV"/>
              </w:rPr>
            </w:pPr>
            <w:r w:rsidRPr="009708B6">
              <w:rPr>
                <w:rFonts w:ascii="Times New Roman" w:eastAsia="Times New Roman" w:hAnsi="Times New Roman" w:cs="Times New Roman"/>
                <w:color w:val="000000" w:themeColor="text1"/>
                <w:sz w:val="24"/>
                <w:szCs w:val="24"/>
                <w:lang w:eastAsia="lv-LV"/>
              </w:rPr>
              <w:t>Cita informācija</w:t>
            </w:r>
          </w:p>
        </w:tc>
        <w:sdt>
          <w:sdtPr>
            <w:rPr>
              <w:rFonts w:ascii="Times New Roman" w:eastAsia="Times New Roman" w:hAnsi="Times New Roman" w:cs="Times New Roman"/>
              <w:color w:val="000000" w:themeColor="text1"/>
              <w:sz w:val="24"/>
              <w:szCs w:val="24"/>
              <w:lang w:eastAsia="lv-LV"/>
            </w:rPr>
            <w:id w:val="1429309444"/>
            <w:placeholder>
              <w:docPart w:val="B4FE0347064D4937B8550972F1B8815A"/>
            </w:placeholder>
            <w:text/>
          </w:sdtPr>
          <w:sdtContent>
            <w:tc>
              <w:tcPr>
                <w:tcW w:w="3250" w:type="pct"/>
                <w:tcBorders>
                  <w:top w:val="outset" w:sz="6" w:space="0" w:color="414142"/>
                  <w:left w:val="outset" w:sz="6" w:space="0" w:color="414142"/>
                  <w:bottom w:val="outset" w:sz="6" w:space="0" w:color="414142"/>
                  <w:right w:val="outset" w:sz="6" w:space="0" w:color="414142"/>
                </w:tcBorders>
                <w:hideMark/>
              </w:tcPr>
              <w:p w:rsidR="008312A8" w:rsidRPr="009708B6" w:rsidRDefault="00AF4376" w:rsidP="009708B6">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lv-LV"/>
                  </w:rPr>
                </w:pPr>
                <w:r w:rsidRPr="009708B6">
                  <w:rPr>
                    <w:rFonts w:ascii="Times New Roman" w:eastAsia="Times New Roman" w:hAnsi="Times New Roman" w:cs="Times New Roman"/>
                    <w:color w:val="000000" w:themeColor="text1"/>
                    <w:sz w:val="24"/>
                    <w:szCs w:val="24"/>
                    <w:lang w:eastAsia="lv-LV"/>
                  </w:rPr>
                  <w:t>Nav.</w:t>
                </w:r>
              </w:p>
            </w:tc>
          </w:sdtContent>
        </w:sdt>
      </w:tr>
    </w:tbl>
    <w:p w:rsidR="008312A8" w:rsidRPr="009708B6" w:rsidRDefault="008312A8" w:rsidP="009708B6">
      <w:pPr>
        <w:shd w:val="clear" w:color="auto" w:fill="FFFFFF" w:themeFill="background1"/>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3465"/>
        <w:gridCol w:w="5198"/>
      </w:tblGrid>
      <w:tr w:rsidR="008312A8" w:rsidRPr="009708B6" w:rsidTr="00C11EDC">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312A8" w:rsidRPr="009708B6" w:rsidRDefault="008312A8" w:rsidP="009708B6">
            <w:pPr>
              <w:shd w:val="clear" w:color="auto" w:fill="FFFFFF" w:themeFill="background1"/>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9708B6">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8312A8" w:rsidRPr="009708B6" w:rsidTr="00C11EDC">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312A8" w:rsidRPr="009708B6" w:rsidRDefault="008312A8" w:rsidP="009708B6">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lv-LV"/>
              </w:rPr>
            </w:pPr>
            <w:r w:rsidRPr="009708B6">
              <w:rPr>
                <w:rFonts w:ascii="Times New Roman" w:eastAsia="Times New Roman" w:hAnsi="Times New Roman" w:cs="Times New Roman"/>
                <w:color w:val="000000" w:themeColor="text1"/>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312A8" w:rsidRPr="009708B6" w:rsidRDefault="008312A8" w:rsidP="009708B6">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lv-LV"/>
              </w:rPr>
            </w:pPr>
            <w:r w:rsidRPr="009708B6">
              <w:rPr>
                <w:rFonts w:ascii="Times New Roman" w:eastAsia="Times New Roman" w:hAnsi="Times New Roman" w:cs="Times New Roman"/>
                <w:color w:val="000000" w:themeColor="text1"/>
                <w:sz w:val="24"/>
                <w:szCs w:val="24"/>
                <w:lang w:eastAsia="lv-LV"/>
              </w:rPr>
              <w:t>Projekta izpildē iesaistītās institūcijas</w:t>
            </w:r>
          </w:p>
        </w:tc>
        <w:sdt>
          <w:sdtPr>
            <w:rPr>
              <w:rFonts w:ascii="Times New Roman" w:eastAsia="Times New Roman" w:hAnsi="Times New Roman" w:cs="Times New Roman"/>
              <w:color w:val="000000" w:themeColor="text1"/>
              <w:sz w:val="24"/>
              <w:szCs w:val="24"/>
              <w:lang w:eastAsia="lv-LV"/>
            </w:rPr>
            <w:id w:val="-1382553107"/>
            <w:placeholder>
              <w:docPart w:val="1220693D69974A07BC779ECBAF1576E6"/>
            </w:placeholder>
            <w:text/>
          </w:sdtPr>
          <w:sdtContent>
            <w:tc>
              <w:tcPr>
                <w:tcW w:w="2850" w:type="pct"/>
                <w:tcBorders>
                  <w:top w:val="outset" w:sz="6" w:space="0" w:color="414142"/>
                  <w:left w:val="outset" w:sz="6" w:space="0" w:color="414142"/>
                  <w:bottom w:val="outset" w:sz="6" w:space="0" w:color="414142"/>
                  <w:right w:val="outset" w:sz="6" w:space="0" w:color="414142"/>
                </w:tcBorders>
                <w:hideMark/>
              </w:tcPr>
              <w:p w:rsidR="008312A8" w:rsidRPr="009708B6" w:rsidRDefault="00AF4376" w:rsidP="009708B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lv-LV"/>
                  </w:rPr>
                </w:pPr>
                <w:r w:rsidRPr="009708B6">
                  <w:rPr>
                    <w:rFonts w:ascii="Times New Roman" w:eastAsia="Times New Roman" w:hAnsi="Times New Roman" w:cs="Times New Roman"/>
                    <w:color w:val="000000" w:themeColor="text1"/>
                    <w:sz w:val="24"/>
                    <w:szCs w:val="24"/>
                    <w:lang w:eastAsia="lv-LV"/>
                  </w:rPr>
                  <w:t xml:space="preserve">Nacionālā elektronisko plašsaziņas līdzekļu padome. </w:t>
                </w:r>
              </w:p>
            </w:tc>
          </w:sdtContent>
        </w:sdt>
      </w:tr>
      <w:tr w:rsidR="008312A8" w:rsidRPr="009708B6" w:rsidTr="00C11EDC">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312A8" w:rsidRPr="009708B6" w:rsidRDefault="008312A8" w:rsidP="009708B6">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lv-LV"/>
              </w:rPr>
            </w:pPr>
            <w:r w:rsidRPr="009708B6">
              <w:rPr>
                <w:rFonts w:ascii="Times New Roman" w:eastAsia="Times New Roman" w:hAnsi="Times New Roman" w:cs="Times New Roman"/>
                <w:color w:val="000000" w:themeColor="text1"/>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312A8" w:rsidRPr="009708B6" w:rsidRDefault="008312A8" w:rsidP="009708B6">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lv-LV"/>
              </w:rPr>
            </w:pPr>
            <w:r w:rsidRPr="009708B6">
              <w:rPr>
                <w:rFonts w:ascii="Times New Roman" w:eastAsia="Times New Roman" w:hAnsi="Times New Roman" w:cs="Times New Roman"/>
                <w:color w:val="000000" w:themeColor="text1"/>
                <w:sz w:val="24"/>
                <w:szCs w:val="24"/>
                <w:lang w:eastAsia="lv-LV"/>
              </w:rPr>
              <w:t>Projekta izpildes ietekme uz pārvaldes funkcijām un institucionālo struktūru.</w:t>
            </w:r>
          </w:p>
          <w:p w:rsidR="00311732" w:rsidRPr="009708B6" w:rsidRDefault="00311732" w:rsidP="009708B6">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lv-LV"/>
              </w:rPr>
            </w:pPr>
          </w:p>
          <w:p w:rsidR="008312A8" w:rsidRPr="009708B6" w:rsidRDefault="008312A8" w:rsidP="009708B6">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lv-LV"/>
              </w:rPr>
            </w:pPr>
            <w:r w:rsidRPr="009708B6">
              <w:rPr>
                <w:rFonts w:ascii="Times New Roman" w:eastAsia="Times New Roman" w:hAnsi="Times New Roman" w:cs="Times New Roman"/>
                <w:color w:val="000000" w:themeColor="text1"/>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312A8" w:rsidRPr="009708B6" w:rsidRDefault="00C54E3D" w:rsidP="009708B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lv-LV"/>
              </w:rPr>
            </w:pPr>
            <w:sdt>
              <w:sdtPr>
                <w:rPr>
                  <w:rFonts w:ascii="Times New Roman" w:eastAsia="Times New Roman" w:hAnsi="Times New Roman" w:cs="Times New Roman"/>
                  <w:color w:val="000000" w:themeColor="text1"/>
                  <w:sz w:val="24"/>
                  <w:szCs w:val="24"/>
                  <w:lang w:eastAsia="lv-LV"/>
                </w:rPr>
                <w:id w:val="2104843284"/>
                <w:placeholder>
                  <w:docPart w:val="4135FE105FF4415E9ACBDF18A6B0BE00"/>
                </w:placeholder>
                <w:text/>
              </w:sdtPr>
              <w:sdtContent>
                <w:r w:rsidR="00AF4376" w:rsidRPr="009708B6">
                  <w:rPr>
                    <w:rFonts w:ascii="Times New Roman" w:eastAsia="Times New Roman" w:hAnsi="Times New Roman" w:cs="Times New Roman"/>
                    <w:color w:val="000000" w:themeColor="text1"/>
                    <w:sz w:val="24"/>
                    <w:szCs w:val="24"/>
                    <w:lang w:eastAsia="lv-LV"/>
                  </w:rPr>
                  <w:t>Jaunas institūcijas netiek veidotas. Viens no grozījumu mērķiem ir nodrošināt, ka uzraudzības funkcijas tiek izmantotas sistemātiski un visaptveroši.</w:t>
                </w:r>
              </w:sdtContent>
            </w:sdt>
          </w:p>
        </w:tc>
      </w:tr>
      <w:tr w:rsidR="008312A8" w:rsidRPr="009708B6" w:rsidTr="0037097B">
        <w:trPr>
          <w:trHeight w:val="185"/>
          <w:jc w:val="center"/>
        </w:trPr>
        <w:tc>
          <w:tcPr>
            <w:tcW w:w="250" w:type="pct"/>
            <w:tcBorders>
              <w:top w:val="outset" w:sz="6" w:space="0" w:color="414142"/>
              <w:left w:val="outset" w:sz="6" w:space="0" w:color="414142"/>
              <w:bottom w:val="outset" w:sz="6" w:space="0" w:color="414142"/>
              <w:right w:val="outset" w:sz="6" w:space="0" w:color="414142"/>
            </w:tcBorders>
            <w:hideMark/>
          </w:tcPr>
          <w:p w:rsidR="008312A8" w:rsidRPr="009708B6" w:rsidRDefault="008312A8" w:rsidP="009708B6">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lv-LV"/>
              </w:rPr>
            </w:pPr>
            <w:r w:rsidRPr="009708B6">
              <w:rPr>
                <w:rFonts w:ascii="Times New Roman" w:eastAsia="Times New Roman" w:hAnsi="Times New Roman" w:cs="Times New Roman"/>
                <w:color w:val="000000" w:themeColor="text1"/>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312A8" w:rsidRPr="009708B6" w:rsidRDefault="008312A8" w:rsidP="009708B6">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lv-LV"/>
              </w:rPr>
            </w:pPr>
            <w:r w:rsidRPr="009708B6">
              <w:rPr>
                <w:rFonts w:ascii="Times New Roman" w:eastAsia="Times New Roman" w:hAnsi="Times New Roman" w:cs="Times New Roman"/>
                <w:color w:val="000000" w:themeColor="text1"/>
                <w:sz w:val="24"/>
                <w:szCs w:val="24"/>
                <w:lang w:eastAsia="lv-LV"/>
              </w:rPr>
              <w:t>Cita informācija</w:t>
            </w:r>
          </w:p>
        </w:tc>
        <w:sdt>
          <w:sdtPr>
            <w:rPr>
              <w:rFonts w:ascii="Times New Roman" w:eastAsia="Times New Roman" w:hAnsi="Times New Roman" w:cs="Times New Roman"/>
              <w:color w:val="000000" w:themeColor="text1"/>
              <w:sz w:val="24"/>
              <w:szCs w:val="24"/>
              <w:lang w:eastAsia="lv-LV"/>
            </w:rPr>
            <w:id w:val="-294525907"/>
            <w:placeholder>
              <w:docPart w:val="D2F0C2A8EE37478E987A026A83841D59"/>
            </w:placeholder>
            <w:text/>
          </w:sdtPr>
          <w:sdtContent>
            <w:tc>
              <w:tcPr>
                <w:tcW w:w="2850" w:type="pct"/>
                <w:tcBorders>
                  <w:top w:val="outset" w:sz="6" w:space="0" w:color="414142"/>
                  <w:left w:val="outset" w:sz="6" w:space="0" w:color="414142"/>
                  <w:bottom w:val="outset" w:sz="6" w:space="0" w:color="414142"/>
                  <w:right w:val="outset" w:sz="6" w:space="0" w:color="414142"/>
                </w:tcBorders>
                <w:hideMark/>
              </w:tcPr>
              <w:p w:rsidR="008312A8" w:rsidRPr="009708B6" w:rsidRDefault="00AF4376" w:rsidP="009708B6">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lv-LV"/>
                  </w:rPr>
                </w:pPr>
                <w:r w:rsidRPr="009708B6">
                  <w:rPr>
                    <w:rFonts w:ascii="Times New Roman" w:eastAsia="Times New Roman" w:hAnsi="Times New Roman" w:cs="Times New Roman"/>
                    <w:color w:val="000000" w:themeColor="text1"/>
                    <w:sz w:val="24"/>
                    <w:szCs w:val="24"/>
                    <w:lang w:eastAsia="lv-LV"/>
                  </w:rPr>
                  <w:t xml:space="preserve">Nav. </w:t>
                </w:r>
              </w:p>
            </w:tc>
          </w:sdtContent>
        </w:sdt>
      </w:tr>
    </w:tbl>
    <w:p w:rsidR="00571613" w:rsidRPr="009708B6" w:rsidRDefault="00571613" w:rsidP="009708B6">
      <w:pPr>
        <w:shd w:val="clear" w:color="auto" w:fill="FFFFFF" w:themeFill="background1"/>
      </w:pPr>
    </w:p>
    <w:p w:rsidR="00EE222D" w:rsidRPr="009708B6" w:rsidRDefault="00EE222D" w:rsidP="009708B6">
      <w:pPr>
        <w:shd w:val="clear" w:color="auto" w:fill="FFFFFF" w:themeFill="background1"/>
        <w:spacing w:after="0" w:line="240" w:lineRule="auto"/>
        <w:ind w:left="142"/>
        <w:jc w:val="both"/>
        <w:rPr>
          <w:rFonts w:ascii="Times New Roman" w:eastAsia="Calibri" w:hAnsi="Times New Roman" w:cs="Times New Roman"/>
          <w:sz w:val="24"/>
          <w:szCs w:val="24"/>
        </w:rPr>
      </w:pPr>
      <w:r w:rsidRPr="009708B6">
        <w:rPr>
          <w:rFonts w:ascii="Times New Roman" w:eastAsia="Calibri" w:hAnsi="Times New Roman" w:cs="Times New Roman"/>
          <w:sz w:val="24"/>
          <w:szCs w:val="24"/>
        </w:rPr>
        <w:t>Kultūras ministre</w:t>
      </w:r>
      <w:r w:rsidRPr="009708B6">
        <w:rPr>
          <w:rFonts w:ascii="Times New Roman" w:eastAsia="Calibri" w:hAnsi="Times New Roman" w:cs="Times New Roman"/>
          <w:sz w:val="24"/>
          <w:szCs w:val="24"/>
        </w:rPr>
        <w:tab/>
      </w:r>
      <w:r w:rsidRPr="009708B6">
        <w:rPr>
          <w:rFonts w:ascii="Times New Roman" w:eastAsia="Calibri" w:hAnsi="Times New Roman" w:cs="Times New Roman"/>
          <w:sz w:val="24"/>
          <w:szCs w:val="24"/>
        </w:rPr>
        <w:tab/>
      </w:r>
      <w:r w:rsidRPr="009708B6">
        <w:rPr>
          <w:rFonts w:ascii="Times New Roman" w:eastAsia="Calibri" w:hAnsi="Times New Roman" w:cs="Times New Roman"/>
          <w:sz w:val="24"/>
          <w:szCs w:val="24"/>
        </w:rPr>
        <w:tab/>
      </w:r>
      <w:r w:rsidRPr="009708B6">
        <w:rPr>
          <w:rFonts w:ascii="Times New Roman" w:eastAsia="Calibri" w:hAnsi="Times New Roman" w:cs="Times New Roman"/>
          <w:sz w:val="24"/>
          <w:szCs w:val="24"/>
        </w:rPr>
        <w:tab/>
      </w:r>
      <w:r w:rsidRPr="009708B6">
        <w:rPr>
          <w:rFonts w:ascii="Times New Roman" w:eastAsia="Calibri" w:hAnsi="Times New Roman" w:cs="Times New Roman"/>
          <w:sz w:val="24"/>
          <w:szCs w:val="24"/>
        </w:rPr>
        <w:tab/>
      </w:r>
      <w:r w:rsidRPr="009708B6">
        <w:rPr>
          <w:rFonts w:ascii="Times New Roman" w:eastAsia="Calibri" w:hAnsi="Times New Roman" w:cs="Times New Roman"/>
          <w:sz w:val="24"/>
          <w:szCs w:val="24"/>
        </w:rPr>
        <w:tab/>
      </w:r>
      <w:r w:rsidRPr="009708B6">
        <w:rPr>
          <w:rFonts w:ascii="Times New Roman" w:eastAsia="Calibri" w:hAnsi="Times New Roman" w:cs="Times New Roman"/>
          <w:sz w:val="24"/>
          <w:szCs w:val="24"/>
        </w:rPr>
        <w:tab/>
      </w:r>
      <w:r w:rsidRPr="009708B6">
        <w:rPr>
          <w:rFonts w:ascii="Times New Roman" w:eastAsia="Calibri" w:hAnsi="Times New Roman" w:cs="Times New Roman"/>
          <w:sz w:val="24"/>
          <w:szCs w:val="24"/>
        </w:rPr>
        <w:tab/>
        <w:t>D.Melbārde</w:t>
      </w:r>
    </w:p>
    <w:p w:rsidR="00311732" w:rsidRPr="009708B6" w:rsidRDefault="00311732" w:rsidP="009708B6">
      <w:pPr>
        <w:shd w:val="clear" w:color="auto" w:fill="FFFFFF" w:themeFill="background1"/>
        <w:spacing w:after="0" w:line="240" w:lineRule="auto"/>
        <w:ind w:left="142"/>
        <w:jc w:val="both"/>
        <w:rPr>
          <w:rFonts w:ascii="Times New Roman" w:eastAsia="Calibri" w:hAnsi="Times New Roman" w:cs="Times New Roman"/>
          <w:sz w:val="24"/>
          <w:szCs w:val="24"/>
        </w:rPr>
      </w:pPr>
    </w:p>
    <w:p w:rsidR="00311732" w:rsidRPr="009708B6" w:rsidRDefault="00311732" w:rsidP="009708B6">
      <w:pPr>
        <w:shd w:val="clear" w:color="auto" w:fill="FFFFFF" w:themeFill="background1"/>
        <w:spacing w:after="0" w:line="240" w:lineRule="auto"/>
        <w:ind w:left="142"/>
        <w:jc w:val="both"/>
        <w:rPr>
          <w:rFonts w:ascii="Times New Roman" w:eastAsia="Times New Roman" w:hAnsi="Times New Roman" w:cs="Times New Roman"/>
          <w:sz w:val="24"/>
          <w:szCs w:val="24"/>
          <w:lang w:eastAsia="lv-LV"/>
        </w:rPr>
      </w:pPr>
      <w:r w:rsidRPr="009708B6">
        <w:rPr>
          <w:rFonts w:ascii="Times New Roman" w:eastAsia="Times New Roman" w:hAnsi="Times New Roman" w:cs="Times New Roman"/>
          <w:sz w:val="24"/>
          <w:szCs w:val="24"/>
          <w:lang w:eastAsia="lv-LV"/>
        </w:rPr>
        <w:t>Vīza: Valsts sekretārs</w:t>
      </w:r>
      <w:r w:rsidRPr="009708B6">
        <w:rPr>
          <w:rFonts w:ascii="Times New Roman" w:eastAsia="Times New Roman" w:hAnsi="Times New Roman" w:cs="Times New Roman"/>
          <w:sz w:val="24"/>
          <w:szCs w:val="24"/>
          <w:lang w:eastAsia="lv-LV"/>
        </w:rPr>
        <w:tab/>
      </w:r>
      <w:r w:rsidRPr="009708B6">
        <w:rPr>
          <w:rFonts w:ascii="Times New Roman" w:eastAsia="Times New Roman" w:hAnsi="Times New Roman" w:cs="Times New Roman"/>
          <w:sz w:val="24"/>
          <w:szCs w:val="24"/>
          <w:lang w:eastAsia="lv-LV"/>
        </w:rPr>
        <w:tab/>
      </w:r>
      <w:r w:rsidRPr="009708B6">
        <w:rPr>
          <w:rFonts w:ascii="Times New Roman" w:eastAsia="Times New Roman" w:hAnsi="Times New Roman" w:cs="Times New Roman"/>
          <w:sz w:val="24"/>
          <w:szCs w:val="24"/>
          <w:lang w:eastAsia="lv-LV"/>
        </w:rPr>
        <w:tab/>
      </w:r>
      <w:r w:rsidRPr="009708B6">
        <w:rPr>
          <w:rFonts w:ascii="Times New Roman" w:eastAsia="Times New Roman" w:hAnsi="Times New Roman" w:cs="Times New Roman"/>
          <w:sz w:val="24"/>
          <w:szCs w:val="24"/>
          <w:lang w:eastAsia="lv-LV"/>
        </w:rPr>
        <w:tab/>
      </w:r>
      <w:r w:rsidRPr="009708B6">
        <w:rPr>
          <w:rFonts w:ascii="Times New Roman" w:eastAsia="Times New Roman" w:hAnsi="Times New Roman" w:cs="Times New Roman"/>
          <w:sz w:val="24"/>
          <w:szCs w:val="24"/>
          <w:lang w:eastAsia="lv-LV"/>
        </w:rPr>
        <w:tab/>
      </w:r>
      <w:r w:rsidRPr="009708B6">
        <w:rPr>
          <w:rFonts w:ascii="Times New Roman" w:eastAsia="Times New Roman" w:hAnsi="Times New Roman" w:cs="Times New Roman"/>
          <w:sz w:val="24"/>
          <w:szCs w:val="24"/>
          <w:lang w:eastAsia="lv-LV"/>
        </w:rPr>
        <w:tab/>
      </w:r>
      <w:r w:rsidR="00FE3649" w:rsidRPr="009708B6">
        <w:rPr>
          <w:rFonts w:ascii="Times New Roman" w:eastAsia="Times New Roman" w:hAnsi="Times New Roman" w:cs="Times New Roman"/>
          <w:sz w:val="24"/>
          <w:szCs w:val="24"/>
          <w:lang w:eastAsia="lv-LV"/>
        </w:rPr>
        <w:tab/>
      </w:r>
      <w:r w:rsidRPr="009708B6">
        <w:rPr>
          <w:rFonts w:ascii="Times New Roman" w:eastAsia="Times New Roman" w:hAnsi="Times New Roman" w:cs="Times New Roman"/>
          <w:sz w:val="24"/>
          <w:szCs w:val="24"/>
          <w:lang w:eastAsia="lv-LV"/>
        </w:rPr>
        <w:t>S.Voldiņš</w:t>
      </w:r>
    </w:p>
    <w:p w:rsidR="00DB5519" w:rsidRPr="009708B6" w:rsidRDefault="00DB5519" w:rsidP="009708B6">
      <w:pPr>
        <w:widowControl w:val="0"/>
        <w:shd w:val="clear" w:color="auto" w:fill="FFFFFF" w:themeFill="background1"/>
        <w:spacing w:after="0" w:line="240" w:lineRule="auto"/>
        <w:jc w:val="both"/>
        <w:rPr>
          <w:rFonts w:ascii="Times New Roman" w:eastAsia="Calibri" w:hAnsi="Times New Roman" w:cs="Times New Roman"/>
          <w:sz w:val="20"/>
          <w:szCs w:val="20"/>
        </w:rPr>
      </w:pPr>
    </w:p>
    <w:p w:rsidR="00311732" w:rsidRPr="009708B6" w:rsidRDefault="00311732" w:rsidP="009708B6">
      <w:pPr>
        <w:widowControl w:val="0"/>
        <w:shd w:val="clear" w:color="auto" w:fill="FFFFFF" w:themeFill="background1"/>
        <w:spacing w:after="0" w:line="240" w:lineRule="auto"/>
        <w:jc w:val="both"/>
        <w:rPr>
          <w:rFonts w:ascii="Times New Roman" w:eastAsia="Calibri" w:hAnsi="Times New Roman" w:cs="Times New Roman"/>
          <w:sz w:val="20"/>
          <w:szCs w:val="20"/>
        </w:rPr>
      </w:pPr>
      <w:r w:rsidRPr="009708B6">
        <w:rPr>
          <w:rFonts w:ascii="Times New Roman" w:eastAsia="Calibri" w:hAnsi="Times New Roman" w:cs="Times New Roman"/>
          <w:sz w:val="20"/>
          <w:szCs w:val="20"/>
        </w:rPr>
        <w:t xml:space="preserve">Irbe </w:t>
      </w:r>
      <w:bookmarkStart w:id="3" w:name="OLE_LINK9"/>
      <w:bookmarkStart w:id="4" w:name="OLE_LINK10"/>
      <w:r w:rsidRPr="009708B6">
        <w:rPr>
          <w:rFonts w:ascii="Times New Roman" w:eastAsia="Calibri" w:hAnsi="Times New Roman" w:cs="Times New Roman"/>
          <w:sz w:val="20"/>
          <w:szCs w:val="20"/>
          <w:lang w:val="en-US"/>
        </w:rPr>
        <w:t>67221848</w:t>
      </w:r>
    </w:p>
    <w:p w:rsidR="00311732" w:rsidRDefault="00C54E3D" w:rsidP="009708B6">
      <w:pPr>
        <w:shd w:val="clear" w:color="auto" w:fill="FFFFFF" w:themeFill="background1"/>
        <w:spacing w:after="0" w:line="240" w:lineRule="auto"/>
      </w:pPr>
      <w:hyperlink r:id="rId7" w:history="1">
        <w:r w:rsidR="00311732" w:rsidRPr="009708B6">
          <w:rPr>
            <w:rFonts w:ascii="Times New Roman" w:eastAsia="Calibri" w:hAnsi="Times New Roman" w:cs="Times New Roman"/>
            <w:color w:val="0000FF"/>
            <w:sz w:val="20"/>
            <w:u w:val="single"/>
            <w:lang w:val="en-US"/>
          </w:rPr>
          <w:t>sanda.irbe@neplpadome.lv</w:t>
        </w:r>
      </w:hyperlink>
      <w:bookmarkEnd w:id="3"/>
      <w:bookmarkEnd w:id="4"/>
    </w:p>
    <w:sectPr w:rsidR="00311732" w:rsidSect="00311732">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06B3A3" w16cid:durableId="1DE3AB2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702" w:rsidRDefault="00D05702" w:rsidP="008312A8">
      <w:pPr>
        <w:spacing w:after="0" w:line="240" w:lineRule="auto"/>
      </w:pPr>
      <w:r>
        <w:separator/>
      </w:r>
    </w:p>
  </w:endnote>
  <w:endnote w:type="continuationSeparator" w:id="0">
    <w:p w:rsidR="00D05702" w:rsidRDefault="00D05702" w:rsidP="00831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40E" w:rsidRDefault="001E140E">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BE2" w:rsidRPr="00311732" w:rsidRDefault="008F3BE2">
    <w:pPr>
      <w:pStyle w:val="Kjene"/>
      <w:rPr>
        <w:rFonts w:ascii="Times New Roman" w:hAnsi="Times New Roman" w:cs="Times New Roman"/>
        <w:sz w:val="20"/>
        <w:szCs w:val="20"/>
      </w:rPr>
    </w:pPr>
    <w:r>
      <w:rPr>
        <w:rFonts w:ascii="Times New Roman" w:hAnsi="Times New Roman" w:cs="Times New Roman"/>
        <w:sz w:val="20"/>
        <w:szCs w:val="20"/>
      </w:rPr>
      <w:t>KMAnot_</w:t>
    </w:r>
    <w:r w:rsidR="001E140E">
      <w:rPr>
        <w:rFonts w:ascii="Times New Roman" w:hAnsi="Times New Roman" w:cs="Times New Roman"/>
        <w:sz w:val="20"/>
        <w:szCs w:val="20"/>
      </w:rPr>
      <w:t>29</w:t>
    </w:r>
    <w:r w:rsidR="001A2807">
      <w:rPr>
        <w:rFonts w:ascii="Times New Roman" w:hAnsi="Times New Roman" w:cs="Times New Roman"/>
        <w:sz w:val="20"/>
        <w:szCs w:val="20"/>
      </w:rPr>
      <w:t>12</w:t>
    </w:r>
    <w:r w:rsidRPr="00311732">
      <w:rPr>
        <w:rFonts w:ascii="Times New Roman" w:hAnsi="Times New Roman" w:cs="Times New Roman"/>
        <w:sz w:val="20"/>
        <w:szCs w:val="20"/>
      </w:rPr>
      <w:t>17_nodeva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BE2" w:rsidRPr="00311732" w:rsidRDefault="008F3BE2">
    <w:pPr>
      <w:pStyle w:val="Kjene"/>
      <w:rPr>
        <w:rFonts w:ascii="Times New Roman" w:hAnsi="Times New Roman" w:cs="Times New Roman"/>
        <w:sz w:val="20"/>
        <w:szCs w:val="20"/>
      </w:rPr>
    </w:pPr>
    <w:r>
      <w:rPr>
        <w:rFonts w:ascii="Times New Roman" w:hAnsi="Times New Roman" w:cs="Times New Roman"/>
        <w:sz w:val="20"/>
        <w:szCs w:val="20"/>
      </w:rPr>
      <w:t>KMAnot_</w:t>
    </w:r>
    <w:r w:rsidR="001E140E">
      <w:rPr>
        <w:rFonts w:ascii="Times New Roman" w:hAnsi="Times New Roman" w:cs="Times New Roman"/>
        <w:sz w:val="20"/>
        <w:szCs w:val="20"/>
      </w:rPr>
      <w:t>29</w:t>
    </w:r>
    <w:bookmarkStart w:id="5" w:name="_GoBack"/>
    <w:bookmarkEnd w:id="5"/>
    <w:r w:rsidR="001A2807">
      <w:rPr>
        <w:rFonts w:ascii="Times New Roman" w:hAnsi="Times New Roman" w:cs="Times New Roman"/>
        <w:sz w:val="20"/>
        <w:szCs w:val="20"/>
      </w:rPr>
      <w:t>12</w:t>
    </w:r>
    <w:r w:rsidRPr="00311732">
      <w:rPr>
        <w:rFonts w:ascii="Times New Roman" w:hAnsi="Times New Roman" w:cs="Times New Roman"/>
        <w:sz w:val="20"/>
        <w:szCs w:val="20"/>
      </w:rPr>
      <w:t>17_nodeva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702" w:rsidRDefault="00D05702" w:rsidP="008312A8">
      <w:pPr>
        <w:spacing w:after="0" w:line="240" w:lineRule="auto"/>
      </w:pPr>
      <w:r>
        <w:separator/>
      </w:r>
    </w:p>
  </w:footnote>
  <w:footnote w:type="continuationSeparator" w:id="0">
    <w:p w:rsidR="00D05702" w:rsidRDefault="00D05702" w:rsidP="008312A8">
      <w:pPr>
        <w:spacing w:after="0" w:line="240" w:lineRule="auto"/>
      </w:pPr>
      <w:r>
        <w:continuationSeparator/>
      </w:r>
    </w:p>
  </w:footnote>
  <w:footnote w:id="1">
    <w:p w:rsidR="008F3BE2" w:rsidRPr="0051663D" w:rsidRDefault="008F3BE2" w:rsidP="008312A8">
      <w:pPr>
        <w:pStyle w:val="Vresteksts"/>
        <w:rPr>
          <w:rFonts w:ascii="Times New Roman" w:hAnsi="Times New Roman" w:cs="Times New Roman"/>
          <w:sz w:val="16"/>
          <w:szCs w:val="16"/>
          <w:lang w:val="en-GB"/>
        </w:rPr>
      </w:pPr>
      <w:r w:rsidRPr="0051663D">
        <w:rPr>
          <w:rStyle w:val="Vresatsauce"/>
          <w:rFonts w:ascii="Times New Roman" w:hAnsi="Times New Roman" w:cs="Times New Roman"/>
          <w:sz w:val="16"/>
          <w:szCs w:val="16"/>
          <w:lang w:val="en-GB"/>
        </w:rPr>
        <w:footnoteRef/>
      </w:r>
      <w:r w:rsidRPr="0051663D">
        <w:rPr>
          <w:rFonts w:ascii="Times New Roman" w:hAnsi="Times New Roman" w:cs="Times New Roman"/>
          <w:sz w:val="16"/>
          <w:szCs w:val="16"/>
          <w:lang w:val="en-GB"/>
        </w:rPr>
        <w:t xml:space="preserve"> </w:t>
      </w:r>
      <w:proofErr w:type="spellStart"/>
      <w:r w:rsidRPr="0051663D">
        <w:rPr>
          <w:rFonts w:ascii="Times New Roman" w:hAnsi="Times New Roman" w:cs="Times New Roman"/>
          <w:sz w:val="16"/>
          <w:szCs w:val="16"/>
          <w:lang w:val="en-GB"/>
        </w:rPr>
        <w:t>Schweizer</w:t>
      </w:r>
      <w:proofErr w:type="spellEnd"/>
      <w:r w:rsidRPr="0051663D">
        <w:rPr>
          <w:rFonts w:ascii="Times New Roman" w:hAnsi="Times New Roman" w:cs="Times New Roman"/>
          <w:sz w:val="16"/>
          <w:szCs w:val="16"/>
          <w:lang w:val="en-GB"/>
        </w:rPr>
        <w:t xml:space="preserve"> C., Puppis M., </w:t>
      </w:r>
      <w:proofErr w:type="spellStart"/>
      <w:r w:rsidRPr="0051663D">
        <w:rPr>
          <w:rFonts w:ascii="Times New Roman" w:hAnsi="Times New Roman" w:cs="Times New Roman"/>
          <w:sz w:val="16"/>
          <w:szCs w:val="16"/>
          <w:lang w:val="en-GB"/>
        </w:rPr>
        <w:t>Kunzler</w:t>
      </w:r>
      <w:proofErr w:type="spellEnd"/>
      <w:r w:rsidRPr="0051663D">
        <w:rPr>
          <w:rFonts w:ascii="Times New Roman" w:hAnsi="Times New Roman" w:cs="Times New Roman"/>
          <w:sz w:val="16"/>
          <w:szCs w:val="16"/>
          <w:lang w:val="en-GB"/>
        </w:rPr>
        <w:t xml:space="preserve"> M., </w:t>
      </w:r>
      <w:proofErr w:type="spellStart"/>
      <w:r w:rsidRPr="0051663D">
        <w:rPr>
          <w:rFonts w:ascii="Times New Roman" w:hAnsi="Times New Roman" w:cs="Times New Roman"/>
          <w:sz w:val="16"/>
          <w:szCs w:val="16"/>
          <w:lang w:val="en-GB"/>
        </w:rPr>
        <w:t>Studer</w:t>
      </w:r>
      <w:proofErr w:type="spellEnd"/>
      <w:r w:rsidRPr="0051663D">
        <w:rPr>
          <w:rFonts w:ascii="Times New Roman" w:hAnsi="Times New Roman" w:cs="Times New Roman"/>
          <w:sz w:val="16"/>
          <w:szCs w:val="16"/>
          <w:lang w:val="en-GB"/>
        </w:rPr>
        <w:t xml:space="preserve"> S. Blast from the Past? A </w:t>
      </w:r>
      <w:proofErr w:type="spellStart"/>
      <w:r w:rsidRPr="0051663D">
        <w:rPr>
          <w:rFonts w:ascii="Times New Roman" w:hAnsi="Times New Roman" w:cs="Times New Roman"/>
          <w:sz w:val="16"/>
          <w:szCs w:val="16"/>
          <w:lang w:val="en-GB"/>
        </w:rPr>
        <w:t>Comperative</w:t>
      </w:r>
      <w:proofErr w:type="spellEnd"/>
      <w:r w:rsidRPr="0051663D">
        <w:rPr>
          <w:rFonts w:ascii="Times New Roman" w:hAnsi="Times New Roman" w:cs="Times New Roman"/>
          <w:sz w:val="16"/>
          <w:szCs w:val="16"/>
          <w:lang w:val="en-GB"/>
        </w:rPr>
        <w:t xml:space="preserve"> Analysis of Broadcast Licensing in the Digital Era. Journal of Information Policy 4. Penn State University Press, 2014. p. 18-19.</w:t>
      </w:r>
    </w:p>
  </w:footnote>
  <w:footnote w:id="2">
    <w:p w:rsidR="008F3BE2" w:rsidRPr="00E66D0A" w:rsidRDefault="008F3BE2" w:rsidP="008312A8">
      <w:pPr>
        <w:pStyle w:val="Vresteksts"/>
        <w:rPr>
          <w:rFonts w:ascii="Arial" w:hAnsi="Arial" w:cs="Arial"/>
          <w:sz w:val="16"/>
          <w:szCs w:val="16"/>
        </w:rPr>
      </w:pPr>
      <w:r w:rsidRPr="0051663D">
        <w:rPr>
          <w:rStyle w:val="Vresatsauce"/>
          <w:rFonts w:ascii="Times New Roman" w:hAnsi="Times New Roman" w:cs="Times New Roman"/>
          <w:sz w:val="16"/>
          <w:szCs w:val="16"/>
        </w:rPr>
        <w:footnoteRef/>
      </w:r>
      <w:r w:rsidRPr="0051663D">
        <w:rPr>
          <w:rFonts w:ascii="Times New Roman" w:hAnsi="Times New Roman" w:cs="Times New Roman"/>
          <w:sz w:val="16"/>
          <w:szCs w:val="16"/>
        </w:rPr>
        <w:t xml:space="preserve"> </w:t>
      </w:r>
      <w:proofErr w:type="spellStart"/>
      <w:r w:rsidRPr="0051663D">
        <w:rPr>
          <w:rFonts w:ascii="Times New Roman" w:hAnsi="Times New Roman" w:cs="Times New Roman"/>
          <w:sz w:val="16"/>
          <w:szCs w:val="16"/>
        </w:rPr>
        <w:t>Ofcom</w:t>
      </w:r>
      <w:proofErr w:type="spellEnd"/>
      <w:r w:rsidRPr="0051663D">
        <w:rPr>
          <w:rFonts w:ascii="Times New Roman" w:hAnsi="Times New Roman" w:cs="Times New Roman"/>
          <w:sz w:val="16"/>
          <w:szCs w:val="16"/>
        </w:rPr>
        <w:t xml:space="preserve">. </w:t>
      </w:r>
      <w:proofErr w:type="spellStart"/>
      <w:r w:rsidRPr="0051663D">
        <w:rPr>
          <w:rFonts w:ascii="Times New Roman" w:hAnsi="Times New Roman" w:cs="Times New Roman"/>
          <w:sz w:val="16"/>
          <w:szCs w:val="16"/>
        </w:rPr>
        <w:t>Statement</w:t>
      </w:r>
      <w:proofErr w:type="spellEnd"/>
      <w:r w:rsidRPr="0051663D">
        <w:rPr>
          <w:rFonts w:ascii="Times New Roman" w:hAnsi="Times New Roman" w:cs="Times New Roman"/>
          <w:sz w:val="16"/>
          <w:szCs w:val="16"/>
        </w:rPr>
        <w:t xml:space="preserve"> of </w:t>
      </w:r>
      <w:proofErr w:type="spellStart"/>
      <w:r w:rsidRPr="0051663D">
        <w:rPr>
          <w:rFonts w:ascii="Times New Roman" w:hAnsi="Times New Roman" w:cs="Times New Roman"/>
          <w:sz w:val="16"/>
          <w:szCs w:val="16"/>
        </w:rPr>
        <w:t>Charging</w:t>
      </w:r>
      <w:proofErr w:type="spellEnd"/>
      <w:r w:rsidRPr="0051663D">
        <w:rPr>
          <w:rFonts w:ascii="Times New Roman" w:hAnsi="Times New Roman" w:cs="Times New Roman"/>
          <w:sz w:val="16"/>
          <w:szCs w:val="16"/>
        </w:rPr>
        <w:t xml:space="preserve"> </w:t>
      </w:r>
      <w:proofErr w:type="spellStart"/>
      <w:r w:rsidRPr="0051663D">
        <w:rPr>
          <w:rFonts w:ascii="Times New Roman" w:hAnsi="Times New Roman" w:cs="Times New Roman"/>
          <w:sz w:val="16"/>
          <w:szCs w:val="16"/>
        </w:rPr>
        <w:t>Principles</w:t>
      </w:r>
      <w:proofErr w:type="spellEnd"/>
      <w:r w:rsidRPr="0051663D">
        <w:rPr>
          <w:rFonts w:ascii="Times New Roman" w:hAnsi="Times New Roman" w:cs="Times New Roman"/>
          <w:sz w:val="16"/>
          <w:szCs w:val="16"/>
        </w:rPr>
        <w:t xml:space="preserve">. 8 </w:t>
      </w:r>
      <w:proofErr w:type="spellStart"/>
      <w:r w:rsidRPr="0051663D">
        <w:rPr>
          <w:rFonts w:ascii="Times New Roman" w:hAnsi="Times New Roman" w:cs="Times New Roman"/>
          <w:sz w:val="16"/>
          <w:szCs w:val="16"/>
        </w:rPr>
        <w:t>February</w:t>
      </w:r>
      <w:proofErr w:type="spellEnd"/>
      <w:r w:rsidRPr="0051663D">
        <w:rPr>
          <w:rFonts w:ascii="Times New Roman" w:hAnsi="Times New Roman" w:cs="Times New Roman"/>
          <w:sz w:val="16"/>
          <w:szCs w:val="16"/>
        </w:rPr>
        <w:t xml:space="preserve"> 2005. Pieejams: </w:t>
      </w:r>
      <w:hyperlink r:id="rId1" w:history="1">
        <w:r w:rsidRPr="0051663D">
          <w:rPr>
            <w:rStyle w:val="Hipersaite"/>
            <w:rFonts w:ascii="Times New Roman" w:hAnsi="Times New Roman" w:cs="Times New Roman"/>
            <w:sz w:val="16"/>
            <w:szCs w:val="16"/>
          </w:rPr>
          <w:t>https://www.ofcom.org.uk/__data/assets/pdf_file/0019/51058/charging_principles.pdf</w:t>
        </w:r>
      </w:hyperlink>
      <w:r>
        <w:rPr>
          <w:rFonts w:ascii="Times New Roman" w:hAnsi="Times New Roman" w:cs="Times New Roman"/>
          <w:sz w:val="16"/>
          <w:szCs w:val="16"/>
        </w:rPr>
        <w:t xml:space="preserve"> [aplūkots 2017.gada 5.</w:t>
      </w:r>
      <w:r w:rsidRPr="0051663D">
        <w:rPr>
          <w:rFonts w:ascii="Times New Roman" w:hAnsi="Times New Roman" w:cs="Times New Roman"/>
          <w:sz w:val="16"/>
          <w:szCs w:val="16"/>
        </w:rPr>
        <w:t>jūlijā]</w:t>
      </w:r>
    </w:p>
  </w:footnote>
  <w:footnote w:id="3">
    <w:p w:rsidR="008F3BE2" w:rsidRPr="0051663D" w:rsidRDefault="008F3BE2" w:rsidP="008312A8">
      <w:pPr>
        <w:pStyle w:val="Vresteksts"/>
        <w:rPr>
          <w:rFonts w:ascii="Times New Roman" w:hAnsi="Times New Roman" w:cs="Times New Roman"/>
          <w:sz w:val="16"/>
          <w:szCs w:val="16"/>
        </w:rPr>
      </w:pPr>
      <w:r w:rsidRPr="0051663D">
        <w:rPr>
          <w:rStyle w:val="Vresatsauce"/>
          <w:rFonts w:ascii="Times New Roman" w:hAnsi="Times New Roman" w:cs="Times New Roman"/>
          <w:sz w:val="16"/>
          <w:szCs w:val="16"/>
        </w:rPr>
        <w:footnoteRef/>
      </w:r>
      <w:r w:rsidRPr="0051663D">
        <w:rPr>
          <w:rFonts w:ascii="Times New Roman" w:hAnsi="Times New Roman" w:cs="Times New Roman"/>
          <w:sz w:val="16"/>
          <w:szCs w:val="16"/>
        </w:rPr>
        <w:t xml:space="preserve"> </w:t>
      </w:r>
      <w:proofErr w:type="spellStart"/>
      <w:r w:rsidRPr="0051663D">
        <w:rPr>
          <w:rFonts w:ascii="Times New Roman" w:hAnsi="Times New Roman" w:cs="Times New Roman"/>
          <w:sz w:val="16"/>
          <w:szCs w:val="16"/>
        </w:rPr>
        <w:t>Ofcom</w:t>
      </w:r>
      <w:proofErr w:type="spellEnd"/>
      <w:r w:rsidRPr="0051663D">
        <w:rPr>
          <w:rFonts w:ascii="Times New Roman" w:hAnsi="Times New Roman" w:cs="Times New Roman"/>
          <w:sz w:val="16"/>
          <w:szCs w:val="16"/>
        </w:rPr>
        <w:t xml:space="preserve">. </w:t>
      </w:r>
      <w:proofErr w:type="spellStart"/>
      <w:r w:rsidRPr="0051663D">
        <w:rPr>
          <w:rFonts w:ascii="Times New Roman" w:hAnsi="Times New Roman" w:cs="Times New Roman"/>
          <w:sz w:val="16"/>
          <w:szCs w:val="16"/>
        </w:rPr>
        <w:t>Television</w:t>
      </w:r>
      <w:proofErr w:type="spellEnd"/>
      <w:r w:rsidRPr="0051663D">
        <w:rPr>
          <w:rFonts w:ascii="Times New Roman" w:hAnsi="Times New Roman" w:cs="Times New Roman"/>
          <w:sz w:val="16"/>
          <w:szCs w:val="16"/>
        </w:rPr>
        <w:t xml:space="preserve"> </w:t>
      </w:r>
      <w:proofErr w:type="spellStart"/>
      <w:r w:rsidRPr="0051663D">
        <w:rPr>
          <w:rFonts w:ascii="Times New Roman" w:hAnsi="Times New Roman" w:cs="Times New Roman"/>
          <w:sz w:val="16"/>
          <w:szCs w:val="16"/>
        </w:rPr>
        <w:t>Licensable</w:t>
      </w:r>
      <w:proofErr w:type="spellEnd"/>
      <w:r w:rsidRPr="0051663D">
        <w:rPr>
          <w:rFonts w:ascii="Times New Roman" w:hAnsi="Times New Roman" w:cs="Times New Roman"/>
          <w:sz w:val="16"/>
          <w:szCs w:val="16"/>
        </w:rPr>
        <w:t xml:space="preserve"> </w:t>
      </w:r>
      <w:proofErr w:type="spellStart"/>
      <w:r w:rsidRPr="0051663D">
        <w:rPr>
          <w:rFonts w:ascii="Times New Roman" w:hAnsi="Times New Roman" w:cs="Times New Roman"/>
          <w:sz w:val="16"/>
          <w:szCs w:val="16"/>
        </w:rPr>
        <w:t>Content</w:t>
      </w:r>
      <w:proofErr w:type="spellEnd"/>
      <w:r w:rsidRPr="0051663D">
        <w:rPr>
          <w:rFonts w:ascii="Times New Roman" w:hAnsi="Times New Roman" w:cs="Times New Roman"/>
          <w:sz w:val="16"/>
          <w:szCs w:val="16"/>
        </w:rPr>
        <w:t xml:space="preserve"> </w:t>
      </w:r>
      <w:proofErr w:type="spellStart"/>
      <w:r w:rsidRPr="0051663D">
        <w:rPr>
          <w:rFonts w:ascii="Times New Roman" w:hAnsi="Times New Roman" w:cs="Times New Roman"/>
          <w:sz w:val="16"/>
          <w:szCs w:val="16"/>
        </w:rPr>
        <w:t>Services</w:t>
      </w:r>
      <w:proofErr w:type="spellEnd"/>
      <w:r w:rsidRPr="0051663D">
        <w:rPr>
          <w:rFonts w:ascii="Times New Roman" w:hAnsi="Times New Roman" w:cs="Times New Roman"/>
          <w:sz w:val="16"/>
          <w:szCs w:val="16"/>
        </w:rPr>
        <w:t xml:space="preserve">. </w:t>
      </w:r>
      <w:proofErr w:type="spellStart"/>
      <w:r w:rsidRPr="0051663D">
        <w:rPr>
          <w:rFonts w:ascii="Times New Roman" w:hAnsi="Times New Roman" w:cs="Times New Roman"/>
          <w:sz w:val="16"/>
          <w:szCs w:val="16"/>
        </w:rPr>
        <w:t>Guidance</w:t>
      </w:r>
      <w:proofErr w:type="spellEnd"/>
      <w:r w:rsidRPr="0051663D">
        <w:rPr>
          <w:rFonts w:ascii="Times New Roman" w:hAnsi="Times New Roman" w:cs="Times New Roman"/>
          <w:sz w:val="16"/>
          <w:szCs w:val="16"/>
        </w:rPr>
        <w:t xml:space="preserve"> </w:t>
      </w:r>
      <w:proofErr w:type="spellStart"/>
      <w:r w:rsidRPr="0051663D">
        <w:rPr>
          <w:rFonts w:ascii="Times New Roman" w:hAnsi="Times New Roman" w:cs="Times New Roman"/>
          <w:sz w:val="16"/>
          <w:szCs w:val="16"/>
        </w:rPr>
        <w:t>notes</w:t>
      </w:r>
      <w:proofErr w:type="spellEnd"/>
      <w:r w:rsidRPr="0051663D">
        <w:rPr>
          <w:rFonts w:ascii="Times New Roman" w:hAnsi="Times New Roman" w:cs="Times New Roman"/>
          <w:sz w:val="16"/>
          <w:szCs w:val="16"/>
        </w:rPr>
        <w:t xml:space="preserve"> </w:t>
      </w:r>
      <w:proofErr w:type="spellStart"/>
      <w:r w:rsidRPr="0051663D">
        <w:rPr>
          <w:rFonts w:ascii="Times New Roman" w:hAnsi="Times New Roman" w:cs="Times New Roman"/>
          <w:sz w:val="16"/>
          <w:szCs w:val="16"/>
        </w:rPr>
        <w:t>for</w:t>
      </w:r>
      <w:proofErr w:type="spellEnd"/>
      <w:r w:rsidRPr="0051663D">
        <w:rPr>
          <w:rFonts w:ascii="Times New Roman" w:hAnsi="Times New Roman" w:cs="Times New Roman"/>
          <w:sz w:val="16"/>
          <w:szCs w:val="16"/>
        </w:rPr>
        <w:t xml:space="preserve"> </w:t>
      </w:r>
      <w:proofErr w:type="spellStart"/>
      <w:r w:rsidRPr="0051663D">
        <w:rPr>
          <w:rFonts w:ascii="Times New Roman" w:hAnsi="Times New Roman" w:cs="Times New Roman"/>
          <w:sz w:val="16"/>
          <w:szCs w:val="16"/>
        </w:rPr>
        <w:t>licencees</w:t>
      </w:r>
      <w:proofErr w:type="spellEnd"/>
      <w:r w:rsidRPr="0051663D">
        <w:rPr>
          <w:rFonts w:ascii="Times New Roman" w:hAnsi="Times New Roman" w:cs="Times New Roman"/>
          <w:sz w:val="16"/>
          <w:szCs w:val="16"/>
        </w:rPr>
        <w:t xml:space="preserve">. 22 </w:t>
      </w:r>
      <w:proofErr w:type="spellStart"/>
      <w:r w:rsidRPr="0051663D">
        <w:rPr>
          <w:rFonts w:ascii="Times New Roman" w:hAnsi="Times New Roman" w:cs="Times New Roman"/>
          <w:sz w:val="16"/>
          <w:szCs w:val="16"/>
        </w:rPr>
        <w:t>November</w:t>
      </w:r>
      <w:proofErr w:type="spellEnd"/>
      <w:r w:rsidRPr="0051663D">
        <w:rPr>
          <w:rFonts w:ascii="Times New Roman" w:hAnsi="Times New Roman" w:cs="Times New Roman"/>
          <w:sz w:val="16"/>
          <w:szCs w:val="16"/>
        </w:rPr>
        <w:t xml:space="preserve"> 2016. Pieejams: </w:t>
      </w:r>
      <w:hyperlink r:id="rId2" w:history="1">
        <w:r w:rsidRPr="0051663D">
          <w:rPr>
            <w:rStyle w:val="Hipersaite"/>
            <w:rFonts w:ascii="Times New Roman" w:hAnsi="Times New Roman" w:cs="Times New Roman"/>
            <w:sz w:val="16"/>
            <w:szCs w:val="16"/>
          </w:rPr>
          <w:t>https://www.ofcom.org.uk/__data/assets/pdf_file/0012/36201/tlcs_guidance_notes_for_licensees.pdf</w:t>
        </w:r>
      </w:hyperlink>
      <w:r>
        <w:rPr>
          <w:rFonts w:ascii="Times New Roman" w:hAnsi="Times New Roman" w:cs="Times New Roman"/>
          <w:sz w:val="16"/>
          <w:szCs w:val="16"/>
        </w:rPr>
        <w:t xml:space="preserve"> [aplūkots 2017.gada 5.</w:t>
      </w:r>
      <w:r w:rsidRPr="0051663D">
        <w:rPr>
          <w:rFonts w:ascii="Times New Roman" w:hAnsi="Times New Roman" w:cs="Times New Roman"/>
          <w:sz w:val="16"/>
          <w:szCs w:val="16"/>
        </w:rPr>
        <w:t>jūlijā]</w:t>
      </w:r>
    </w:p>
  </w:footnote>
  <w:footnote w:id="4">
    <w:p w:rsidR="008F3BE2" w:rsidRPr="0051663D" w:rsidRDefault="008F3BE2" w:rsidP="008312A8">
      <w:pPr>
        <w:pStyle w:val="Vresteksts"/>
        <w:rPr>
          <w:rFonts w:ascii="Times New Roman" w:hAnsi="Times New Roman" w:cs="Times New Roman"/>
          <w:sz w:val="16"/>
          <w:szCs w:val="16"/>
        </w:rPr>
      </w:pPr>
      <w:r w:rsidRPr="0051663D">
        <w:rPr>
          <w:rStyle w:val="Vresatsauce"/>
          <w:rFonts w:ascii="Times New Roman" w:hAnsi="Times New Roman" w:cs="Times New Roman"/>
          <w:sz w:val="16"/>
          <w:szCs w:val="16"/>
        </w:rPr>
        <w:footnoteRef/>
      </w:r>
      <w:r w:rsidRPr="0051663D">
        <w:rPr>
          <w:rFonts w:ascii="Times New Roman" w:hAnsi="Times New Roman" w:cs="Times New Roman"/>
          <w:sz w:val="16"/>
          <w:szCs w:val="16"/>
        </w:rPr>
        <w:t xml:space="preserve"> Sk. arī </w:t>
      </w:r>
      <w:r w:rsidRPr="0051663D">
        <w:rPr>
          <w:rFonts w:ascii="Times New Roman" w:hAnsi="Times New Roman" w:cs="Times New Roman"/>
          <w:sz w:val="16"/>
          <w:szCs w:val="16"/>
          <w:lang w:val="en-GB"/>
        </w:rPr>
        <w:t>Radio and Television Commission of Lithuania 2016 Annual Report</w:t>
      </w:r>
      <w:r w:rsidRPr="0051663D">
        <w:rPr>
          <w:rFonts w:ascii="Times New Roman" w:hAnsi="Times New Roman" w:cs="Times New Roman"/>
          <w:sz w:val="16"/>
          <w:szCs w:val="16"/>
        </w:rPr>
        <w:t xml:space="preserve">. Pieejams: </w:t>
      </w:r>
      <w:hyperlink r:id="rId3" w:history="1">
        <w:r w:rsidRPr="0051663D">
          <w:rPr>
            <w:rStyle w:val="Hipersaite"/>
            <w:rFonts w:ascii="Times New Roman" w:hAnsi="Times New Roman" w:cs="Times New Roman"/>
            <w:sz w:val="16"/>
            <w:szCs w:val="16"/>
          </w:rPr>
          <w:t>http://www.rtk.lt/content/uploads/2017/04/ENG-2016-m-LRTK-VEIKLOS-ATASKAITA-be-ataskaitu.pdf</w:t>
        </w:r>
      </w:hyperlink>
      <w:r w:rsidRPr="0051663D">
        <w:rPr>
          <w:rFonts w:ascii="Times New Roman" w:hAnsi="Times New Roman" w:cs="Times New Roman"/>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40E" w:rsidRDefault="001E140E">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04687"/>
      <w:docPartObj>
        <w:docPartGallery w:val="Page Numbers (Top of Page)"/>
        <w:docPartUnique/>
      </w:docPartObj>
    </w:sdtPr>
    <w:sdtEndPr>
      <w:rPr>
        <w:rFonts w:ascii="Times New Roman" w:hAnsi="Times New Roman" w:cs="Times New Roman"/>
      </w:rPr>
    </w:sdtEndPr>
    <w:sdtContent>
      <w:p w:rsidR="008F3BE2" w:rsidRPr="00311732" w:rsidRDefault="00C54E3D">
        <w:pPr>
          <w:pStyle w:val="Galvene"/>
          <w:jc w:val="center"/>
          <w:rPr>
            <w:rFonts w:ascii="Times New Roman" w:hAnsi="Times New Roman" w:cs="Times New Roman"/>
          </w:rPr>
        </w:pPr>
        <w:r w:rsidRPr="00311732">
          <w:rPr>
            <w:rFonts w:ascii="Times New Roman" w:hAnsi="Times New Roman" w:cs="Times New Roman"/>
          </w:rPr>
          <w:fldChar w:fldCharType="begin"/>
        </w:r>
        <w:r w:rsidR="008F3BE2" w:rsidRPr="00311732">
          <w:rPr>
            <w:rFonts w:ascii="Times New Roman" w:hAnsi="Times New Roman" w:cs="Times New Roman"/>
          </w:rPr>
          <w:instrText xml:space="preserve"> PAGE   \* MERGEFORMAT </w:instrText>
        </w:r>
        <w:r w:rsidRPr="00311732">
          <w:rPr>
            <w:rFonts w:ascii="Times New Roman" w:hAnsi="Times New Roman" w:cs="Times New Roman"/>
          </w:rPr>
          <w:fldChar w:fldCharType="separate"/>
        </w:r>
        <w:r w:rsidR="0010191C">
          <w:rPr>
            <w:rFonts w:ascii="Times New Roman" w:hAnsi="Times New Roman" w:cs="Times New Roman"/>
            <w:noProof/>
          </w:rPr>
          <w:t>2</w:t>
        </w:r>
        <w:r w:rsidRPr="00311732">
          <w:rPr>
            <w:rFonts w:ascii="Times New Roman" w:hAnsi="Times New Roman" w:cs="Times New Roman"/>
          </w:rPr>
          <w:fldChar w:fldCharType="end"/>
        </w:r>
      </w:p>
    </w:sdtContent>
  </w:sdt>
  <w:p w:rsidR="008F3BE2" w:rsidRDefault="008F3BE2">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BE2" w:rsidRDefault="008F3BE2">
    <w:pPr>
      <w:pStyle w:val="Galvene"/>
      <w:jc w:val="center"/>
    </w:pPr>
  </w:p>
  <w:p w:rsidR="008F3BE2" w:rsidRDefault="008F3BE2">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576BD"/>
    <w:multiLevelType w:val="hybridMultilevel"/>
    <w:tmpl w:val="26E8DE86"/>
    <w:lvl w:ilvl="0" w:tplc="0E8C91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7722B1"/>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DD61F59"/>
    <w:multiLevelType w:val="hybridMultilevel"/>
    <w:tmpl w:val="B016E0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01007AB"/>
    <w:multiLevelType w:val="hybridMultilevel"/>
    <w:tmpl w:val="BE4AC8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F794D61"/>
    <w:multiLevelType w:val="hybridMultilevel"/>
    <w:tmpl w:val="93BAC9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F283CE8"/>
    <w:multiLevelType w:val="hybridMultilevel"/>
    <w:tmpl w:val="E60296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12A8"/>
    <w:rsid w:val="00005F9E"/>
    <w:rsid w:val="0003136E"/>
    <w:rsid w:val="000378D4"/>
    <w:rsid w:val="000412D0"/>
    <w:rsid w:val="00045605"/>
    <w:rsid w:val="00051FD6"/>
    <w:rsid w:val="000667C8"/>
    <w:rsid w:val="00071644"/>
    <w:rsid w:val="000A39CA"/>
    <w:rsid w:val="000B0FAB"/>
    <w:rsid w:val="000B1FEF"/>
    <w:rsid w:val="000D0753"/>
    <w:rsid w:val="000D5A55"/>
    <w:rsid w:val="000D7795"/>
    <w:rsid w:val="0010191C"/>
    <w:rsid w:val="001164FA"/>
    <w:rsid w:val="001207A9"/>
    <w:rsid w:val="00120A92"/>
    <w:rsid w:val="00130B74"/>
    <w:rsid w:val="00146E2E"/>
    <w:rsid w:val="00170A90"/>
    <w:rsid w:val="00196DE0"/>
    <w:rsid w:val="001A2807"/>
    <w:rsid w:val="001A6ED3"/>
    <w:rsid w:val="001D4456"/>
    <w:rsid w:val="001E140E"/>
    <w:rsid w:val="001E1CA7"/>
    <w:rsid w:val="001E31C1"/>
    <w:rsid w:val="002136CE"/>
    <w:rsid w:val="0024071E"/>
    <w:rsid w:val="00270A96"/>
    <w:rsid w:val="0027191B"/>
    <w:rsid w:val="0027707B"/>
    <w:rsid w:val="00283BD2"/>
    <w:rsid w:val="0029684C"/>
    <w:rsid w:val="002E178D"/>
    <w:rsid w:val="003042BA"/>
    <w:rsid w:val="00311732"/>
    <w:rsid w:val="00327F92"/>
    <w:rsid w:val="0037097B"/>
    <w:rsid w:val="0037169B"/>
    <w:rsid w:val="003B380D"/>
    <w:rsid w:val="003D35AE"/>
    <w:rsid w:val="003F0A54"/>
    <w:rsid w:val="00425B5B"/>
    <w:rsid w:val="00437921"/>
    <w:rsid w:val="00491BC4"/>
    <w:rsid w:val="004D4906"/>
    <w:rsid w:val="00513FF5"/>
    <w:rsid w:val="00523485"/>
    <w:rsid w:val="005328F7"/>
    <w:rsid w:val="00534A62"/>
    <w:rsid w:val="0055799A"/>
    <w:rsid w:val="00571613"/>
    <w:rsid w:val="00597726"/>
    <w:rsid w:val="005A2CE0"/>
    <w:rsid w:val="005B6BFB"/>
    <w:rsid w:val="005F0505"/>
    <w:rsid w:val="005F40DA"/>
    <w:rsid w:val="006148A7"/>
    <w:rsid w:val="00620AD8"/>
    <w:rsid w:val="006264D1"/>
    <w:rsid w:val="00655EA1"/>
    <w:rsid w:val="006618C3"/>
    <w:rsid w:val="00671417"/>
    <w:rsid w:val="00674C1D"/>
    <w:rsid w:val="006807AE"/>
    <w:rsid w:val="00690AB3"/>
    <w:rsid w:val="006D7693"/>
    <w:rsid w:val="006E0DCA"/>
    <w:rsid w:val="006F18BA"/>
    <w:rsid w:val="006F3CC4"/>
    <w:rsid w:val="006F7A49"/>
    <w:rsid w:val="0072072B"/>
    <w:rsid w:val="0072427B"/>
    <w:rsid w:val="007503E6"/>
    <w:rsid w:val="007A6C82"/>
    <w:rsid w:val="007B2B6B"/>
    <w:rsid w:val="007D5B77"/>
    <w:rsid w:val="00804FDF"/>
    <w:rsid w:val="008276E6"/>
    <w:rsid w:val="008312A8"/>
    <w:rsid w:val="00832268"/>
    <w:rsid w:val="0086137D"/>
    <w:rsid w:val="0088604F"/>
    <w:rsid w:val="008A7837"/>
    <w:rsid w:val="008C3684"/>
    <w:rsid w:val="008D36E0"/>
    <w:rsid w:val="008E4E88"/>
    <w:rsid w:val="008E7A32"/>
    <w:rsid w:val="008F3BE2"/>
    <w:rsid w:val="009177E6"/>
    <w:rsid w:val="00920E7D"/>
    <w:rsid w:val="00926880"/>
    <w:rsid w:val="009554E3"/>
    <w:rsid w:val="009708B6"/>
    <w:rsid w:val="0097593F"/>
    <w:rsid w:val="009A13AF"/>
    <w:rsid w:val="009E6BB6"/>
    <w:rsid w:val="00A04E6E"/>
    <w:rsid w:val="00A10B88"/>
    <w:rsid w:val="00A428D4"/>
    <w:rsid w:val="00A53CA7"/>
    <w:rsid w:val="00A757D1"/>
    <w:rsid w:val="00A90F6D"/>
    <w:rsid w:val="00AA424D"/>
    <w:rsid w:val="00AC3838"/>
    <w:rsid w:val="00AC3EFB"/>
    <w:rsid w:val="00AD0909"/>
    <w:rsid w:val="00AF4376"/>
    <w:rsid w:val="00B25CD5"/>
    <w:rsid w:val="00B35CE3"/>
    <w:rsid w:val="00B537B7"/>
    <w:rsid w:val="00B601ED"/>
    <w:rsid w:val="00BC1024"/>
    <w:rsid w:val="00BC750F"/>
    <w:rsid w:val="00BD56FA"/>
    <w:rsid w:val="00BE4997"/>
    <w:rsid w:val="00C11EDC"/>
    <w:rsid w:val="00C20A44"/>
    <w:rsid w:val="00C21F71"/>
    <w:rsid w:val="00C26917"/>
    <w:rsid w:val="00C54E3D"/>
    <w:rsid w:val="00C55CAB"/>
    <w:rsid w:val="00CA782F"/>
    <w:rsid w:val="00CC061A"/>
    <w:rsid w:val="00CD1B32"/>
    <w:rsid w:val="00CF1A8C"/>
    <w:rsid w:val="00D05702"/>
    <w:rsid w:val="00D14D21"/>
    <w:rsid w:val="00D26A27"/>
    <w:rsid w:val="00D41EE8"/>
    <w:rsid w:val="00D774C7"/>
    <w:rsid w:val="00DB0CEC"/>
    <w:rsid w:val="00DB5519"/>
    <w:rsid w:val="00DE6C89"/>
    <w:rsid w:val="00DF5C71"/>
    <w:rsid w:val="00E00E3A"/>
    <w:rsid w:val="00E34F19"/>
    <w:rsid w:val="00E35732"/>
    <w:rsid w:val="00E42044"/>
    <w:rsid w:val="00E6137A"/>
    <w:rsid w:val="00E61812"/>
    <w:rsid w:val="00E66920"/>
    <w:rsid w:val="00EA470B"/>
    <w:rsid w:val="00ED0142"/>
    <w:rsid w:val="00EE222D"/>
    <w:rsid w:val="00EF1DFD"/>
    <w:rsid w:val="00F11B4E"/>
    <w:rsid w:val="00F66931"/>
    <w:rsid w:val="00F72814"/>
    <w:rsid w:val="00FB4C53"/>
    <w:rsid w:val="00FD3A9E"/>
    <w:rsid w:val="00FD6B4D"/>
    <w:rsid w:val="00FE1D09"/>
    <w:rsid w:val="00FE364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312A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8312A8"/>
    <w:pPr>
      <w:ind w:left="720"/>
      <w:contextualSpacing/>
    </w:pPr>
  </w:style>
  <w:style w:type="character" w:styleId="Hipersaite">
    <w:name w:val="Hyperlink"/>
    <w:basedOn w:val="Noklusjumarindkopasfonts"/>
    <w:uiPriority w:val="99"/>
    <w:unhideWhenUsed/>
    <w:rsid w:val="008312A8"/>
    <w:rPr>
      <w:color w:val="0000FF"/>
      <w:u w:val="single"/>
    </w:rPr>
  </w:style>
  <w:style w:type="paragraph" w:styleId="Kjene">
    <w:name w:val="footer"/>
    <w:basedOn w:val="Parastais"/>
    <w:link w:val="KjeneRakstz"/>
    <w:uiPriority w:val="99"/>
    <w:unhideWhenUsed/>
    <w:rsid w:val="008312A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312A8"/>
  </w:style>
  <w:style w:type="paragraph" w:styleId="Vresteksts">
    <w:name w:val="footnote text"/>
    <w:basedOn w:val="Parastais"/>
    <w:link w:val="VrestekstsRakstz"/>
    <w:uiPriority w:val="99"/>
    <w:semiHidden/>
    <w:unhideWhenUsed/>
    <w:rsid w:val="008312A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312A8"/>
    <w:rPr>
      <w:sz w:val="20"/>
      <w:szCs w:val="20"/>
    </w:rPr>
  </w:style>
  <w:style w:type="character" w:styleId="Vresatsauce">
    <w:name w:val="footnote reference"/>
    <w:basedOn w:val="Noklusjumarindkopasfonts"/>
    <w:uiPriority w:val="99"/>
    <w:semiHidden/>
    <w:unhideWhenUsed/>
    <w:rsid w:val="008312A8"/>
    <w:rPr>
      <w:vertAlign w:val="superscript"/>
    </w:rPr>
  </w:style>
  <w:style w:type="character" w:styleId="Izteiksmgs">
    <w:name w:val="Strong"/>
    <w:basedOn w:val="Noklusjumarindkopasfonts"/>
    <w:uiPriority w:val="22"/>
    <w:qFormat/>
    <w:rsid w:val="008312A8"/>
    <w:rPr>
      <w:b/>
      <w:bCs/>
    </w:rPr>
  </w:style>
  <w:style w:type="paragraph" w:styleId="Galvene">
    <w:name w:val="header"/>
    <w:basedOn w:val="Parastais"/>
    <w:link w:val="GalveneRakstz"/>
    <w:uiPriority w:val="99"/>
    <w:unhideWhenUsed/>
    <w:rsid w:val="008312A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312A8"/>
  </w:style>
  <w:style w:type="paragraph" w:styleId="Balonteksts">
    <w:name w:val="Balloon Text"/>
    <w:basedOn w:val="Parastais"/>
    <w:link w:val="BalontekstsRakstz"/>
    <w:uiPriority w:val="99"/>
    <w:semiHidden/>
    <w:unhideWhenUsed/>
    <w:rsid w:val="0037097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7097B"/>
    <w:rPr>
      <w:rFonts w:ascii="Tahoma" w:hAnsi="Tahoma" w:cs="Tahoma"/>
      <w:sz w:val="16"/>
      <w:szCs w:val="16"/>
    </w:rPr>
  </w:style>
  <w:style w:type="paragraph" w:styleId="ParastaisWeb">
    <w:name w:val="Normal (Web)"/>
    <w:basedOn w:val="Parastais"/>
    <w:rsid w:val="00BE49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ais"/>
    <w:rsid w:val="000378D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Noklusjumarindkopasfonts"/>
    <w:rsid w:val="000378D4"/>
  </w:style>
  <w:style w:type="character" w:styleId="Komentraatsauce">
    <w:name w:val="annotation reference"/>
    <w:basedOn w:val="Noklusjumarindkopasfonts"/>
    <w:uiPriority w:val="99"/>
    <w:semiHidden/>
    <w:unhideWhenUsed/>
    <w:rsid w:val="00130B74"/>
    <w:rPr>
      <w:sz w:val="16"/>
      <w:szCs w:val="16"/>
    </w:rPr>
  </w:style>
  <w:style w:type="paragraph" w:styleId="Komentrateksts">
    <w:name w:val="annotation text"/>
    <w:basedOn w:val="Parastais"/>
    <w:link w:val="KomentratekstsRakstz"/>
    <w:uiPriority w:val="99"/>
    <w:semiHidden/>
    <w:unhideWhenUsed/>
    <w:rsid w:val="00130B7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30B74"/>
    <w:rPr>
      <w:sz w:val="20"/>
      <w:szCs w:val="20"/>
    </w:rPr>
  </w:style>
  <w:style w:type="paragraph" w:styleId="Komentratma">
    <w:name w:val="annotation subject"/>
    <w:basedOn w:val="Komentrateksts"/>
    <w:next w:val="Komentrateksts"/>
    <w:link w:val="KomentratmaRakstz"/>
    <w:uiPriority w:val="99"/>
    <w:semiHidden/>
    <w:unhideWhenUsed/>
    <w:rsid w:val="00130B74"/>
    <w:rPr>
      <w:b/>
      <w:bCs/>
    </w:rPr>
  </w:style>
  <w:style w:type="character" w:customStyle="1" w:styleId="KomentratmaRakstz">
    <w:name w:val="Komentāra tēma Rakstz."/>
    <w:basedOn w:val="KomentratekstsRakstz"/>
    <w:link w:val="Komentratma"/>
    <w:uiPriority w:val="99"/>
    <w:semiHidden/>
    <w:rsid w:val="00130B74"/>
    <w:rPr>
      <w:b/>
      <w:bCs/>
      <w:sz w:val="20"/>
      <w:szCs w:val="20"/>
    </w:rPr>
  </w:style>
  <w:style w:type="table" w:styleId="Reatabula">
    <w:name w:val="Table Grid"/>
    <w:basedOn w:val="Parastatabula"/>
    <w:uiPriority w:val="59"/>
    <w:rsid w:val="00BD5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Parastais"/>
    <w:rsid w:val="00BD56FA"/>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806044014">
      <w:bodyDiv w:val="1"/>
      <w:marLeft w:val="0"/>
      <w:marRight w:val="0"/>
      <w:marTop w:val="0"/>
      <w:marBottom w:val="0"/>
      <w:divBdr>
        <w:top w:val="none" w:sz="0" w:space="0" w:color="auto"/>
        <w:left w:val="none" w:sz="0" w:space="0" w:color="auto"/>
        <w:bottom w:val="none" w:sz="0" w:space="0" w:color="auto"/>
        <w:right w:val="none" w:sz="0" w:space="0" w:color="auto"/>
      </w:divBdr>
    </w:div>
    <w:div w:id="1190334256">
      <w:bodyDiv w:val="1"/>
      <w:marLeft w:val="0"/>
      <w:marRight w:val="0"/>
      <w:marTop w:val="0"/>
      <w:marBottom w:val="0"/>
      <w:divBdr>
        <w:top w:val="none" w:sz="0" w:space="0" w:color="auto"/>
        <w:left w:val="none" w:sz="0" w:space="0" w:color="auto"/>
        <w:bottom w:val="none" w:sz="0" w:space="0" w:color="auto"/>
        <w:right w:val="none" w:sz="0" w:space="0" w:color="auto"/>
      </w:divBdr>
    </w:div>
    <w:div w:id="1744253297">
      <w:bodyDiv w:val="1"/>
      <w:marLeft w:val="0"/>
      <w:marRight w:val="0"/>
      <w:marTop w:val="0"/>
      <w:marBottom w:val="0"/>
      <w:divBdr>
        <w:top w:val="none" w:sz="0" w:space="0" w:color="auto"/>
        <w:left w:val="none" w:sz="0" w:space="0" w:color="auto"/>
        <w:bottom w:val="none" w:sz="0" w:space="0" w:color="auto"/>
        <w:right w:val="none" w:sz="0" w:space="0" w:color="auto"/>
      </w:divBdr>
    </w:div>
    <w:div w:id="1827745970">
      <w:bodyDiv w:val="1"/>
      <w:marLeft w:val="0"/>
      <w:marRight w:val="0"/>
      <w:marTop w:val="0"/>
      <w:marBottom w:val="0"/>
      <w:divBdr>
        <w:top w:val="none" w:sz="0" w:space="0" w:color="auto"/>
        <w:left w:val="none" w:sz="0" w:space="0" w:color="auto"/>
        <w:bottom w:val="none" w:sz="0" w:space="0" w:color="auto"/>
        <w:right w:val="none" w:sz="0" w:space="0" w:color="auto"/>
      </w:divBdr>
    </w:div>
    <w:div w:id="185160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nda.irbe@neplpadome.lv" TargetMode="Externa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rtk.lt/content/uploads/2017/04/ENG-2016-m-LRTK-VEIKLOS-ATASKAITA-be-ataskaitu.pdf" TargetMode="External"/><Relationship Id="rId2" Type="http://schemas.openxmlformats.org/officeDocument/2006/relationships/hyperlink" Target="https://www.ofcom.org.uk/__data/assets/pdf_file/0012/36201/tlcs_guidance_notes_for_licensees.pdf" TargetMode="External"/><Relationship Id="rId1" Type="http://schemas.openxmlformats.org/officeDocument/2006/relationships/hyperlink" Target="https://www.ofcom.org.uk/__data/assets/pdf_file/0019/51058/charging_principl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2C95ECEF7CA4B1396F9C9A2C8351FDC"/>
        <w:category>
          <w:name w:val="General"/>
          <w:gallery w:val="placeholder"/>
        </w:category>
        <w:types>
          <w:type w:val="bbPlcHdr"/>
        </w:types>
        <w:behaviors>
          <w:behavior w:val="content"/>
        </w:behaviors>
        <w:guid w:val="{F41C9461-E829-4F28-9902-352ECFBB0DE6}"/>
      </w:docPartPr>
      <w:docPartBody>
        <w:p w:rsidR="00EC7C92" w:rsidRDefault="0044771E" w:rsidP="0044771E">
          <w:pPr>
            <w:pStyle w:val="E2C95ECEF7CA4B1396F9C9A2C8351FDC"/>
          </w:pPr>
          <w:r>
            <w:rPr>
              <w:color w:val="A6A6A6" w:themeColor="background1" w:themeShade="A6"/>
            </w:rPr>
            <w:t>Iekļauj informāciju atbilstoši instrukcijas 17. punktā noteiktajam</w:t>
          </w:r>
        </w:p>
      </w:docPartBody>
    </w:docPart>
    <w:docPart>
      <w:docPartPr>
        <w:name w:val="E3B3A7D4883B49F2983666819212A1FF"/>
        <w:category>
          <w:name w:val="General"/>
          <w:gallery w:val="placeholder"/>
        </w:category>
        <w:types>
          <w:type w:val="bbPlcHdr"/>
        </w:types>
        <w:behaviors>
          <w:behavior w:val="content"/>
        </w:behaviors>
        <w:guid w:val="{4CA9C4E2-7A21-4990-89B9-CA7BECF8C8FA}"/>
      </w:docPartPr>
      <w:docPartBody>
        <w:p w:rsidR="0044771E" w:rsidRPr="00894C55" w:rsidRDefault="0044771E" w:rsidP="00BA5BED">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EC7C92" w:rsidRDefault="0044771E" w:rsidP="0044771E">
          <w:pPr>
            <w:pStyle w:val="E3B3A7D4883B49F2983666819212A1FF"/>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403703E3486C4171A23111C09DC99013"/>
        <w:category>
          <w:name w:val="General"/>
          <w:gallery w:val="placeholder"/>
        </w:category>
        <w:types>
          <w:type w:val="bbPlcHdr"/>
        </w:types>
        <w:behaviors>
          <w:behavior w:val="content"/>
        </w:behaviors>
        <w:guid w:val="{3175B6CE-7130-41DE-8BCC-F87EEE0904D0}"/>
      </w:docPartPr>
      <w:docPartBody>
        <w:p w:rsidR="00EC7C92" w:rsidRDefault="0044771E" w:rsidP="0044771E">
          <w:pPr>
            <w:pStyle w:val="403703E3486C4171A23111C09DC99013"/>
          </w:pPr>
          <w:r w:rsidRPr="00894C55">
            <w:rPr>
              <w:rFonts w:ascii="Times New Roman" w:eastAsia="Times New Roman" w:hAnsi="Times New Roman" w:cs="Times New Roman"/>
              <w:color w:val="A6A6A6" w:themeColor="background1" w:themeShade="A6"/>
              <w:sz w:val="24"/>
              <w:szCs w:val="24"/>
            </w:rPr>
            <w:t>Iekļauj informāciju atbilstoši instrukcijas 54.</w:t>
          </w:r>
          <w:r w:rsidRPr="00894C55">
            <w:rPr>
              <w:rFonts w:ascii="Times New Roman" w:eastAsia="Times New Roman" w:hAnsi="Times New Roman" w:cs="Times New Roman"/>
              <w:color w:val="A6A6A6" w:themeColor="background1" w:themeShade="A6"/>
              <w:sz w:val="24"/>
              <w:szCs w:val="24"/>
              <w:vertAlign w:val="superscript"/>
            </w:rPr>
            <w:t>1 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6F0BA39AC3374D36BD808C8E84F6734D"/>
        <w:category>
          <w:name w:val="General"/>
          <w:gallery w:val="placeholder"/>
        </w:category>
        <w:types>
          <w:type w:val="bbPlcHdr"/>
        </w:types>
        <w:behaviors>
          <w:behavior w:val="content"/>
        </w:behaviors>
        <w:guid w:val="{15754CEF-A16F-4A2C-A48C-5CCD2909FB97}"/>
      </w:docPartPr>
      <w:docPartBody>
        <w:p w:rsidR="0044771E" w:rsidRPr="00894C55" w:rsidRDefault="0044771E" w:rsidP="00BA5BED">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EC7C92" w:rsidRDefault="0044771E" w:rsidP="0044771E">
          <w:pPr>
            <w:pStyle w:val="6F0BA39AC3374D36BD808C8E84F6734D"/>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D8AA6DF871224112ACF966EF11FED9FE"/>
        <w:category>
          <w:name w:val="General"/>
          <w:gallery w:val="placeholder"/>
        </w:category>
        <w:types>
          <w:type w:val="bbPlcHdr"/>
        </w:types>
        <w:behaviors>
          <w:behavior w:val="content"/>
        </w:behaviors>
        <w:guid w:val="{53971F76-2C92-46F6-BB00-8BDA2765807A}"/>
      </w:docPartPr>
      <w:docPartBody>
        <w:p w:rsidR="00EC7C92" w:rsidRDefault="0044771E" w:rsidP="0044771E">
          <w:pPr>
            <w:pStyle w:val="D8AA6DF871224112ACF966EF11FED9FE"/>
          </w:pPr>
          <w:r w:rsidRPr="00894C55">
            <w:rPr>
              <w:rFonts w:ascii="Times New Roman" w:eastAsia="Times New Roman" w:hAnsi="Times New Roman" w:cs="Times New Roman"/>
              <w:color w:val="A6A6A6" w:themeColor="background1" w:themeShade="A6"/>
              <w:sz w:val="24"/>
              <w:szCs w:val="24"/>
            </w:rPr>
            <w:t>Iekļauj informāciju atbilstoši instrukcijas</w:t>
          </w:r>
          <w:r w:rsidRPr="00816C11">
            <w:rPr>
              <w:rFonts w:ascii="Times New Roman" w:eastAsia="Times New Roman" w:hAnsi="Times New Roman" w:cs="Times New Roman"/>
              <w:color w:val="A6A6A6" w:themeColor="background1" w:themeShade="A6"/>
              <w:sz w:val="24"/>
              <w:szCs w:val="24"/>
            </w:rPr>
            <w:t xml:space="preserve"> 60. punktā </w:t>
          </w:r>
          <w:r w:rsidRPr="00894C55">
            <w:rPr>
              <w:rFonts w:ascii="Times New Roman" w:eastAsia="Times New Roman" w:hAnsi="Times New Roman" w:cs="Times New Roman"/>
              <w:color w:val="A6A6A6" w:themeColor="background1" w:themeShade="A6"/>
              <w:sz w:val="24"/>
              <w:szCs w:val="24"/>
            </w:rPr>
            <w:t>noteiktajam</w:t>
          </w:r>
        </w:p>
      </w:docPartBody>
    </w:docPart>
    <w:docPart>
      <w:docPartPr>
        <w:name w:val="B4FE0347064D4937B8550972F1B8815A"/>
        <w:category>
          <w:name w:val="General"/>
          <w:gallery w:val="placeholder"/>
        </w:category>
        <w:types>
          <w:type w:val="bbPlcHdr"/>
        </w:types>
        <w:behaviors>
          <w:behavior w:val="content"/>
        </w:behaviors>
        <w:guid w:val="{AB68234A-597B-4579-B594-A30987D0A5D0}"/>
      </w:docPartPr>
      <w:docPartBody>
        <w:p w:rsidR="0044771E" w:rsidRPr="00894C55" w:rsidRDefault="0044771E" w:rsidP="00BA5BED">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EC7C92" w:rsidRDefault="0044771E" w:rsidP="0044771E">
          <w:pPr>
            <w:pStyle w:val="B4FE0347064D4937B8550972F1B8815A"/>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1220693D69974A07BC779ECBAF1576E6"/>
        <w:category>
          <w:name w:val="General"/>
          <w:gallery w:val="placeholder"/>
        </w:category>
        <w:types>
          <w:type w:val="bbPlcHdr"/>
        </w:types>
        <w:behaviors>
          <w:behavior w:val="content"/>
        </w:behaviors>
        <w:guid w:val="{462B229C-0E8A-494B-8E29-D45FCFA05B78}"/>
      </w:docPartPr>
      <w:docPartBody>
        <w:p w:rsidR="00EC7C92" w:rsidRDefault="0044771E" w:rsidP="0044771E">
          <w:pPr>
            <w:pStyle w:val="1220693D69974A07BC779ECBAF1576E6"/>
          </w:pPr>
          <w:r>
            <w:rPr>
              <w:color w:val="A6A6A6" w:themeColor="background1" w:themeShade="A6"/>
            </w:rPr>
            <w:t>Iekļauj informāciju atbilstoši instrukcijas 65. punktā noteiktajam</w:t>
          </w:r>
        </w:p>
      </w:docPartBody>
    </w:docPart>
    <w:docPart>
      <w:docPartPr>
        <w:name w:val="4135FE105FF4415E9ACBDF18A6B0BE00"/>
        <w:category>
          <w:name w:val="General"/>
          <w:gallery w:val="placeholder"/>
        </w:category>
        <w:types>
          <w:type w:val="bbPlcHdr"/>
        </w:types>
        <w:behaviors>
          <w:behavior w:val="content"/>
        </w:behaviors>
        <w:guid w:val="{F31B8E00-DAFD-4DBD-8774-BD5297B4CBA5}"/>
      </w:docPartPr>
      <w:docPartBody>
        <w:p w:rsidR="00EC7C92" w:rsidRDefault="0044771E" w:rsidP="0044771E">
          <w:pPr>
            <w:pStyle w:val="4135FE105FF4415E9ACBDF18A6B0BE00"/>
          </w:pPr>
          <w:r>
            <w:rPr>
              <w:color w:val="A6A6A6" w:themeColor="background1" w:themeShade="A6"/>
            </w:rPr>
            <w:t>Iekļauj informāciju atbilstoši instrukcijas 66., 67., 68, 69. punktā noteiktajam</w:t>
          </w:r>
        </w:p>
      </w:docPartBody>
    </w:docPart>
    <w:docPart>
      <w:docPartPr>
        <w:name w:val="D2F0C2A8EE37478E987A026A83841D59"/>
        <w:category>
          <w:name w:val="General"/>
          <w:gallery w:val="placeholder"/>
        </w:category>
        <w:types>
          <w:type w:val="bbPlcHdr"/>
        </w:types>
        <w:behaviors>
          <w:behavior w:val="content"/>
        </w:behaviors>
        <w:guid w:val="{31E93E61-7FEC-4BE5-AC98-556A8E611898}"/>
      </w:docPartPr>
      <w:docPartBody>
        <w:p w:rsidR="0044771E" w:rsidRPr="00894C55" w:rsidRDefault="0044771E" w:rsidP="00BA5BED">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EC7C92" w:rsidRDefault="0044771E" w:rsidP="0044771E">
          <w:pPr>
            <w:pStyle w:val="D2F0C2A8EE37478E987A026A83841D59"/>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716D7D5DF3994AF094C8DD761CDAFB9D"/>
        <w:category>
          <w:name w:val="Vispārīgi"/>
          <w:gallery w:val="placeholder"/>
        </w:category>
        <w:types>
          <w:type w:val="bbPlcHdr"/>
        </w:types>
        <w:behaviors>
          <w:behavior w:val="content"/>
        </w:behaviors>
        <w:guid w:val="{9017825F-9DB6-4A56-80CF-5F5E5656A8A3}"/>
      </w:docPartPr>
      <w:docPartBody>
        <w:p w:rsidR="00DE7080" w:rsidRDefault="002A7A2C" w:rsidP="002A7A2C">
          <w:pPr>
            <w:pStyle w:val="716D7D5DF3994AF094C8DD761CDAFB9D"/>
          </w:pPr>
          <w:r>
            <w:rPr>
              <w:color w:val="A6A6A6" w:themeColor="background1" w:themeShade="A6"/>
            </w:rPr>
            <w:t>Iekļauj informāciju atbilstoši instrukcijas 62. punktā noteiktajam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44771E"/>
    <w:rsid w:val="00013F6F"/>
    <w:rsid w:val="00054C55"/>
    <w:rsid w:val="00065979"/>
    <w:rsid w:val="000C424C"/>
    <w:rsid w:val="000D0713"/>
    <w:rsid w:val="000F25D1"/>
    <w:rsid w:val="001F17CF"/>
    <w:rsid w:val="002A7A2C"/>
    <w:rsid w:val="00387A17"/>
    <w:rsid w:val="0044771E"/>
    <w:rsid w:val="00484539"/>
    <w:rsid w:val="004A09DF"/>
    <w:rsid w:val="004B6F9C"/>
    <w:rsid w:val="00500B6F"/>
    <w:rsid w:val="00556FC3"/>
    <w:rsid w:val="005A33A7"/>
    <w:rsid w:val="00604AAA"/>
    <w:rsid w:val="006101B1"/>
    <w:rsid w:val="0065156D"/>
    <w:rsid w:val="006C7464"/>
    <w:rsid w:val="00800972"/>
    <w:rsid w:val="00A140A3"/>
    <w:rsid w:val="00B441EB"/>
    <w:rsid w:val="00B95799"/>
    <w:rsid w:val="00BA5BED"/>
    <w:rsid w:val="00BE4132"/>
    <w:rsid w:val="00C5146B"/>
    <w:rsid w:val="00CB665E"/>
    <w:rsid w:val="00CE354B"/>
    <w:rsid w:val="00DB7360"/>
    <w:rsid w:val="00DE7080"/>
    <w:rsid w:val="00EC1F43"/>
    <w:rsid w:val="00EC7C92"/>
    <w:rsid w:val="00F31103"/>
    <w:rsid w:val="00FD6B2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C7C9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E2C95ECEF7CA4B1396F9C9A2C8351FDC">
    <w:name w:val="E2C95ECEF7CA4B1396F9C9A2C8351FDC"/>
    <w:rsid w:val="0044771E"/>
  </w:style>
  <w:style w:type="paragraph" w:customStyle="1" w:styleId="E3B3A7D4883B49F2983666819212A1FF">
    <w:name w:val="E3B3A7D4883B49F2983666819212A1FF"/>
    <w:rsid w:val="0044771E"/>
  </w:style>
  <w:style w:type="paragraph" w:customStyle="1" w:styleId="403703E3486C4171A23111C09DC99013">
    <w:name w:val="403703E3486C4171A23111C09DC99013"/>
    <w:rsid w:val="0044771E"/>
  </w:style>
  <w:style w:type="paragraph" w:customStyle="1" w:styleId="6F0BA39AC3374D36BD808C8E84F6734D">
    <w:name w:val="6F0BA39AC3374D36BD808C8E84F6734D"/>
    <w:rsid w:val="0044771E"/>
  </w:style>
  <w:style w:type="paragraph" w:customStyle="1" w:styleId="D8AA6DF871224112ACF966EF11FED9FE">
    <w:name w:val="D8AA6DF871224112ACF966EF11FED9FE"/>
    <w:rsid w:val="0044771E"/>
  </w:style>
  <w:style w:type="paragraph" w:customStyle="1" w:styleId="ED558A1C5AA04DF7AD81B220D0B9D1B5">
    <w:name w:val="ED558A1C5AA04DF7AD81B220D0B9D1B5"/>
    <w:rsid w:val="0044771E"/>
  </w:style>
  <w:style w:type="paragraph" w:customStyle="1" w:styleId="B4FE0347064D4937B8550972F1B8815A">
    <w:name w:val="B4FE0347064D4937B8550972F1B8815A"/>
    <w:rsid w:val="0044771E"/>
  </w:style>
  <w:style w:type="paragraph" w:customStyle="1" w:styleId="1220693D69974A07BC779ECBAF1576E6">
    <w:name w:val="1220693D69974A07BC779ECBAF1576E6"/>
    <w:rsid w:val="0044771E"/>
  </w:style>
  <w:style w:type="paragraph" w:customStyle="1" w:styleId="4135FE105FF4415E9ACBDF18A6B0BE00">
    <w:name w:val="4135FE105FF4415E9ACBDF18A6B0BE00"/>
    <w:rsid w:val="0044771E"/>
  </w:style>
  <w:style w:type="paragraph" w:customStyle="1" w:styleId="D2F0C2A8EE37478E987A026A83841D59">
    <w:name w:val="D2F0C2A8EE37478E987A026A83841D59"/>
    <w:rsid w:val="0044771E"/>
  </w:style>
  <w:style w:type="paragraph" w:customStyle="1" w:styleId="716D7D5DF3994AF094C8DD761CDAFB9D">
    <w:name w:val="716D7D5DF3994AF094C8DD761CDAFB9D"/>
    <w:rsid w:val="002A7A2C"/>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25925</Words>
  <Characters>14778</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
    </vt:vector>
  </TitlesOfParts>
  <Company>LR Kultūras Ministrija</Company>
  <LinksUpToDate>false</LinksUpToDate>
  <CharactersWithSpaces>40622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valsts nodevu par apraides atļaujas izsniegšanu, apraides atļaujas pamatnosacījumu pārskatīšanu, retranslācijas atļaujas izsniegšanu, ikgadējo nodevu par apraides tiesību īstenošanas uzraudzību un ikgadējo nodevu par retranslācijas atļaujas pārreģistrāciju” sākotnējās ietekmes novērtējuma ziņojums (anotācija)</dc:title>
  <dc:subject>Anotācija</dc:subject>
  <dc:creator>Sanda Irbe</dc:creator>
  <cp:keywords>KMAnot_291217_nodeva</cp:keywords>
  <dc:description>67221848
sanda.irbe@neplpadome.lv</dc:description>
  <cp:lastModifiedBy>Dzintra Rozīte</cp:lastModifiedBy>
  <cp:revision>8</cp:revision>
  <cp:lastPrinted>2017-09-21T10:07:00Z</cp:lastPrinted>
  <dcterms:created xsi:type="dcterms:W3CDTF">2017-12-21T09:13:00Z</dcterms:created>
  <dcterms:modified xsi:type="dcterms:W3CDTF">2017-12-29T10:43:00Z</dcterms:modified>
</cp:coreProperties>
</file>