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5C" w:rsidRDefault="0097795C" w:rsidP="000D151A">
      <w:pPr>
        <w:spacing w:after="0" w:line="240" w:lineRule="auto"/>
        <w:ind w:left="142"/>
        <w:jc w:val="center"/>
        <w:rPr>
          <w:rFonts w:ascii="Times New Roman" w:hAnsi="Times New Roman" w:cs="Times New Roman"/>
          <w:b/>
          <w:sz w:val="28"/>
          <w:szCs w:val="28"/>
        </w:rPr>
      </w:pPr>
      <w:r w:rsidRPr="000D151A">
        <w:rPr>
          <w:rFonts w:ascii="Times New Roman" w:hAnsi="Times New Roman" w:cs="Times New Roman"/>
          <w:b/>
          <w:sz w:val="28"/>
          <w:szCs w:val="28"/>
        </w:rPr>
        <w:t>Informatīvais ziņojums</w:t>
      </w:r>
    </w:p>
    <w:p w:rsidR="000D151A" w:rsidRPr="000D151A" w:rsidRDefault="000D151A" w:rsidP="009E1FD5">
      <w:pPr>
        <w:spacing w:after="0" w:line="240" w:lineRule="auto"/>
        <w:jc w:val="center"/>
        <w:rPr>
          <w:rFonts w:ascii="Times New Roman" w:hAnsi="Times New Roman" w:cs="Times New Roman"/>
          <w:b/>
          <w:sz w:val="28"/>
          <w:szCs w:val="28"/>
        </w:rPr>
      </w:pPr>
    </w:p>
    <w:p w:rsidR="00BA1C57" w:rsidRPr="000D151A" w:rsidRDefault="00BA1C57" w:rsidP="009E1FD5">
      <w:pPr>
        <w:spacing w:after="0" w:line="240" w:lineRule="auto"/>
        <w:jc w:val="center"/>
        <w:rPr>
          <w:rFonts w:ascii="Times New Roman" w:hAnsi="Times New Roman" w:cs="Times New Roman"/>
          <w:b/>
          <w:sz w:val="28"/>
          <w:szCs w:val="28"/>
        </w:rPr>
      </w:pPr>
      <w:r w:rsidRPr="000D151A">
        <w:rPr>
          <w:rFonts w:ascii="Times New Roman" w:hAnsi="Times New Roman" w:cs="Times New Roman"/>
          <w:b/>
          <w:sz w:val="28"/>
          <w:szCs w:val="28"/>
        </w:rPr>
        <w:t xml:space="preserve">Par Korupcijas novēršanas un apkarošanas biroja kompetenci attiecībā uz tiesībām izmeklēt </w:t>
      </w:r>
      <w:proofErr w:type="spellStart"/>
      <w:r w:rsidRPr="000D151A">
        <w:rPr>
          <w:rFonts w:ascii="Times New Roman" w:hAnsi="Times New Roman" w:cs="Times New Roman"/>
          <w:b/>
          <w:sz w:val="28"/>
          <w:szCs w:val="28"/>
        </w:rPr>
        <w:t>koruptīvos</w:t>
      </w:r>
      <w:proofErr w:type="spellEnd"/>
      <w:r w:rsidRPr="000D151A">
        <w:rPr>
          <w:rFonts w:ascii="Times New Roman" w:hAnsi="Times New Roman" w:cs="Times New Roman"/>
          <w:b/>
          <w:sz w:val="28"/>
          <w:szCs w:val="28"/>
        </w:rPr>
        <w:t xml:space="preserve"> noziedzīgos nodarījumus privātajā sektorā</w:t>
      </w:r>
    </w:p>
    <w:p w:rsidR="00BA1C57" w:rsidRPr="009E1FD5" w:rsidRDefault="00BA1C57" w:rsidP="009E1FD5">
      <w:pPr>
        <w:spacing w:after="0" w:line="240" w:lineRule="auto"/>
        <w:jc w:val="center"/>
        <w:rPr>
          <w:rFonts w:ascii="Times New Roman" w:hAnsi="Times New Roman" w:cs="Times New Roman"/>
          <w:b/>
          <w:sz w:val="24"/>
          <w:szCs w:val="24"/>
        </w:rPr>
      </w:pPr>
    </w:p>
    <w:p w:rsidR="00BA1C57" w:rsidRPr="009E1FD5" w:rsidRDefault="00BA1C57" w:rsidP="009E1FD5">
      <w:pPr>
        <w:pStyle w:val="ListParagraph"/>
        <w:numPr>
          <w:ilvl w:val="0"/>
          <w:numId w:val="1"/>
        </w:numPr>
        <w:spacing w:after="0" w:line="240" w:lineRule="auto"/>
        <w:ind w:left="0" w:firstLine="0"/>
        <w:jc w:val="center"/>
        <w:rPr>
          <w:rFonts w:ascii="Times New Roman" w:hAnsi="Times New Roman" w:cs="Times New Roman"/>
          <w:b/>
          <w:sz w:val="24"/>
          <w:szCs w:val="24"/>
        </w:rPr>
      </w:pPr>
      <w:r w:rsidRPr="009E1FD5">
        <w:rPr>
          <w:rFonts w:ascii="Times New Roman" w:hAnsi="Times New Roman" w:cs="Times New Roman"/>
          <w:b/>
          <w:sz w:val="24"/>
          <w:szCs w:val="24"/>
        </w:rPr>
        <w:t>Ievads</w:t>
      </w:r>
    </w:p>
    <w:p w:rsidR="00066CDE" w:rsidRPr="009E1FD5" w:rsidRDefault="00066CDE" w:rsidP="009E1FD5">
      <w:pPr>
        <w:spacing w:after="0" w:line="240" w:lineRule="auto"/>
        <w:ind w:firstLine="720"/>
        <w:jc w:val="both"/>
        <w:rPr>
          <w:rFonts w:ascii="Times New Roman" w:hAnsi="Times New Roman" w:cs="Times New Roman"/>
          <w:sz w:val="24"/>
          <w:szCs w:val="24"/>
        </w:rPr>
      </w:pPr>
    </w:p>
    <w:p w:rsidR="003F3C12" w:rsidRPr="009E1FD5" w:rsidRDefault="00BA1C57" w:rsidP="009E1FD5">
      <w:pPr>
        <w:spacing w:after="0" w:line="240" w:lineRule="auto"/>
        <w:ind w:firstLine="720"/>
        <w:jc w:val="both"/>
        <w:rPr>
          <w:rFonts w:ascii="Times New Roman" w:hAnsi="Times New Roman" w:cs="Times New Roman"/>
          <w:sz w:val="24"/>
          <w:szCs w:val="24"/>
        </w:rPr>
      </w:pPr>
      <w:r w:rsidRPr="009E1FD5">
        <w:rPr>
          <w:rFonts w:ascii="Times New Roman" w:hAnsi="Times New Roman" w:cs="Times New Roman"/>
          <w:sz w:val="24"/>
          <w:szCs w:val="24"/>
        </w:rPr>
        <w:t>Korupcijas novēršanas un apkarošanas pamatnostādnes 2015.</w:t>
      </w:r>
      <w:r w:rsidR="007E35C5" w:rsidRPr="009E1FD5">
        <w:rPr>
          <w:rFonts w:ascii="Times New Roman" w:hAnsi="Times New Roman" w:cs="Times New Roman"/>
          <w:sz w:val="24"/>
          <w:szCs w:val="24"/>
        </w:rPr>
        <w:t> </w:t>
      </w:r>
      <w:r w:rsidRPr="009E1FD5">
        <w:rPr>
          <w:rFonts w:ascii="Times New Roman" w:hAnsi="Times New Roman" w:cs="Times New Roman"/>
          <w:sz w:val="24"/>
          <w:szCs w:val="24"/>
        </w:rPr>
        <w:t>–</w:t>
      </w:r>
      <w:r w:rsidR="007E35C5" w:rsidRPr="009E1FD5">
        <w:rPr>
          <w:rFonts w:ascii="Times New Roman" w:hAnsi="Times New Roman" w:cs="Times New Roman"/>
          <w:sz w:val="24"/>
          <w:szCs w:val="24"/>
        </w:rPr>
        <w:t xml:space="preserve"> </w:t>
      </w:r>
      <w:r w:rsidRPr="009E1FD5">
        <w:rPr>
          <w:rFonts w:ascii="Times New Roman" w:hAnsi="Times New Roman" w:cs="Times New Roman"/>
          <w:sz w:val="24"/>
          <w:szCs w:val="24"/>
        </w:rPr>
        <w:t>2020.</w:t>
      </w:r>
      <w:r w:rsidR="007E35C5" w:rsidRPr="009E1FD5">
        <w:rPr>
          <w:rFonts w:ascii="Times New Roman" w:hAnsi="Times New Roman" w:cs="Times New Roman"/>
          <w:sz w:val="24"/>
          <w:szCs w:val="24"/>
        </w:rPr>
        <w:t> </w:t>
      </w:r>
      <w:r w:rsidRPr="009E1FD5">
        <w:rPr>
          <w:rFonts w:ascii="Times New Roman" w:hAnsi="Times New Roman" w:cs="Times New Roman"/>
          <w:sz w:val="24"/>
          <w:szCs w:val="24"/>
        </w:rPr>
        <w:t>gadam</w:t>
      </w:r>
      <w:r w:rsidRPr="009E1FD5">
        <w:rPr>
          <w:rStyle w:val="FootnoteReference"/>
          <w:rFonts w:ascii="Times New Roman" w:hAnsi="Times New Roman" w:cs="Times New Roman"/>
          <w:sz w:val="24"/>
          <w:szCs w:val="24"/>
        </w:rPr>
        <w:footnoteReference w:id="1"/>
      </w:r>
      <w:r w:rsidRPr="009E1FD5">
        <w:rPr>
          <w:rFonts w:ascii="Times New Roman" w:hAnsi="Times New Roman" w:cs="Times New Roman"/>
          <w:sz w:val="24"/>
          <w:szCs w:val="24"/>
        </w:rPr>
        <w:t xml:space="preserve">   (turpmāk – Pamatnostādnes) stājās spēkā ar Ministru kabineta 2015.</w:t>
      </w:r>
      <w:r w:rsidR="007E35C5" w:rsidRPr="009E1FD5">
        <w:rPr>
          <w:rFonts w:ascii="Times New Roman" w:hAnsi="Times New Roman" w:cs="Times New Roman"/>
          <w:sz w:val="24"/>
          <w:szCs w:val="24"/>
        </w:rPr>
        <w:t> </w:t>
      </w:r>
      <w:r w:rsidRPr="009E1FD5">
        <w:rPr>
          <w:rFonts w:ascii="Times New Roman" w:hAnsi="Times New Roman" w:cs="Times New Roman"/>
          <w:sz w:val="24"/>
          <w:szCs w:val="24"/>
        </w:rPr>
        <w:t>gada 16.</w:t>
      </w:r>
      <w:r w:rsidR="007E35C5" w:rsidRPr="009E1FD5">
        <w:rPr>
          <w:rFonts w:ascii="Times New Roman" w:hAnsi="Times New Roman" w:cs="Times New Roman"/>
          <w:sz w:val="24"/>
          <w:szCs w:val="24"/>
        </w:rPr>
        <w:t> </w:t>
      </w:r>
      <w:r w:rsidRPr="009E1FD5">
        <w:rPr>
          <w:rFonts w:ascii="Times New Roman" w:hAnsi="Times New Roman" w:cs="Times New Roman"/>
          <w:sz w:val="24"/>
          <w:szCs w:val="24"/>
        </w:rPr>
        <w:t>jūlija rīkojumu Nr.</w:t>
      </w:r>
      <w:r w:rsidR="007E35C5" w:rsidRPr="009E1FD5">
        <w:rPr>
          <w:rFonts w:ascii="Times New Roman" w:hAnsi="Times New Roman" w:cs="Times New Roman"/>
          <w:sz w:val="24"/>
          <w:szCs w:val="24"/>
        </w:rPr>
        <w:t> </w:t>
      </w:r>
      <w:r w:rsidRPr="009E1FD5">
        <w:rPr>
          <w:rFonts w:ascii="Times New Roman" w:hAnsi="Times New Roman" w:cs="Times New Roman"/>
          <w:sz w:val="24"/>
          <w:szCs w:val="24"/>
        </w:rPr>
        <w:t>393 “Par Korupcijas novēršanas un apkarošanas pa</w:t>
      </w:r>
      <w:r w:rsidR="00716336" w:rsidRPr="009E1FD5">
        <w:rPr>
          <w:rFonts w:ascii="Times New Roman" w:hAnsi="Times New Roman" w:cs="Times New Roman"/>
          <w:sz w:val="24"/>
          <w:szCs w:val="24"/>
        </w:rPr>
        <w:t>matnostādnēm 2015.</w:t>
      </w:r>
      <w:r w:rsidR="007E35C5" w:rsidRPr="009E1FD5">
        <w:rPr>
          <w:rFonts w:ascii="Times New Roman" w:hAnsi="Times New Roman" w:cs="Times New Roman"/>
          <w:sz w:val="24"/>
          <w:szCs w:val="24"/>
        </w:rPr>
        <w:t> </w:t>
      </w:r>
      <w:r w:rsidR="00716336" w:rsidRPr="009E1FD5">
        <w:rPr>
          <w:rFonts w:ascii="Times New Roman" w:hAnsi="Times New Roman" w:cs="Times New Roman"/>
          <w:sz w:val="24"/>
          <w:szCs w:val="24"/>
        </w:rPr>
        <w:t>-</w:t>
      </w:r>
      <w:r w:rsidR="007E35C5" w:rsidRPr="009E1FD5">
        <w:rPr>
          <w:rFonts w:ascii="Times New Roman" w:hAnsi="Times New Roman" w:cs="Times New Roman"/>
          <w:sz w:val="24"/>
          <w:szCs w:val="24"/>
        </w:rPr>
        <w:t xml:space="preserve"> </w:t>
      </w:r>
      <w:r w:rsidR="00716336" w:rsidRPr="009E1FD5">
        <w:rPr>
          <w:rFonts w:ascii="Times New Roman" w:hAnsi="Times New Roman" w:cs="Times New Roman"/>
          <w:sz w:val="24"/>
          <w:szCs w:val="24"/>
        </w:rPr>
        <w:t>2020.</w:t>
      </w:r>
      <w:r w:rsidR="007E35C5" w:rsidRPr="009E1FD5">
        <w:rPr>
          <w:rFonts w:ascii="Times New Roman" w:hAnsi="Times New Roman" w:cs="Times New Roman"/>
          <w:sz w:val="24"/>
          <w:szCs w:val="24"/>
        </w:rPr>
        <w:t> </w:t>
      </w:r>
      <w:r w:rsidR="00716336" w:rsidRPr="009E1FD5">
        <w:rPr>
          <w:rFonts w:ascii="Times New Roman" w:hAnsi="Times New Roman" w:cs="Times New Roman"/>
          <w:sz w:val="24"/>
          <w:szCs w:val="24"/>
        </w:rPr>
        <w:t xml:space="preserve">gadam”. </w:t>
      </w:r>
      <w:r w:rsidRPr="009E1FD5">
        <w:rPr>
          <w:rFonts w:ascii="Times New Roman" w:hAnsi="Times New Roman" w:cs="Times New Roman"/>
          <w:sz w:val="24"/>
          <w:szCs w:val="24"/>
        </w:rPr>
        <w:t>Pamatnostādņu 6.</w:t>
      </w:r>
      <w:r w:rsidR="007E35C5" w:rsidRPr="009E1FD5">
        <w:rPr>
          <w:rFonts w:ascii="Times New Roman" w:hAnsi="Times New Roman" w:cs="Times New Roman"/>
          <w:sz w:val="24"/>
          <w:szCs w:val="24"/>
        </w:rPr>
        <w:t> </w:t>
      </w:r>
      <w:r w:rsidRPr="009E1FD5">
        <w:rPr>
          <w:rFonts w:ascii="Times New Roman" w:hAnsi="Times New Roman" w:cs="Times New Roman"/>
          <w:sz w:val="24"/>
          <w:szCs w:val="24"/>
        </w:rPr>
        <w:t xml:space="preserve">nodaļā “Uzdevumu un pasākumu plāns” noteikts šāds rīcības virziens: efektīvu, proporcionālu un atturošu administratīvo vai kriminālo sodu par izdarītajiem pārkāpumiem noteikšana. </w:t>
      </w:r>
      <w:r w:rsidR="001E5DD5" w:rsidRPr="009E1FD5">
        <w:rPr>
          <w:rFonts w:ascii="Times New Roman" w:hAnsi="Times New Roman" w:cs="Times New Roman"/>
          <w:sz w:val="24"/>
          <w:szCs w:val="24"/>
        </w:rPr>
        <w:t>Pamatojoties uz</w:t>
      </w:r>
      <w:r w:rsidRPr="009E1FD5">
        <w:rPr>
          <w:rFonts w:ascii="Times New Roman" w:hAnsi="Times New Roman" w:cs="Times New Roman"/>
          <w:sz w:val="24"/>
          <w:szCs w:val="24"/>
        </w:rPr>
        <w:t xml:space="preserve"> Pamatnostādņu 6.</w:t>
      </w:r>
      <w:r w:rsidR="007E35C5" w:rsidRPr="009E1FD5">
        <w:rPr>
          <w:rFonts w:ascii="Times New Roman" w:hAnsi="Times New Roman" w:cs="Times New Roman"/>
          <w:sz w:val="24"/>
          <w:szCs w:val="24"/>
        </w:rPr>
        <w:t> </w:t>
      </w:r>
      <w:r w:rsidRPr="009E1FD5">
        <w:rPr>
          <w:rFonts w:ascii="Times New Roman" w:hAnsi="Times New Roman" w:cs="Times New Roman"/>
          <w:sz w:val="24"/>
          <w:szCs w:val="24"/>
        </w:rPr>
        <w:t>nodaļas 9.1.</w:t>
      </w:r>
      <w:r w:rsidR="007E35C5" w:rsidRPr="009E1FD5">
        <w:rPr>
          <w:rFonts w:ascii="Times New Roman" w:hAnsi="Times New Roman" w:cs="Times New Roman"/>
          <w:sz w:val="24"/>
          <w:szCs w:val="24"/>
        </w:rPr>
        <w:t> </w:t>
      </w:r>
      <w:r w:rsidRPr="009E1FD5">
        <w:rPr>
          <w:rFonts w:ascii="Times New Roman" w:hAnsi="Times New Roman" w:cs="Times New Roman"/>
          <w:sz w:val="24"/>
          <w:szCs w:val="24"/>
        </w:rPr>
        <w:t>uzdevumu Korupcijas novēršanas un apkarošanas biroj</w:t>
      </w:r>
      <w:r w:rsidR="001E5DD5" w:rsidRPr="009E1FD5">
        <w:rPr>
          <w:rFonts w:ascii="Times New Roman" w:hAnsi="Times New Roman" w:cs="Times New Roman"/>
          <w:sz w:val="24"/>
          <w:szCs w:val="24"/>
        </w:rPr>
        <w:t>s</w:t>
      </w:r>
      <w:r w:rsidRPr="009E1FD5">
        <w:rPr>
          <w:rFonts w:ascii="Times New Roman" w:hAnsi="Times New Roman" w:cs="Times New Roman"/>
          <w:sz w:val="24"/>
          <w:szCs w:val="24"/>
        </w:rPr>
        <w:t xml:space="preserve"> (turpmāk – Birojs) ir </w:t>
      </w:r>
      <w:r w:rsidR="001E5DD5" w:rsidRPr="009E1FD5">
        <w:rPr>
          <w:rFonts w:ascii="Times New Roman" w:hAnsi="Times New Roman" w:cs="Times New Roman"/>
          <w:sz w:val="24"/>
          <w:szCs w:val="24"/>
        </w:rPr>
        <w:t>izstrādājis</w:t>
      </w:r>
      <w:r w:rsidRPr="009E1FD5">
        <w:rPr>
          <w:rFonts w:ascii="Times New Roman" w:hAnsi="Times New Roman" w:cs="Times New Roman"/>
          <w:sz w:val="24"/>
          <w:szCs w:val="24"/>
        </w:rPr>
        <w:t xml:space="preserve"> informatīv</w:t>
      </w:r>
      <w:r w:rsidR="001E5DD5" w:rsidRPr="009E1FD5">
        <w:rPr>
          <w:rFonts w:ascii="Times New Roman" w:hAnsi="Times New Roman" w:cs="Times New Roman"/>
          <w:sz w:val="24"/>
          <w:szCs w:val="24"/>
        </w:rPr>
        <w:t>o</w:t>
      </w:r>
      <w:r w:rsidRPr="009E1FD5">
        <w:rPr>
          <w:rFonts w:ascii="Times New Roman" w:hAnsi="Times New Roman" w:cs="Times New Roman"/>
          <w:sz w:val="24"/>
          <w:szCs w:val="24"/>
        </w:rPr>
        <w:t xml:space="preserve"> ziņojum</w:t>
      </w:r>
      <w:r w:rsidR="001E5DD5" w:rsidRPr="009E1FD5">
        <w:rPr>
          <w:rFonts w:ascii="Times New Roman" w:hAnsi="Times New Roman" w:cs="Times New Roman"/>
          <w:sz w:val="24"/>
          <w:szCs w:val="24"/>
        </w:rPr>
        <w:t>u un</w:t>
      </w:r>
      <w:r w:rsidRPr="009E1FD5">
        <w:rPr>
          <w:rFonts w:ascii="Times New Roman" w:hAnsi="Times New Roman" w:cs="Times New Roman"/>
          <w:sz w:val="24"/>
          <w:szCs w:val="24"/>
        </w:rPr>
        <w:t xml:space="preserve"> izvērtēj</w:t>
      </w:r>
      <w:r w:rsidR="001E5DD5" w:rsidRPr="009E1FD5">
        <w:rPr>
          <w:rFonts w:ascii="Times New Roman" w:hAnsi="Times New Roman" w:cs="Times New Roman"/>
          <w:sz w:val="24"/>
          <w:szCs w:val="24"/>
        </w:rPr>
        <w:t>is</w:t>
      </w:r>
      <w:r w:rsidRPr="009E1FD5">
        <w:rPr>
          <w:rFonts w:ascii="Times New Roman" w:hAnsi="Times New Roman" w:cs="Times New Roman"/>
          <w:sz w:val="24"/>
          <w:szCs w:val="24"/>
        </w:rPr>
        <w:t xml:space="preserve"> iespēju paplašināt Biroja kompetenci attiecībā uz tiesībām izmeklēt </w:t>
      </w:r>
      <w:proofErr w:type="spellStart"/>
      <w:r w:rsidRPr="009E1FD5">
        <w:rPr>
          <w:rFonts w:ascii="Times New Roman" w:hAnsi="Times New Roman" w:cs="Times New Roman"/>
          <w:sz w:val="24"/>
          <w:szCs w:val="24"/>
        </w:rPr>
        <w:t>koruptīv</w:t>
      </w:r>
      <w:r w:rsidR="00607D81">
        <w:rPr>
          <w:rFonts w:ascii="Times New Roman" w:hAnsi="Times New Roman" w:cs="Times New Roman"/>
          <w:sz w:val="24"/>
          <w:szCs w:val="24"/>
        </w:rPr>
        <w:t>o</w:t>
      </w:r>
      <w:r w:rsidRPr="009E1FD5">
        <w:rPr>
          <w:rFonts w:ascii="Times New Roman" w:hAnsi="Times New Roman" w:cs="Times New Roman"/>
          <w:sz w:val="24"/>
          <w:szCs w:val="24"/>
        </w:rPr>
        <w:t>s</w:t>
      </w:r>
      <w:proofErr w:type="spellEnd"/>
      <w:r w:rsidRPr="009E1FD5">
        <w:rPr>
          <w:rFonts w:ascii="Times New Roman" w:hAnsi="Times New Roman" w:cs="Times New Roman"/>
          <w:sz w:val="24"/>
          <w:szCs w:val="24"/>
        </w:rPr>
        <w:t xml:space="preserve"> noziedzīg</w:t>
      </w:r>
      <w:r w:rsidR="00607D81">
        <w:rPr>
          <w:rFonts w:ascii="Times New Roman" w:hAnsi="Times New Roman" w:cs="Times New Roman"/>
          <w:sz w:val="24"/>
          <w:szCs w:val="24"/>
        </w:rPr>
        <w:t>o</w:t>
      </w:r>
      <w:r w:rsidRPr="009E1FD5">
        <w:rPr>
          <w:rFonts w:ascii="Times New Roman" w:hAnsi="Times New Roman" w:cs="Times New Roman"/>
          <w:sz w:val="24"/>
          <w:szCs w:val="24"/>
        </w:rPr>
        <w:t>s nodarījumus privātajā sektorā.</w:t>
      </w:r>
    </w:p>
    <w:p w:rsidR="00BA1C57" w:rsidRPr="009E1FD5" w:rsidRDefault="00BA1C57" w:rsidP="009E1FD5">
      <w:pPr>
        <w:spacing w:after="0" w:line="240" w:lineRule="auto"/>
        <w:ind w:firstLine="720"/>
        <w:jc w:val="both"/>
        <w:rPr>
          <w:rFonts w:ascii="Times New Roman" w:hAnsi="Times New Roman" w:cs="Times New Roman"/>
          <w:sz w:val="24"/>
          <w:szCs w:val="24"/>
        </w:rPr>
      </w:pPr>
      <w:r w:rsidRPr="009E1FD5">
        <w:rPr>
          <w:rFonts w:ascii="Times New Roman" w:hAnsi="Times New Roman" w:cs="Times New Roman"/>
          <w:sz w:val="24"/>
          <w:szCs w:val="24"/>
        </w:rPr>
        <w:t xml:space="preserve">Nolūkā izvērtēt jautājumu par kompetences paplašināšanas iespējām Birojs rīkoja sanāksmi, uzaicinot Tieslietu ministrijas, Ģenerālprokuratūras, Iekšlietu ministrijas un Valsts policijas pārstāvjus, lai konceptuāli vienotos par iespējamiem risinājumiem </w:t>
      </w:r>
      <w:r w:rsidR="000C0B20">
        <w:rPr>
          <w:rFonts w:ascii="Times New Roman" w:hAnsi="Times New Roman" w:cs="Times New Roman"/>
          <w:sz w:val="24"/>
          <w:szCs w:val="24"/>
        </w:rPr>
        <w:t xml:space="preserve">jautājumā </w:t>
      </w:r>
      <w:r w:rsidRPr="009E1FD5">
        <w:rPr>
          <w:rFonts w:ascii="Times New Roman" w:hAnsi="Times New Roman" w:cs="Times New Roman"/>
          <w:sz w:val="24"/>
          <w:szCs w:val="24"/>
        </w:rPr>
        <w:t xml:space="preserve">par korupcijas apkarošanu privātajā sektorā, t.sk. par korupcijas definīcijas izvērtēšanu un subjektu loku, kuru darbībās varētu konstatēt </w:t>
      </w:r>
      <w:proofErr w:type="spellStart"/>
      <w:r w:rsidRPr="009E1FD5">
        <w:rPr>
          <w:rFonts w:ascii="Times New Roman" w:hAnsi="Times New Roman" w:cs="Times New Roman"/>
          <w:sz w:val="24"/>
          <w:szCs w:val="24"/>
        </w:rPr>
        <w:t>koruptīvas</w:t>
      </w:r>
      <w:proofErr w:type="spellEnd"/>
      <w:r w:rsidRPr="009E1FD5">
        <w:rPr>
          <w:rFonts w:ascii="Times New Roman" w:hAnsi="Times New Roman" w:cs="Times New Roman"/>
          <w:sz w:val="24"/>
          <w:szCs w:val="24"/>
        </w:rPr>
        <w:t xml:space="preserve"> darbības pazīmes, par atbildīgo institūciju kompetences izvērtēšanu, par Krimināllikuma normu, kas šobrīd definē </w:t>
      </w:r>
      <w:proofErr w:type="spellStart"/>
      <w:r w:rsidRPr="009E1FD5">
        <w:rPr>
          <w:rFonts w:ascii="Times New Roman" w:hAnsi="Times New Roman" w:cs="Times New Roman"/>
          <w:sz w:val="24"/>
          <w:szCs w:val="24"/>
        </w:rPr>
        <w:t>koruptīv</w:t>
      </w:r>
      <w:r w:rsidR="00607D81">
        <w:rPr>
          <w:rFonts w:ascii="Times New Roman" w:hAnsi="Times New Roman" w:cs="Times New Roman"/>
          <w:sz w:val="24"/>
          <w:szCs w:val="24"/>
        </w:rPr>
        <w:t>o</w:t>
      </w:r>
      <w:r w:rsidRPr="009E1FD5">
        <w:rPr>
          <w:rFonts w:ascii="Times New Roman" w:hAnsi="Times New Roman" w:cs="Times New Roman"/>
          <w:sz w:val="24"/>
          <w:szCs w:val="24"/>
        </w:rPr>
        <w:t>s</w:t>
      </w:r>
      <w:proofErr w:type="spellEnd"/>
      <w:r w:rsidRPr="009E1FD5">
        <w:rPr>
          <w:rFonts w:ascii="Times New Roman" w:hAnsi="Times New Roman" w:cs="Times New Roman"/>
          <w:sz w:val="24"/>
          <w:szCs w:val="24"/>
        </w:rPr>
        <w:t xml:space="preserve"> noziedzīg</w:t>
      </w:r>
      <w:r w:rsidR="00607D81">
        <w:rPr>
          <w:rFonts w:ascii="Times New Roman" w:hAnsi="Times New Roman" w:cs="Times New Roman"/>
          <w:sz w:val="24"/>
          <w:szCs w:val="24"/>
        </w:rPr>
        <w:t>o</w:t>
      </w:r>
      <w:r w:rsidRPr="009E1FD5">
        <w:rPr>
          <w:rFonts w:ascii="Times New Roman" w:hAnsi="Times New Roman" w:cs="Times New Roman"/>
          <w:sz w:val="24"/>
          <w:szCs w:val="24"/>
        </w:rPr>
        <w:t>s nodarījumus valsts institūciju dienestā, analīzi, paplašinot to tvērumu arī uz privāto sektoru, piemērojamo sankciju jautājumu izvērtēšanu, kā arī par šādu noziedzīgu nodarījumu izmeklēšanas piekritības pārskatīšanu, plānojot attiecīgu grozījumu izstrādāšanu Kriminālprocesa likumā.</w:t>
      </w:r>
    </w:p>
    <w:p w:rsidR="007E683A" w:rsidRPr="009E1FD5" w:rsidRDefault="007E683A" w:rsidP="009E1FD5">
      <w:pPr>
        <w:spacing w:after="0" w:line="240" w:lineRule="auto"/>
        <w:ind w:firstLine="720"/>
        <w:jc w:val="both"/>
        <w:rPr>
          <w:rFonts w:ascii="Times New Roman" w:hAnsi="Times New Roman" w:cs="Times New Roman"/>
          <w:sz w:val="24"/>
          <w:szCs w:val="24"/>
        </w:rPr>
      </w:pPr>
    </w:p>
    <w:p w:rsidR="00BA1C57" w:rsidRPr="009E1FD5" w:rsidRDefault="00BA1C57" w:rsidP="009E1FD5">
      <w:pPr>
        <w:pStyle w:val="ListParagraph"/>
        <w:numPr>
          <w:ilvl w:val="0"/>
          <w:numId w:val="1"/>
        </w:numPr>
        <w:spacing w:after="0" w:line="240" w:lineRule="auto"/>
        <w:ind w:left="0" w:firstLine="0"/>
        <w:jc w:val="center"/>
        <w:rPr>
          <w:rFonts w:ascii="Times New Roman" w:hAnsi="Times New Roman" w:cs="Times New Roman"/>
          <w:b/>
          <w:sz w:val="24"/>
          <w:szCs w:val="24"/>
        </w:rPr>
      </w:pPr>
      <w:r w:rsidRPr="009E1FD5">
        <w:rPr>
          <w:rFonts w:ascii="Times New Roman" w:hAnsi="Times New Roman" w:cs="Times New Roman"/>
          <w:b/>
          <w:sz w:val="24"/>
          <w:szCs w:val="24"/>
        </w:rPr>
        <w:t>Privātā sektora identificēšana</w:t>
      </w:r>
    </w:p>
    <w:p w:rsidR="00066CDE" w:rsidRPr="009E1FD5" w:rsidRDefault="00066CDE" w:rsidP="009E1FD5">
      <w:pPr>
        <w:spacing w:after="0" w:line="240" w:lineRule="auto"/>
        <w:ind w:firstLine="720"/>
        <w:jc w:val="both"/>
        <w:rPr>
          <w:rFonts w:ascii="Times New Roman" w:hAnsi="Times New Roman" w:cs="Times New Roman"/>
          <w:sz w:val="24"/>
          <w:szCs w:val="24"/>
        </w:rPr>
      </w:pPr>
    </w:p>
    <w:p w:rsidR="00BA1C57" w:rsidRPr="009E1FD5" w:rsidRDefault="00BA1C57" w:rsidP="009E1FD5">
      <w:pPr>
        <w:spacing w:after="0" w:line="240" w:lineRule="auto"/>
        <w:ind w:firstLine="720"/>
        <w:jc w:val="both"/>
        <w:rPr>
          <w:rFonts w:ascii="Times New Roman" w:hAnsi="Times New Roman" w:cs="Times New Roman"/>
          <w:sz w:val="24"/>
          <w:szCs w:val="24"/>
        </w:rPr>
      </w:pPr>
      <w:r w:rsidRPr="009E1FD5">
        <w:rPr>
          <w:rFonts w:ascii="Times New Roman" w:hAnsi="Times New Roman" w:cs="Times New Roman"/>
          <w:sz w:val="24"/>
          <w:szCs w:val="24"/>
        </w:rPr>
        <w:t>Lai paplašināt</w:t>
      </w:r>
      <w:r w:rsidR="00A72E01" w:rsidRPr="009E1FD5">
        <w:rPr>
          <w:rFonts w:ascii="Times New Roman" w:hAnsi="Times New Roman" w:cs="Times New Roman"/>
          <w:sz w:val="24"/>
          <w:szCs w:val="24"/>
        </w:rPr>
        <w:t>u</w:t>
      </w:r>
      <w:r w:rsidRPr="009E1FD5">
        <w:rPr>
          <w:rFonts w:ascii="Times New Roman" w:hAnsi="Times New Roman" w:cs="Times New Roman"/>
          <w:sz w:val="24"/>
          <w:szCs w:val="24"/>
        </w:rPr>
        <w:t xml:space="preserve"> Biroja kompetenci </w:t>
      </w:r>
      <w:r w:rsidR="00A72E01" w:rsidRPr="009E1FD5">
        <w:rPr>
          <w:rFonts w:ascii="Times New Roman" w:hAnsi="Times New Roman" w:cs="Times New Roman"/>
          <w:sz w:val="24"/>
          <w:szCs w:val="24"/>
        </w:rPr>
        <w:t xml:space="preserve">attiecībā uz </w:t>
      </w:r>
      <w:proofErr w:type="spellStart"/>
      <w:r w:rsidRPr="009E1FD5">
        <w:rPr>
          <w:rFonts w:ascii="Times New Roman" w:hAnsi="Times New Roman" w:cs="Times New Roman"/>
          <w:sz w:val="24"/>
          <w:szCs w:val="24"/>
        </w:rPr>
        <w:t>koruptīv</w:t>
      </w:r>
      <w:r w:rsidR="00607D81">
        <w:rPr>
          <w:rFonts w:ascii="Times New Roman" w:hAnsi="Times New Roman" w:cs="Times New Roman"/>
          <w:sz w:val="24"/>
          <w:szCs w:val="24"/>
        </w:rPr>
        <w:t>o</w:t>
      </w:r>
      <w:proofErr w:type="spellEnd"/>
      <w:r w:rsidRPr="009E1FD5">
        <w:rPr>
          <w:rFonts w:ascii="Times New Roman" w:hAnsi="Times New Roman" w:cs="Times New Roman"/>
          <w:sz w:val="24"/>
          <w:szCs w:val="24"/>
        </w:rPr>
        <w:t xml:space="preserve"> noziedzīg</w:t>
      </w:r>
      <w:r w:rsidR="00607D81">
        <w:rPr>
          <w:rFonts w:ascii="Times New Roman" w:hAnsi="Times New Roman" w:cs="Times New Roman"/>
          <w:sz w:val="24"/>
          <w:szCs w:val="24"/>
        </w:rPr>
        <w:t>o</w:t>
      </w:r>
      <w:r w:rsidRPr="009E1FD5">
        <w:rPr>
          <w:rFonts w:ascii="Times New Roman" w:hAnsi="Times New Roman" w:cs="Times New Roman"/>
          <w:sz w:val="24"/>
          <w:szCs w:val="24"/>
        </w:rPr>
        <w:t xml:space="preserve"> nodarījumu privātajā sektorā </w:t>
      </w:r>
      <w:r w:rsidR="00C76D8E" w:rsidRPr="009E1FD5">
        <w:rPr>
          <w:rFonts w:ascii="Times New Roman" w:hAnsi="Times New Roman" w:cs="Times New Roman"/>
          <w:sz w:val="24"/>
          <w:szCs w:val="24"/>
        </w:rPr>
        <w:t>izmeklēšanu,</w:t>
      </w:r>
      <w:r w:rsidR="00A72E01" w:rsidRPr="009E1FD5">
        <w:rPr>
          <w:rFonts w:ascii="Times New Roman" w:hAnsi="Times New Roman" w:cs="Times New Roman"/>
          <w:sz w:val="24"/>
          <w:szCs w:val="24"/>
        </w:rPr>
        <w:t xml:space="preserve"> </w:t>
      </w:r>
      <w:r w:rsidRPr="009E1FD5">
        <w:rPr>
          <w:rFonts w:ascii="Times New Roman" w:hAnsi="Times New Roman" w:cs="Times New Roman"/>
          <w:sz w:val="24"/>
          <w:szCs w:val="24"/>
        </w:rPr>
        <w:t>nepieciešama vienota izpratne par to, kas ir privātais sektors. Iecerētās izmaiņas, kas saistītas ar korupcijas apkarošanu privātajā sektorā ieviešanu, ir konceptuāli jauna pieeja korupcijas apkarošanai, kas šobrīd Latvijas tiesību sistēmai nav raksturīga.</w:t>
      </w:r>
    </w:p>
    <w:p w:rsidR="00BA1C57" w:rsidRPr="009E1FD5" w:rsidRDefault="00BA1C57" w:rsidP="009E1FD5">
      <w:pPr>
        <w:spacing w:after="0" w:line="240" w:lineRule="auto"/>
        <w:ind w:firstLine="720"/>
        <w:jc w:val="both"/>
        <w:rPr>
          <w:rFonts w:ascii="Times New Roman" w:hAnsi="Times New Roman" w:cs="Times New Roman"/>
          <w:sz w:val="24"/>
          <w:szCs w:val="24"/>
        </w:rPr>
      </w:pPr>
      <w:r w:rsidRPr="009E1FD5">
        <w:rPr>
          <w:rFonts w:ascii="Times New Roman" w:hAnsi="Times New Roman" w:cs="Times New Roman"/>
          <w:sz w:val="24"/>
          <w:szCs w:val="24"/>
        </w:rPr>
        <w:t xml:space="preserve">Korupcijas novēršanas un apkarošanas biroja likuma izpratnē ar korupciju saprot kukuļošanu vai jebkuru citu rīcību, ko veikusi valsts amatpersona un kas vērsta uz to, lai, izmantojot dienesta stāvokli, savas pilnvaras vai pārsniedzot tās, </w:t>
      </w:r>
      <w:r w:rsidR="006A5EAA" w:rsidRPr="009E1FD5">
        <w:rPr>
          <w:rFonts w:ascii="Times New Roman" w:hAnsi="Times New Roman" w:cs="Times New Roman"/>
          <w:sz w:val="24"/>
          <w:szCs w:val="24"/>
        </w:rPr>
        <w:t xml:space="preserve">valsts amatpersona </w:t>
      </w:r>
      <w:r w:rsidRPr="009E1FD5">
        <w:rPr>
          <w:rFonts w:ascii="Times New Roman" w:hAnsi="Times New Roman" w:cs="Times New Roman"/>
          <w:sz w:val="24"/>
          <w:szCs w:val="24"/>
        </w:rPr>
        <w:t xml:space="preserve">iegūtu nepelnītu labumu sev vai citām personām. </w:t>
      </w:r>
    </w:p>
    <w:p w:rsidR="00BA1C57" w:rsidRPr="009E1FD5" w:rsidRDefault="006A5EAA" w:rsidP="009E1FD5">
      <w:pPr>
        <w:spacing w:after="0" w:line="240" w:lineRule="auto"/>
        <w:ind w:firstLine="720"/>
        <w:jc w:val="both"/>
        <w:rPr>
          <w:rFonts w:ascii="Times New Roman" w:hAnsi="Times New Roman" w:cs="Times New Roman"/>
          <w:sz w:val="24"/>
          <w:szCs w:val="24"/>
        </w:rPr>
      </w:pPr>
      <w:r w:rsidRPr="009E1FD5">
        <w:rPr>
          <w:rFonts w:ascii="Times New Roman" w:hAnsi="Times New Roman" w:cs="Times New Roman"/>
          <w:sz w:val="24"/>
          <w:szCs w:val="24"/>
        </w:rPr>
        <w:t>Latvijā p</w:t>
      </w:r>
      <w:r w:rsidR="00BA1C57" w:rsidRPr="009E1FD5">
        <w:rPr>
          <w:rFonts w:ascii="Times New Roman" w:hAnsi="Times New Roman" w:cs="Times New Roman"/>
          <w:sz w:val="24"/>
          <w:szCs w:val="24"/>
        </w:rPr>
        <w:t xml:space="preserve">ar </w:t>
      </w:r>
      <w:proofErr w:type="spellStart"/>
      <w:r w:rsidR="00BA1C57" w:rsidRPr="009E1FD5">
        <w:rPr>
          <w:rFonts w:ascii="Times New Roman" w:hAnsi="Times New Roman" w:cs="Times New Roman"/>
          <w:sz w:val="24"/>
          <w:szCs w:val="24"/>
        </w:rPr>
        <w:t>koruptīviem</w:t>
      </w:r>
      <w:proofErr w:type="spellEnd"/>
      <w:r w:rsidR="00BA1C57" w:rsidRPr="009E1FD5">
        <w:rPr>
          <w:rFonts w:ascii="Times New Roman" w:hAnsi="Times New Roman" w:cs="Times New Roman"/>
          <w:sz w:val="24"/>
          <w:szCs w:val="24"/>
        </w:rPr>
        <w:t xml:space="preserve"> noziedzīgiem nodarījumiem tiek uzskatīti ne tikai Krimināllikuma </w:t>
      </w:r>
      <w:r w:rsidRPr="009E1FD5">
        <w:rPr>
          <w:rFonts w:ascii="Times New Roman" w:hAnsi="Times New Roman" w:cs="Times New Roman"/>
          <w:sz w:val="24"/>
          <w:szCs w:val="24"/>
        </w:rPr>
        <w:t xml:space="preserve">(turpmāk – KL) </w:t>
      </w:r>
      <w:r w:rsidR="00BA1C57" w:rsidRPr="009E1FD5">
        <w:rPr>
          <w:rFonts w:ascii="Times New Roman" w:hAnsi="Times New Roman" w:cs="Times New Roman"/>
          <w:sz w:val="24"/>
          <w:szCs w:val="24"/>
        </w:rPr>
        <w:t xml:space="preserve">XXIV nodaļā </w:t>
      </w:r>
      <w:r w:rsidR="00BA1C57" w:rsidRPr="009E1FD5">
        <w:rPr>
          <w:rFonts w:ascii="Times New Roman" w:hAnsi="Times New Roman" w:cs="Times New Roman"/>
          <w:i/>
          <w:sz w:val="24"/>
          <w:szCs w:val="24"/>
        </w:rPr>
        <w:t>Noziedzīgi nodarījumi valsts institūciju dienestā</w:t>
      </w:r>
      <w:r w:rsidR="00BA1C57" w:rsidRPr="009E1FD5">
        <w:rPr>
          <w:rFonts w:ascii="Times New Roman" w:hAnsi="Times New Roman" w:cs="Times New Roman"/>
          <w:sz w:val="24"/>
          <w:szCs w:val="24"/>
        </w:rPr>
        <w:t xml:space="preserve"> minētie nodarījumi, bet arī </w:t>
      </w:r>
      <w:r w:rsidRPr="009E1FD5">
        <w:rPr>
          <w:rFonts w:ascii="Times New Roman" w:hAnsi="Times New Roman" w:cs="Times New Roman"/>
          <w:sz w:val="24"/>
          <w:szCs w:val="24"/>
        </w:rPr>
        <w:t>KL</w:t>
      </w:r>
      <w:r w:rsidR="00BA1C57" w:rsidRPr="009E1FD5">
        <w:rPr>
          <w:rFonts w:ascii="Times New Roman" w:hAnsi="Times New Roman" w:cs="Times New Roman"/>
          <w:sz w:val="24"/>
          <w:szCs w:val="24"/>
        </w:rPr>
        <w:t xml:space="preserve"> XIX nodaļā </w:t>
      </w:r>
      <w:r w:rsidR="00BA1C57" w:rsidRPr="009E1FD5">
        <w:rPr>
          <w:rFonts w:ascii="Times New Roman" w:hAnsi="Times New Roman" w:cs="Times New Roman"/>
          <w:i/>
          <w:sz w:val="24"/>
          <w:szCs w:val="24"/>
        </w:rPr>
        <w:t>Noziedzīgi nodarījumi tautsaimniecībā</w:t>
      </w:r>
      <w:r w:rsidR="00BA1C57" w:rsidRPr="009E1FD5">
        <w:rPr>
          <w:rFonts w:ascii="Times New Roman" w:hAnsi="Times New Roman" w:cs="Times New Roman"/>
          <w:sz w:val="24"/>
          <w:szCs w:val="24"/>
        </w:rPr>
        <w:t xml:space="preserve"> </w:t>
      </w:r>
      <w:r w:rsidRPr="009E1FD5">
        <w:rPr>
          <w:rFonts w:ascii="Times New Roman" w:hAnsi="Times New Roman" w:cs="Times New Roman"/>
          <w:sz w:val="24"/>
          <w:szCs w:val="24"/>
        </w:rPr>
        <w:t>norādītie</w:t>
      </w:r>
      <w:r w:rsidR="00BA1C57" w:rsidRPr="009E1FD5">
        <w:rPr>
          <w:rFonts w:ascii="Times New Roman" w:hAnsi="Times New Roman" w:cs="Times New Roman"/>
          <w:sz w:val="24"/>
          <w:szCs w:val="24"/>
        </w:rPr>
        <w:t xml:space="preserve"> nodarījumi, kas saistīti ar neatļautu labuma pieņemšanu (K</w:t>
      </w:r>
      <w:r w:rsidRPr="009E1FD5">
        <w:rPr>
          <w:rFonts w:ascii="Times New Roman" w:hAnsi="Times New Roman" w:cs="Times New Roman"/>
          <w:sz w:val="24"/>
          <w:szCs w:val="24"/>
        </w:rPr>
        <w:t>L 198.</w:t>
      </w:r>
      <w:r w:rsidR="00BA1C57" w:rsidRPr="009E1FD5">
        <w:rPr>
          <w:rFonts w:ascii="Times New Roman" w:hAnsi="Times New Roman" w:cs="Times New Roman"/>
          <w:sz w:val="24"/>
          <w:szCs w:val="24"/>
        </w:rPr>
        <w:t>pants)</w:t>
      </w:r>
      <w:r w:rsidRPr="009E1FD5">
        <w:rPr>
          <w:rFonts w:ascii="Times New Roman" w:hAnsi="Times New Roman" w:cs="Times New Roman"/>
          <w:sz w:val="24"/>
          <w:szCs w:val="24"/>
        </w:rPr>
        <w:t xml:space="preserve">, </w:t>
      </w:r>
      <w:r w:rsidR="00BA1C57" w:rsidRPr="009E1FD5">
        <w:rPr>
          <w:rFonts w:ascii="Times New Roman" w:hAnsi="Times New Roman" w:cs="Times New Roman"/>
          <w:sz w:val="24"/>
          <w:szCs w:val="24"/>
        </w:rPr>
        <w:t>komerciālo uzpirkšanu (K</w:t>
      </w:r>
      <w:r w:rsidRPr="009E1FD5">
        <w:rPr>
          <w:rFonts w:ascii="Times New Roman" w:hAnsi="Times New Roman" w:cs="Times New Roman"/>
          <w:sz w:val="24"/>
          <w:szCs w:val="24"/>
        </w:rPr>
        <w:t>L 199.</w:t>
      </w:r>
      <w:r w:rsidR="007E683A" w:rsidRPr="009E1FD5">
        <w:rPr>
          <w:rFonts w:ascii="Times New Roman" w:hAnsi="Times New Roman" w:cs="Times New Roman"/>
          <w:sz w:val="24"/>
          <w:szCs w:val="24"/>
        </w:rPr>
        <w:t> </w:t>
      </w:r>
      <w:r w:rsidRPr="009E1FD5">
        <w:rPr>
          <w:rFonts w:ascii="Times New Roman" w:hAnsi="Times New Roman" w:cs="Times New Roman"/>
          <w:sz w:val="24"/>
          <w:szCs w:val="24"/>
        </w:rPr>
        <w:t>pants) un</w:t>
      </w:r>
      <w:r w:rsidR="00BA1C57" w:rsidRPr="009E1FD5">
        <w:rPr>
          <w:rFonts w:ascii="Times New Roman" w:hAnsi="Times New Roman" w:cs="Times New Roman"/>
          <w:sz w:val="24"/>
          <w:szCs w:val="24"/>
        </w:rPr>
        <w:t xml:space="preserve"> pilnvaru ļaunprātīgu izmantošanu un pārsniegšanu (K</w:t>
      </w:r>
      <w:r w:rsidRPr="009E1FD5">
        <w:rPr>
          <w:rFonts w:ascii="Times New Roman" w:hAnsi="Times New Roman" w:cs="Times New Roman"/>
          <w:sz w:val="24"/>
          <w:szCs w:val="24"/>
        </w:rPr>
        <w:t>L</w:t>
      </w:r>
      <w:r w:rsidR="00BA1C57" w:rsidRPr="009E1FD5">
        <w:rPr>
          <w:rFonts w:ascii="Times New Roman" w:hAnsi="Times New Roman" w:cs="Times New Roman"/>
          <w:sz w:val="24"/>
          <w:szCs w:val="24"/>
        </w:rPr>
        <w:t xml:space="preserve"> 196.</w:t>
      </w:r>
      <w:r w:rsidR="007E683A" w:rsidRPr="009E1FD5">
        <w:rPr>
          <w:rFonts w:ascii="Times New Roman" w:hAnsi="Times New Roman" w:cs="Times New Roman"/>
          <w:sz w:val="24"/>
          <w:szCs w:val="24"/>
        </w:rPr>
        <w:t> </w:t>
      </w:r>
      <w:r w:rsidRPr="009E1FD5">
        <w:rPr>
          <w:rFonts w:ascii="Times New Roman" w:hAnsi="Times New Roman" w:cs="Times New Roman"/>
          <w:sz w:val="24"/>
          <w:szCs w:val="24"/>
        </w:rPr>
        <w:t>p</w:t>
      </w:r>
      <w:r w:rsidR="00BA1C57" w:rsidRPr="009E1FD5">
        <w:rPr>
          <w:rFonts w:ascii="Times New Roman" w:hAnsi="Times New Roman" w:cs="Times New Roman"/>
          <w:sz w:val="24"/>
          <w:szCs w:val="24"/>
        </w:rPr>
        <w:t>ants</w:t>
      </w:r>
      <w:r w:rsidRPr="009E1FD5">
        <w:rPr>
          <w:rFonts w:ascii="Times New Roman" w:hAnsi="Times New Roman" w:cs="Times New Roman"/>
          <w:sz w:val="24"/>
          <w:szCs w:val="24"/>
        </w:rPr>
        <w:t>).</w:t>
      </w:r>
      <w:r w:rsidR="000E041A">
        <w:rPr>
          <w:rFonts w:ascii="Times New Roman" w:hAnsi="Times New Roman" w:cs="Times New Roman"/>
          <w:sz w:val="24"/>
          <w:szCs w:val="24"/>
        </w:rPr>
        <w:t xml:space="preserve"> </w:t>
      </w:r>
      <w:r w:rsidRPr="009E1FD5">
        <w:rPr>
          <w:rFonts w:ascii="Times New Roman" w:hAnsi="Times New Roman" w:cs="Times New Roman"/>
          <w:sz w:val="24"/>
          <w:szCs w:val="24"/>
        </w:rPr>
        <w:t xml:space="preserve"> Tātad </w:t>
      </w:r>
      <w:proofErr w:type="spellStart"/>
      <w:r w:rsidRPr="009E1FD5">
        <w:rPr>
          <w:rFonts w:ascii="Times New Roman" w:hAnsi="Times New Roman" w:cs="Times New Roman"/>
          <w:sz w:val="24"/>
          <w:szCs w:val="24"/>
        </w:rPr>
        <w:t>koruptīvie</w:t>
      </w:r>
      <w:proofErr w:type="spellEnd"/>
      <w:r w:rsidRPr="009E1FD5">
        <w:rPr>
          <w:rFonts w:ascii="Times New Roman" w:hAnsi="Times New Roman" w:cs="Times New Roman"/>
          <w:sz w:val="24"/>
          <w:szCs w:val="24"/>
        </w:rPr>
        <w:t xml:space="preserve"> noziedzīgie nodarījumi, kas iekļauti KL XXIV nodaļā, atzīstami par korupciju publiskajā sektorā, savukārt, </w:t>
      </w:r>
      <w:r w:rsidR="00BA1C57" w:rsidRPr="009E1FD5">
        <w:rPr>
          <w:rFonts w:ascii="Times New Roman" w:hAnsi="Times New Roman" w:cs="Times New Roman"/>
          <w:sz w:val="24"/>
          <w:szCs w:val="24"/>
        </w:rPr>
        <w:t xml:space="preserve">pārējie </w:t>
      </w:r>
      <w:proofErr w:type="spellStart"/>
      <w:r w:rsidR="00BA1C57" w:rsidRPr="009E1FD5">
        <w:rPr>
          <w:rFonts w:ascii="Times New Roman" w:hAnsi="Times New Roman" w:cs="Times New Roman"/>
          <w:sz w:val="24"/>
          <w:szCs w:val="24"/>
        </w:rPr>
        <w:t>koruptīvie</w:t>
      </w:r>
      <w:proofErr w:type="spellEnd"/>
      <w:r w:rsidR="00BA1C57" w:rsidRPr="009E1FD5">
        <w:rPr>
          <w:rFonts w:ascii="Times New Roman" w:hAnsi="Times New Roman" w:cs="Times New Roman"/>
          <w:sz w:val="24"/>
          <w:szCs w:val="24"/>
        </w:rPr>
        <w:t xml:space="preserve"> noziedzīgie nodarījumi, kas nav iekļauti minētajā nodaļā, uzskatāmi p</w:t>
      </w:r>
      <w:r w:rsidR="00893671" w:rsidRPr="009E1FD5">
        <w:rPr>
          <w:rFonts w:ascii="Times New Roman" w:hAnsi="Times New Roman" w:cs="Times New Roman"/>
          <w:sz w:val="24"/>
          <w:szCs w:val="24"/>
        </w:rPr>
        <w:t>ar izdarītiem privātajā sektorā.</w:t>
      </w:r>
    </w:p>
    <w:p w:rsidR="00BA1C57" w:rsidRPr="009E1FD5" w:rsidRDefault="00BA1C57" w:rsidP="009E1FD5">
      <w:pPr>
        <w:spacing w:after="0" w:line="240" w:lineRule="auto"/>
        <w:ind w:firstLine="720"/>
        <w:jc w:val="both"/>
        <w:rPr>
          <w:rFonts w:ascii="Times New Roman" w:hAnsi="Times New Roman" w:cs="Times New Roman"/>
          <w:color w:val="FF0000"/>
          <w:sz w:val="24"/>
          <w:szCs w:val="24"/>
        </w:rPr>
      </w:pPr>
      <w:r w:rsidRPr="009E1FD5">
        <w:rPr>
          <w:rFonts w:ascii="Times New Roman" w:hAnsi="Times New Roman" w:cs="Times New Roman"/>
          <w:sz w:val="24"/>
          <w:szCs w:val="24"/>
        </w:rPr>
        <w:lastRenderedPageBreak/>
        <w:t xml:space="preserve">Lietu skaits, kurās pieņemts notiesājošs spriedums attiecībā uz </w:t>
      </w:r>
      <w:proofErr w:type="spellStart"/>
      <w:r w:rsidRPr="009E1FD5">
        <w:rPr>
          <w:rFonts w:ascii="Times New Roman" w:hAnsi="Times New Roman" w:cs="Times New Roman"/>
          <w:sz w:val="24"/>
          <w:szCs w:val="24"/>
        </w:rPr>
        <w:t>koruptīviem</w:t>
      </w:r>
      <w:proofErr w:type="spellEnd"/>
      <w:r w:rsidRPr="009E1FD5">
        <w:rPr>
          <w:rFonts w:ascii="Times New Roman" w:hAnsi="Times New Roman" w:cs="Times New Roman"/>
          <w:sz w:val="24"/>
          <w:szCs w:val="24"/>
        </w:rPr>
        <w:t xml:space="preserve"> noziedzīgiem nodarījumiem:</w:t>
      </w:r>
      <w:r w:rsidRPr="009E1FD5">
        <w:rPr>
          <w:rFonts w:ascii="Times New Roman" w:hAnsi="Times New Roman" w:cs="Times New Roman"/>
          <w:sz w:val="24"/>
          <w:szCs w:val="24"/>
        </w:rPr>
        <w:tab/>
      </w:r>
    </w:p>
    <w:p w:rsidR="00BA1C57" w:rsidRPr="009E1FD5" w:rsidRDefault="00BA1C57" w:rsidP="009E1FD5">
      <w:pPr>
        <w:spacing w:after="0" w:line="240" w:lineRule="auto"/>
        <w:jc w:val="both"/>
        <w:rPr>
          <w:rFonts w:ascii="Times New Roman" w:hAnsi="Times New Roman" w:cs="Times New Roman"/>
          <w:sz w:val="24"/>
          <w:szCs w:val="24"/>
        </w:rPr>
      </w:pPr>
      <w:r w:rsidRPr="009E1FD5">
        <w:rPr>
          <w:rFonts w:ascii="Times New Roman" w:hAnsi="Times New Roman" w:cs="Times New Roman"/>
          <w:sz w:val="24"/>
          <w:szCs w:val="24"/>
        </w:rPr>
        <w:fldChar w:fldCharType="begin"/>
      </w:r>
      <w:r w:rsidRPr="009E1FD5">
        <w:rPr>
          <w:rFonts w:ascii="Times New Roman" w:hAnsi="Times New Roman" w:cs="Times New Roman"/>
          <w:sz w:val="24"/>
          <w:szCs w:val="24"/>
        </w:rPr>
        <w:instrText xml:space="preserve"> LINK Excel.Sheet.12 "C:\\Users\\Diana.Strazdina\\AppData\\Local\\Temp\\notes798583\\~7712336.xlsx" "1.punkts!R2C1:R25C9" \a \f 5 \h  \* MERGEFORMAT </w:instrText>
      </w:r>
      <w:r w:rsidRPr="009E1FD5">
        <w:rPr>
          <w:rFonts w:ascii="Times New Roman" w:hAnsi="Times New Roman" w:cs="Times New Roman"/>
          <w:sz w:val="24"/>
          <w:szCs w:val="24"/>
        </w:rPr>
        <w:fldChar w:fldCharType="separate"/>
      </w:r>
    </w:p>
    <w:tbl>
      <w:tblPr>
        <w:tblStyle w:val="TableGrid"/>
        <w:tblW w:w="9416" w:type="dxa"/>
        <w:tblInd w:w="0" w:type="dxa"/>
        <w:tblLayout w:type="fixed"/>
        <w:tblLook w:val="04A0" w:firstRow="1" w:lastRow="0" w:firstColumn="1" w:lastColumn="0" w:noHBand="0" w:noVBand="1"/>
      </w:tblPr>
      <w:tblGrid>
        <w:gridCol w:w="1242"/>
        <w:gridCol w:w="993"/>
        <w:gridCol w:w="1134"/>
        <w:gridCol w:w="992"/>
        <w:gridCol w:w="1086"/>
        <w:gridCol w:w="1040"/>
        <w:gridCol w:w="992"/>
        <w:gridCol w:w="993"/>
        <w:gridCol w:w="944"/>
      </w:tblGrid>
      <w:tr w:rsidR="00BA1C57" w:rsidRPr="009E1FD5" w:rsidTr="004546F6">
        <w:trPr>
          <w:trHeight w:val="300"/>
        </w:trPr>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Krimināllikuma pants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2013.gads</w:t>
            </w:r>
          </w:p>
        </w:tc>
        <w:tc>
          <w:tcPr>
            <w:tcW w:w="207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2014.gads</w:t>
            </w:r>
          </w:p>
        </w:tc>
        <w:tc>
          <w:tcPr>
            <w:tcW w:w="203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2015.gads</w:t>
            </w:r>
          </w:p>
        </w:tc>
        <w:tc>
          <w:tcPr>
            <w:tcW w:w="193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2016.gads</w:t>
            </w:r>
          </w:p>
        </w:tc>
      </w:tr>
      <w:tr w:rsidR="004546F6" w:rsidRPr="009E1FD5" w:rsidTr="004546F6">
        <w:trPr>
          <w:trHeight w:val="139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BA1C57" w:rsidRPr="00ED6356" w:rsidRDefault="00BA1C57" w:rsidP="009E1FD5">
            <w:pPr>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Notiesāto personu skaits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 xml:space="preserve">Lietu skaits, kurās stājušies spēkā notiesājoši spriedumi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Notiesāto personu skaits</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 xml:space="preserve">Lietu skaits, kurās stājušies spēkā notiesājoši spriedumi </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Notiesāto personu skaits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 xml:space="preserve">Lietu skaits, kurās stājušies spēkā notiesājoši spriedumi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Notiesāto personu skaits</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 xml:space="preserve">Lietu skaits, kurās stājušies spēkā notiesājoši spriedumi </w:t>
            </w:r>
          </w:p>
        </w:tc>
      </w:tr>
      <w:tr w:rsidR="004546F6" w:rsidRPr="009E1FD5" w:rsidTr="004546F6">
        <w:trPr>
          <w:trHeight w:val="270"/>
        </w:trPr>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i/>
                <w:iCs/>
                <w:sz w:val="20"/>
                <w:szCs w:val="20"/>
              </w:rPr>
            </w:pPr>
            <w:r w:rsidRPr="00ED6356">
              <w:rPr>
                <w:rFonts w:ascii="Times New Roman" w:hAnsi="Times New Roman" w:cs="Times New Roman"/>
                <w:i/>
                <w:iCs/>
                <w:sz w:val="20"/>
                <w:szCs w:val="20"/>
              </w:rPr>
              <w: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i/>
                <w:iCs/>
                <w:sz w:val="20"/>
                <w:szCs w:val="20"/>
              </w:rPr>
            </w:pPr>
            <w:r w:rsidRPr="00ED6356">
              <w:rPr>
                <w:rFonts w:ascii="Times New Roman" w:hAnsi="Times New Roman" w:cs="Times New Roman"/>
                <w:i/>
                <w:iCs/>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i/>
                <w:iCs/>
                <w:sz w:val="20"/>
                <w:szCs w:val="20"/>
              </w:rPr>
            </w:pPr>
            <w:r w:rsidRPr="00ED6356">
              <w:rPr>
                <w:rFonts w:ascii="Times New Roman" w:hAnsi="Times New Roman" w:cs="Times New Roman"/>
                <w:i/>
                <w:i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i/>
                <w:iCs/>
                <w:sz w:val="20"/>
                <w:szCs w:val="20"/>
              </w:rPr>
            </w:pPr>
            <w:r w:rsidRPr="00ED6356">
              <w:rPr>
                <w:rFonts w:ascii="Times New Roman" w:hAnsi="Times New Roman" w:cs="Times New Roman"/>
                <w:i/>
                <w:iCs/>
                <w:sz w:val="20"/>
                <w:szCs w:val="20"/>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i/>
                <w:iCs/>
                <w:sz w:val="20"/>
                <w:szCs w:val="20"/>
              </w:rPr>
            </w:pPr>
            <w:r w:rsidRPr="00ED6356">
              <w:rPr>
                <w:rFonts w:ascii="Times New Roman" w:hAnsi="Times New Roman" w:cs="Times New Roman"/>
                <w:i/>
                <w:iCs/>
                <w:sz w:val="20"/>
                <w:szCs w:val="20"/>
              </w:rPr>
              <w:t>5</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i/>
                <w:iCs/>
                <w:sz w:val="20"/>
                <w:szCs w:val="20"/>
              </w:rPr>
            </w:pPr>
            <w:r w:rsidRPr="00ED6356">
              <w:rPr>
                <w:rFonts w:ascii="Times New Roman" w:hAnsi="Times New Roman" w:cs="Times New Roman"/>
                <w:i/>
                <w:iCs/>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i/>
                <w:iCs/>
                <w:sz w:val="20"/>
                <w:szCs w:val="20"/>
              </w:rPr>
            </w:pPr>
            <w:r w:rsidRPr="00ED6356">
              <w:rPr>
                <w:rFonts w:ascii="Times New Roman" w:hAnsi="Times New Roman" w:cs="Times New Roman"/>
                <w:i/>
                <w:iCs/>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i/>
                <w:iCs/>
                <w:sz w:val="20"/>
                <w:szCs w:val="20"/>
              </w:rPr>
            </w:pPr>
            <w:r w:rsidRPr="00ED6356">
              <w:rPr>
                <w:rFonts w:ascii="Times New Roman" w:hAnsi="Times New Roman" w:cs="Times New Roman"/>
                <w:i/>
                <w:iCs/>
                <w:sz w:val="20"/>
                <w:szCs w:val="20"/>
              </w:rPr>
              <w:t>10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1C57" w:rsidRPr="00ED6356" w:rsidRDefault="00BA1C57" w:rsidP="009E1FD5">
            <w:pPr>
              <w:jc w:val="both"/>
              <w:rPr>
                <w:rFonts w:ascii="Times New Roman" w:hAnsi="Times New Roman" w:cs="Times New Roman"/>
                <w:i/>
                <w:iCs/>
                <w:sz w:val="20"/>
                <w:szCs w:val="20"/>
              </w:rPr>
            </w:pPr>
            <w:r w:rsidRPr="00ED6356">
              <w:rPr>
                <w:rFonts w:ascii="Times New Roman" w:hAnsi="Times New Roman" w:cs="Times New Roman"/>
                <w:i/>
                <w:iCs/>
                <w:sz w:val="20"/>
                <w:szCs w:val="20"/>
              </w:rPr>
              <w:t>11</w:t>
            </w:r>
          </w:p>
        </w:tc>
      </w:tr>
      <w:tr w:rsidR="004546F6" w:rsidRPr="009E1FD5" w:rsidTr="004546F6">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196.p.</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2</w:t>
            </w:r>
          </w:p>
        </w:tc>
        <w:tc>
          <w:tcPr>
            <w:tcW w:w="1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2</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w:t>
            </w:r>
          </w:p>
        </w:tc>
        <w:tc>
          <w:tcPr>
            <w:tcW w:w="9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w:t>
            </w:r>
          </w:p>
        </w:tc>
      </w:tr>
      <w:tr w:rsidR="004546F6" w:rsidRPr="009E1FD5" w:rsidTr="004546F6">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198.p.</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w:t>
            </w:r>
          </w:p>
        </w:tc>
        <w:tc>
          <w:tcPr>
            <w:tcW w:w="1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9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r>
      <w:tr w:rsidR="004546F6" w:rsidRPr="009E1FD5" w:rsidTr="004546F6">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199.p.</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w:t>
            </w:r>
          </w:p>
        </w:tc>
        <w:tc>
          <w:tcPr>
            <w:tcW w:w="1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9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r>
      <w:tr w:rsidR="00BA1C57" w:rsidRPr="009E1FD5" w:rsidTr="004546F6">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317.p.</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1040"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3</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w:t>
            </w:r>
          </w:p>
        </w:tc>
        <w:tc>
          <w:tcPr>
            <w:tcW w:w="94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w:t>
            </w:r>
          </w:p>
        </w:tc>
      </w:tr>
      <w:tr w:rsidR="00BA1C57" w:rsidRPr="009E1FD5" w:rsidTr="004546F6">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318.p.</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5</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2</w:t>
            </w:r>
          </w:p>
        </w:tc>
        <w:tc>
          <w:tcPr>
            <w:tcW w:w="1086"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2</w:t>
            </w:r>
          </w:p>
        </w:tc>
        <w:tc>
          <w:tcPr>
            <w:tcW w:w="1040"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5</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3</w:t>
            </w:r>
          </w:p>
        </w:tc>
        <w:tc>
          <w:tcPr>
            <w:tcW w:w="94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3</w:t>
            </w:r>
          </w:p>
        </w:tc>
      </w:tr>
      <w:tr w:rsidR="00BA1C57" w:rsidRPr="009E1FD5" w:rsidTr="004546F6">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319.p.</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2</w:t>
            </w:r>
          </w:p>
        </w:tc>
        <w:tc>
          <w:tcPr>
            <w:tcW w:w="1086"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w:t>
            </w:r>
          </w:p>
        </w:tc>
        <w:tc>
          <w:tcPr>
            <w:tcW w:w="1040"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2</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94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r>
      <w:tr w:rsidR="00BA1C57" w:rsidRPr="009E1FD5" w:rsidTr="004546F6">
        <w:trPr>
          <w:trHeight w:val="330"/>
        </w:trPr>
        <w:tc>
          <w:tcPr>
            <w:tcW w:w="124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320.p.</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22</w:t>
            </w:r>
          </w:p>
        </w:tc>
        <w:tc>
          <w:tcPr>
            <w:tcW w:w="113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17</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14</w:t>
            </w:r>
          </w:p>
        </w:tc>
        <w:tc>
          <w:tcPr>
            <w:tcW w:w="1086"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11</w:t>
            </w:r>
          </w:p>
        </w:tc>
        <w:tc>
          <w:tcPr>
            <w:tcW w:w="1040"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19</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13</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13</w:t>
            </w:r>
          </w:p>
        </w:tc>
        <w:tc>
          <w:tcPr>
            <w:tcW w:w="94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10</w:t>
            </w:r>
          </w:p>
        </w:tc>
      </w:tr>
      <w:tr w:rsidR="00BA1C57" w:rsidRPr="009E1FD5" w:rsidTr="004546F6">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321.p.</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4</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w:t>
            </w:r>
          </w:p>
        </w:tc>
        <w:tc>
          <w:tcPr>
            <w:tcW w:w="1086"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w:t>
            </w:r>
          </w:p>
        </w:tc>
        <w:tc>
          <w:tcPr>
            <w:tcW w:w="1040"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w:t>
            </w:r>
          </w:p>
        </w:tc>
        <w:tc>
          <w:tcPr>
            <w:tcW w:w="94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w:t>
            </w:r>
          </w:p>
        </w:tc>
      </w:tr>
      <w:tr w:rsidR="00BA1C57" w:rsidRPr="009E1FD5" w:rsidTr="004546F6">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322.p.</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3</w:t>
            </w:r>
          </w:p>
        </w:tc>
        <w:tc>
          <w:tcPr>
            <w:tcW w:w="1086"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2</w:t>
            </w:r>
          </w:p>
        </w:tc>
        <w:tc>
          <w:tcPr>
            <w:tcW w:w="1040"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2</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w:t>
            </w:r>
          </w:p>
        </w:tc>
        <w:tc>
          <w:tcPr>
            <w:tcW w:w="94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w:t>
            </w:r>
          </w:p>
        </w:tc>
      </w:tr>
      <w:tr w:rsidR="00BA1C57" w:rsidRPr="009E1FD5" w:rsidTr="004546F6">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323.p.</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58</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104</w:t>
            </w:r>
          </w:p>
        </w:tc>
        <w:tc>
          <w:tcPr>
            <w:tcW w:w="1086"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101</w:t>
            </w:r>
          </w:p>
        </w:tc>
        <w:tc>
          <w:tcPr>
            <w:tcW w:w="1040"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143</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124</w:t>
            </w:r>
          </w:p>
        </w:tc>
        <w:tc>
          <w:tcPr>
            <w:tcW w:w="94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121</w:t>
            </w:r>
          </w:p>
        </w:tc>
      </w:tr>
      <w:tr w:rsidR="00BA1C57" w:rsidRPr="009E1FD5" w:rsidTr="004546F6">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325.p.</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1040"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94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r>
      <w:tr w:rsidR="00BA1C57" w:rsidRPr="009E1FD5" w:rsidTr="004546F6">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326.p.</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1040"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94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r>
      <w:tr w:rsidR="00BA1C57" w:rsidRPr="009E1FD5" w:rsidTr="004546F6">
        <w:trPr>
          <w:trHeight w:val="345"/>
        </w:trPr>
        <w:tc>
          <w:tcPr>
            <w:tcW w:w="124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326.</w:t>
            </w:r>
            <w:r w:rsidRPr="00ED6356">
              <w:rPr>
                <w:rFonts w:ascii="Times New Roman" w:hAnsi="Times New Roman" w:cs="Times New Roman"/>
                <w:sz w:val="20"/>
                <w:szCs w:val="20"/>
                <w:vertAlign w:val="superscript"/>
              </w:rPr>
              <w:t>1</w:t>
            </w:r>
            <w:r w:rsidRPr="00ED6356">
              <w:rPr>
                <w:rFonts w:ascii="Times New Roman" w:hAnsi="Times New Roman" w:cs="Times New Roman"/>
                <w:sz w:val="20"/>
                <w:szCs w:val="20"/>
              </w:rPr>
              <w:t>p.</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1040"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94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r>
      <w:tr w:rsidR="00BA1C57" w:rsidRPr="009E1FD5" w:rsidTr="004546F6">
        <w:trPr>
          <w:trHeight w:val="345"/>
        </w:trPr>
        <w:tc>
          <w:tcPr>
            <w:tcW w:w="124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326.</w:t>
            </w:r>
            <w:r w:rsidRPr="00ED6356">
              <w:rPr>
                <w:rFonts w:ascii="Times New Roman" w:hAnsi="Times New Roman" w:cs="Times New Roman"/>
                <w:sz w:val="20"/>
                <w:szCs w:val="20"/>
                <w:vertAlign w:val="superscript"/>
              </w:rPr>
              <w:t>2</w:t>
            </w:r>
            <w:r w:rsidRPr="00ED6356">
              <w:rPr>
                <w:rFonts w:ascii="Times New Roman" w:hAnsi="Times New Roman" w:cs="Times New Roman"/>
                <w:sz w:val="20"/>
                <w:szCs w:val="20"/>
              </w:rPr>
              <w:t>p.</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1040"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2</w:t>
            </w:r>
          </w:p>
        </w:tc>
        <w:tc>
          <w:tcPr>
            <w:tcW w:w="94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w:t>
            </w:r>
          </w:p>
        </w:tc>
      </w:tr>
      <w:tr w:rsidR="00BA1C57" w:rsidRPr="009E1FD5" w:rsidTr="004546F6">
        <w:trPr>
          <w:trHeight w:val="345"/>
        </w:trPr>
        <w:tc>
          <w:tcPr>
            <w:tcW w:w="124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326.</w:t>
            </w:r>
            <w:r w:rsidRPr="00ED6356">
              <w:rPr>
                <w:rFonts w:ascii="Times New Roman" w:hAnsi="Times New Roman" w:cs="Times New Roman"/>
                <w:sz w:val="20"/>
                <w:szCs w:val="20"/>
                <w:vertAlign w:val="superscript"/>
              </w:rPr>
              <w:t>3</w:t>
            </w:r>
            <w:r w:rsidRPr="00ED6356">
              <w:rPr>
                <w:rFonts w:ascii="Times New Roman" w:hAnsi="Times New Roman" w:cs="Times New Roman"/>
                <w:sz w:val="20"/>
                <w:szCs w:val="20"/>
              </w:rPr>
              <w:t>p.</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1040"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94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r>
      <w:tr w:rsidR="00BA1C57" w:rsidRPr="009E1FD5" w:rsidTr="004546F6">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KL 327.p.</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3</w:t>
            </w:r>
          </w:p>
        </w:tc>
        <w:tc>
          <w:tcPr>
            <w:tcW w:w="1086"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3</w:t>
            </w:r>
          </w:p>
        </w:tc>
        <w:tc>
          <w:tcPr>
            <w:tcW w:w="1040"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1</w:t>
            </w:r>
          </w:p>
        </w:tc>
        <w:tc>
          <w:tcPr>
            <w:tcW w:w="94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b/>
                <w:bCs/>
                <w:sz w:val="20"/>
                <w:szCs w:val="20"/>
              </w:rPr>
            </w:pPr>
            <w:r w:rsidRPr="00ED6356">
              <w:rPr>
                <w:rFonts w:ascii="Times New Roman" w:hAnsi="Times New Roman" w:cs="Times New Roman"/>
                <w:b/>
                <w:bCs/>
                <w:sz w:val="20"/>
                <w:szCs w:val="20"/>
              </w:rPr>
              <w:t>1</w:t>
            </w:r>
          </w:p>
        </w:tc>
      </w:tr>
      <w:tr w:rsidR="00716336" w:rsidRPr="009E1FD5" w:rsidTr="004546F6">
        <w:trPr>
          <w:trHeight w:val="300"/>
        </w:trPr>
        <w:tc>
          <w:tcPr>
            <w:tcW w:w="1242" w:type="dxa"/>
            <w:tcBorders>
              <w:top w:val="single" w:sz="4" w:space="0" w:color="auto"/>
              <w:left w:val="single" w:sz="4" w:space="0" w:color="auto"/>
              <w:bottom w:val="single" w:sz="4" w:space="0" w:color="auto"/>
              <w:right w:val="single" w:sz="4" w:space="0" w:color="auto"/>
            </w:tcBorders>
            <w:noWrap/>
            <w:hideMark/>
          </w:tcPr>
          <w:p w:rsidR="00716336" w:rsidRPr="00ED6356" w:rsidRDefault="00716336" w:rsidP="009E1FD5">
            <w:pPr>
              <w:jc w:val="both"/>
              <w:rPr>
                <w:rFonts w:ascii="Times New Roman" w:hAnsi="Times New Roman" w:cs="Times New Roman"/>
                <w:b/>
                <w:bCs/>
                <w:i/>
                <w:iCs/>
                <w:sz w:val="20"/>
                <w:szCs w:val="20"/>
              </w:rPr>
            </w:pPr>
            <w:r w:rsidRPr="00ED6356">
              <w:rPr>
                <w:rFonts w:ascii="Times New Roman" w:hAnsi="Times New Roman" w:cs="Times New Roman"/>
                <w:b/>
                <w:bCs/>
                <w:i/>
                <w:iCs/>
                <w:sz w:val="20"/>
                <w:szCs w:val="20"/>
              </w:rPr>
              <w:t>Kopā</w:t>
            </w:r>
          </w:p>
        </w:tc>
        <w:tc>
          <w:tcPr>
            <w:tcW w:w="993" w:type="dxa"/>
            <w:tcBorders>
              <w:top w:val="single" w:sz="4" w:space="0" w:color="auto"/>
              <w:left w:val="single" w:sz="4" w:space="0" w:color="auto"/>
              <w:bottom w:val="single" w:sz="4" w:space="0" w:color="auto"/>
              <w:right w:val="single" w:sz="4" w:space="0" w:color="auto"/>
            </w:tcBorders>
            <w:noWrap/>
            <w:hideMark/>
          </w:tcPr>
          <w:p w:rsidR="00716336" w:rsidRPr="00ED6356" w:rsidRDefault="00716336" w:rsidP="009E1FD5">
            <w:pPr>
              <w:jc w:val="both"/>
              <w:rPr>
                <w:rFonts w:ascii="Times New Roman" w:hAnsi="Times New Roman" w:cs="Times New Roman"/>
                <w:sz w:val="20"/>
                <w:szCs w:val="20"/>
              </w:rPr>
            </w:pPr>
            <w:r w:rsidRPr="00ED6356">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noWrap/>
            <w:hideMark/>
          </w:tcPr>
          <w:p w:rsidR="00716336" w:rsidRPr="00ED6356" w:rsidRDefault="00716336" w:rsidP="009E1FD5">
            <w:pPr>
              <w:jc w:val="both"/>
              <w:rPr>
                <w:rFonts w:ascii="Times New Roman" w:hAnsi="Times New Roman" w:cs="Times New Roman"/>
                <w:sz w:val="20"/>
                <w:szCs w:val="20"/>
              </w:rPr>
            </w:pPr>
            <w:r w:rsidRPr="00ED6356">
              <w:rPr>
                <w:rFonts w:ascii="Times New Roman" w:hAnsi="Times New Roman" w:cs="Times New Roman"/>
                <w:sz w:val="20"/>
                <w:szCs w:val="20"/>
              </w:rPr>
              <w:t>91</w:t>
            </w:r>
          </w:p>
        </w:tc>
        <w:tc>
          <w:tcPr>
            <w:tcW w:w="992" w:type="dxa"/>
            <w:tcBorders>
              <w:top w:val="single" w:sz="4" w:space="0" w:color="auto"/>
              <w:left w:val="single" w:sz="4" w:space="0" w:color="auto"/>
              <w:bottom w:val="single" w:sz="4" w:space="0" w:color="auto"/>
              <w:right w:val="single" w:sz="4" w:space="0" w:color="auto"/>
            </w:tcBorders>
            <w:noWrap/>
            <w:hideMark/>
          </w:tcPr>
          <w:p w:rsidR="00716336" w:rsidRPr="00ED6356" w:rsidRDefault="00716336" w:rsidP="009E1FD5">
            <w:pPr>
              <w:jc w:val="both"/>
              <w:rPr>
                <w:rFonts w:ascii="Times New Roman" w:hAnsi="Times New Roman" w:cs="Times New Roman"/>
                <w:sz w:val="20"/>
                <w:szCs w:val="20"/>
              </w:rPr>
            </w:pPr>
            <w:r w:rsidRPr="00ED6356">
              <w:rPr>
                <w:rFonts w:ascii="Times New Roman" w:hAnsi="Times New Roman" w:cs="Times New Roman"/>
                <w:sz w:val="20"/>
                <w:szCs w:val="20"/>
              </w:rPr>
              <w:t>133</w:t>
            </w:r>
          </w:p>
        </w:tc>
        <w:tc>
          <w:tcPr>
            <w:tcW w:w="1086" w:type="dxa"/>
            <w:tcBorders>
              <w:top w:val="single" w:sz="4" w:space="0" w:color="auto"/>
              <w:left w:val="single" w:sz="4" w:space="0" w:color="auto"/>
              <w:bottom w:val="single" w:sz="4" w:space="0" w:color="auto"/>
              <w:right w:val="single" w:sz="4" w:space="0" w:color="auto"/>
            </w:tcBorders>
            <w:noWrap/>
            <w:hideMark/>
          </w:tcPr>
          <w:p w:rsidR="00716336" w:rsidRPr="00ED6356" w:rsidRDefault="00716336" w:rsidP="009E1FD5">
            <w:pPr>
              <w:jc w:val="both"/>
              <w:rPr>
                <w:rFonts w:ascii="Times New Roman" w:hAnsi="Times New Roman" w:cs="Times New Roman"/>
                <w:sz w:val="20"/>
                <w:szCs w:val="20"/>
              </w:rPr>
            </w:pPr>
            <w:r w:rsidRPr="00ED6356">
              <w:rPr>
                <w:rFonts w:ascii="Times New Roman" w:hAnsi="Times New Roman" w:cs="Times New Roman"/>
                <w:sz w:val="20"/>
                <w:szCs w:val="20"/>
              </w:rPr>
              <w:t>125</w:t>
            </w:r>
          </w:p>
        </w:tc>
        <w:tc>
          <w:tcPr>
            <w:tcW w:w="1040" w:type="dxa"/>
            <w:tcBorders>
              <w:top w:val="single" w:sz="4" w:space="0" w:color="auto"/>
              <w:left w:val="single" w:sz="4" w:space="0" w:color="auto"/>
              <w:bottom w:val="single" w:sz="4" w:space="0" w:color="auto"/>
              <w:right w:val="single" w:sz="4" w:space="0" w:color="auto"/>
            </w:tcBorders>
            <w:noWrap/>
            <w:hideMark/>
          </w:tcPr>
          <w:p w:rsidR="00716336" w:rsidRPr="00ED6356" w:rsidRDefault="00716336" w:rsidP="009E1FD5">
            <w:pPr>
              <w:jc w:val="both"/>
              <w:rPr>
                <w:rFonts w:ascii="Times New Roman" w:hAnsi="Times New Roman" w:cs="Times New Roman"/>
                <w:sz w:val="20"/>
                <w:szCs w:val="20"/>
              </w:rPr>
            </w:pPr>
            <w:r w:rsidRPr="00ED6356">
              <w:rPr>
                <w:rFonts w:ascii="Times New Roman" w:hAnsi="Times New Roman" w:cs="Times New Roman"/>
                <w:sz w:val="20"/>
                <w:szCs w:val="20"/>
              </w:rPr>
              <w:t>190</w:t>
            </w:r>
          </w:p>
        </w:tc>
        <w:tc>
          <w:tcPr>
            <w:tcW w:w="992" w:type="dxa"/>
            <w:tcBorders>
              <w:top w:val="single" w:sz="4" w:space="0" w:color="auto"/>
              <w:left w:val="single" w:sz="4" w:space="0" w:color="auto"/>
              <w:bottom w:val="single" w:sz="4" w:space="0" w:color="auto"/>
              <w:right w:val="single" w:sz="4" w:space="0" w:color="auto"/>
            </w:tcBorders>
            <w:noWrap/>
            <w:hideMark/>
          </w:tcPr>
          <w:p w:rsidR="00716336" w:rsidRPr="00ED6356" w:rsidRDefault="00716336" w:rsidP="009E1FD5">
            <w:pPr>
              <w:jc w:val="both"/>
              <w:rPr>
                <w:rFonts w:ascii="Times New Roman" w:hAnsi="Times New Roman" w:cs="Times New Roman"/>
                <w:sz w:val="20"/>
                <w:szCs w:val="20"/>
              </w:rPr>
            </w:pPr>
            <w:r w:rsidRPr="00ED6356">
              <w:rPr>
                <w:rFonts w:ascii="Times New Roman" w:hAnsi="Times New Roman" w:cs="Times New Roman"/>
                <w:sz w:val="20"/>
                <w:szCs w:val="20"/>
              </w:rPr>
              <w:t>173</w:t>
            </w:r>
          </w:p>
        </w:tc>
        <w:tc>
          <w:tcPr>
            <w:tcW w:w="993" w:type="dxa"/>
            <w:tcBorders>
              <w:top w:val="single" w:sz="4" w:space="0" w:color="auto"/>
              <w:left w:val="single" w:sz="4" w:space="0" w:color="auto"/>
              <w:bottom w:val="single" w:sz="4" w:space="0" w:color="auto"/>
              <w:right w:val="single" w:sz="4" w:space="0" w:color="auto"/>
            </w:tcBorders>
            <w:noWrap/>
            <w:hideMark/>
          </w:tcPr>
          <w:p w:rsidR="00716336" w:rsidRPr="00ED6356" w:rsidRDefault="00716336" w:rsidP="009E1FD5">
            <w:pPr>
              <w:jc w:val="both"/>
              <w:rPr>
                <w:rFonts w:ascii="Times New Roman" w:hAnsi="Times New Roman" w:cs="Times New Roman"/>
                <w:sz w:val="20"/>
                <w:szCs w:val="20"/>
              </w:rPr>
            </w:pPr>
            <w:r w:rsidRPr="00ED6356">
              <w:rPr>
                <w:rFonts w:ascii="Times New Roman" w:hAnsi="Times New Roman" w:cs="Times New Roman"/>
                <w:sz w:val="20"/>
                <w:szCs w:val="20"/>
              </w:rPr>
              <w:t>147</w:t>
            </w:r>
          </w:p>
        </w:tc>
        <w:tc>
          <w:tcPr>
            <w:tcW w:w="944" w:type="dxa"/>
            <w:tcBorders>
              <w:top w:val="single" w:sz="4" w:space="0" w:color="auto"/>
              <w:left w:val="single" w:sz="4" w:space="0" w:color="auto"/>
              <w:bottom w:val="single" w:sz="4" w:space="0" w:color="auto"/>
              <w:right w:val="single" w:sz="4" w:space="0" w:color="auto"/>
            </w:tcBorders>
            <w:noWrap/>
            <w:hideMark/>
          </w:tcPr>
          <w:p w:rsidR="00716336" w:rsidRPr="00ED6356" w:rsidRDefault="00716336" w:rsidP="009E1FD5">
            <w:pPr>
              <w:jc w:val="both"/>
              <w:rPr>
                <w:rFonts w:ascii="Times New Roman" w:hAnsi="Times New Roman" w:cs="Times New Roman"/>
                <w:sz w:val="20"/>
                <w:szCs w:val="20"/>
              </w:rPr>
            </w:pPr>
            <w:r w:rsidRPr="00ED6356">
              <w:rPr>
                <w:rFonts w:ascii="Times New Roman" w:hAnsi="Times New Roman" w:cs="Times New Roman"/>
                <w:sz w:val="20"/>
                <w:szCs w:val="20"/>
              </w:rPr>
              <w:t>140</w:t>
            </w:r>
          </w:p>
        </w:tc>
      </w:tr>
      <w:tr w:rsidR="00BA1C57" w:rsidRPr="009E1FD5" w:rsidTr="004546F6">
        <w:trPr>
          <w:trHeight w:val="300"/>
        </w:trPr>
        <w:tc>
          <w:tcPr>
            <w:tcW w:w="6487" w:type="dxa"/>
            <w:gridSpan w:val="6"/>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r w:rsidRPr="00ED6356">
              <w:rPr>
                <w:rFonts w:ascii="Times New Roman" w:hAnsi="Times New Roman" w:cs="Times New Roman"/>
                <w:sz w:val="20"/>
                <w:szCs w:val="20"/>
              </w:rPr>
              <w:t>Datu avots: Tiesu informatīvā sistēma. (78.statistikas pārskata un tam pievienotā lietu saraksta dati).</w:t>
            </w:r>
          </w:p>
        </w:tc>
        <w:tc>
          <w:tcPr>
            <w:tcW w:w="992"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p>
        </w:tc>
        <w:tc>
          <w:tcPr>
            <w:tcW w:w="944" w:type="dxa"/>
            <w:tcBorders>
              <w:top w:val="single" w:sz="4" w:space="0" w:color="auto"/>
              <w:left w:val="single" w:sz="4" w:space="0" w:color="auto"/>
              <w:bottom w:val="single" w:sz="4" w:space="0" w:color="auto"/>
              <w:right w:val="single" w:sz="4" w:space="0" w:color="auto"/>
            </w:tcBorders>
            <w:noWrap/>
            <w:hideMark/>
          </w:tcPr>
          <w:p w:rsidR="00BA1C57" w:rsidRPr="00ED6356" w:rsidRDefault="00BA1C57" w:rsidP="009E1FD5">
            <w:pPr>
              <w:jc w:val="both"/>
              <w:rPr>
                <w:rFonts w:ascii="Times New Roman" w:hAnsi="Times New Roman" w:cs="Times New Roman"/>
                <w:sz w:val="20"/>
                <w:szCs w:val="20"/>
              </w:rPr>
            </w:pPr>
          </w:p>
        </w:tc>
      </w:tr>
    </w:tbl>
    <w:p w:rsidR="00BA1C57" w:rsidRPr="009E1FD5" w:rsidRDefault="00BA1C57" w:rsidP="009E1FD5">
      <w:pPr>
        <w:spacing w:after="0" w:line="240" w:lineRule="auto"/>
        <w:jc w:val="both"/>
        <w:rPr>
          <w:rFonts w:ascii="Times New Roman" w:hAnsi="Times New Roman" w:cs="Times New Roman"/>
          <w:sz w:val="24"/>
          <w:szCs w:val="24"/>
        </w:rPr>
      </w:pPr>
      <w:r w:rsidRPr="009E1FD5">
        <w:rPr>
          <w:rFonts w:ascii="Times New Roman" w:hAnsi="Times New Roman" w:cs="Times New Roman"/>
          <w:sz w:val="24"/>
          <w:szCs w:val="24"/>
        </w:rPr>
        <w:fldChar w:fldCharType="end"/>
      </w:r>
    </w:p>
    <w:p w:rsidR="00C26F36" w:rsidRPr="009E1FD5" w:rsidRDefault="00C26F36" w:rsidP="009E1FD5">
      <w:pPr>
        <w:spacing w:after="0" w:line="240" w:lineRule="auto"/>
        <w:jc w:val="both"/>
        <w:rPr>
          <w:rFonts w:ascii="Times New Roman" w:hAnsi="Times New Roman" w:cs="Times New Roman"/>
          <w:sz w:val="24"/>
          <w:szCs w:val="24"/>
        </w:rPr>
      </w:pPr>
    </w:p>
    <w:p w:rsidR="00BA1C57" w:rsidRPr="009E1FD5" w:rsidRDefault="00BA1C57" w:rsidP="009E1FD5">
      <w:pPr>
        <w:pStyle w:val="ListParagraph"/>
        <w:numPr>
          <w:ilvl w:val="0"/>
          <w:numId w:val="1"/>
        </w:numPr>
        <w:spacing w:after="0" w:line="240" w:lineRule="auto"/>
        <w:ind w:left="0" w:firstLine="0"/>
        <w:jc w:val="center"/>
        <w:rPr>
          <w:rFonts w:ascii="Times New Roman" w:hAnsi="Times New Roman" w:cs="Times New Roman"/>
          <w:b/>
          <w:sz w:val="24"/>
          <w:szCs w:val="24"/>
        </w:rPr>
      </w:pPr>
      <w:r w:rsidRPr="009E1FD5">
        <w:rPr>
          <w:rFonts w:ascii="Times New Roman" w:hAnsi="Times New Roman" w:cs="Times New Roman"/>
          <w:b/>
          <w:sz w:val="24"/>
          <w:szCs w:val="24"/>
        </w:rPr>
        <w:t>Kompetences dalījums</w:t>
      </w:r>
    </w:p>
    <w:p w:rsidR="00066CDE" w:rsidRPr="009E1FD5" w:rsidRDefault="00066CDE" w:rsidP="009E1FD5">
      <w:pPr>
        <w:pStyle w:val="NormalWeb"/>
        <w:spacing w:before="0" w:beforeAutospacing="0" w:after="0" w:afterAutospacing="0"/>
        <w:ind w:firstLine="567"/>
        <w:jc w:val="both"/>
      </w:pPr>
    </w:p>
    <w:p w:rsidR="00086FEB" w:rsidRPr="009E1FD5" w:rsidRDefault="00BA1C57" w:rsidP="009E1FD5">
      <w:pPr>
        <w:pStyle w:val="NormalWeb"/>
        <w:spacing w:before="0" w:beforeAutospacing="0" w:after="0" w:afterAutospacing="0"/>
        <w:ind w:firstLine="567"/>
        <w:jc w:val="both"/>
      </w:pPr>
      <w:r w:rsidRPr="009E1FD5">
        <w:t xml:space="preserve">Apvienoto nāciju organizācijas (turpmāk – ANO) </w:t>
      </w:r>
      <w:r w:rsidR="00305C11" w:rsidRPr="009E1FD5">
        <w:t>P</w:t>
      </w:r>
      <w:r w:rsidRPr="009E1FD5">
        <w:t>retkorupcijas konvencijas 21.</w:t>
      </w:r>
      <w:r w:rsidR="007E683A" w:rsidRPr="009E1FD5">
        <w:t> </w:t>
      </w:r>
      <w:r w:rsidRPr="009E1FD5">
        <w:t xml:space="preserve">pants </w:t>
      </w:r>
      <w:r w:rsidR="00C26F36" w:rsidRPr="009E1FD5">
        <w:t>“</w:t>
      </w:r>
      <w:r w:rsidRPr="009E1FD5">
        <w:t>Kukuļošanu privātajā sektorā</w:t>
      </w:r>
      <w:r w:rsidR="00C26F36" w:rsidRPr="009E1FD5">
        <w:t>”</w:t>
      </w:r>
      <w:r w:rsidRPr="009E1FD5">
        <w:t xml:space="preserve"> katrai Dalībvalstij </w:t>
      </w:r>
      <w:r w:rsidR="00C26F36" w:rsidRPr="009E1FD5">
        <w:t xml:space="preserve">nosaka pienākumu </w:t>
      </w:r>
      <w:r w:rsidRPr="009E1FD5">
        <w:t>izvērtēt tādu likumdošanas normu un cita veida līdzekļu pieņemšan</w:t>
      </w:r>
      <w:r w:rsidR="00C26F36" w:rsidRPr="009E1FD5">
        <w:t>u</w:t>
      </w:r>
      <w:r w:rsidRPr="009E1FD5">
        <w:t>, kādi var būt nepieciešami, lai par noziedzīgiem nodarījumiem atzītu tīši veiktas ekonomiska, finansiāla vai komerciāla rakstura darbības</w:t>
      </w:r>
      <w:r w:rsidR="00C26F36" w:rsidRPr="009E1FD5">
        <w:t xml:space="preserve">, proti: </w:t>
      </w:r>
      <w:r w:rsidR="00086FEB" w:rsidRPr="009E1FD5">
        <w:t>(a) nepienācīgas priekšrocības tieša vai netieša apsolīšana, piedāvāšana vai došana jebkurai personai, kura vada jebkuru privātā sektora uzņēmumu vai strādā tajā jebkurā amatā, pašai vai citai personai, lai šī persona, pārkāpjot savus amata pienākumus, rīkotos vai atturētos no noteiktas rīcības; (b) jebkuras personas, kura vada privātā sektora uzņēmumu vai strādā tajā jebkurā amatā, darbība, ar kuru šī persona, tieši vai netieši pieprasa vai saņem jebkuru tai nepienākošos priekšrocību, kas domāta šai vai jebkurai citai personai, lai šī persona rīkotos vai atturētos no rīcības, pārkāpjot savus amata pienākumus.</w:t>
      </w:r>
    </w:p>
    <w:p w:rsidR="00BA1C57" w:rsidRPr="009E1FD5" w:rsidRDefault="00BA1C57" w:rsidP="009E1FD5">
      <w:pPr>
        <w:spacing w:after="0" w:line="240" w:lineRule="auto"/>
        <w:ind w:firstLine="567"/>
        <w:jc w:val="both"/>
        <w:rPr>
          <w:rFonts w:ascii="Times New Roman" w:hAnsi="Times New Roman" w:cs="Times New Roman"/>
          <w:sz w:val="24"/>
          <w:szCs w:val="24"/>
        </w:rPr>
      </w:pPr>
      <w:r w:rsidRPr="009E1FD5">
        <w:rPr>
          <w:rFonts w:ascii="Times New Roman" w:hAnsi="Times New Roman" w:cs="Times New Roman"/>
          <w:sz w:val="24"/>
          <w:szCs w:val="24"/>
        </w:rPr>
        <w:t xml:space="preserve">Arī </w:t>
      </w:r>
      <w:r w:rsidR="00895EFA" w:rsidRPr="009E1FD5">
        <w:rPr>
          <w:rFonts w:ascii="Times New Roman" w:hAnsi="Times New Roman" w:cs="Times New Roman"/>
          <w:sz w:val="24"/>
          <w:szCs w:val="24"/>
        </w:rPr>
        <w:t xml:space="preserve">Eiropas Padomes </w:t>
      </w:r>
      <w:r w:rsidRPr="009E1FD5">
        <w:rPr>
          <w:rFonts w:ascii="Times New Roman" w:hAnsi="Times New Roman" w:cs="Times New Roman"/>
          <w:sz w:val="24"/>
          <w:szCs w:val="24"/>
        </w:rPr>
        <w:t>Krimināltiesīb</w:t>
      </w:r>
      <w:r w:rsidR="00895EFA" w:rsidRPr="009E1FD5">
        <w:rPr>
          <w:rFonts w:ascii="Times New Roman" w:hAnsi="Times New Roman" w:cs="Times New Roman"/>
          <w:sz w:val="24"/>
          <w:szCs w:val="24"/>
        </w:rPr>
        <w:t>u pretkorupcijas konvencijas 7.</w:t>
      </w:r>
      <w:r w:rsidR="007E683A" w:rsidRPr="009E1FD5">
        <w:rPr>
          <w:rFonts w:ascii="Times New Roman" w:hAnsi="Times New Roman" w:cs="Times New Roman"/>
          <w:sz w:val="24"/>
          <w:szCs w:val="24"/>
        </w:rPr>
        <w:t> </w:t>
      </w:r>
      <w:r w:rsidRPr="009E1FD5">
        <w:rPr>
          <w:rFonts w:ascii="Times New Roman" w:hAnsi="Times New Roman" w:cs="Times New Roman"/>
          <w:sz w:val="24"/>
          <w:szCs w:val="24"/>
        </w:rPr>
        <w:t xml:space="preserve">pantā </w:t>
      </w:r>
      <w:r w:rsidR="00895EFA" w:rsidRPr="009E1FD5">
        <w:rPr>
          <w:rFonts w:ascii="Times New Roman" w:hAnsi="Times New Roman" w:cs="Times New Roman"/>
          <w:sz w:val="24"/>
          <w:szCs w:val="24"/>
        </w:rPr>
        <w:t>“</w:t>
      </w:r>
      <w:r w:rsidRPr="009E1FD5">
        <w:rPr>
          <w:rFonts w:ascii="Times New Roman" w:hAnsi="Times New Roman" w:cs="Times New Roman"/>
          <w:sz w:val="24"/>
          <w:szCs w:val="24"/>
        </w:rPr>
        <w:t>Kukuļdošana privātajā sektorā</w:t>
      </w:r>
      <w:r w:rsidR="00895EFA" w:rsidRPr="009E1FD5">
        <w:rPr>
          <w:rFonts w:ascii="Times New Roman" w:hAnsi="Times New Roman" w:cs="Times New Roman"/>
          <w:sz w:val="24"/>
          <w:szCs w:val="24"/>
        </w:rPr>
        <w:t>” un 8.</w:t>
      </w:r>
      <w:r w:rsidRPr="009E1FD5">
        <w:rPr>
          <w:rFonts w:ascii="Times New Roman" w:hAnsi="Times New Roman" w:cs="Times New Roman"/>
          <w:sz w:val="24"/>
          <w:szCs w:val="24"/>
        </w:rPr>
        <w:t xml:space="preserve">pantā </w:t>
      </w:r>
      <w:r w:rsidR="00895EFA" w:rsidRPr="009E1FD5">
        <w:rPr>
          <w:rFonts w:ascii="Times New Roman" w:hAnsi="Times New Roman" w:cs="Times New Roman"/>
          <w:sz w:val="24"/>
          <w:szCs w:val="24"/>
        </w:rPr>
        <w:t>“</w:t>
      </w:r>
      <w:r w:rsidRPr="009E1FD5">
        <w:rPr>
          <w:rFonts w:ascii="Times New Roman" w:hAnsi="Times New Roman" w:cs="Times New Roman"/>
          <w:sz w:val="24"/>
          <w:szCs w:val="24"/>
        </w:rPr>
        <w:t>Kukuļņemšana privātajā sektorā</w:t>
      </w:r>
      <w:r w:rsidR="00895EFA" w:rsidRPr="009E1FD5">
        <w:rPr>
          <w:rFonts w:ascii="Times New Roman" w:hAnsi="Times New Roman" w:cs="Times New Roman"/>
          <w:sz w:val="24"/>
          <w:szCs w:val="24"/>
        </w:rPr>
        <w:t xml:space="preserve">” noteikts, ka </w:t>
      </w:r>
      <w:r w:rsidRPr="009E1FD5">
        <w:rPr>
          <w:rFonts w:ascii="Times New Roman" w:hAnsi="Times New Roman" w:cs="Times New Roman"/>
          <w:sz w:val="24"/>
          <w:szCs w:val="24"/>
        </w:rPr>
        <w:t xml:space="preserve">ikvienai Pusei </w:t>
      </w:r>
      <w:r w:rsidR="00895EFA" w:rsidRPr="009E1FD5">
        <w:rPr>
          <w:rFonts w:ascii="Times New Roman" w:hAnsi="Times New Roman" w:cs="Times New Roman"/>
          <w:sz w:val="24"/>
          <w:szCs w:val="24"/>
        </w:rPr>
        <w:t>jāveic</w:t>
      </w:r>
      <w:r w:rsidRPr="009E1FD5">
        <w:rPr>
          <w:rFonts w:ascii="Times New Roman" w:hAnsi="Times New Roman" w:cs="Times New Roman"/>
          <w:sz w:val="24"/>
          <w:szCs w:val="24"/>
        </w:rPr>
        <w:t xml:space="preserve"> </w:t>
      </w:r>
      <w:r w:rsidRPr="009E1FD5">
        <w:rPr>
          <w:rFonts w:ascii="Times New Roman" w:hAnsi="Times New Roman" w:cs="Times New Roman"/>
          <w:sz w:val="24"/>
          <w:szCs w:val="24"/>
        </w:rPr>
        <w:lastRenderedPageBreak/>
        <w:t>likumdošanas un cita veida pasākum</w:t>
      </w:r>
      <w:r w:rsidR="00895EFA" w:rsidRPr="009E1FD5">
        <w:rPr>
          <w:rFonts w:ascii="Times New Roman" w:hAnsi="Times New Roman" w:cs="Times New Roman"/>
          <w:sz w:val="24"/>
          <w:szCs w:val="24"/>
        </w:rPr>
        <w:t>i</w:t>
      </w:r>
      <w:r w:rsidRPr="009E1FD5">
        <w:rPr>
          <w:rFonts w:ascii="Times New Roman" w:hAnsi="Times New Roman" w:cs="Times New Roman"/>
          <w:sz w:val="24"/>
          <w:szCs w:val="24"/>
        </w:rPr>
        <w:t xml:space="preserve">, kādi nepieciešami, lai saskaņā ar tās likumu kā noziedzīgu nodarījumu kvalificētu uzņēmējdarbības gaitā tāda veida apzināti veiktu darbību kas raksturīga kukuļošanai. Tādējādi no starptautisko organizāciju skatījuma nav būtiski tas, kuras iestādes kompetencē ir </w:t>
      </w:r>
      <w:proofErr w:type="spellStart"/>
      <w:r w:rsidR="00571D1D" w:rsidRPr="009E1FD5">
        <w:rPr>
          <w:rFonts w:ascii="Times New Roman" w:hAnsi="Times New Roman" w:cs="Times New Roman"/>
          <w:sz w:val="24"/>
          <w:szCs w:val="24"/>
        </w:rPr>
        <w:t>koruptīv</w:t>
      </w:r>
      <w:r w:rsidR="00607D81">
        <w:rPr>
          <w:rFonts w:ascii="Times New Roman" w:hAnsi="Times New Roman" w:cs="Times New Roman"/>
          <w:sz w:val="24"/>
          <w:szCs w:val="24"/>
        </w:rPr>
        <w:t>o</w:t>
      </w:r>
      <w:proofErr w:type="spellEnd"/>
      <w:r w:rsidR="00571D1D" w:rsidRPr="009E1FD5">
        <w:rPr>
          <w:rFonts w:ascii="Times New Roman" w:hAnsi="Times New Roman" w:cs="Times New Roman"/>
          <w:sz w:val="24"/>
          <w:szCs w:val="24"/>
        </w:rPr>
        <w:t xml:space="preserve"> </w:t>
      </w:r>
      <w:r w:rsidRPr="009E1FD5">
        <w:rPr>
          <w:rFonts w:ascii="Times New Roman" w:hAnsi="Times New Roman" w:cs="Times New Roman"/>
          <w:sz w:val="24"/>
          <w:szCs w:val="24"/>
        </w:rPr>
        <w:t>noziedzīg</w:t>
      </w:r>
      <w:r w:rsidR="00607D81">
        <w:rPr>
          <w:rFonts w:ascii="Times New Roman" w:hAnsi="Times New Roman" w:cs="Times New Roman"/>
          <w:sz w:val="24"/>
          <w:szCs w:val="24"/>
        </w:rPr>
        <w:t>o</w:t>
      </w:r>
      <w:r w:rsidRPr="009E1FD5">
        <w:rPr>
          <w:rFonts w:ascii="Times New Roman" w:hAnsi="Times New Roman" w:cs="Times New Roman"/>
          <w:sz w:val="24"/>
          <w:szCs w:val="24"/>
        </w:rPr>
        <w:t xml:space="preserve"> nodarījumu izmeklēšana privātajā sektorā, bet svarīg</w:t>
      </w:r>
      <w:r w:rsidR="00816ABD" w:rsidRPr="009E1FD5">
        <w:rPr>
          <w:rFonts w:ascii="Times New Roman" w:hAnsi="Times New Roman" w:cs="Times New Roman"/>
          <w:sz w:val="24"/>
          <w:szCs w:val="24"/>
        </w:rPr>
        <w:t>s</w:t>
      </w:r>
      <w:r w:rsidRPr="009E1FD5">
        <w:rPr>
          <w:rFonts w:ascii="Times New Roman" w:hAnsi="Times New Roman" w:cs="Times New Roman"/>
          <w:sz w:val="24"/>
          <w:szCs w:val="24"/>
        </w:rPr>
        <w:t xml:space="preserve"> ir</w:t>
      </w:r>
      <w:r w:rsidR="00561C6E" w:rsidRPr="009E1FD5">
        <w:rPr>
          <w:rFonts w:ascii="Times New Roman" w:hAnsi="Times New Roman" w:cs="Times New Roman"/>
          <w:sz w:val="24"/>
          <w:szCs w:val="24"/>
        </w:rPr>
        <w:t xml:space="preserve"> apstāklis</w:t>
      </w:r>
      <w:r w:rsidRPr="009E1FD5">
        <w:rPr>
          <w:rFonts w:ascii="Times New Roman" w:hAnsi="Times New Roman" w:cs="Times New Roman"/>
          <w:sz w:val="24"/>
          <w:szCs w:val="24"/>
        </w:rPr>
        <w:t>, ka valstī pastāv skaidrs deleģējums izmeklēt šādus noziedzīgus nodarījumus, kā arī, ka attiecīgā iestāde ir spējīga to veikt efektīvi.</w:t>
      </w:r>
    </w:p>
    <w:p w:rsidR="00583228" w:rsidRPr="009E1FD5" w:rsidRDefault="00571D1D" w:rsidP="009E1FD5">
      <w:pPr>
        <w:spacing w:after="0" w:line="240" w:lineRule="auto"/>
        <w:ind w:firstLine="567"/>
        <w:jc w:val="both"/>
        <w:rPr>
          <w:rFonts w:ascii="Times New Roman" w:hAnsi="Times New Roman" w:cs="Times New Roman"/>
          <w:sz w:val="24"/>
          <w:szCs w:val="24"/>
        </w:rPr>
      </w:pPr>
      <w:r w:rsidRPr="009E1FD5">
        <w:rPr>
          <w:rFonts w:ascii="Times New Roman" w:hAnsi="Times New Roman" w:cs="Times New Roman"/>
          <w:sz w:val="24"/>
          <w:szCs w:val="24"/>
        </w:rPr>
        <w:t>Atbilstoši Kriminālprocesa likuma (turpmāk – KPL) 387.</w:t>
      </w:r>
      <w:r w:rsidR="007E683A" w:rsidRPr="009E1FD5">
        <w:rPr>
          <w:rFonts w:ascii="Times New Roman" w:hAnsi="Times New Roman" w:cs="Times New Roman"/>
          <w:sz w:val="24"/>
          <w:szCs w:val="24"/>
        </w:rPr>
        <w:t> </w:t>
      </w:r>
      <w:r w:rsidRPr="009E1FD5">
        <w:rPr>
          <w:rFonts w:ascii="Times New Roman" w:hAnsi="Times New Roman" w:cs="Times New Roman"/>
          <w:sz w:val="24"/>
          <w:szCs w:val="24"/>
        </w:rPr>
        <w:t xml:space="preserve">pantā noteiktajai institucionālajai piekritībai, izmeklēšanu par KL paredzētajiem </w:t>
      </w:r>
      <w:proofErr w:type="spellStart"/>
      <w:r w:rsidRPr="009E1FD5">
        <w:rPr>
          <w:rFonts w:ascii="Times New Roman" w:hAnsi="Times New Roman" w:cs="Times New Roman"/>
          <w:sz w:val="24"/>
          <w:szCs w:val="24"/>
        </w:rPr>
        <w:t>koruptīvajiem</w:t>
      </w:r>
      <w:proofErr w:type="spellEnd"/>
      <w:r w:rsidRPr="009E1FD5">
        <w:rPr>
          <w:rFonts w:ascii="Times New Roman" w:hAnsi="Times New Roman" w:cs="Times New Roman"/>
          <w:sz w:val="24"/>
          <w:szCs w:val="24"/>
        </w:rPr>
        <w:t xml:space="preserve"> noziedzīgiem nodarījumiem var veikt visas tiesībsargājošās iestādes, kuru kompetencē ir šādu noziedzīgu nodarījumu izmeklēšana.</w:t>
      </w:r>
      <w:r w:rsidR="00906B25">
        <w:rPr>
          <w:rFonts w:ascii="Times New Roman" w:hAnsi="Times New Roman" w:cs="Times New Roman"/>
          <w:sz w:val="24"/>
          <w:szCs w:val="24"/>
        </w:rPr>
        <w:t xml:space="preserve"> Saskaņā ar</w:t>
      </w:r>
      <w:r w:rsidR="000E041A">
        <w:rPr>
          <w:rFonts w:ascii="Times New Roman" w:hAnsi="Times New Roman" w:cs="Times New Roman"/>
          <w:sz w:val="24"/>
          <w:szCs w:val="24"/>
        </w:rPr>
        <w:t xml:space="preserve"> </w:t>
      </w:r>
      <w:r w:rsidR="00BA1C57" w:rsidRPr="009E1FD5">
        <w:rPr>
          <w:rFonts w:ascii="Times New Roman" w:hAnsi="Times New Roman" w:cs="Times New Roman"/>
          <w:sz w:val="24"/>
          <w:szCs w:val="24"/>
        </w:rPr>
        <w:t>KPL 387.</w:t>
      </w:r>
      <w:r w:rsidR="007E683A" w:rsidRPr="009E1FD5">
        <w:rPr>
          <w:rFonts w:ascii="Times New Roman" w:hAnsi="Times New Roman" w:cs="Times New Roman"/>
          <w:sz w:val="24"/>
          <w:szCs w:val="24"/>
        </w:rPr>
        <w:t> </w:t>
      </w:r>
      <w:r w:rsidR="00BA1C57" w:rsidRPr="009E1FD5">
        <w:rPr>
          <w:rFonts w:ascii="Times New Roman" w:hAnsi="Times New Roman" w:cs="Times New Roman"/>
          <w:sz w:val="24"/>
          <w:szCs w:val="24"/>
        </w:rPr>
        <w:t>panta sestajā daļā</w:t>
      </w:r>
      <w:r w:rsidR="00A37454">
        <w:rPr>
          <w:rFonts w:ascii="Times New Roman" w:hAnsi="Times New Roman" w:cs="Times New Roman"/>
          <w:sz w:val="24"/>
          <w:szCs w:val="24"/>
        </w:rPr>
        <w:t xml:space="preserve"> Birojam</w:t>
      </w:r>
      <w:r w:rsidR="00BA1C57" w:rsidRPr="009E1FD5">
        <w:rPr>
          <w:rFonts w:ascii="Times New Roman" w:hAnsi="Times New Roman" w:cs="Times New Roman"/>
          <w:sz w:val="24"/>
          <w:szCs w:val="24"/>
        </w:rPr>
        <w:t xml:space="preserve"> noteikt</w:t>
      </w:r>
      <w:r w:rsidR="00A37454">
        <w:rPr>
          <w:rFonts w:ascii="Times New Roman" w:hAnsi="Times New Roman" w:cs="Times New Roman"/>
          <w:sz w:val="24"/>
          <w:szCs w:val="24"/>
        </w:rPr>
        <w:t>o</w:t>
      </w:r>
      <w:r w:rsidR="00BA1C57" w:rsidRPr="009E1FD5">
        <w:rPr>
          <w:rFonts w:ascii="Times New Roman" w:hAnsi="Times New Roman" w:cs="Times New Roman"/>
          <w:sz w:val="24"/>
          <w:szCs w:val="24"/>
        </w:rPr>
        <w:t xml:space="preserve"> kompetenci un Korupcijas novē</w:t>
      </w:r>
      <w:r w:rsidRPr="009E1FD5">
        <w:rPr>
          <w:rFonts w:ascii="Times New Roman" w:hAnsi="Times New Roman" w:cs="Times New Roman"/>
          <w:sz w:val="24"/>
          <w:szCs w:val="24"/>
        </w:rPr>
        <w:t>ršanas un apkarošanas likuma 8.</w:t>
      </w:r>
      <w:r w:rsidR="007E683A" w:rsidRPr="009E1FD5">
        <w:rPr>
          <w:rFonts w:ascii="Times New Roman" w:hAnsi="Times New Roman" w:cs="Times New Roman"/>
          <w:sz w:val="24"/>
          <w:szCs w:val="24"/>
        </w:rPr>
        <w:t> </w:t>
      </w:r>
      <w:r w:rsidR="00BA1C57" w:rsidRPr="009E1FD5">
        <w:rPr>
          <w:rFonts w:ascii="Times New Roman" w:hAnsi="Times New Roman" w:cs="Times New Roman"/>
          <w:sz w:val="24"/>
          <w:szCs w:val="24"/>
        </w:rPr>
        <w:t>pant</w:t>
      </w:r>
      <w:r w:rsidR="00A37454">
        <w:rPr>
          <w:rFonts w:ascii="Times New Roman" w:hAnsi="Times New Roman" w:cs="Times New Roman"/>
          <w:sz w:val="24"/>
          <w:szCs w:val="24"/>
        </w:rPr>
        <w:t>u</w:t>
      </w:r>
      <w:r w:rsidR="00BA1C57" w:rsidRPr="009E1FD5">
        <w:rPr>
          <w:rFonts w:ascii="Times New Roman" w:hAnsi="Times New Roman" w:cs="Times New Roman"/>
          <w:sz w:val="24"/>
          <w:szCs w:val="24"/>
        </w:rPr>
        <w:t xml:space="preserve">, Birojs </w:t>
      </w:r>
      <w:r w:rsidR="00583228" w:rsidRPr="009E1FD5">
        <w:rPr>
          <w:rFonts w:ascii="Times New Roman" w:hAnsi="Times New Roman" w:cs="Times New Roman"/>
          <w:sz w:val="24"/>
          <w:szCs w:val="24"/>
        </w:rPr>
        <w:t>izmeklē noziedzīgus nodarījumus, kuri saistīti ar politisko organizāciju (partiju) un to apvienību finansēšanas noteikumu pārkāpumiem, kā arī noziedzīgus nodarījumus valsts institūciju dienestā, ja tie ir saistīti ar korupciju.</w:t>
      </w:r>
    </w:p>
    <w:p w:rsidR="004B1466" w:rsidRPr="009E1FD5" w:rsidRDefault="00427426" w:rsidP="009E1FD5">
      <w:pPr>
        <w:spacing w:after="0" w:line="240" w:lineRule="auto"/>
        <w:ind w:firstLine="567"/>
        <w:jc w:val="both"/>
        <w:rPr>
          <w:rFonts w:ascii="Times New Roman" w:hAnsi="Times New Roman" w:cs="Times New Roman"/>
          <w:sz w:val="24"/>
          <w:szCs w:val="24"/>
        </w:rPr>
      </w:pPr>
      <w:r w:rsidRPr="009E1FD5">
        <w:rPr>
          <w:rFonts w:ascii="Times New Roman" w:hAnsi="Times New Roman" w:cs="Times New Roman"/>
          <w:sz w:val="24"/>
          <w:szCs w:val="24"/>
        </w:rPr>
        <w:t xml:space="preserve">Birojā </w:t>
      </w:r>
      <w:r w:rsidR="00BA1C57" w:rsidRPr="009E1FD5">
        <w:rPr>
          <w:rFonts w:ascii="Times New Roman" w:hAnsi="Times New Roman" w:cs="Times New Roman"/>
          <w:sz w:val="24"/>
          <w:szCs w:val="24"/>
        </w:rPr>
        <w:t>2016.</w:t>
      </w:r>
      <w:r w:rsidR="007E683A" w:rsidRPr="009E1FD5">
        <w:rPr>
          <w:rFonts w:ascii="Times New Roman" w:hAnsi="Times New Roman" w:cs="Times New Roman"/>
          <w:sz w:val="24"/>
          <w:szCs w:val="24"/>
        </w:rPr>
        <w:t> </w:t>
      </w:r>
      <w:r w:rsidR="00BA1C57" w:rsidRPr="009E1FD5">
        <w:rPr>
          <w:rFonts w:ascii="Times New Roman" w:hAnsi="Times New Roman" w:cs="Times New Roman"/>
          <w:sz w:val="24"/>
          <w:szCs w:val="24"/>
        </w:rPr>
        <w:t xml:space="preserve">gadā tika uzsākti 19 kriminālprocesi. Pirmajā pusgadā tika uzsākti 11 kriminālprocesi, no kuriem 4 (četri) kriminālprocesi uzsākti pēc iegūtās operatīvās informācijas. Otrajā pusgadā tika uzsākti 8 kriminālprocesi, no kuriem 4 (četri) kriminālprocesi uzsākti pamatojoties uz Operatīvo izstrāžu nodaļas sniegto informāciju. Izmeklējot </w:t>
      </w:r>
      <w:proofErr w:type="spellStart"/>
      <w:r w:rsidR="00BA1C57" w:rsidRPr="009E1FD5">
        <w:rPr>
          <w:rFonts w:ascii="Times New Roman" w:hAnsi="Times New Roman" w:cs="Times New Roman"/>
          <w:sz w:val="24"/>
          <w:szCs w:val="24"/>
        </w:rPr>
        <w:t>koruptīv</w:t>
      </w:r>
      <w:r w:rsidR="00607D81">
        <w:rPr>
          <w:rFonts w:ascii="Times New Roman" w:hAnsi="Times New Roman" w:cs="Times New Roman"/>
          <w:sz w:val="24"/>
          <w:szCs w:val="24"/>
        </w:rPr>
        <w:t>o</w:t>
      </w:r>
      <w:r w:rsidR="00BA1C57" w:rsidRPr="009E1FD5">
        <w:rPr>
          <w:rFonts w:ascii="Times New Roman" w:hAnsi="Times New Roman" w:cs="Times New Roman"/>
          <w:sz w:val="24"/>
          <w:szCs w:val="24"/>
        </w:rPr>
        <w:t>s</w:t>
      </w:r>
      <w:proofErr w:type="spellEnd"/>
      <w:r w:rsidR="00BA1C57" w:rsidRPr="009E1FD5">
        <w:rPr>
          <w:rFonts w:ascii="Times New Roman" w:hAnsi="Times New Roman" w:cs="Times New Roman"/>
          <w:sz w:val="24"/>
          <w:szCs w:val="24"/>
        </w:rPr>
        <w:t xml:space="preserve"> noziedzīg</w:t>
      </w:r>
      <w:r w:rsidR="00923283">
        <w:rPr>
          <w:rFonts w:ascii="Times New Roman" w:hAnsi="Times New Roman" w:cs="Times New Roman"/>
          <w:sz w:val="24"/>
          <w:szCs w:val="24"/>
        </w:rPr>
        <w:t>o</w:t>
      </w:r>
      <w:r w:rsidR="00BA1C57" w:rsidRPr="009E1FD5">
        <w:rPr>
          <w:rFonts w:ascii="Times New Roman" w:hAnsi="Times New Roman" w:cs="Times New Roman"/>
          <w:sz w:val="24"/>
          <w:szCs w:val="24"/>
        </w:rPr>
        <w:t>s nodarījumus, 2016.</w:t>
      </w:r>
      <w:r w:rsidR="007E683A" w:rsidRPr="009E1FD5">
        <w:rPr>
          <w:rFonts w:ascii="Times New Roman" w:hAnsi="Times New Roman" w:cs="Times New Roman"/>
          <w:sz w:val="24"/>
          <w:szCs w:val="24"/>
        </w:rPr>
        <w:t> </w:t>
      </w:r>
      <w:r w:rsidR="00BA1C57" w:rsidRPr="009E1FD5">
        <w:rPr>
          <w:rFonts w:ascii="Times New Roman" w:hAnsi="Times New Roman" w:cs="Times New Roman"/>
          <w:sz w:val="24"/>
          <w:szCs w:val="24"/>
        </w:rPr>
        <w:t>gadā kopā kriminālvajāšanai prokuratūras iestādēm tika nosūtīti 14 kriminālprocesi pret 35 personām.</w:t>
      </w:r>
      <w:r w:rsidR="00816ABD" w:rsidRPr="009E1FD5">
        <w:rPr>
          <w:rFonts w:ascii="Times New Roman" w:hAnsi="Times New Roman" w:cs="Times New Roman"/>
          <w:sz w:val="24"/>
          <w:szCs w:val="24"/>
        </w:rPr>
        <w:t xml:space="preserve"> Savukārt, </w:t>
      </w:r>
      <w:r w:rsidR="004B1466" w:rsidRPr="009E1FD5">
        <w:rPr>
          <w:rFonts w:ascii="Times New Roman" w:hAnsi="Times New Roman" w:cs="Times New Roman"/>
          <w:sz w:val="24"/>
          <w:szCs w:val="24"/>
        </w:rPr>
        <w:t xml:space="preserve"> 2017.gada 1.pusgadā uzsākti 16 kriminālprocesi, no tiem 4 pēc Operatīvo izstrāžu nodaļas ziņojumiem. Kriminālvajāšanai prokuratūras iestādēm nosūtīti 8 kriminālprocesi, pret 24 personām.</w:t>
      </w:r>
    </w:p>
    <w:p w:rsidR="00066CDE" w:rsidRPr="0084089A" w:rsidRDefault="00BA1C57" w:rsidP="009E1FD5">
      <w:pPr>
        <w:spacing w:after="0" w:line="240" w:lineRule="auto"/>
        <w:ind w:firstLine="567"/>
        <w:jc w:val="both"/>
        <w:rPr>
          <w:rFonts w:ascii="Times New Roman" w:hAnsi="Times New Roman" w:cs="Times New Roman"/>
          <w:sz w:val="24"/>
          <w:szCs w:val="24"/>
        </w:rPr>
      </w:pPr>
      <w:r w:rsidRPr="009E1FD5">
        <w:rPr>
          <w:rFonts w:ascii="Times New Roman" w:hAnsi="Times New Roman" w:cs="Times New Roman"/>
          <w:sz w:val="24"/>
          <w:szCs w:val="24"/>
        </w:rPr>
        <w:t>Biroj</w:t>
      </w:r>
      <w:r w:rsidR="00B1333F" w:rsidRPr="009E1FD5">
        <w:rPr>
          <w:rFonts w:ascii="Times New Roman" w:hAnsi="Times New Roman" w:cs="Times New Roman"/>
          <w:sz w:val="24"/>
          <w:szCs w:val="24"/>
        </w:rPr>
        <w:t>a</w:t>
      </w:r>
      <w:r w:rsidRPr="009E1FD5">
        <w:rPr>
          <w:rFonts w:ascii="Times New Roman" w:hAnsi="Times New Roman" w:cs="Times New Roman"/>
          <w:sz w:val="24"/>
          <w:szCs w:val="24"/>
        </w:rPr>
        <w:t xml:space="preserve"> organizētās sanāksmes laikā </w:t>
      </w:r>
      <w:r w:rsidR="00931DB0" w:rsidRPr="009E1FD5">
        <w:rPr>
          <w:rFonts w:ascii="Times New Roman" w:hAnsi="Times New Roman" w:cs="Times New Roman"/>
          <w:sz w:val="24"/>
          <w:szCs w:val="24"/>
        </w:rPr>
        <w:t>tika secināts, ka nav pamata</w:t>
      </w:r>
      <w:r w:rsidRPr="009E1FD5">
        <w:rPr>
          <w:rFonts w:ascii="Times New Roman" w:hAnsi="Times New Roman" w:cs="Times New Roman"/>
          <w:sz w:val="24"/>
          <w:szCs w:val="24"/>
        </w:rPr>
        <w:t xml:space="preserve"> pārskatīt </w:t>
      </w:r>
      <w:r w:rsidR="0070678A" w:rsidRPr="009E1FD5">
        <w:rPr>
          <w:rFonts w:ascii="Times New Roman" w:hAnsi="Times New Roman" w:cs="Times New Roman"/>
          <w:sz w:val="24"/>
          <w:szCs w:val="24"/>
        </w:rPr>
        <w:t>pēc būtības KL 198. vai 199.</w:t>
      </w:r>
      <w:r w:rsidR="007E683A" w:rsidRPr="009E1FD5">
        <w:rPr>
          <w:rFonts w:ascii="Times New Roman" w:hAnsi="Times New Roman" w:cs="Times New Roman"/>
          <w:sz w:val="24"/>
          <w:szCs w:val="24"/>
        </w:rPr>
        <w:t> </w:t>
      </w:r>
      <w:r w:rsidRPr="009E1FD5">
        <w:rPr>
          <w:rFonts w:ascii="Times New Roman" w:hAnsi="Times New Roman" w:cs="Times New Roman"/>
          <w:sz w:val="24"/>
          <w:szCs w:val="24"/>
        </w:rPr>
        <w:t>pantos minēto noziedzīgo nodarījumu tiesisko</w:t>
      </w:r>
      <w:r w:rsidR="0070678A" w:rsidRPr="009E1FD5">
        <w:rPr>
          <w:rFonts w:ascii="Times New Roman" w:hAnsi="Times New Roman" w:cs="Times New Roman"/>
          <w:sz w:val="24"/>
          <w:szCs w:val="24"/>
        </w:rPr>
        <w:t>s</w:t>
      </w:r>
      <w:r w:rsidRPr="009E1FD5">
        <w:rPr>
          <w:rFonts w:ascii="Times New Roman" w:hAnsi="Times New Roman" w:cs="Times New Roman"/>
          <w:sz w:val="24"/>
          <w:szCs w:val="24"/>
        </w:rPr>
        <w:t xml:space="preserve"> sastāvu</w:t>
      </w:r>
      <w:r w:rsidR="0070678A" w:rsidRPr="009E1FD5">
        <w:rPr>
          <w:rFonts w:ascii="Times New Roman" w:hAnsi="Times New Roman" w:cs="Times New Roman"/>
          <w:sz w:val="24"/>
          <w:szCs w:val="24"/>
        </w:rPr>
        <w:t>s</w:t>
      </w:r>
      <w:r w:rsidR="00931DB0" w:rsidRPr="009E1FD5">
        <w:rPr>
          <w:rFonts w:ascii="Times New Roman" w:hAnsi="Times New Roman" w:cs="Times New Roman"/>
          <w:sz w:val="24"/>
          <w:szCs w:val="24"/>
        </w:rPr>
        <w:t xml:space="preserve"> un noteikt, ka visi </w:t>
      </w:r>
      <w:proofErr w:type="spellStart"/>
      <w:r w:rsidR="00931DB0" w:rsidRPr="009E1FD5">
        <w:rPr>
          <w:rFonts w:ascii="Times New Roman" w:hAnsi="Times New Roman" w:cs="Times New Roman"/>
          <w:sz w:val="24"/>
          <w:szCs w:val="24"/>
        </w:rPr>
        <w:t>koruptīvie</w:t>
      </w:r>
      <w:proofErr w:type="spellEnd"/>
      <w:r w:rsidR="00931DB0" w:rsidRPr="009E1FD5">
        <w:rPr>
          <w:rFonts w:ascii="Times New Roman" w:hAnsi="Times New Roman" w:cs="Times New Roman"/>
          <w:sz w:val="24"/>
          <w:szCs w:val="24"/>
        </w:rPr>
        <w:t xml:space="preserve"> noziedzīgie nodarījumi grupējami vienā KL nodaļā. </w:t>
      </w:r>
      <w:r w:rsidR="003D4C14" w:rsidRPr="009E1FD5">
        <w:rPr>
          <w:rFonts w:ascii="Times New Roman" w:hAnsi="Times New Roman" w:cs="Times New Roman"/>
          <w:sz w:val="24"/>
          <w:szCs w:val="24"/>
        </w:rPr>
        <w:t xml:space="preserve">Konkrētu noziedzīgu nodarījumu institucionālās piekritības jautājumi risināmi atbilstoši KPL noteiktajai kārtībai. </w:t>
      </w:r>
      <w:r w:rsidR="003D4C14" w:rsidRPr="0084089A">
        <w:rPr>
          <w:rFonts w:ascii="Times New Roman" w:hAnsi="Times New Roman" w:cs="Times New Roman"/>
          <w:sz w:val="24"/>
          <w:szCs w:val="24"/>
        </w:rPr>
        <w:t>Ņemot vērā to, ka KL 198.</w:t>
      </w:r>
      <w:r w:rsidR="003F3C12" w:rsidRPr="0084089A">
        <w:rPr>
          <w:rFonts w:ascii="Times New Roman" w:hAnsi="Times New Roman" w:cs="Times New Roman"/>
          <w:sz w:val="24"/>
          <w:szCs w:val="24"/>
        </w:rPr>
        <w:t>,</w:t>
      </w:r>
      <w:r w:rsidR="003D4C14" w:rsidRPr="0084089A">
        <w:rPr>
          <w:rFonts w:ascii="Times New Roman" w:hAnsi="Times New Roman" w:cs="Times New Roman"/>
          <w:sz w:val="24"/>
          <w:szCs w:val="24"/>
        </w:rPr>
        <w:t xml:space="preserve"> 199.</w:t>
      </w:r>
      <w:r w:rsidR="003F3C12" w:rsidRPr="0084089A">
        <w:rPr>
          <w:rFonts w:ascii="Times New Roman" w:hAnsi="Times New Roman" w:cs="Times New Roman"/>
          <w:sz w:val="24"/>
          <w:szCs w:val="24"/>
        </w:rPr>
        <w:t xml:space="preserve"> un 196.</w:t>
      </w:r>
      <w:r w:rsidR="007E683A" w:rsidRPr="0084089A">
        <w:rPr>
          <w:rFonts w:ascii="Times New Roman" w:hAnsi="Times New Roman" w:cs="Times New Roman"/>
          <w:sz w:val="24"/>
          <w:szCs w:val="24"/>
        </w:rPr>
        <w:t> </w:t>
      </w:r>
      <w:r w:rsidR="003D4C14" w:rsidRPr="0084089A">
        <w:rPr>
          <w:rFonts w:ascii="Times New Roman" w:hAnsi="Times New Roman" w:cs="Times New Roman"/>
          <w:sz w:val="24"/>
          <w:szCs w:val="24"/>
        </w:rPr>
        <w:t xml:space="preserve">pantu soda sankcijas atšķiras no </w:t>
      </w:r>
      <w:r w:rsidR="00066CDE" w:rsidRPr="0084089A">
        <w:rPr>
          <w:rFonts w:ascii="Times New Roman" w:hAnsi="Times New Roman" w:cs="Times New Roman"/>
          <w:sz w:val="24"/>
          <w:szCs w:val="24"/>
        </w:rPr>
        <w:t xml:space="preserve">soda sankcijām par </w:t>
      </w:r>
      <w:proofErr w:type="spellStart"/>
      <w:r w:rsidR="00066CDE" w:rsidRPr="0084089A">
        <w:rPr>
          <w:rFonts w:ascii="Times New Roman" w:hAnsi="Times New Roman" w:cs="Times New Roman"/>
          <w:sz w:val="24"/>
          <w:szCs w:val="24"/>
        </w:rPr>
        <w:t>koruptīvajiem</w:t>
      </w:r>
      <w:proofErr w:type="spellEnd"/>
      <w:r w:rsidR="003D4C14" w:rsidRPr="0084089A">
        <w:rPr>
          <w:rFonts w:ascii="Times New Roman" w:hAnsi="Times New Roman" w:cs="Times New Roman"/>
          <w:sz w:val="24"/>
          <w:szCs w:val="24"/>
        </w:rPr>
        <w:t xml:space="preserve"> noziedzīg</w:t>
      </w:r>
      <w:r w:rsidR="00066CDE" w:rsidRPr="0084089A">
        <w:rPr>
          <w:rFonts w:ascii="Times New Roman" w:hAnsi="Times New Roman" w:cs="Times New Roman"/>
          <w:sz w:val="24"/>
          <w:szCs w:val="24"/>
        </w:rPr>
        <w:t>iem</w:t>
      </w:r>
      <w:r w:rsidR="003D4C14" w:rsidRPr="0084089A">
        <w:rPr>
          <w:rFonts w:ascii="Times New Roman" w:hAnsi="Times New Roman" w:cs="Times New Roman"/>
          <w:sz w:val="24"/>
          <w:szCs w:val="24"/>
        </w:rPr>
        <w:t xml:space="preserve"> nodarījum</w:t>
      </w:r>
      <w:r w:rsidR="00066CDE" w:rsidRPr="0084089A">
        <w:rPr>
          <w:rFonts w:ascii="Times New Roman" w:hAnsi="Times New Roman" w:cs="Times New Roman"/>
          <w:sz w:val="24"/>
          <w:szCs w:val="24"/>
        </w:rPr>
        <w:t>iem</w:t>
      </w:r>
      <w:r w:rsidR="003D4C14" w:rsidRPr="0084089A">
        <w:rPr>
          <w:rFonts w:ascii="Times New Roman" w:hAnsi="Times New Roman" w:cs="Times New Roman"/>
          <w:sz w:val="24"/>
          <w:szCs w:val="24"/>
        </w:rPr>
        <w:t xml:space="preserve"> publiskajā sektorā, </w:t>
      </w:r>
      <w:r w:rsidR="00652171" w:rsidRPr="0084089A">
        <w:rPr>
          <w:rFonts w:ascii="Times New Roman" w:hAnsi="Times New Roman" w:cs="Times New Roman"/>
          <w:sz w:val="24"/>
          <w:szCs w:val="24"/>
        </w:rPr>
        <w:t>jā</w:t>
      </w:r>
      <w:r w:rsidR="00E14F64" w:rsidRPr="0084089A">
        <w:rPr>
          <w:rFonts w:ascii="Times New Roman" w:hAnsi="Times New Roman" w:cs="Times New Roman"/>
          <w:sz w:val="24"/>
          <w:szCs w:val="24"/>
        </w:rPr>
        <w:t>vērtē</w:t>
      </w:r>
      <w:r w:rsidR="00CC0D42" w:rsidRPr="0084089A">
        <w:rPr>
          <w:rFonts w:ascii="Times New Roman" w:hAnsi="Times New Roman" w:cs="Times New Roman"/>
          <w:sz w:val="24"/>
          <w:szCs w:val="24"/>
        </w:rPr>
        <w:t xml:space="preserve"> </w:t>
      </w:r>
      <w:r w:rsidR="00497084" w:rsidRPr="0084089A">
        <w:rPr>
          <w:rFonts w:ascii="Times New Roman" w:hAnsi="Times New Roman" w:cs="Times New Roman"/>
          <w:sz w:val="24"/>
          <w:szCs w:val="24"/>
        </w:rPr>
        <w:t xml:space="preserve">vai </w:t>
      </w:r>
      <w:r w:rsidR="008870B5">
        <w:rPr>
          <w:rFonts w:ascii="Times New Roman" w:hAnsi="Times New Roman" w:cs="Times New Roman"/>
          <w:sz w:val="24"/>
          <w:szCs w:val="24"/>
        </w:rPr>
        <w:t xml:space="preserve">palielinot </w:t>
      </w:r>
      <w:r w:rsidR="005B26BE">
        <w:rPr>
          <w:rFonts w:ascii="Times New Roman" w:hAnsi="Times New Roman" w:cs="Times New Roman"/>
          <w:sz w:val="24"/>
          <w:szCs w:val="24"/>
        </w:rPr>
        <w:t>soda sankciju apmēr</w:t>
      </w:r>
      <w:r w:rsidR="008870B5">
        <w:rPr>
          <w:rFonts w:ascii="Times New Roman" w:hAnsi="Times New Roman" w:cs="Times New Roman"/>
          <w:sz w:val="24"/>
          <w:szCs w:val="24"/>
        </w:rPr>
        <w:t>u</w:t>
      </w:r>
      <w:r w:rsidR="005B26BE">
        <w:rPr>
          <w:rFonts w:ascii="Times New Roman" w:hAnsi="Times New Roman" w:cs="Times New Roman"/>
          <w:sz w:val="24"/>
          <w:szCs w:val="24"/>
        </w:rPr>
        <w:t xml:space="preserve"> </w:t>
      </w:r>
      <w:r w:rsidR="005B26BE" w:rsidRPr="005B26BE">
        <w:rPr>
          <w:rFonts w:ascii="Times New Roman" w:hAnsi="Times New Roman" w:cs="Times New Roman"/>
          <w:sz w:val="24"/>
          <w:szCs w:val="24"/>
        </w:rPr>
        <w:t>KL 198., 199. un 196. pant</w:t>
      </w:r>
      <w:r w:rsidR="005B26BE">
        <w:rPr>
          <w:rFonts w:ascii="Times New Roman" w:hAnsi="Times New Roman" w:cs="Times New Roman"/>
          <w:sz w:val="24"/>
          <w:szCs w:val="24"/>
        </w:rPr>
        <w:t xml:space="preserve">os </w:t>
      </w:r>
      <w:r w:rsidR="008870B5">
        <w:rPr>
          <w:rFonts w:ascii="Times New Roman" w:hAnsi="Times New Roman" w:cs="Times New Roman"/>
          <w:sz w:val="24"/>
          <w:szCs w:val="24"/>
        </w:rPr>
        <w:t>tiks</w:t>
      </w:r>
      <w:r w:rsidR="005B26BE">
        <w:rPr>
          <w:rFonts w:ascii="Times New Roman" w:hAnsi="Times New Roman" w:cs="Times New Roman"/>
          <w:sz w:val="24"/>
          <w:szCs w:val="24"/>
        </w:rPr>
        <w:t xml:space="preserve"> noteikts </w:t>
      </w:r>
      <w:r w:rsidR="00497084" w:rsidRPr="0084089A">
        <w:rPr>
          <w:rFonts w:ascii="Times New Roman" w:hAnsi="Times New Roman" w:cs="Times New Roman"/>
          <w:sz w:val="24"/>
          <w:szCs w:val="24"/>
        </w:rPr>
        <w:t>efektīv</w:t>
      </w:r>
      <w:r w:rsidR="005B26BE">
        <w:rPr>
          <w:rFonts w:ascii="Times New Roman" w:hAnsi="Times New Roman" w:cs="Times New Roman"/>
          <w:sz w:val="24"/>
          <w:szCs w:val="24"/>
        </w:rPr>
        <w:t>s</w:t>
      </w:r>
      <w:r w:rsidR="00497084" w:rsidRPr="0084089A">
        <w:rPr>
          <w:rFonts w:ascii="Times New Roman" w:hAnsi="Times New Roman" w:cs="Times New Roman"/>
          <w:sz w:val="24"/>
          <w:szCs w:val="24"/>
        </w:rPr>
        <w:t>, proporcionāl</w:t>
      </w:r>
      <w:r w:rsidR="005B26BE">
        <w:rPr>
          <w:rFonts w:ascii="Times New Roman" w:hAnsi="Times New Roman" w:cs="Times New Roman"/>
          <w:sz w:val="24"/>
          <w:szCs w:val="24"/>
        </w:rPr>
        <w:t>s</w:t>
      </w:r>
      <w:r w:rsidR="00497084" w:rsidRPr="0084089A">
        <w:rPr>
          <w:rFonts w:ascii="Times New Roman" w:hAnsi="Times New Roman" w:cs="Times New Roman"/>
          <w:sz w:val="24"/>
          <w:szCs w:val="24"/>
        </w:rPr>
        <w:t xml:space="preserve"> un atturoš</w:t>
      </w:r>
      <w:r w:rsidR="005B26BE">
        <w:rPr>
          <w:rFonts w:ascii="Times New Roman" w:hAnsi="Times New Roman" w:cs="Times New Roman"/>
          <w:sz w:val="24"/>
          <w:szCs w:val="24"/>
        </w:rPr>
        <w:t>s</w:t>
      </w:r>
      <w:r w:rsidR="00497084" w:rsidRPr="0084089A">
        <w:rPr>
          <w:rFonts w:ascii="Times New Roman" w:hAnsi="Times New Roman" w:cs="Times New Roman"/>
          <w:sz w:val="24"/>
          <w:szCs w:val="24"/>
        </w:rPr>
        <w:t xml:space="preserve"> krimināls</w:t>
      </w:r>
      <w:r w:rsidR="0084089A" w:rsidRPr="0084089A">
        <w:rPr>
          <w:rFonts w:ascii="Times New Roman" w:hAnsi="Times New Roman" w:cs="Times New Roman"/>
          <w:sz w:val="24"/>
          <w:szCs w:val="24"/>
        </w:rPr>
        <w:t>od</w:t>
      </w:r>
      <w:r w:rsidR="005B26BE">
        <w:rPr>
          <w:rFonts w:ascii="Times New Roman" w:hAnsi="Times New Roman" w:cs="Times New Roman"/>
          <w:sz w:val="24"/>
          <w:szCs w:val="24"/>
        </w:rPr>
        <w:t>s</w:t>
      </w:r>
      <w:r w:rsidR="0084089A" w:rsidRPr="0084089A">
        <w:rPr>
          <w:rFonts w:ascii="Times New Roman" w:hAnsi="Times New Roman" w:cs="Times New Roman"/>
          <w:sz w:val="24"/>
          <w:szCs w:val="24"/>
        </w:rPr>
        <w:t xml:space="preserve"> par izdarītajiem pārkāpumiem</w:t>
      </w:r>
      <w:r w:rsidR="00497084" w:rsidRPr="0084089A">
        <w:rPr>
          <w:rFonts w:ascii="Times New Roman" w:hAnsi="Times New Roman" w:cs="Times New Roman"/>
          <w:sz w:val="24"/>
          <w:szCs w:val="24"/>
        </w:rPr>
        <w:t>.</w:t>
      </w:r>
    </w:p>
    <w:p w:rsidR="004B0CC1" w:rsidRPr="009E1FD5" w:rsidRDefault="004B0CC1" w:rsidP="009E1FD5">
      <w:pPr>
        <w:spacing w:after="0" w:line="240" w:lineRule="auto"/>
        <w:ind w:firstLine="567"/>
        <w:jc w:val="both"/>
        <w:rPr>
          <w:rFonts w:ascii="Times New Roman" w:hAnsi="Times New Roman" w:cs="Times New Roman"/>
          <w:sz w:val="24"/>
          <w:szCs w:val="24"/>
        </w:rPr>
      </w:pPr>
    </w:p>
    <w:p w:rsidR="00BA1C57" w:rsidRPr="009E1FD5" w:rsidRDefault="00BA1C57" w:rsidP="009E1FD5">
      <w:pPr>
        <w:pStyle w:val="ListParagraph"/>
        <w:numPr>
          <w:ilvl w:val="0"/>
          <w:numId w:val="1"/>
        </w:numPr>
        <w:spacing w:after="0" w:line="240" w:lineRule="auto"/>
        <w:ind w:left="0"/>
        <w:jc w:val="center"/>
        <w:rPr>
          <w:rFonts w:ascii="Times New Roman" w:hAnsi="Times New Roman" w:cs="Times New Roman"/>
          <w:b/>
          <w:sz w:val="24"/>
          <w:szCs w:val="24"/>
        </w:rPr>
      </w:pPr>
      <w:r w:rsidRPr="009E1FD5">
        <w:rPr>
          <w:rFonts w:ascii="Times New Roman" w:hAnsi="Times New Roman" w:cs="Times New Roman"/>
          <w:b/>
          <w:sz w:val="24"/>
          <w:szCs w:val="24"/>
        </w:rPr>
        <w:t>Secinājumi</w:t>
      </w:r>
    </w:p>
    <w:p w:rsidR="00BA1C57" w:rsidRPr="009E1FD5" w:rsidRDefault="00BA1C57" w:rsidP="009E1FD5">
      <w:pPr>
        <w:pStyle w:val="ListParagraph"/>
        <w:spacing w:after="0" w:line="240" w:lineRule="auto"/>
        <w:ind w:left="0" w:firstLine="567"/>
        <w:jc w:val="both"/>
        <w:rPr>
          <w:rFonts w:ascii="Times New Roman" w:hAnsi="Times New Roman" w:cs="Times New Roman"/>
          <w:b/>
          <w:sz w:val="24"/>
          <w:szCs w:val="24"/>
        </w:rPr>
      </w:pPr>
    </w:p>
    <w:p w:rsidR="000E7938" w:rsidRDefault="00066CDE" w:rsidP="000E7938">
      <w:pPr>
        <w:pStyle w:val="ListParagraph"/>
        <w:numPr>
          <w:ilvl w:val="0"/>
          <w:numId w:val="4"/>
        </w:numPr>
        <w:spacing w:after="0" w:line="240" w:lineRule="auto"/>
        <w:ind w:left="0" w:firstLine="0"/>
        <w:jc w:val="both"/>
        <w:rPr>
          <w:rFonts w:ascii="Times New Roman" w:hAnsi="Times New Roman" w:cs="Times New Roman"/>
          <w:sz w:val="24"/>
          <w:szCs w:val="24"/>
        </w:rPr>
      </w:pPr>
      <w:r w:rsidRPr="006D693A">
        <w:rPr>
          <w:rFonts w:ascii="Times New Roman" w:hAnsi="Times New Roman" w:cs="Times New Roman"/>
          <w:sz w:val="24"/>
          <w:szCs w:val="24"/>
        </w:rPr>
        <w:t>Biroja</w:t>
      </w:r>
      <w:r w:rsidR="00F95E2A" w:rsidRPr="006D693A">
        <w:rPr>
          <w:rFonts w:ascii="Times New Roman" w:hAnsi="Times New Roman" w:cs="Times New Roman"/>
          <w:sz w:val="24"/>
          <w:szCs w:val="24"/>
        </w:rPr>
        <w:t>m</w:t>
      </w:r>
      <w:r w:rsidRPr="006D693A">
        <w:rPr>
          <w:rFonts w:ascii="Times New Roman" w:hAnsi="Times New Roman" w:cs="Times New Roman"/>
          <w:sz w:val="24"/>
          <w:szCs w:val="24"/>
        </w:rPr>
        <w:t xml:space="preserve"> </w:t>
      </w:r>
      <w:r w:rsidR="00F95E2A" w:rsidRPr="006D693A">
        <w:rPr>
          <w:rFonts w:ascii="Times New Roman" w:hAnsi="Times New Roman" w:cs="Times New Roman"/>
          <w:sz w:val="24"/>
          <w:szCs w:val="24"/>
        </w:rPr>
        <w:t>jāturpina izpēte par konceptuāli jaunas pieejas ieviešanu korupcijas apkarošanai, kas šobrīd Latvijas tiesību sistēmai nav raksturīga</w:t>
      </w:r>
      <w:r w:rsidR="000E7938">
        <w:rPr>
          <w:rFonts w:ascii="Times New Roman" w:hAnsi="Times New Roman" w:cs="Times New Roman"/>
          <w:sz w:val="24"/>
          <w:szCs w:val="24"/>
        </w:rPr>
        <w:t xml:space="preserve">, </w:t>
      </w:r>
      <w:r w:rsidR="00EE6B44">
        <w:rPr>
          <w:rFonts w:ascii="Times New Roman" w:hAnsi="Times New Roman" w:cs="Times New Roman"/>
          <w:sz w:val="24"/>
          <w:szCs w:val="24"/>
        </w:rPr>
        <w:t>vienlaikus</w:t>
      </w:r>
      <w:r w:rsidR="000E7938">
        <w:rPr>
          <w:rFonts w:ascii="Times New Roman" w:hAnsi="Times New Roman" w:cs="Times New Roman"/>
          <w:sz w:val="24"/>
          <w:szCs w:val="24"/>
        </w:rPr>
        <w:t xml:space="preserve"> paplašinot </w:t>
      </w:r>
      <w:r w:rsidR="000E7938" w:rsidRPr="000E7938">
        <w:rPr>
          <w:rFonts w:ascii="Times New Roman" w:hAnsi="Times New Roman" w:cs="Times New Roman"/>
          <w:sz w:val="24"/>
          <w:szCs w:val="24"/>
        </w:rPr>
        <w:t xml:space="preserve">Biroja kompetenci attiecībā uz tiesībām izmeklēt </w:t>
      </w:r>
      <w:proofErr w:type="spellStart"/>
      <w:r w:rsidR="000E7938" w:rsidRPr="000E7938">
        <w:rPr>
          <w:rFonts w:ascii="Times New Roman" w:hAnsi="Times New Roman" w:cs="Times New Roman"/>
          <w:sz w:val="24"/>
          <w:szCs w:val="24"/>
        </w:rPr>
        <w:t>koruptīv</w:t>
      </w:r>
      <w:r w:rsidR="00607D81">
        <w:rPr>
          <w:rFonts w:ascii="Times New Roman" w:hAnsi="Times New Roman" w:cs="Times New Roman"/>
          <w:sz w:val="24"/>
          <w:szCs w:val="24"/>
        </w:rPr>
        <w:t>o</w:t>
      </w:r>
      <w:r w:rsidR="000E7938" w:rsidRPr="000E7938">
        <w:rPr>
          <w:rFonts w:ascii="Times New Roman" w:hAnsi="Times New Roman" w:cs="Times New Roman"/>
          <w:sz w:val="24"/>
          <w:szCs w:val="24"/>
        </w:rPr>
        <w:t>s</w:t>
      </w:r>
      <w:proofErr w:type="spellEnd"/>
      <w:r w:rsidR="000E7938" w:rsidRPr="000E7938">
        <w:rPr>
          <w:rFonts w:ascii="Times New Roman" w:hAnsi="Times New Roman" w:cs="Times New Roman"/>
          <w:sz w:val="24"/>
          <w:szCs w:val="24"/>
        </w:rPr>
        <w:t xml:space="preserve"> noziedzīg</w:t>
      </w:r>
      <w:r w:rsidR="00923283">
        <w:rPr>
          <w:rFonts w:ascii="Times New Roman" w:hAnsi="Times New Roman" w:cs="Times New Roman"/>
          <w:sz w:val="24"/>
          <w:szCs w:val="24"/>
        </w:rPr>
        <w:t>o</w:t>
      </w:r>
      <w:r w:rsidR="000E7938" w:rsidRPr="000E7938">
        <w:rPr>
          <w:rFonts w:ascii="Times New Roman" w:hAnsi="Times New Roman" w:cs="Times New Roman"/>
          <w:sz w:val="24"/>
          <w:szCs w:val="24"/>
        </w:rPr>
        <w:t>s nodarījumus privātajā sektorā</w:t>
      </w:r>
      <w:r w:rsidR="000E7938">
        <w:rPr>
          <w:rFonts w:ascii="Times New Roman" w:hAnsi="Times New Roman" w:cs="Times New Roman"/>
          <w:sz w:val="24"/>
          <w:szCs w:val="24"/>
        </w:rPr>
        <w:t>.</w:t>
      </w:r>
      <w:r w:rsidR="000E7938" w:rsidRPr="000E7938">
        <w:rPr>
          <w:rFonts w:ascii="Times New Roman" w:hAnsi="Times New Roman" w:cs="Times New Roman"/>
          <w:sz w:val="24"/>
          <w:szCs w:val="24"/>
        </w:rPr>
        <w:t xml:space="preserve"> </w:t>
      </w:r>
    </w:p>
    <w:p w:rsidR="00BC7F95" w:rsidRPr="006D693A" w:rsidRDefault="004B0CC1" w:rsidP="000E7938">
      <w:pPr>
        <w:pStyle w:val="ListParagraph"/>
        <w:numPr>
          <w:ilvl w:val="0"/>
          <w:numId w:val="4"/>
        </w:numPr>
        <w:spacing w:after="0" w:line="240" w:lineRule="auto"/>
        <w:ind w:left="0" w:firstLine="0"/>
        <w:jc w:val="both"/>
        <w:rPr>
          <w:rFonts w:ascii="Times New Roman" w:hAnsi="Times New Roman" w:cs="Times New Roman"/>
          <w:sz w:val="24"/>
          <w:szCs w:val="24"/>
        </w:rPr>
      </w:pPr>
      <w:r w:rsidRPr="006D693A">
        <w:rPr>
          <w:rFonts w:ascii="Times New Roman" w:hAnsi="Times New Roman" w:cs="Times New Roman"/>
          <w:sz w:val="24"/>
          <w:szCs w:val="24"/>
        </w:rPr>
        <w:t>Š</w:t>
      </w:r>
      <w:r w:rsidR="00F95E2A" w:rsidRPr="006D693A">
        <w:rPr>
          <w:rFonts w:ascii="Times New Roman" w:hAnsi="Times New Roman" w:cs="Times New Roman"/>
          <w:sz w:val="24"/>
          <w:szCs w:val="24"/>
        </w:rPr>
        <w:t xml:space="preserve">obrīd Biroja </w:t>
      </w:r>
      <w:r w:rsidR="00066CDE" w:rsidRPr="006D693A">
        <w:rPr>
          <w:rFonts w:ascii="Times New Roman" w:hAnsi="Times New Roman" w:cs="Times New Roman"/>
          <w:sz w:val="24"/>
          <w:szCs w:val="24"/>
        </w:rPr>
        <w:t>k</w:t>
      </w:r>
      <w:r w:rsidR="00BA1C57" w:rsidRPr="006D693A">
        <w:rPr>
          <w:rFonts w:ascii="Times New Roman" w:hAnsi="Times New Roman" w:cs="Times New Roman"/>
          <w:sz w:val="24"/>
          <w:szCs w:val="24"/>
        </w:rPr>
        <w:t>ompetenc</w:t>
      </w:r>
      <w:r w:rsidR="003F3C12" w:rsidRPr="006D693A">
        <w:rPr>
          <w:rFonts w:ascii="Times New Roman" w:hAnsi="Times New Roman" w:cs="Times New Roman"/>
          <w:sz w:val="24"/>
          <w:szCs w:val="24"/>
        </w:rPr>
        <w:t>es paplašināšana</w:t>
      </w:r>
      <w:r w:rsidR="00066CDE" w:rsidRPr="006D693A">
        <w:rPr>
          <w:rFonts w:ascii="Times New Roman" w:hAnsi="Times New Roman" w:cs="Times New Roman"/>
          <w:sz w:val="24"/>
          <w:szCs w:val="24"/>
        </w:rPr>
        <w:t>, nosakot</w:t>
      </w:r>
      <w:r w:rsidR="00BA2D76">
        <w:rPr>
          <w:rFonts w:ascii="Times New Roman" w:hAnsi="Times New Roman" w:cs="Times New Roman"/>
          <w:sz w:val="24"/>
          <w:szCs w:val="24"/>
        </w:rPr>
        <w:t xml:space="preserve"> pienākumu</w:t>
      </w:r>
      <w:r w:rsidR="00066CDE" w:rsidRPr="006D693A">
        <w:rPr>
          <w:rFonts w:ascii="Times New Roman" w:hAnsi="Times New Roman" w:cs="Times New Roman"/>
          <w:sz w:val="24"/>
          <w:szCs w:val="24"/>
        </w:rPr>
        <w:t xml:space="preserve"> </w:t>
      </w:r>
      <w:r w:rsidR="00BA1C57" w:rsidRPr="006D693A">
        <w:rPr>
          <w:rFonts w:ascii="Times New Roman" w:hAnsi="Times New Roman" w:cs="Times New Roman"/>
          <w:sz w:val="24"/>
          <w:szCs w:val="24"/>
        </w:rPr>
        <w:t xml:space="preserve">izmeklēt </w:t>
      </w:r>
      <w:proofErr w:type="spellStart"/>
      <w:r w:rsidR="00066CDE" w:rsidRPr="006D693A">
        <w:rPr>
          <w:rFonts w:ascii="Times New Roman" w:hAnsi="Times New Roman" w:cs="Times New Roman"/>
          <w:sz w:val="24"/>
          <w:szCs w:val="24"/>
        </w:rPr>
        <w:t>koruptīvos</w:t>
      </w:r>
      <w:proofErr w:type="spellEnd"/>
      <w:r w:rsidR="00066CDE" w:rsidRPr="006D693A">
        <w:rPr>
          <w:rFonts w:ascii="Times New Roman" w:hAnsi="Times New Roman" w:cs="Times New Roman"/>
          <w:sz w:val="24"/>
          <w:szCs w:val="24"/>
        </w:rPr>
        <w:t xml:space="preserve"> </w:t>
      </w:r>
      <w:r w:rsidR="00BA1C57" w:rsidRPr="006D693A">
        <w:rPr>
          <w:rFonts w:ascii="Times New Roman" w:hAnsi="Times New Roman" w:cs="Times New Roman"/>
          <w:sz w:val="24"/>
          <w:szCs w:val="24"/>
        </w:rPr>
        <w:t>noziedzīgos nodarījumus privātajā sektorā</w:t>
      </w:r>
      <w:r w:rsidR="00066CDE" w:rsidRPr="006D693A">
        <w:rPr>
          <w:rFonts w:ascii="Times New Roman" w:hAnsi="Times New Roman" w:cs="Times New Roman"/>
          <w:sz w:val="24"/>
          <w:szCs w:val="24"/>
        </w:rPr>
        <w:t>,</w:t>
      </w:r>
      <w:r w:rsidR="00BA1C57" w:rsidRPr="006D693A">
        <w:rPr>
          <w:rFonts w:ascii="Times New Roman" w:hAnsi="Times New Roman" w:cs="Times New Roman"/>
          <w:sz w:val="24"/>
          <w:szCs w:val="24"/>
        </w:rPr>
        <w:t xml:space="preserve"> </w:t>
      </w:r>
      <w:r w:rsidR="00066CDE" w:rsidRPr="006D693A">
        <w:rPr>
          <w:rFonts w:ascii="Times New Roman" w:hAnsi="Times New Roman" w:cs="Times New Roman"/>
          <w:sz w:val="24"/>
          <w:szCs w:val="24"/>
        </w:rPr>
        <w:t>P</w:t>
      </w:r>
      <w:r w:rsidR="00BA1C57" w:rsidRPr="006D693A">
        <w:rPr>
          <w:rFonts w:ascii="Times New Roman" w:hAnsi="Times New Roman" w:cs="Times New Roman"/>
          <w:sz w:val="24"/>
          <w:szCs w:val="24"/>
        </w:rPr>
        <w:t>amatnostādnēs izvirzīt</w:t>
      </w:r>
      <w:r w:rsidR="003F3C12" w:rsidRPr="006D693A">
        <w:rPr>
          <w:rFonts w:ascii="Times New Roman" w:hAnsi="Times New Roman" w:cs="Times New Roman"/>
          <w:sz w:val="24"/>
          <w:szCs w:val="24"/>
        </w:rPr>
        <w:t>o</w:t>
      </w:r>
      <w:r w:rsidR="00BA1C57" w:rsidRPr="006D693A">
        <w:rPr>
          <w:rFonts w:ascii="Times New Roman" w:hAnsi="Times New Roman" w:cs="Times New Roman"/>
          <w:sz w:val="24"/>
          <w:szCs w:val="24"/>
        </w:rPr>
        <w:t xml:space="preserve"> mērķi – noteikt efektīvu, proporcionālu un atturošu administratīvo vai kriminālo sodu par izdarītajiem pārkāpumiem</w:t>
      </w:r>
      <w:r w:rsidR="0077037D">
        <w:rPr>
          <w:rFonts w:ascii="Times New Roman" w:hAnsi="Times New Roman" w:cs="Times New Roman"/>
          <w:sz w:val="24"/>
          <w:szCs w:val="24"/>
        </w:rPr>
        <w:t xml:space="preserve"> – </w:t>
      </w:r>
      <w:r w:rsidR="00BC7F95" w:rsidRPr="006D693A">
        <w:rPr>
          <w:rFonts w:ascii="Times New Roman" w:hAnsi="Times New Roman" w:cs="Times New Roman"/>
          <w:sz w:val="24"/>
          <w:szCs w:val="24"/>
        </w:rPr>
        <w:t xml:space="preserve"> var</w:t>
      </w:r>
      <w:r w:rsidR="003F3C12" w:rsidRPr="006D693A">
        <w:rPr>
          <w:rFonts w:ascii="Times New Roman" w:hAnsi="Times New Roman" w:cs="Times New Roman"/>
          <w:sz w:val="24"/>
          <w:szCs w:val="24"/>
        </w:rPr>
        <w:t xml:space="preserve"> nesasnieg</w:t>
      </w:r>
      <w:r w:rsidR="00BC7F95" w:rsidRPr="006D693A">
        <w:rPr>
          <w:rFonts w:ascii="Times New Roman" w:hAnsi="Times New Roman" w:cs="Times New Roman"/>
          <w:sz w:val="24"/>
          <w:szCs w:val="24"/>
        </w:rPr>
        <w:t>t</w:t>
      </w:r>
      <w:r w:rsidR="003F3C12" w:rsidRPr="006D693A">
        <w:rPr>
          <w:rFonts w:ascii="Times New Roman" w:hAnsi="Times New Roman" w:cs="Times New Roman"/>
          <w:sz w:val="24"/>
          <w:szCs w:val="24"/>
        </w:rPr>
        <w:t xml:space="preserve"> Biroja kapacitātes trūkuma dēļ</w:t>
      </w:r>
      <w:r w:rsidR="00F95E2A" w:rsidRPr="006D693A">
        <w:rPr>
          <w:rFonts w:ascii="Times New Roman" w:hAnsi="Times New Roman" w:cs="Times New Roman"/>
          <w:sz w:val="24"/>
          <w:szCs w:val="24"/>
        </w:rPr>
        <w:t>.</w:t>
      </w:r>
      <w:r w:rsidR="00BC7F95" w:rsidRPr="006D693A">
        <w:rPr>
          <w:rFonts w:ascii="Times New Roman" w:hAnsi="Times New Roman" w:cs="Times New Roman"/>
          <w:sz w:val="24"/>
          <w:szCs w:val="24"/>
        </w:rPr>
        <w:t xml:space="preserve"> </w:t>
      </w:r>
    </w:p>
    <w:p w:rsidR="00BA1C57" w:rsidRPr="009E1FD5" w:rsidRDefault="00484310" w:rsidP="000E7938">
      <w:pPr>
        <w:pStyle w:val="ListParagraph"/>
        <w:numPr>
          <w:ilvl w:val="0"/>
          <w:numId w:val="4"/>
        </w:numPr>
        <w:spacing w:after="0" w:line="240" w:lineRule="auto"/>
        <w:ind w:left="0" w:firstLine="0"/>
        <w:jc w:val="both"/>
        <w:rPr>
          <w:rFonts w:ascii="Times New Roman" w:hAnsi="Times New Roman" w:cs="Times New Roman"/>
          <w:sz w:val="24"/>
          <w:szCs w:val="24"/>
        </w:rPr>
      </w:pPr>
      <w:r w:rsidRPr="009E1FD5">
        <w:rPr>
          <w:rFonts w:ascii="Times New Roman" w:hAnsi="Times New Roman" w:cs="Times New Roman"/>
          <w:sz w:val="24"/>
          <w:szCs w:val="24"/>
        </w:rPr>
        <w:t>Nepieciešams</w:t>
      </w:r>
      <w:r w:rsidR="00BC7F95" w:rsidRPr="009E1FD5">
        <w:rPr>
          <w:rFonts w:ascii="Times New Roman" w:hAnsi="Times New Roman" w:cs="Times New Roman"/>
          <w:sz w:val="24"/>
          <w:szCs w:val="24"/>
        </w:rPr>
        <w:t xml:space="preserve"> turpināt darbu pie </w:t>
      </w:r>
      <w:r w:rsidRPr="009E1FD5">
        <w:rPr>
          <w:rFonts w:ascii="Times New Roman" w:hAnsi="Times New Roman" w:cs="Times New Roman"/>
          <w:sz w:val="24"/>
          <w:szCs w:val="24"/>
        </w:rPr>
        <w:t>Krimināllikuma 196., 198. un 199.</w:t>
      </w:r>
      <w:r w:rsidR="007E683A" w:rsidRPr="009E1FD5">
        <w:rPr>
          <w:rFonts w:ascii="Times New Roman" w:hAnsi="Times New Roman" w:cs="Times New Roman"/>
          <w:sz w:val="24"/>
          <w:szCs w:val="24"/>
        </w:rPr>
        <w:t> </w:t>
      </w:r>
      <w:r w:rsidRPr="009E1FD5">
        <w:rPr>
          <w:rFonts w:ascii="Times New Roman" w:hAnsi="Times New Roman" w:cs="Times New Roman"/>
          <w:sz w:val="24"/>
          <w:szCs w:val="24"/>
        </w:rPr>
        <w:t>pantu soda sankciju samērīgum</w:t>
      </w:r>
      <w:r w:rsidR="005C0E54">
        <w:rPr>
          <w:rFonts w:ascii="Times New Roman" w:hAnsi="Times New Roman" w:cs="Times New Roman"/>
          <w:sz w:val="24"/>
          <w:szCs w:val="24"/>
        </w:rPr>
        <w:t>a</w:t>
      </w:r>
      <w:r w:rsidR="00BC7F95" w:rsidRPr="009E1FD5">
        <w:rPr>
          <w:rFonts w:ascii="Times New Roman" w:hAnsi="Times New Roman" w:cs="Times New Roman"/>
          <w:sz w:val="24"/>
          <w:szCs w:val="24"/>
        </w:rPr>
        <w:t xml:space="preserve"> vērtēšanas</w:t>
      </w:r>
      <w:r w:rsidRPr="009E1FD5">
        <w:rPr>
          <w:rFonts w:ascii="Times New Roman" w:hAnsi="Times New Roman" w:cs="Times New Roman"/>
          <w:sz w:val="24"/>
          <w:szCs w:val="24"/>
        </w:rPr>
        <w:t>.</w:t>
      </w:r>
    </w:p>
    <w:p w:rsidR="00705F35" w:rsidRPr="009E1FD5" w:rsidRDefault="00705F35" w:rsidP="000E7938">
      <w:pPr>
        <w:spacing w:after="0" w:line="240" w:lineRule="auto"/>
        <w:jc w:val="both"/>
        <w:rPr>
          <w:rFonts w:ascii="Times New Roman" w:hAnsi="Times New Roman" w:cs="Times New Roman"/>
          <w:sz w:val="24"/>
          <w:szCs w:val="24"/>
        </w:rPr>
      </w:pPr>
    </w:p>
    <w:p w:rsidR="00CE7A85" w:rsidRPr="009E1FD5" w:rsidRDefault="00CE7A85" w:rsidP="009E1FD5">
      <w:pPr>
        <w:spacing w:after="0" w:line="240" w:lineRule="auto"/>
        <w:ind w:firstLine="567"/>
        <w:jc w:val="both"/>
        <w:rPr>
          <w:rFonts w:ascii="Times New Roman" w:hAnsi="Times New Roman" w:cs="Times New Roman"/>
          <w:sz w:val="24"/>
          <w:szCs w:val="24"/>
        </w:rPr>
      </w:pPr>
    </w:p>
    <w:p w:rsidR="00A8755D" w:rsidRPr="009E1FD5" w:rsidRDefault="00A8755D" w:rsidP="009E1FD5">
      <w:pPr>
        <w:spacing w:after="0" w:line="240" w:lineRule="auto"/>
        <w:jc w:val="both"/>
        <w:rPr>
          <w:rFonts w:ascii="Times New Roman" w:hAnsi="Times New Roman" w:cs="Times New Roman"/>
          <w:sz w:val="24"/>
          <w:szCs w:val="24"/>
        </w:rPr>
      </w:pPr>
      <w:r w:rsidRPr="009E1FD5">
        <w:rPr>
          <w:rFonts w:ascii="Times New Roman" w:hAnsi="Times New Roman" w:cs="Times New Roman"/>
          <w:sz w:val="24"/>
          <w:szCs w:val="24"/>
        </w:rPr>
        <w:t xml:space="preserve">Korupcijas novēršanas un apkarošanas biroja </w:t>
      </w:r>
    </w:p>
    <w:p w:rsidR="00CE7A85" w:rsidRPr="009E1FD5" w:rsidRDefault="00A8755D" w:rsidP="009E1FD5">
      <w:pPr>
        <w:spacing w:after="0" w:line="240" w:lineRule="auto"/>
        <w:jc w:val="both"/>
        <w:rPr>
          <w:rFonts w:ascii="Times New Roman" w:hAnsi="Times New Roman" w:cs="Times New Roman"/>
          <w:sz w:val="24"/>
          <w:szCs w:val="24"/>
        </w:rPr>
      </w:pPr>
      <w:r w:rsidRPr="009E1FD5">
        <w:rPr>
          <w:rFonts w:ascii="Times New Roman" w:hAnsi="Times New Roman" w:cs="Times New Roman"/>
          <w:sz w:val="24"/>
          <w:szCs w:val="24"/>
        </w:rPr>
        <w:t>priekšniek</w:t>
      </w:r>
      <w:r w:rsidR="0097795C" w:rsidRPr="009E1FD5">
        <w:rPr>
          <w:rFonts w:ascii="Times New Roman" w:hAnsi="Times New Roman" w:cs="Times New Roman"/>
          <w:sz w:val="24"/>
          <w:szCs w:val="24"/>
        </w:rPr>
        <w:t>s</w:t>
      </w:r>
      <w:r w:rsidRPr="009E1FD5">
        <w:rPr>
          <w:rFonts w:ascii="Times New Roman" w:hAnsi="Times New Roman" w:cs="Times New Roman"/>
          <w:sz w:val="24"/>
          <w:szCs w:val="24"/>
        </w:rPr>
        <w:tab/>
      </w:r>
      <w:r w:rsidRPr="009E1FD5">
        <w:rPr>
          <w:rFonts w:ascii="Times New Roman" w:hAnsi="Times New Roman" w:cs="Times New Roman"/>
          <w:sz w:val="24"/>
          <w:szCs w:val="24"/>
        </w:rPr>
        <w:tab/>
      </w:r>
      <w:r w:rsidRPr="009E1FD5">
        <w:rPr>
          <w:rFonts w:ascii="Times New Roman" w:hAnsi="Times New Roman" w:cs="Times New Roman"/>
          <w:sz w:val="24"/>
          <w:szCs w:val="24"/>
        </w:rPr>
        <w:tab/>
      </w:r>
      <w:r w:rsidRPr="009E1FD5">
        <w:rPr>
          <w:rFonts w:ascii="Times New Roman" w:hAnsi="Times New Roman" w:cs="Times New Roman"/>
          <w:sz w:val="24"/>
          <w:szCs w:val="24"/>
        </w:rPr>
        <w:tab/>
      </w:r>
      <w:r w:rsidRPr="009E1FD5">
        <w:rPr>
          <w:rFonts w:ascii="Times New Roman" w:hAnsi="Times New Roman" w:cs="Times New Roman"/>
          <w:sz w:val="24"/>
          <w:szCs w:val="24"/>
        </w:rPr>
        <w:tab/>
      </w:r>
      <w:r w:rsidRPr="009E1FD5">
        <w:rPr>
          <w:rFonts w:ascii="Times New Roman" w:hAnsi="Times New Roman" w:cs="Times New Roman"/>
          <w:sz w:val="24"/>
          <w:szCs w:val="24"/>
        </w:rPr>
        <w:tab/>
      </w:r>
      <w:r w:rsidRPr="009E1FD5">
        <w:rPr>
          <w:rFonts w:ascii="Times New Roman" w:hAnsi="Times New Roman" w:cs="Times New Roman"/>
          <w:sz w:val="24"/>
          <w:szCs w:val="24"/>
        </w:rPr>
        <w:tab/>
      </w:r>
      <w:r w:rsidRPr="009E1FD5">
        <w:rPr>
          <w:rFonts w:ascii="Times New Roman" w:hAnsi="Times New Roman" w:cs="Times New Roman"/>
          <w:sz w:val="24"/>
          <w:szCs w:val="24"/>
        </w:rPr>
        <w:tab/>
      </w:r>
      <w:r w:rsidR="001D5956">
        <w:rPr>
          <w:rFonts w:ascii="Times New Roman" w:hAnsi="Times New Roman" w:cs="Times New Roman"/>
          <w:sz w:val="24"/>
          <w:szCs w:val="24"/>
        </w:rPr>
        <w:tab/>
      </w:r>
      <w:r w:rsidR="0097795C" w:rsidRPr="009E1FD5">
        <w:rPr>
          <w:rFonts w:ascii="Times New Roman" w:hAnsi="Times New Roman" w:cs="Times New Roman"/>
          <w:sz w:val="24"/>
          <w:szCs w:val="24"/>
        </w:rPr>
        <w:tab/>
        <w:t>J.Straume</w:t>
      </w:r>
    </w:p>
    <w:p w:rsidR="00A8755D" w:rsidRPr="009E1FD5" w:rsidRDefault="00A8755D" w:rsidP="009E1FD5">
      <w:pPr>
        <w:spacing w:after="0" w:line="240" w:lineRule="auto"/>
        <w:jc w:val="both"/>
        <w:rPr>
          <w:rFonts w:ascii="Times New Roman" w:hAnsi="Times New Roman" w:cs="Times New Roman"/>
          <w:sz w:val="24"/>
          <w:szCs w:val="24"/>
        </w:rPr>
      </w:pPr>
    </w:p>
    <w:p w:rsidR="00A8755D" w:rsidRDefault="00A8755D" w:rsidP="009E1FD5">
      <w:pPr>
        <w:spacing w:after="0" w:line="240" w:lineRule="auto"/>
        <w:jc w:val="both"/>
        <w:rPr>
          <w:rFonts w:ascii="Times New Roman" w:hAnsi="Times New Roman" w:cs="Times New Roman"/>
          <w:sz w:val="24"/>
          <w:szCs w:val="24"/>
        </w:rPr>
      </w:pPr>
    </w:p>
    <w:p w:rsidR="002C216C" w:rsidRDefault="002C216C" w:rsidP="009E1FD5">
      <w:pPr>
        <w:spacing w:after="0" w:line="240" w:lineRule="auto"/>
        <w:jc w:val="both"/>
        <w:rPr>
          <w:rFonts w:ascii="Times New Roman" w:hAnsi="Times New Roman" w:cs="Times New Roman"/>
          <w:sz w:val="24"/>
          <w:szCs w:val="24"/>
        </w:rPr>
      </w:pPr>
      <w:bookmarkStart w:id="0" w:name="_GoBack"/>
      <w:bookmarkEnd w:id="0"/>
    </w:p>
    <w:p w:rsidR="00E55FBB" w:rsidRDefault="00A8755D" w:rsidP="009E1FD5">
      <w:pPr>
        <w:spacing w:after="0" w:line="240" w:lineRule="auto"/>
        <w:jc w:val="both"/>
        <w:rPr>
          <w:rFonts w:ascii="Times New Roman" w:hAnsi="Times New Roman" w:cs="Times New Roman"/>
          <w:sz w:val="20"/>
          <w:szCs w:val="20"/>
        </w:rPr>
      </w:pPr>
      <w:r w:rsidRPr="004B0CC1">
        <w:rPr>
          <w:rFonts w:ascii="Times New Roman" w:hAnsi="Times New Roman" w:cs="Times New Roman"/>
          <w:sz w:val="20"/>
          <w:szCs w:val="20"/>
        </w:rPr>
        <w:t>Stepiņa, 6</w:t>
      </w:r>
      <w:r w:rsidR="0097795C" w:rsidRPr="004B0CC1">
        <w:rPr>
          <w:rFonts w:ascii="Times New Roman" w:hAnsi="Times New Roman" w:cs="Times New Roman"/>
          <w:sz w:val="20"/>
          <w:szCs w:val="20"/>
        </w:rPr>
        <w:t>7797257</w:t>
      </w:r>
    </w:p>
    <w:p w:rsidR="00CE7A85" w:rsidRPr="009E1FD5" w:rsidRDefault="000B52D0" w:rsidP="009E1FD5">
      <w:pPr>
        <w:spacing w:after="0" w:line="240" w:lineRule="auto"/>
        <w:jc w:val="both"/>
        <w:rPr>
          <w:rFonts w:ascii="Times New Roman" w:hAnsi="Times New Roman" w:cs="Times New Roman"/>
          <w:sz w:val="24"/>
          <w:szCs w:val="24"/>
        </w:rPr>
      </w:pPr>
      <w:r w:rsidRPr="004B0CC1">
        <w:rPr>
          <w:rFonts w:ascii="Times New Roman" w:hAnsi="Times New Roman" w:cs="Times New Roman"/>
          <w:sz w:val="20"/>
          <w:szCs w:val="20"/>
        </w:rPr>
        <w:t>D</w:t>
      </w:r>
      <w:r w:rsidR="00A8755D" w:rsidRPr="004B0CC1">
        <w:rPr>
          <w:rFonts w:ascii="Times New Roman" w:hAnsi="Times New Roman" w:cs="Times New Roman"/>
          <w:sz w:val="20"/>
          <w:szCs w:val="20"/>
        </w:rPr>
        <w:t>iana.</w:t>
      </w:r>
      <w:r w:rsidRPr="004B0CC1">
        <w:rPr>
          <w:rFonts w:ascii="Times New Roman" w:hAnsi="Times New Roman" w:cs="Times New Roman"/>
          <w:sz w:val="20"/>
          <w:szCs w:val="20"/>
        </w:rPr>
        <w:t>S</w:t>
      </w:r>
      <w:r w:rsidR="00A8755D" w:rsidRPr="004B0CC1">
        <w:rPr>
          <w:rFonts w:ascii="Times New Roman" w:hAnsi="Times New Roman" w:cs="Times New Roman"/>
          <w:sz w:val="20"/>
          <w:szCs w:val="20"/>
        </w:rPr>
        <w:t>tepina@knab.gov.lv</w:t>
      </w:r>
    </w:p>
    <w:sectPr w:rsidR="00CE7A85" w:rsidRPr="009E1FD5" w:rsidSect="007E589B">
      <w:headerReference w:type="default" r:id="rId9"/>
      <w:footerReference w:type="default" r:id="rId10"/>
      <w:footerReference w:type="first" r:id="rId11"/>
      <w:pgSz w:w="11906" w:h="16838"/>
      <w:pgMar w:top="1440" w:right="1133"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10" w:rsidRDefault="00E31410" w:rsidP="00BA1C57">
      <w:pPr>
        <w:spacing w:after="0" w:line="240" w:lineRule="auto"/>
      </w:pPr>
      <w:r>
        <w:separator/>
      </w:r>
    </w:p>
  </w:endnote>
  <w:endnote w:type="continuationSeparator" w:id="0">
    <w:p w:rsidR="00E31410" w:rsidRDefault="00E31410" w:rsidP="00BA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16" w:rsidRDefault="004546F6">
    <w:pPr>
      <w:pStyle w:val="Footer"/>
    </w:pPr>
    <w:proofErr w:type="spellStart"/>
    <w:r w:rsidRPr="004546F6">
      <w:rPr>
        <w:rFonts w:ascii="Times New Roman" w:hAnsi="Times New Roman" w:cs="Times New Roman"/>
        <w:sz w:val="20"/>
        <w:szCs w:val="20"/>
      </w:rPr>
      <w:t>KNAB</w:t>
    </w:r>
    <w:r w:rsidR="00FB302D">
      <w:rPr>
        <w:rFonts w:ascii="Times New Roman" w:hAnsi="Times New Roman" w:cs="Times New Roman"/>
        <w:sz w:val="20"/>
        <w:szCs w:val="20"/>
      </w:rPr>
      <w:t>_zinojums.docx</w:t>
    </w:r>
    <w:proofErr w:type="spellEnd"/>
    <w:r w:rsidRPr="004546F6">
      <w:rPr>
        <w:rFonts w:ascii="Times New Roman" w:hAnsi="Times New Roman" w:cs="Times New Roman"/>
        <w:sz w:val="20"/>
        <w:szCs w:val="20"/>
      </w:rPr>
      <w:t xml:space="preserve">; Informatīvais ziņojums “Par Korupcijas novēršanas un apkarošanas biroja kompetenci attiecībā uz tiesībām izmeklēt </w:t>
    </w:r>
    <w:proofErr w:type="spellStart"/>
    <w:r w:rsidRPr="004546F6">
      <w:rPr>
        <w:rFonts w:ascii="Times New Roman" w:hAnsi="Times New Roman" w:cs="Times New Roman"/>
        <w:sz w:val="20"/>
        <w:szCs w:val="20"/>
      </w:rPr>
      <w:t>koruptīvos</w:t>
    </w:r>
    <w:proofErr w:type="spellEnd"/>
    <w:r w:rsidRPr="004546F6">
      <w:rPr>
        <w:rFonts w:ascii="Times New Roman" w:hAnsi="Times New Roman" w:cs="Times New Roman"/>
        <w:sz w:val="20"/>
        <w:szCs w:val="20"/>
      </w:rPr>
      <w:t xml:space="preserve"> noziedzīgos nodarījumus privātajā sektorā”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32" w:rsidRPr="005E0882" w:rsidRDefault="00814532">
    <w:pPr>
      <w:pStyle w:val="Footer"/>
      <w:rPr>
        <w:rFonts w:ascii="Times New Roman" w:hAnsi="Times New Roman" w:cs="Times New Roman"/>
      </w:rPr>
    </w:pPr>
    <w:proofErr w:type="spellStart"/>
    <w:r w:rsidRPr="005E0882">
      <w:rPr>
        <w:rFonts w:ascii="Times New Roman" w:hAnsi="Times New Roman" w:cs="Times New Roman"/>
        <w:sz w:val="20"/>
        <w:szCs w:val="20"/>
      </w:rPr>
      <w:t>KNABzin_</w:t>
    </w:r>
    <w:r w:rsidR="005E0882" w:rsidRPr="005E0882">
      <w:rPr>
        <w:rFonts w:ascii="Times New Roman" w:hAnsi="Times New Roman" w:cs="Times New Roman"/>
        <w:sz w:val="20"/>
        <w:szCs w:val="20"/>
      </w:rPr>
      <w:t>korupc_priv_sektorā</w:t>
    </w:r>
    <w:proofErr w:type="spellEnd"/>
    <w:r w:rsidRPr="005E0882">
      <w:rPr>
        <w:rFonts w:ascii="Times New Roman" w:hAnsi="Times New Roman" w:cs="Times New Roman"/>
        <w:sz w:val="20"/>
        <w:szCs w:val="20"/>
      </w:rPr>
      <w:t xml:space="preserve">; Informatīvais ziņojums “Par Korupcijas novēršanas un apkarošanas biroja kompetenci attiecībā uz tiesībām izmeklēt </w:t>
    </w:r>
    <w:proofErr w:type="spellStart"/>
    <w:r w:rsidRPr="005E0882">
      <w:rPr>
        <w:rFonts w:ascii="Times New Roman" w:hAnsi="Times New Roman" w:cs="Times New Roman"/>
        <w:sz w:val="20"/>
        <w:szCs w:val="20"/>
      </w:rPr>
      <w:t>koruptīvos</w:t>
    </w:r>
    <w:proofErr w:type="spellEnd"/>
    <w:r w:rsidRPr="005E0882">
      <w:rPr>
        <w:rFonts w:ascii="Times New Roman" w:hAnsi="Times New Roman" w:cs="Times New Roman"/>
        <w:sz w:val="20"/>
        <w:szCs w:val="20"/>
      </w:rPr>
      <w:t xml:space="preserve"> noziedzīgos nodarījumus privātajā sektorā”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10" w:rsidRDefault="00E31410" w:rsidP="00BA1C57">
      <w:pPr>
        <w:spacing w:after="0" w:line="240" w:lineRule="auto"/>
      </w:pPr>
      <w:r>
        <w:separator/>
      </w:r>
    </w:p>
  </w:footnote>
  <w:footnote w:type="continuationSeparator" w:id="0">
    <w:p w:rsidR="00E31410" w:rsidRDefault="00E31410" w:rsidP="00BA1C57">
      <w:pPr>
        <w:spacing w:after="0" w:line="240" w:lineRule="auto"/>
      </w:pPr>
      <w:r>
        <w:continuationSeparator/>
      </w:r>
    </w:p>
  </w:footnote>
  <w:footnote w:id="1">
    <w:p w:rsidR="00BA1C57" w:rsidRDefault="00BA1C57" w:rsidP="0065752C">
      <w:pPr>
        <w:pStyle w:val="FootnoteText"/>
        <w:jc w:val="both"/>
      </w:pPr>
      <w:r>
        <w:rPr>
          <w:rStyle w:val="FootnoteReference"/>
        </w:rPr>
        <w:footnoteRef/>
      </w:r>
      <w:r w:rsidRPr="0065752C">
        <w:rPr>
          <w:rFonts w:ascii="Times New Roman" w:hAnsi="Times New Roman" w:cs="Times New Roman"/>
        </w:rPr>
        <w:t xml:space="preserve"> Korupcijas novēršanas un apkarošanas pamatnostādnes 2015.–2020.gadam:  http://likumi.lv/ta/id/275394-par-korupcijas-noversanas-un-apkarosanas-pamatnostadnem-2015-2020-gadam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793499"/>
      <w:docPartObj>
        <w:docPartGallery w:val="Page Numbers (Top of Page)"/>
        <w:docPartUnique/>
      </w:docPartObj>
    </w:sdtPr>
    <w:sdtEndPr>
      <w:rPr>
        <w:rFonts w:ascii="Times New Roman" w:hAnsi="Times New Roman" w:cs="Times New Roman"/>
        <w:noProof/>
        <w:sz w:val="24"/>
        <w:szCs w:val="24"/>
      </w:rPr>
    </w:sdtEndPr>
    <w:sdtContent>
      <w:p w:rsidR="00906B25" w:rsidRPr="00906B25" w:rsidRDefault="00906B25">
        <w:pPr>
          <w:pStyle w:val="Header"/>
          <w:jc w:val="center"/>
          <w:rPr>
            <w:rFonts w:ascii="Times New Roman" w:hAnsi="Times New Roman" w:cs="Times New Roman"/>
            <w:sz w:val="24"/>
            <w:szCs w:val="24"/>
          </w:rPr>
        </w:pPr>
        <w:r w:rsidRPr="00906B25">
          <w:rPr>
            <w:rFonts w:ascii="Times New Roman" w:hAnsi="Times New Roman" w:cs="Times New Roman"/>
            <w:sz w:val="24"/>
            <w:szCs w:val="24"/>
          </w:rPr>
          <w:fldChar w:fldCharType="begin"/>
        </w:r>
        <w:r w:rsidRPr="00906B25">
          <w:rPr>
            <w:rFonts w:ascii="Times New Roman" w:hAnsi="Times New Roman" w:cs="Times New Roman"/>
            <w:sz w:val="24"/>
            <w:szCs w:val="24"/>
          </w:rPr>
          <w:instrText xml:space="preserve"> PAGE   \* MERGEFORMAT </w:instrText>
        </w:r>
        <w:r w:rsidRPr="00906B25">
          <w:rPr>
            <w:rFonts w:ascii="Times New Roman" w:hAnsi="Times New Roman" w:cs="Times New Roman"/>
            <w:sz w:val="24"/>
            <w:szCs w:val="24"/>
          </w:rPr>
          <w:fldChar w:fldCharType="separate"/>
        </w:r>
        <w:r w:rsidR="00FD2D92">
          <w:rPr>
            <w:rFonts w:ascii="Times New Roman" w:hAnsi="Times New Roman" w:cs="Times New Roman"/>
            <w:noProof/>
            <w:sz w:val="24"/>
            <w:szCs w:val="24"/>
          </w:rPr>
          <w:t>3</w:t>
        </w:r>
        <w:r w:rsidRPr="00906B25">
          <w:rPr>
            <w:rFonts w:ascii="Times New Roman" w:hAnsi="Times New Roman" w:cs="Times New Roman"/>
            <w:noProof/>
            <w:sz w:val="24"/>
            <w:szCs w:val="24"/>
          </w:rPr>
          <w:fldChar w:fldCharType="end"/>
        </w:r>
      </w:p>
    </w:sdtContent>
  </w:sdt>
  <w:p w:rsidR="00906B25" w:rsidRDefault="00906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5099"/>
    <w:multiLevelType w:val="hybridMultilevel"/>
    <w:tmpl w:val="6B146F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2C94693E"/>
    <w:multiLevelType w:val="hybridMultilevel"/>
    <w:tmpl w:val="92763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4CC251E"/>
    <w:multiLevelType w:val="hybridMultilevel"/>
    <w:tmpl w:val="6D420BF2"/>
    <w:lvl w:ilvl="0" w:tplc="C1B821D4">
      <w:start w:val="1"/>
      <w:numFmt w:val="upperRoman"/>
      <w:lvlText w:val="%1."/>
      <w:lvlJc w:val="left"/>
      <w:pPr>
        <w:ind w:left="1080" w:hanging="72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BA"/>
    <w:rsid w:val="00007B26"/>
    <w:rsid w:val="00011B0D"/>
    <w:rsid w:val="00024CDF"/>
    <w:rsid w:val="000469E9"/>
    <w:rsid w:val="00066CDE"/>
    <w:rsid w:val="00066DDE"/>
    <w:rsid w:val="00086FEB"/>
    <w:rsid w:val="000A1BD5"/>
    <w:rsid w:val="000B52D0"/>
    <w:rsid w:val="000C0B20"/>
    <w:rsid w:val="000D151A"/>
    <w:rsid w:val="000D1754"/>
    <w:rsid w:val="000D7D77"/>
    <w:rsid w:val="000E041A"/>
    <w:rsid w:val="000E7938"/>
    <w:rsid w:val="001664CD"/>
    <w:rsid w:val="00172E48"/>
    <w:rsid w:val="00184E0E"/>
    <w:rsid w:val="001D5956"/>
    <w:rsid w:val="001E42ED"/>
    <w:rsid w:val="001E5DD5"/>
    <w:rsid w:val="00232655"/>
    <w:rsid w:val="002A6546"/>
    <w:rsid w:val="002C216C"/>
    <w:rsid w:val="002C6D17"/>
    <w:rsid w:val="00305C11"/>
    <w:rsid w:val="00336405"/>
    <w:rsid w:val="00365E25"/>
    <w:rsid w:val="00377A82"/>
    <w:rsid w:val="00392C9A"/>
    <w:rsid w:val="003C08EA"/>
    <w:rsid w:val="003D4C14"/>
    <w:rsid w:val="003F3C12"/>
    <w:rsid w:val="00411880"/>
    <w:rsid w:val="00427426"/>
    <w:rsid w:val="004304BA"/>
    <w:rsid w:val="00440EF2"/>
    <w:rsid w:val="0044748B"/>
    <w:rsid w:val="00452E23"/>
    <w:rsid w:val="004546F6"/>
    <w:rsid w:val="00484310"/>
    <w:rsid w:val="0049201E"/>
    <w:rsid w:val="00497084"/>
    <w:rsid w:val="004B0CC1"/>
    <w:rsid w:val="004B1466"/>
    <w:rsid w:val="004F53FC"/>
    <w:rsid w:val="00515F25"/>
    <w:rsid w:val="00525E63"/>
    <w:rsid w:val="00532A77"/>
    <w:rsid w:val="00561C6E"/>
    <w:rsid w:val="00563D51"/>
    <w:rsid w:val="00571D1D"/>
    <w:rsid w:val="00574630"/>
    <w:rsid w:val="00583228"/>
    <w:rsid w:val="005B26BE"/>
    <w:rsid w:val="005C0E54"/>
    <w:rsid w:val="005D4F3D"/>
    <w:rsid w:val="005E0882"/>
    <w:rsid w:val="005E0B33"/>
    <w:rsid w:val="005E3A03"/>
    <w:rsid w:val="00607D81"/>
    <w:rsid w:val="00612E11"/>
    <w:rsid w:val="00652171"/>
    <w:rsid w:val="00656369"/>
    <w:rsid w:val="0065752C"/>
    <w:rsid w:val="006A5EAA"/>
    <w:rsid w:val="006C62F0"/>
    <w:rsid w:val="006D693A"/>
    <w:rsid w:val="006F7B46"/>
    <w:rsid w:val="00700ABE"/>
    <w:rsid w:val="00705F35"/>
    <w:rsid w:val="0070678A"/>
    <w:rsid w:val="00716336"/>
    <w:rsid w:val="00732637"/>
    <w:rsid w:val="0077037D"/>
    <w:rsid w:val="007A766E"/>
    <w:rsid w:val="007D6C42"/>
    <w:rsid w:val="007E3277"/>
    <w:rsid w:val="007E35C5"/>
    <w:rsid w:val="007E589B"/>
    <w:rsid w:val="007E683A"/>
    <w:rsid w:val="00814532"/>
    <w:rsid w:val="00816ABD"/>
    <w:rsid w:val="0082328A"/>
    <w:rsid w:val="008309DE"/>
    <w:rsid w:val="00837D46"/>
    <w:rsid w:val="0084089A"/>
    <w:rsid w:val="00880E5C"/>
    <w:rsid w:val="00884136"/>
    <w:rsid w:val="008870B5"/>
    <w:rsid w:val="00893671"/>
    <w:rsid w:val="00895EFA"/>
    <w:rsid w:val="00906B25"/>
    <w:rsid w:val="00917D66"/>
    <w:rsid w:val="00923283"/>
    <w:rsid w:val="00931DB0"/>
    <w:rsid w:val="00947671"/>
    <w:rsid w:val="00976896"/>
    <w:rsid w:val="0097795C"/>
    <w:rsid w:val="009848EC"/>
    <w:rsid w:val="00985AB9"/>
    <w:rsid w:val="009E1FD5"/>
    <w:rsid w:val="00A02E6E"/>
    <w:rsid w:val="00A239C7"/>
    <w:rsid w:val="00A31CEC"/>
    <w:rsid w:val="00A37454"/>
    <w:rsid w:val="00A72E01"/>
    <w:rsid w:val="00A87100"/>
    <w:rsid w:val="00A8755D"/>
    <w:rsid w:val="00B1333F"/>
    <w:rsid w:val="00B30538"/>
    <w:rsid w:val="00B85BDD"/>
    <w:rsid w:val="00B937B3"/>
    <w:rsid w:val="00B94765"/>
    <w:rsid w:val="00B9744D"/>
    <w:rsid w:val="00BA1C57"/>
    <w:rsid w:val="00BA2D76"/>
    <w:rsid w:val="00BC7F95"/>
    <w:rsid w:val="00C26F36"/>
    <w:rsid w:val="00C54344"/>
    <w:rsid w:val="00C61FD3"/>
    <w:rsid w:val="00C76D8E"/>
    <w:rsid w:val="00C9134E"/>
    <w:rsid w:val="00CA3202"/>
    <w:rsid w:val="00CA361E"/>
    <w:rsid w:val="00CB2886"/>
    <w:rsid w:val="00CC0D42"/>
    <w:rsid w:val="00CE7A85"/>
    <w:rsid w:val="00D1019A"/>
    <w:rsid w:val="00D77A3F"/>
    <w:rsid w:val="00DC1303"/>
    <w:rsid w:val="00E120C2"/>
    <w:rsid w:val="00E14F64"/>
    <w:rsid w:val="00E160AB"/>
    <w:rsid w:val="00E31410"/>
    <w:rsid w:val="00E37E93"/>
    <w:rsid w:val="00E44316"/>
    <w:rsid w:val="00E46135"/>
    <w:rsid w:val="00E55FBB"/>
    <w:rsid w:val="00EB2612"/>
    <w:rsid w:val="00ED6356"/>
    <w:rsid w:val="00EE1587"/>
    <w:rsid w:val="00EE1A89"/>
    <w:rsid w:val="00EE6B44"/>
    <w:rsid w:val="00F510A0"/>
    <w:rsid w:val="00F95E2A"/>
    <w:rsid w:val="00FB1B95"/>
    <w:rsid w:val="00FB302D"/>
    <w:rsid w:val="00FD2D92"/>
    <w:rsid w:val="00FE4F70"/>
    <w:rsid w:val="00FE76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1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C57"/>
    <w:rPr>
      <w:sz w:val="20"/>
      <w:szCs w:val="20"/>
    </w:rPr>
  </w:style>
  <w:style w:type="paragraph" w:styleId="ListParagraph">
    <w:name w:val="List Paragraph"/>
    <w:basedOn w:val="Normal"/>
    <w:uiPriority w:val="34"/>
    <w:qFormat/>
    <w:rsid w:val="00BA1C57"/>
    <w:pPr>
      <w:ind w:left="720"/>
      <w:contextualSpacing/>
    </w:pPr>
  </w:style>
  <w:style w:type="character" w:styleId="FootnoteReference">
    <w:name w:val="footnote reference"/>
    <w:basedOn w:val="DefaultParagraphFont"/>
    <w:uiPriority w:val="99"/>
    <w:semiHidden/>
    <w:unhideWhenUsed/>
    <w:rsid w:val="00BA1C57"/>
    <w:rPr>
      <w:vertAlign w:val="superscript"/>
    </w:rPr>
  </w:style>
  <w:style w:type="table" w:styleId="TableGrid">
    <w:name w:val="Table Grid"/>
    <w:basedOn w:val="TableNormal"/>
    <w:uiPriority w:val="59"/>
    <w:rsid w:val="00BA1C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6F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443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4316"/>
  </w:style>
  <w:style w:type="paragraph" w:styleId="Footer">
    <w:name w:val="footer"/>
    <w:basedOn w:val="Normal"/>
    <w:link w:val="FooterChar"/>
    <w:uiPriority w:val="99"/>
    <w:unhideWhenUsed/>
    <w:rsid w:val="00E443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4316"/>
  </w:style>
  <w:style w:type="paragraph" w:styleId="BalloonText">
    <w:name w:val="Balloon Text"/>
    <w:basedOn w:val="Normal"/>
    <w:link w:val="BalloonTextChar"/>
    <w:uiPriority w:val="99"/>
    <w:semiHidden/>
    <w:unhideWhenUsed/>
    <w:rsid w:val="00985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B9"/>
    <w:rPr>
      <w:rFonts w:ascii="Tahoma" w:hAnsi="Tahoma" w:cs="Tahoma"/>
      <w:sz w:val="16"/>
      <w:szCs w:val="16"/>
    </w:rPr>
  </w:style>
  <w:style w:type="character" w:styleId="CommentReference">
    <w:name w:val="annotation reference"/>
    <w:basedOn w:val="DefaultParagraphFont"/>
    <w:uiPriority w:val="99"/>
    <w:semiHidden/>
    <w:unhideWhenUsed/>
    <w:rsid w:val="005E3A03"/>
    <w:rPr>
      <w:sz w:val="16"/>
      <w:szCs w:val="16"/>
    </w:rPr>
  </w:style>
  <w:style w:type="paragraph" w:styleId="CommentText">
    <w:name w:val="annotation text"/>
    <w:basedOn w:val="Normal"/>
    <w:link w:val="CommentTextChar"/>
    <w:uiPriority w:val="99"/>
    <w:semiHidden/>
    <w:unhideWhenUsed/>
    <w:rsid w:val="005E3A03"/>
    <w:pPr>
      <w:spacing w:line="240" w:lineRule="auto"/>
    </w:pPr>
    <w:rPr>
      <w:sz w:val="20"/>
      <w:szCs w:val="20"/>
    </w:rPr>
  </w:style>
  <w:style w:type="character" w:customStyle="1" w:styleId="CommentTextChar">
    <w:name w:val="Comment Text Char"/>
    <w:basedOn w:val="DefaultParagraphFont"/>
    <w:link w:val="CommentText"/>
    <w:uiPriority w:val="99"/>
    <w:semiHidden/>
    <w:rsid w:val="005E3A03"/>
    <w:rPr>
      <w:sz w:val="20"/>
      <w:szCs w:val="20"/>
    </w:rPr>
  </w:style>
  <w:style w:type="paragraph" w:styleId="CommentSubject">
    <w:name w:val="annotation subject"/>
    <w:basedOn w:val="CommentText"/>
    <w:next w:val="CommentText"/>
    <w:link w:val="CommentSubjectChar"/>
    <w:uiPriority w:val="99"/>
    <w:semiHidden/>
    <w:unhideWhenUsed/>
    <w:rsid w:val="005E3A03"/>
    <w:rPr>
      <w:b/>
      <w:bCs/>
    </w:rPr>
  </w:style>
  <w:style w:type="character" w:customStyle="1" w:styleId="CommentSubjectChar">
    <w:name w:val="Comment Subject Char"/>
    <w:basedOn w:val="CommentTextChar"/>
    <w:link w:val="CommentSubject"/>
    <w:uiPriority w:val="99"/>
    <w:semiHidden/>
    <w:rsid w:val="005E3A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1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C57"/>
    <w:rPr>
      <w:sz w:val="20"/>
      <w:szCs w:val="20"/>
    </w:rPr>
  </w:style>
  <w:style w:type="paragraph" w:styleId="ListParagraph">
    <w:name w:val="List Paragraph"/>
    <w:basedOn w:val="Normal"/>
    <w:uiPriority w:val="34"/>
    <w:qFormat/>
    <w:rsid w:val="00BA1C57"/>
    <w:pPr>
      <w:ind w:left="720"/>
      <w:contextualSpacing/>
    </w:pPr>
  </w:style>
  <w:style w:type="character" w:styleId="FootnoteReference">
    <w:name w:val="footnote reference"/>
    <w:basedOn w:val="DefaultParagraphFont"/>
    <w:uiPriority w:val="99"/>
    <w:semiHidden/>
    <w:unhideWhenUsed/>
    <w:rsid w:val="00BA1C57"/>
    <w:rPr>
      <w:vertAlign w:val="superscript"/>
    </w:rPr>
  </w:style>
  <w:style w:type="table" w:styleId="TableGrid">
    <w:name w:val="Table Grid"/>
    <w:basedOn w:val="TableNormal"/>
    <w:uiPriority w:val="59"/>
    <w:rsid w:val="00BA1C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6F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443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4316"/>
  </w:style>
  <w:style w:type="paragraph" w:styleId="Footer">
    <w:name w:val="footer"/>
    <w:basedOn w:val="Normal"/>
    <w:link w:val="FooterChar"/>
    <w:uiPriority w:val="99"/>
    <w:unhideWhenUsed/>
    <w:rsid w:val="00E443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4316"/>
  </w:style>
  <w:style w:type="paragraph" w:styleId="BalloonText">
    <w:name w:val="Balloon Text"/>
    <w:basedOn w:val="Normal"/>
    <w:link w:val="BalloonTextChar"/>
    <w:uiPriority w:val="99"/>
    <w:semiHidden/>
    <w:unhideWhenUsed/>
    <w:rsid w:val="00985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B9"/>
    <w:rPr>
      <w:rFonts w:ascii="Tahoma" w:hAnsi="Tahoma" w:cs="Tahoma"/>
      <w:sz w:val="16"/>
      <w:szCs w:val="16"/>
    </w:rPr>
  </w:style>
  <w:style w:type="character" w:styleId="CommentReference">
    <w:name w:val="annotation reference"/>
    <w:basedOn w:val="DefaultParagraphFont"/>
    <w:uiPriority w:val="99"/>
    <w:semiHidden/>
    <w:unhideWhenUsed/>
    <w:rsid w:val="005E3A03"/>
    <w:rPr>
      <w:sz w:val="16"/>
      <w:szCs w:val="16"/>
    </w:rPr>
  </w:style>
  <w:style w:type="paragraph" w:styleId="CommentText">
    <w:name w:val="annotation text"/>
    <w:basedOn w:val="Normal"/>
    <w:link w:val="CommentTextChar"/>
    <w:uiPriority w:val="99"/>
    <w:semiHidden/>
    <w:unhideWhenUsed/>
    <w:rsid w:val="005E3A03"/>
    <w:pPr>
      <w:spacing w:line="240" w:lineRule="auto"/>
    </w:pPr>
    <w:rPr>
      <w:sz w:val="20"/>
      <w:szCs w:val="20"/>
    </w:rPr>
  </w:style>
  <w:style w:type="character" w:customStyle="1" w:styleId="CommentTextChar">
    <w:name w:val="Comment Text Char"/>
    <w:basedOn w:val="DefaultParagraphFont"/>
    <w:link w:val="CommentText"/>
    <w:uiPriority w:val="99"/>
    <w:semiHidden/>
    <w:rsid w:val="005E3A03"/>
    <w:rPr>
      <w:sz w:val="20"/>
      <w:szCs w:val="20"/>
    </w:rPr>
  </w:style>
  <w:style w:type="paragraph" w:styleId="CommentSubject">
    <w:name w:val="annotation subject"/>
    <w:basedOn w:val="CommentText"/>
    <w:next w:val="CommentText"/>
    <w:link w:val="CommentSubjectChar"/>
    <w:uiPriority w:val="99"/>
    <w:semiHidden/>
    <w:unhideWhenUsed/>
    <w:rsid w:val="005E3A03"/>
    <w:rPr>
      <w:b/>
      <w:bCs/>
    </w:rPr>
  </w:style>
  <w:style w:type="character" w:customStyle="1" w:styleId="CommentSubjectChar">
    <w:name w:val="Comment Subject Char"/>
    <w:basedOn w:val="CommentTextChar"/>
    <w:link w:val="CommentSubject"/>
    <w:uiPriority w:val="99"/>
    <w:semiHidden/>
    <w:rsid w:val="005E3A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26">
      <w:bodyDiv w:val="1"/>
      <w:marLeft w:val="0"/>
      <w:marRight w:val="0"/>
      <w:marTop w:val="0"/>
      <w:marBottom w:val="0"/>
      <w:divBdr>
        <w:top w:val="none" w:sz="0" w:space="0" w:color="auto"/>
        <w:left w:val="none" w:sz="0" w:space="0" w:color="auto"/>
        <w:bottom w:val="none" w:sz="0" w:space="0" w:color="auto"/>
        <w:right w:val="none" w:sz="0" w:space="0" w:color="auto"/>
      </w:divBdr>
    </w:div>
    <w:div w:id="7494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A828-E4FC-45D1-AF9A-85ACC592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5703</Words>
  <Characters>3252</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Par KNAB kompetenci attiecībā uz tiesībām izmeklēt koruptīvus noziedzīgus nodarījumus privātajā sektorā</vt:lpstr>
    </vt:vector>
  </TitlesOfParts>
  <Company>KNAB</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KNAB kompetenci attiecībā uz tiesībām izmeklēt koruptīvus noziedzīgus nodarījumus privātajā sektorā</dc:title>
  <dc:subject>Starpziņojums</dc:subject>
  <dc:creator>Diāna Stepiņa</dc:creator>
  <dc:description>Stepiņa, 67356165-306</dc:description>
  <cp:lastModifiedBy>Diāna Stepiņa</cp:lastModifiedBy>
  <cp:revision>6</cp:revision>
  <cp:lastPrinted>2017-11-30T11:47:00Z</cp:lastPrinted>
  <dcterms:created xsi:type="dcterms:W3CDTF">2017-11-30T11:37:00Z</dcterms:created>
  <dcterms:modified xsi:type="dcterms:W3CDTF">2017-11-30T11:50:00Z</dcterms:modified>
</cp:coreProperties>
</file>