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059" w:rsidRPr="00CE0059" w:rsidRDefault="00CE0059" w:rsidP="00CE0059">
      <w:pPr>
        <w:spacing w:before="80"/>
        <w:jc w:val="center"/>
        <w:rPr>
          <w:b/>
        </w:rPr>
      </w:pPr>
      <w:r w:rsidRPr="00CE0059">
        <w:rPr>
          <w:b/>
        </w:rPr>
        <w:t>Informatīvais ziņojums</w:t>
      </w:r>
    </w:p>
    <w:p w:rsidR="00CE0059" w:rsidRPr="00CE0059" w:rsidRDefault="00CE0059" w:rsidP="00CE0059">
      <w:pPr>
        <w:spacing w:before="80"/>
        <w:jc w:val="center"/>
        <w:rPr>
          <w:b/>
        </w:rPr>
      </w:pPr>
      <w:r w:rsidRPr="00CE0059">
        <w:rPr>
          <w:b/>
        </w:rPr>
        <w:t>“Par Eiropas Savienības Ārlietu padomes Kopējās tirdzniecības politikas jautājumos neformālo sanāksmi 2018. gada 26.-27. februārī”</w:t>
      </w:r>
    </w:p>
    <w:p w:rsidR="00CE0059" w:rsidRPr="00CE0059" w:rsidRDefault="00CE0059" w:rsidP="00CE0059">
      <w:pPr>
        <w:spacing w:before="80"/>
        <w:jc w:val="center"/>
        <w:rPr>
          <w:b/>
        </w:rPr>
      </w:pPr>
    </w:p>
    <w:p w:rsidR="00CE0059" w:rsidRPr="00CE0059" w:rsidRDefault="00CE0059" w:rsidP="00CE0059">
      <w:pPr>
        <w:spacing w:before="80"/>
        <w:jc w:val="center"/>
        <w:rPr>
          <w:b/>
        </w:rPr>
      </w:pPr>
    </w:p>
    <w:p w:rsidR="00CE0059" w:rsidRPr="00CE0059" w:rsidRDefault="00CE0059" w:rsidP="00CE0059">
      <w:pPr>
        <w:widowControl w:val="0"/>
        <w:spacing w:before="80"/>
        <w:jc w:val="both"/>
      </w:pPr>
      <w:r w:rsidRPr="00CE0059">
        <w:t xml:space="preserve">2018. gada 26.-27. februārī Sofijā (Bulgārijā) notiks Eiropas Savienības (turpmāk – ES) Ārlietu padomes Kopējās tirdzniecības politikas jautājumos neformālā sanāksme. Ministri aicināti diskutēt par daudzpusējās tirdzniecības sistēmas darbu pēc Pasaules Tirdzniecības organizācijas (turpmāk – PTO) 11. Ministru konferences, ES divpusējām tirdzniecības sarunām, kā arī ilgtspējīgas attīstības jautājumu ietveršanu tirdzniecības nolīgumos. Sanāksmes darba pusdienu formātā plānota diskusija par Regulas priekšlikumu attiecībā uz ārvalstu investīciju izvērtēšanu, kā arī par daudzpusējās ieguldījumu tiesas sistēmas izveidi. </w:t>
      </w:r>
    </w:p>
    <w:p w:rsidR="00CE0059" w:rsidRPr="00CE0059" w:rsidRDefault="00CE0059" w:rsidP="00CE0059">
      <w:pPr>
        <w:widowControl w:val="0"/>
        <w:spacing w:before="80"/>
        <w:jc w:val="both"/>
      </w:pPr>
    </w:p>
    <w:p w:rsidR="00CE0059" w:rsidRPr="00CE0059" w:rsidRDefault="00CE0059" w:rsidP="00CE0059">
      <w:pPr>
        <w:widowControl w:val="0"/>
        <w:spacing w:before="80"/>
        <w:jc w:val="both"/>
        <w:rPr>
          <w:b/>
        </w:rPr>
      </w:pPr>
      <w:r w:rsidRPr="00CE0059">
        <w:rPr>
          <w:b/>
        </w:rPr>
        <w:t>Pasaules Tirdzniecības organizācijas un daudzpusējās tirdzniecības dienaskārtība pēc PTO 11. Ministru konferences Buenosairesā</w:t>
      </w:r>
    </w:p>
    <w:p w:rsidR="00CE0059" w:rsidRPr="00CE0059" w:rsidRDefault="00CE0059" w:rsidP="00CE0059">
      <w:pPr>
        <w:widowControl w:val="0"/>
        <w:spacing w:before="240"/>
        <w:jc w:val="both"/>
      </w:pPr>
      <w:r w:rsidRPr="00CE0059">
        <w:t>Ministru sanāksmes laikā paredzēta diskusija par PTO turpmāko darbu un prioritāriem jautājumiem pēc 11. ministru konferences (turpmāk – MC11), iespējām pilnveidot PTO regulāro darbu (komiteju darbs, transparence, notifikācijas u.c.), kā arī PTO Apelācijas institūcijas jautājumiem.</w:t>
      </w:r>
    </w:p>
    <w:p w:rsidR="00CE0059" w:rsidRPr="00CE0059" w:rsidRDefault="00CE0059" w:rsidP="00CE0059">
      <w:pPr>
        <w:spacing w:before="80" w:after="80"/>
        <w:jc w:val="both"/>
      </w:pPr>
      <w:r w:rsidRPr="00CE0059">
        <w:t xml:space="preserve">MC11 noslēdzās ar pieticīgiem rezultātiem. Lai arī PTO dalībvalstu starpā joprojām pastāv vienota izpratne par atbalstu daudzpusējai tirdzniecības sistēmai, tomēr nebija iespējams panākt vērā ņemamus rezultātus daudzpusēju vienošanos formā. </w:t>
      </w:r>
      <w:r w:rsidR="00032512" w:rsidRPr="00463B8E">
        <w:t>Zivsaimniecības jomā tika pieņemts lēmums turpināt</w:t>
      </w:r>
      <w:r w:rsidR="00032512">
        <w:t xml:space="preserve"> darbu, lai līdz</w:t>
      </w:r>
      <w:r w:rsidR="00032512" w:rsidRPr="00463B8E">
        <w:t xml:space="preserve"> 2019. </w:t>
      </w:r>
      <w:r w:rsidR="00032512">
        <w:t xml:space="preserve">gada Ministru konferencei panāktu visaptverošu un efektīvu vienošanos ierobežot subsīdijas, kas sekmē pārmērīgu zvejas flotes kapacitāti un </w:t>
      </w:r>
      <w:proofErr w:type="spellStart"/>
      <w:r w:rsidR="00032512">
        <w:t>pārzveju</w:t>
      </w:r>
      <w:proofErr w:type="spellEnd"/>
      <w:r w:rsidR="00032512">
        <w:t>, kā arī likvidēt subsīdijas nelegālai, nereģistrētai un neregulētai zvejai, vienlaikus paredzot īpašu un diferencētu pieeju vismazāk attīstītajām un attīstības valstīm.</w:t>
      </w:r>
      <w:r w:rsidRPr="00CE0059">
        <w:t xml:space="preserve"> Tika pagarināti e</w:t>
      </w:r>
      <w:r w:rsidRPr="00CE0059">
        <w:noBreakHyphen/>
        <w:t xml:space="preserve">komercijas un TRIPS moratoriji, </w:t>
      </w:r>
      <w:proofErr w:type="spellStart"/>
      <w:r w:rsidRPr="00CE0059">
        <w:t>pārapstiprināta</w:t>
      </w:r>
      <w:proofErr w:type="spellEnd"/>
      <w:r w:rsidRPr="00CE0059">
        <w:t xml:space="preserve"> darba programma mazajām ekonomikām, kā arī uzsākts Dienvidsudānas iestāšanās process. Konferences ietvaros tika prezentēta iniciatīva par sieviešu iespējām tirdzniecībā.</w:t>
      </w:r>
    </w:p>
    <w:p w:rsidR="00CE0059" w:rsidRPr="00CE0059" w:rsidRDefault="00CE0059" w:rsidP="00CE0059">
      <w:pPr>
        <w:spacing w:before="80" w:after="80"/>
        <w:jc w:val="both"/>
      </w:pPr>
      <w:r w:rsidRPr="00CE0059">
        <w:t>PTO dalībvalstu viedokļu atšķirību un iebildumu (bloķēšanas) dēļ vienošanās nebija iespējama citos konferencē apspriestos jautājumos – publisko pārtikas krājumu nodrošināšana, tirdzniecību kropļojoša iekšzemes atbalsta instrumentu izskaušana, eksporta ierobežojumi lauksaimniecībā, iekšzemes regulējums pakalpojumos, e</w:t>
      </w:r>
      <w:r w:rsidRPr="00CE0059">
        <w:noBreakHyphen/>
        <w:t>komercijas jaunās iniciatīvas. Netika panākta vienošanās par MC11 ministru deklarāciju. Līdz ar to konference noslēdzās bez pienesuma PTO sarunās un bez politiskām vadl</w:t>
      </w:r>
      <w:r w:rsidR="00815FB4">
        <w:t>īnijām PTO darbam līdz nākamai M</w:t>
      </w:r>
      <w:r w:rsidRPr="00CE0059">
        <w:t>inistru konferencei 2019. gada nogalē.</w:t>
      </w:r>
    </w:p>
    <w:p w:rsidR="00CE0059" w:rsidRPr="00CE0059" w:rsidRDefault="00CE0059" w:rsidP="00CE0059">
      <w:pPr>
        <w:spacing w:before="80" w:after="80"/>
        <w:jc w:val="both"/>
      </w:pPr>
      <w:r w:rsidRPr="00CE0059">
        <w:t>PTO dalībvalstu intereses organizācijas turpmākajam darbam iezīmē konferences ietvaros izplatītie ministru kopīgie paziņojumi – par kopīga izpētes darba uzsākšanu par PTO nākotnes sarunām par e</w:t>
      </w:r>
      <w:r w:rsidRPr="00CE0059">
        <w:noBreakHyphen/>
        <w:t xml:space="preserve">komercijas tirdzniecības aspektiem; neformālas darba programmas </w:t>
      </w:r>
      <w:proofErr w:type="spellStart"/>
      <w:r w:rsidRPr="00CE0059">
        <w:t>mikro</w:t>
      </w:r>
      <w:proofErr w:type="spellEnd"/>
      <w:r w:rsidRPr="00CE0059">
        <w:t>, maziem un vidējiem komersantiem (</w:t>
      </w:r>
      <w:proofErr w:type="spellStart"/>
      <w:r w:rsidRPr="00CE0059">
        <w:t>MSMEs</w:t>
      </w:r>
      <w:proofErr w:type="spellEnd"/>
      <w:r w:rsidRPr="00CE0059">
        <w:t>) izveidi; par iekšzemes regulējumu pakalpojumos, kā arī investīciju veicināšanu attīstībai. Šajos jautājumos iespējama vairākpusēja pieeja – sarunas turpinot tikai daļai ieinteresēto PTO dalībvalstu.</w:t>
      </w:r>
    </w:p>
    <w:p w:rsidR="00CE0059" w:rsidRPr="00CE0059" w:rsidRDefault="00CE0059" w:rsidP="00CE0059">
      <w:pPr>
        <w:spacing w:before="240" w:after="80"/>
        <w:jc w:val="both"/>
      </w:pPr>
      <w:r w:rsidRPr="00CE0059">
        <w:t>Darbs pēc MC11 var</w:t>
      </w:r>
      <w:r w:rsidRPr="00CE0059">
        <w:softHyphen/>
        <w:t>ētu notikt šādos virzienos:</w:t>
      </w:r>
    </w:p>
    <w:p w:rsidR="002514B7" w:rsidRDefault="00CE0059" w:rsidP="00CE0059">
      <w:pPr>
        <w:pStyle w:val="ListParagraph"/>
        <w:numPr>
          <w:ilvl w:val="0"/>
          <w:numId w:val="1"/>
        </w:numPr>
        <w:spacing w:after="0" w:line="240" w:lineRule="auto"/>
        <w:jc w:val="both"/>
        <w:rPr>
          <w:rFonts w:ascii="Times New Roman" w:hAnsi="Times New Roman"/>
          <w:sz w:val="24"/>
          <w:szCs w:val="24"/>
        </w:rPr>
      </w:pPr>
      <w:r w:rsidRPr="00CE0059">
        <w:rPr>
          <w:rFonts w:ascii="Times New Roman" w:hAnsi="Times New Roman"/>
          <w:i/>
          <w:sz w:val="24"/>
          <w:szCs w:val="24"/>
        </w:rPr>
        <w:t>Zivsaimniecības subsīdijas</w:t>
      </w:r>
      <w:r w:rsidRPr="00CE0059">
        <w:rPr>
          <w:rFonts w:ascii="Times New Roman" w:hAnsi="Times New Roman"/>
          <w:sz w:val="24"/>
          <w:szCs w:val="24"/>
        </w:rPr>
        <w:t xml:space="preserve"> – ir atsākts darbs PTO noteikumu sarunu grupas ietvaros. Plānots turpināt sarunas par visiem jautājumiem saistībā ar zivsaimniecības subsīdijām, kā arī paralēli organizēt informatīvus seminārus par situāciju zivsaimniecības nozarē.</w:t>
      </w:r>
    </w:p>
    <w:p w:rsidR="002514B7" w:rsidRPr="002514B7" w:rsidRDefault="002514B7" w:rsidP="002514B7"/>
    <w:p w:rsidR="00CE0059" w:rsidRPr="002514B7" w:rsidRDefault="002514B7" w:rsidP="002514B7">
      <w:pPr>
        <w:tabs>
          <w:tab w:val="left" w:pos="1200"/>
        </w:tabs>
      </w:pPr>
      <w:r>
        <w:tab/>
      </w:r>
    </w:p>
    <w:p w:rsidR="00CE0059" w:rsidRPr="00CE0059" w:rsidRDefault="00CE0059" w:rsidP="00CE0059">
      <w:pPr>
        <w:pStyle w:val="ListParagraph"/>
        <w:numPr>
          <w:ilvl w:val="0"/>
          <w:numId w:val="1"/>
        </w:numPr>
        <w:spacing w:before="80" w:after="80" w:line="240" w:lineRule="auto"/>
        <w:jc w:val="both"/>
        <w:rPr>
          <w:rFonts w:ascii="Times New Roman" w:hAnsi="Times New Roman"/>
          <w:sz w:val="24"/>
          <w:szCs w:val="24"/>
        </w:rPr>
      </w:pPr>
      <w:r w:rsidRPr="00CE0059">
        <w:rPr>
          <w:rFonts w:ascii="Times New Roman" w:hAnsi="Times New Roman"/>
          <w:i/>
          <w:sz w:val="24"/>
          <w:szCs w:val="24"/>
        </w:rPr>
        <w:lastRenderedPageBreak/>
        <w:t>Lauksaimniecības jautājumi –</w:t>
      </w:r>
      <w:r w:rsidRPr="00CE0059">
        <w:rPr>
          <w:rFonts w:ascii="Times New Roman" w:hAnsi="Times New Roman"/>
          <w:sz w:val="24"/>
          <w:szCs w:val="24"/>
        </w:rPr>
        <w:t xml:space="preserve"> šobrīd turpmākais darbs un jautājumu virzība ir grūti prognozējama, jo MC11 PTO dalībvalstu viedokļi krasi atšķīrās gan jautājumā par publisko pārtikas krājumu (PSH) nodrošināšanu, gan iekšējo atbalstu un notifikācijām caurspīdīguma nodrošināšanai. MC11 dalībvalstis nespēja panākt vienošanos arī par d</w:t>
      </w:r>
      <w:r w:rsidR="00815FB4">
        <w:rPr>
          <w:rFonts w:ascii="Times New Roman" w:hAnsi="Times New Roman"/>
          <w:sz w:val="24"/>
          <w:szCs w:val="24"/>
        </w:rPr>
        <w:t>arba programmu līdz 2019. gada M</w:t>
      </w:r>
      <w:r w:rsidRPr="00CE0059">
        <w:rPr>
          <w:rFonts w:ascii="Times New Roman" w:hAnsi="Times New Roman"/>
          <w:sz w:val="24"/>
          <w:szCs w:val="24"/>
        </w:rPr>
        <w:t>inistru konferencei.</w:t>
      </w:r>
    </w:p>
    <w:p w:rsidR="00CE0059" w:rsidRPr="00CE0059" w:rsidRDefault="00CE0059" w:rsidP="00CE0059">
      <w:pPr>
        <w:pStyle w:val="ListParagraph"/>
        <w:numPr>
          <w:ilvl w:val="0"/>
          <w:numId w:val="1"/>
        </w:numPr>
        <w:spacing w:before="240" w:after="0" w:line="240" w:lineRule="auto"/>
        <w:jc w:val="both"/>
        <w:rPr>
          <w:rFonts w:ascii="Times New Roman" w:hAnsi="Times New Roman"/>
          <w:sz w:val="24"/>
          <w:szCs w:val="24"/>
        </w:rPr>
      </w:pPr>
      <w:r w:rsidRPr="00CE0059">
        <w:rPr>
          <w:rFonts w:ascii="Times New Roman" w:hAnsi="Times New Roman"/>
          <w:i/>
          <w:sz w:val="24"/>
          <w:szCs w:val="24"/>
        </w:rPr>
        <w:t>E-komercija</w:t>
      </w:r>
      <w:r w:rsidRPr="00CE0059">
        <w:rPr>
          <w:rFonts w:ascii="Times New Roman" w:hAnsi="Times New Roman"/>
          <w:sz w:val="24"/>
          <w:szCs w:val="24"/>
        </w:rPr>
        <w:t xml:space="preserve"> – MC11 vairāk kā 70 dalībvalstis izplatīja kopīgu paziņojumu par e</w:t>
      </w:r>
      <w:r w:rsidRPr="00CE0059">
        <w:rPr>
          <w:rFonts w:ascii="Times New Roman" w:hAnsi="Times New Roman"/>
          <w:sz w:val="24"/>
          <w:szCs w:val="24"/>
        </w:rPr>
        <w:noBreakHyphen/>
        <w:t xml:space="preserve">komercijas tirdzniecības aspektiem. Būtiski, ka šis ir vienīgais paziņojums, kuru atbalstīja arī ASV.  Šobrīd ir notikušas pirmās Vadības grupas sanāksmes vairākpusējas e-komercijas iniciatīvas jautājumā un tiek gatavots kopīgs paziņojums par turpmāko darbu. </w:t>
      </w:r>
    </w:p>
    <w:p w:rsidR="00CE0059" w:rsidRPr="00CE0059" w:rsidRDefault="00CE0059" w:rsidP="00CE0059">
      <w:pPr>
        <w:pStyle w:val="ListParagraph"/>
        <w:numPr>
          <w:ilvl w:val="0"/>
          <w:numId w:val="1"/>
        </w:numPr>
        <w:spacing w:before="240" w:after="0" w:line="240" w:lineRule="auto"/>
        <w:jc w:val="both"/>
        <w:rPr>
          <w:rFonts w:ascii="Times New Roman" w:hAnsi="Times New Roman"/>
          <w:sz w:val="24"/>
          <w:szCs w:val="24"/>
        </w:rPr>
      </w:pPr>
      <w:r w:rsidRPr="00CE0059">
        <w:rPr>
          <w:rFonts w:ascii="Times New Roman" w:hAnsi="Times New Roman"/>
          <w:i/>
          <w:sz w:val="24"/>
          <w:szCs w:val="24"/>
        </w:rPr>
        <w:t>Investīciju veicināšana</w:t>
      </w:r>
      <w:r w:rsidRPr="00CE0059">
        <w:rPr>
          <w:rFonts w:ascii="Times New Roman" w:hAnsi="Times New Roman"/>
          <w:sz w:val="24"/>
          <w:szCs w:val="24"/>
        </w:rPr>
        <w:t xml:space="preserve"> – dažas PTO dalībvalstis ir ieinteresētas ātrā jautājuma virzībā, kamēr citas vēlas paplašināt iesaistīto dalībvalstu loku, pirms uzsākt diskusijas pēc būtības. Brazīlija ir izplatījusi priekšlikumu PTO investīciju veicināšanas līgumam. Neformālas konsultācijas par jautājuma tālāko virzību ir iniciējis PTO ģenerāldirektors </w:t>
      </w:r>
      <w:proofErr w:type="spellStart"/>
      <w:r w:rsidRPr="00CE0059">
        <w:rPr>
          <w:rFonts w:ascii="Times New Roman" w:hAnsi="Times New Roman"/>
          <w:sz w:val="24"/>
          <w:szCs w:val="24"/>
        </w:rPr>
        <w:t>R.Azevedo</w:t>
      </w:r>
      <w:proofErr w:type="spellEnd"/>
      <w:r w:rsidRPr="00CE0059">
        <w:rPr>
          <w:rFonts w:ascii="Times New Roman" w:hAnsi="Times New Roman"/>
          <w:sz w:val="24"/>
          <w:szCs w:val="24"/>
        </w:rPr>
        <w:t>.</w:t>
      </w:r>
    </w:p>
    <w:p w:rsidR="00CE0059" w:rsidRPr="00CE0059" w:rsidRDefault="00CE0059" w:rsidP="00CE0059">
      <w:pPr>
        <w:pStyle w:val="ListParagraph"/>
        <w:numPr>
          <w:ilvl w:val="0"/>
          <w:numId w:val="1"/>
        </w:numPr>
        <w:spacing w:before="240" w:after="80" w:line="240" w:lineRule="auto"/>
        <w:jc w:val="both"/>
        <w:rPr>
          <w:rFonts w:ascii="Times New Roman" w:hAnsi="Times New Roman"/>
          <w:sz w:val="24"/>
          <w:szCs w:val="24"/>
        </w:rPr>
      </w:pPr>
      <w:r w:rsidRPr="00CE0059">
        <w:rPr>
          <w:rFonts w:ascii="Times New Roman" w:hAnsi="Times New Roman"/>
          <w:i/>
          <w:sz w:val="24"/>
          <w:szCs w:val="24"/>
        </w:rPr>
        <w:t>Iekšzemes regulējums pakalpojumos</w:t>
      </w:r>
      <w:r w:rsidRPr="00CE0059">
        <w:rPr>
          <w:rFonts w:ascii="Times New Roman" w:hAnsi="Times New Roman"/>
          <w:sz w:val="24"/>
          <w:szCs w:val="24"/>
        </w:rPr>
        <w:t xml:space="preserve"> </w:t>
      </w:r>
      <w:r w:rsidRPr="00CE0059">
        <w:rPr>
          <w:rFonts w:ascii="Times New Roman" w:hAnsi="Times New Roman"/>
          <w:sz w:val="24"/>
          <w:szCs w:val="24"/>
        </w:rPr>
        <w:softHyphen/>
        <w:t>– darbs vēl nav uzsākts. Kopīgajā ministru paziņojumā Buenosairesā pausta apņemšanās turpināt darbu, balstoties uz vairāk kā 50 dalībvalstu priekšlikuma par prasībām un procedūrām, kas saistītas ar licencēšanu un kvalifikācijām, kā arī tehniskajiem standartiem attiecībā uz jomām, kurās saskaņā ar GATS ir tirgus piekļuves saistības.</w:t>
      </w:r>
    </w:p>
    <w:p w:rsidR="00CE0059" w:rsidRPr="00CE0059" w:rsidRDefault="00CE0059" w:rsidP="00CE0059">
      <w:pPr>
        <w:pStyle w:val="ListParagraph"/>
        <w:numPr>
          <w:ilvl w:val="0"/>
          <w:numId w:val="1"/>
        </w:numPr>
        <w:spacing w:before="80" w:after="80" w:line="240" w:lineRule="auto"/>
        <w:jc w:val="both"/>
        <w:rPr>
          <w:rFonts w:ascii="Times New Roman" w:hAnsi="Times New Roman"/>
          <w:sz w:val="24"/>
          <w:szCs w:val="24"/>
        </w:rPr>
      </w:pPr>
      <w:proofErr w:type="spellStart"/>
      <w:r w:rsidRPr="00CE0059">
        <w:rPr>
          <w:rFonts w:ascii="Times New Roman" w:hAnsi="Times New Roman"/>
          <w:i/>
          <w:sz w:val="24"/>
          <w:szCs w:val="24"/>
        </w:rPr>
        <w:t>Mikro</w:t>
      </w:r>
      <w:proofErr w:type="spellEnd"/>
      <w:r w:rsidRPr="00CE0059">
        <w:rPr>
          <w:rFonts w:ascii="Times New Roman" w:hAnsi="Times New Roman"/>
          <w:i/>
          <w:sz w:val="24"/>
          <w:szCs w:val="24"/>
        </w:rPr>
        <w:t>, mazie un vidējie komersanti</w:t>
      </w:r>
      <w:r w:rsidRPr="00CE0059">
        <w:rPr>
          <w:rFonts w:ascii="Times New Roman" w:hAnsi="Times New Roman"/>
          <w:sz w:val="24"/>
          <w:szCs w:val="24"/>
        </w:rPr>
        <w:t xml:space="preserve"> (turpmāk – </w:t>
      </w:r>
      <w:proofErr w:type="spellStart"/>
      <w:r w:rsidRPr="00CE0059">
        <w:rPr>
          <w:rFonts w:ascii="Times New Roman" w:hAnsi="Times New Roman"/>
          <w:sz w:val="24"/>
          <w:szCs w:val="24"/>
        </w:rPr>
        <w:t>MSMEs</w:t>
      </w:r>
      <w:proofErr w:type="spellEnd"/>
      <w:r w:rsidRPr="00CE0059">
        <w:rPr>
          <w:rFonts w:ascii="Times New Roman" w:hAnsi="Times New Roman"/>
          <w:sz w:val="24"/>
          <w:szCs w:val="24"/>
        </w:rPr>
        <w:t xml:space="preserve">) – MC11 vairāk kā 80 dalībvalstis izplatīja kopīgu paziņojumu par PTO neformālu darba programmu </w:t>
      </w:r>
      <w:proofErr w:type="spellStart"/>
      <w:r w:rsidRPr="00CE0059">
        <w:rPr>
          <w:rFonts w:ascii="Times New Roman" w:hAnsi="Times New Roman"/>
          <w:sz w:val="24"/>
          <w:szCs w:val="24"/>
        </w:rPr>
        <w:t>MSMEs</w:t>
      </w:r>
      <w:proofErr w:type="spellEnd"/>
      <w:r w:rsidRPr="00CE0059">
        <w:rPr>
          <w:rFonts w:ascii="Times New Roman" w:hAnsi="Times New Roman"/>
          <w:sz w:val="24"/>
          <w:szCs w:val="24"/>
        </w:rPr>
        <w:t xml:space="preserve">, lai turpinātu diskusijas par horizontāliem un nediskriminējošiem risinājumiem, kas veicinātu </w:t>
      </w:r>
      <w:proofErr w:type="spellStart"/>
      <w:r w:rsidRPr="00CE0059">
        <w:rPr>
          <w:rFonts w:ascii="Times New Roman" w:hAnsi="Times New Roman"/>
          <w:sz w:val="24"/>
          <w:szCs w:val="24"/>
        </w:rPr>
        <w:t>MSMEs</w:t>
      </w:r>
      <w:proofErr w:type="spellEnd"/>
      <w:r w:rsidRPr="00CE0059">
        <w:rPr>
          <w:rFonts w:ascii="Times New Roman" w:hAnsi="Times New Roman"/>
          <w:sz w:val="24"/>
          <w:szCs w:val="24"/>
        </w:rPr>
        <w:t xml:space="preserve"> iesaisti starptautiskajā tirdzniecībā, ņemot vērā jaunattīstības valstu un vismazāk attīstīto valstu īpašās vajadzības. Diskusiju uzņēmusies vadīt Urugvaja – tiek veidota vadības grupa, lai izstrādātu darba programmu.</w:t>
      </w:r>
    </w:p>
    <w:p w:rsidR="00CE0059" w:rsidRPr="00CE0059" w:rsidRDefault="00CE0059" w:rsidP="00CE0059">
      <w:pPr>
        <w:spacing w:before="240" w:after="80"/>
        <w:jc w:val="both"/>
      </w:pPr>
      <w:r w:rsidRPr="00CE0059">
        <w:t>26. janvārī Šveicē, Davosas ekonomi</w:t>
      </w:r>
      <w:r w:rsidR="00815FB4">
        <w:t>kas</w:t>
      </w:r>
      <w:r w:rsidRPr="00CE0059">
        <w:t xml:space="preserve"> foruma ietvaros notika vairāku PTO dalībvalstu neformālā  tirdzniecības ministru tikšanās. Ministri bija vienisprātis, ka daudzpusēji jāturpina darbs pie zivsaimniecības subsīdiju regulējuma, vairums ministru atkārtoja apņemšanos turpināt darbu par MC11 kopīgajos ministru paziņojumos iekļautajiem jautājumiem. Nākamā neformālā tirdzniecības ministru tikšanās pēc Indijas iniciatīvas notiks 19.–20. martā, plānots, ka notiktu interaktīva diskusija par ministru vadlīnijām tālākam darbam pēc MC11, tirdzniecības un attīstības jautājumiem, kā arī PTO institucionāliem jautājumiem, t.sk. Apelācijas institūcijas krīzi. ES šajās sanāksmēs pārstāv Eiropas Komisija.</w:t>
      </w:r>
    </w:p>
    <w:p w:rsidR="00CE0059" w:rsidRPr="00CE0059" w:rsidRDefault="00CE0059" w:rsidP="00CE0059">
      <w:pPr>
        <w:spacing w:before="240" w:after="80"/>
        <w:jc w:val="both"/>
        <w:rPr>
          <w:noProof/>
        </w:rPr>
      </w:pPr>
      <w:r w:rsidRPr="00CE0059">
        <w:t xml:space="preserve">Neformālajā ES tirdzniecības ministru sanāksmē Eiropas Komisija iepazīstinās ministrus ar idejām par </w:t>
      </w:r>
      <w:r w:rsidRPr="00CE0059">
        <w:rPr>
          <w:i/>
          <w:u w:val="single"/>
        </w:rPr>
        <w:t>PTO regulārā darba uzlabošanu</w:t>
      </w:r>
      <w:r w:rsidRPr="00CE0059">
        <w:t xml:space="preserve">. 2016. gadā ES rosināja diskusijas PTO par </w:t>
      </w:r>
      <w:r w:rsidRPr="00CE0059">
        <w:rPr>
          <w:noProof/>
        </w:rPr>
        <w:t xml:space="preserve">caurspīdīguma </w:t>
      </w:r>
      <w:r w:rsidRPr="00CE0059">
        <w:t xml:space="preserve">uzlabošanu, publicējot un nodrošinot elektronisku piekļuvi dalībvalstu  juridiski saistošiem normatīviem, ja tiem ir ietekme uz tirdzniecību; labas pārvaldības prakses īstenošanu dalībvalstīs; kā arī uzlabot PTO dokumentu pieejamību ieinteresētajām pusēm. Arī ASV </w:t>
      </w:r>
      <w:r w:rsidRPr="00CE0059">
        <w:rPr>
          <w:noProof/>
        </w:rPr>
        <w:t>stingri iestājas par caurspīdīguma uzlabošanu un PTO līgumos iekļauto notifikāciju prasību ieviešanas stiprināšanu. ASV uz MC11 sagatavojo priekšlikumu ministru lēmumam,</w:t>
      </w:r>
      <w:r w:rsidRPr="00CE0059">
        <w:rPr>
          <w:rStyle w:val="FootnoteReference"/>
          <w:noProof/>
        </w:rPr>
        <w:footnoteReference w:id="1"/>
      </w:r>
      <w:r w:rsidRPr="00CE0059">
        <w:rPr>
          <w:noProof/>
        </w:rPr>
        <w:t xml:space="preserve"> kurā, cita starpā, ierosināja administratīva rakstura ierobežojumus tām dalībvalstīm, kuras neievēro notifikāciju parasības. Priekšlikums neguva atbalstu, taču ASV ir paudusi gatavību turpināt darbu pie minētā jautājuma pēc MC11.</w:t>
      </w:r>
    </w:p>
    <w:p w:rsidR="00CE0059" w:rsidRPr="00CE0059" w:rsidRDefault="00CE0059" w:rsidP="00CE0059">
      <w:pPr>
        <w:spacing w:after="80"/>
        <w:jc w:val="both"/>
      </w:pPr>
      <w:r w:rsidRPr="00CE0059">
        <w:t xml:space="preserve">Viens no PTO pēdējā laika izaicinājumiem ir situācija </w:t>
      </w:r>
      <w:r w:rsidRPr="00CE0059">
        <w:rPr>
          <w:i/>
          <w:u w:val="single"/>
        </w:rPr>
        <w:t>PTO strīdu noregulēšanas sistēmā</w:t>
      </w:r>
      <w:r w:rsidRPr="00CE0059">
        <w:t>. PTO Apelācijas institūcijā ir trīs vakanti tiesnešu amati no kopumā septiņiem. Brazīlijas, ES un 60 citu PTO dalībvalstu priekšlikumu par kandidātu atlases procedūras uzsākšanu neatbalsta ASV. ASV uzskata, ka ir jārisina jautājums par Apelācijas institūcijas reglamenta noteikumu,</w:t>
      </w:r>
      <w:r w:rsidRPr="00CE0059">
        <w:rPr>
          <w:rStyle w:val="FootnoteReference"/>
        </w:rPr>
        <w:footnoteReference w:id="2"/>
      </w:r>
      <w:r w:rsidRPr="00CE0059">
        <w:t xml:space="preserve"> kas ļauj tiesnesim pabeigt uzsākto lietu izskatīšanu arī pēc pilnvaru termiņa beigām. Nepietiekams tiesnešu </w:t>
      </w:r>
      <w:r w:rsidRPr="00CE0059">
        <w:lastRenderedPageBreak/>
        <w:t>skaits jau tuvākā gada laikā var apturēt Apelācijas pārskatu izskatīšanu, tādējādi apdraudot PTO Vienošanās par strīdu noregulēšanu darbību.</w:t>
      </w:r>
    </w:p>
    <w:p w:rsidR="00CE0059" w:rsidRPr="00CE0059" w:rsidRDefault="00CE0059" w:rsidP="00CE0059">
      <w:pPr>
        <w:spacing w:before="240" w:after="12"/>
        <w:jc w:val="both"/>
      </w:pPr>
      <w:r w:rsidRPr="00CE0059">
        <w:rPr>
          <w:bCs/>
        </w:rPr>
        <w:t>Latvija uzskata, ka,</w:t>
      </w:r>
      <w:r w:rsidRPr="00CE0059">
        <w:rPr>
          <w:b/>
          <w:bCs/>
          <w:i/>
        </w:rPr>
        <w:t xml:space="preserve"> </w:t>
      </w:r>
      <w:r w:rsidRPr="00CE0059">
        <w:rPr>
          <w:bCs/>
        </w:rPr>
        <w:t xml:space="preserve">ņemot vērā MC11 pieticīgos rezultātus, pēc Buenosairesas posmā ir svarīgi uzturēt un aktīvi paust atbalstu daudzpusējai tirdzniecības sistēmai un </w:t>
      </w:r>
      <w:r w:rsidRPr="00CE0059">
        <w:t xml:space="preserve">turpināt darbu pie </w:t>
      </w:r>
      <w:r w:rsidRPr="00CE0059">
        <w:rPr>
          <w:bCs/>
        </w:rPr>
        <w:t xml:space="preserve">aktuālo PTO tirdzniecības sarunu tālākas virzīšanas </w:t>
      </w:r>
      <w:r w:rsidRPr="00CE0059">
        <w:t xml:space="preserve">(zivsaimniecības subsīdijas). Latvija atbalsta arī darbu pie jaunajiem jautājumiem. Latvijas interesēs ir veicināt dialogu par </w:t>
      </w:r>
      <w:proofErr w:type="spellStart"/>
      <w:r w:rsidRPr="00CE0059">
        <w:t>MSMEs</w:t>
      </w:r>
      <w:proofErr w:type="spellEnd"/>
      <w:r w:rsidRPr="00CE0059">
        <w:t xml:space="preserve"> iesaisti starptautiskajā tirdzniecībā, kur īpaši nozīmīgi ir mazināt netarifu barjeras. E</w:t>
      </w:r>
      <w:r w:rsidRPr="00CE0059">
        <w:noBreakHyphen/>
        <w:t>komercijas jautājumos atbalstam tālāku virzību, t.sk. “</w:t>
      </w:r>
      <w:r w:rsidRPr="00CE0059">
        <w:rPr>
          <w:i/>
        </w:rPr>
        <w:t>Bratislavas jautājumos</w:t>
      </w:r>
      <w:r w:rsidRPr="00CE0059">
        <w:t>” (</w:t>
      </w:r>
      <w:r w:rsidRPr="00CE0059">
        <w:rPr>
          <w:bCs/>
        </w:rPr>
        <w:t>cīņa ar surogātpastu, patērētāju aizsardzība Internetā, elektronisko līgumu un elektronisko parakstu atzīšana).</w:t>
      </w:r>
      <w:r w:rsidRPr="00CE0059">
        <w:t xml:space="preserve"> Lai arī Latvija primāri dod priekšroku daudzpusējiem risinājumiem, jautājumos, kur tas nav iespējams, atbalstāma arī vairākpusēja pieeja, nodrošinot formāta atvērtību un pēc iespējas plašāku PTO dalībvalstu iesaisti. Latvija uzskata ka savlaicīga un pilnīga PTO līgumos ietverto dalībvalstu pienākumu izpilde ir īpaši svarīga organizācijas sekmīgai funkcionēšanai un atbalsta iniciatīvas, kas pilnveido PTO regulāro darbu. Vienlaikus svarīgi, lai mehānismi darba pilnveidošanai nebūtu pretrunā ar PTO līgumos paredzētajām dalībvalstu tiesībām. Attiecībā uz situāciju PTO Apelācijas institūcijā, Latvija piekrīt nepieciešamībai diskutēt par Vienošanās par strīdu noregulēšanu procedurāliem jautājumiem, taču diskusija nedrīkst būt sasaistīta ar Apelācijas institūcijas tiesnešu vakanču aizpildi.</w:t>
      </w:r>
    </w:p>
    <w:p w:rsidR="00CE0059" w:rsidRPr="00CE0059" w:rsidRDefault="00CE0059" w:rsidP="00CE0059">
      <w:pPr>
        <w:spacing w:after="12"/>
        <w:jc w:val="both"/>
        <w:rPr>
          <w:bCs/>
        </w:rPr>
      </w:pPr>
      <w:r w:rsidRPr="00CE0059">
        <w:t xml:space="preserve">Latvijas prioritātes ES kopējās tirdzniecības politikas jautājumos formulētas Ministru kabineta 2015. gada 17. novembrī apstiprinātajā nacionālajā pozīcijā “Par Eiropas Komisijas paziņojumu Eiropas Parlamentam, Padomei, Ekonomiskajai un Sociālajai komitejai </w:t>
      </w:r>
      <w:r w:rsidRPr="00CE0059">
        <w:rPr>
          <w:rStyle w:val="apple-style-span"/>
        </w:rPr>
        <w:t xml:space="preserve">un Reģionu komitejai “Tirdzniecība visiem. Ceļā uz atbildīgāku tirdzniecības un ieguldījumu politiku””. Spēkā ir arī </w:t>
      </w:r>
      <w:r w:rsidRPr="00CE0059">
        <w:t xml:space="preserve">2017. gada 3. maija nacionālā pozīcija “Par gatavošanos Pasaules Tirdzniecības organizācijas 11. Ministru konferencei”, kā arī </w:t>
      </w:r>
      <w:r w:rsidRPr="00CE0059">
        <w:rPr>
          <w:bCs/>
        </w:rPr>
        <w:t>2017. gada 12. decembra nacionālā pozīcija “Par Pasaules Tirdzniecības organizācijas 11. Ministru konferenci un turpmākajām daudzpusējām tirdzniecības sarunām”.</w:t>
      </w:r>
    </w:p>
    <w:p w:rsidR="00CE0059" w:rsidRPr="00CE0059" w:rsidRDefault="00CE0059" w:rsidP="00CE0059">
      <w:pPr>
        <w:tabs>
          <w:tab w:val="left" w:pos="3"/>
        </w:tabs>
        <w:spacing w:before="80"/>
        <w:jc w:val="both"/>
      </w:pPr>
    </w:p>
    <w:p w:rsidR="00CE0059" w:rsidRPr="00CE0059" w:rsidRDefault="00CE0059" w:rsidP="00CE0059">
      <w:pPr>
        <w:widowControl w:val="0"/>
        <w:spacing w:before="80"/>
        <w:jc w:val="both"/>
        <w:rPr>
          <w:b/>
        </w:rPr>
      </w:pPr>
      <w:r w:rsidRPr="00CE0059">
        <w:rPr>
          <w:b/>
        </w:rPr>
        <w:t>Šobrīd aktuālākās ES divpusējās tirdzniecības sarunas</w:t>
      </w:r>
    </w:p>
    <w:p w:rsidR="00CE0059" w:rsidRPr="00CE0059" w:rsidRDefault="00CE0059" w:rsidP="00CE0059">
      <w:pPr>
        <w:widowControl w:val="0"/>
        <w:spacing w:before="80" w:after="80"/>
        <w:jc w:val="both"/>
        <w:outlineLvl w:val="1"/>
        <w:rPr>
          <w:u w:val="single"/>
          <w:lang w:eastAsia="lv-LV"/>
        </w:rPr>
      </w:pPr>
      <w:r w:rsidRPr="00CE0059">
        <w:rPr>
          <w:u w:val="single"/>
          <w:lang w:eastAsia="lv-LV"/>
        </w:rPr>
        <w:t xml:space="preserve">ES – </w:t>
      </w:r>
      <w:r w:rsidRPr="00CE0059">
        <w:rPr>
          <w:i/>
          <w:u w:val="single"/>
          <w:lang w:eastAsia="lv-LV"/>
        </w:rPr>
        <w:t>Mercosur</w:t>
      </w:r>
      <w:r w:rsidRPr="00CE0059">
        <w:rPr>
          <w:u w:val="single"/>
          <w:lang w:eastAsia="lv-LV"/>
        </w:rPr>
        <w:t xml:space="preserve"> tirdzniecības sarunas</w:t>
      </w:r>
    </w:p>
    <w:p w:rsidR="00CE0059" w:rsidRPr="00CE0059" w:rsidRDefault="00CE0059" w:rsidP="00CE0059">
      <w:pPr>
        <w:spacing w:before="80" w:after="80"/>
        <w:jc w:val="both"/>
        <w:rPr>
          <w:lang w:eastAsia="lv-LV"/>
        </w:rPr>
      </w:pPr>
      <w:r w:rsidRPr="00CE0059">
        <w:rPr>
          <w:lang w:eastAsia="lv-LV"/>
        </w:rPr>
        <w:t xml:space="preserve">Sarunas par ES un četru </w:t>
      </w:r>
      <w:r w:rsidRPr="00CE0059">
        <w:rPr>
          <w:i/>
          <w:lang w:eastAsia="lv-LV"/>
        </w:rPr>
        <w:t>Mercosur</w:t>
      </w:r>
      <w:r w:rsidRPr="00CE0059">
        <w:rPr>
          <w:lang w:eastAsia="lv-LV"/>
        </w:rPr>
        <w:t xml:space="preserve"> valstu (Argentīna, Brazīlija, Paragvaja un Urugvaja; Venecuēla sarunās piedalās tikai kā novērotājs) Asociācijas nolīgumu, kurā tiktu ietverts politiskā dialoga, sadarbības un tirdzniecības pīlārs, tika uzsāktas 2000.gada jūnijā. Sarunas tika pārtrauktas 2012.gadā un no jauna atsāktas 2016.gada maijā. 2018.gada 30.-31. janvārī Briselē notika Mercosur valstu ministru un ES Tirdzniecības komisāres </w:t>
      </w:r>
      <w:proofErr w:type="spellStart"/>
      <w:r w:rsidRPr="00CE0059">
        <w:rPr>
          <w:lang w:eastAsia="lv-LV"/>
        </w:rPr>
        <w:t>S.Malstrēmas</w:t>
      </w:r>
      <w:proofErr w:type="spellEnd"/>
      <w:r w:rsidRPr="00CE0059">
        <w:rPr>
          <w:lang w:eastAsia="lv-LV"/>
        </w:rPr>
        <w:t xml:space="preserve"> un Lauksaimniecības komisāra F.Hogana tikšanās, lai mēģinātu noslēgt politisku vi</w:t>
      </w:r>
      <w:r w:rsidR="00C431F9">
        <w:rPr>
          <w:lang w:eastAsia="lv-LV"/>
        </w:rPr>
        <w:t xml:space="preserve">enošanos. Lai arī gan ES, gan </w:t>
      </w:r>
      <w:r w:rsidR="00815FB4" w:rsidRPr="00815FB4">
        <w:rPr>
          <w:i/>
          <w:lang w:eastAsia="lv-LV"/>
        </w:rPr>
        <w:t>Mercosur</w:t>
      </w:r>
      <w:r w:rsidR="00C431F9">
        <w:rPr>
          <w:lang w:eastAsia="lv-LV"/>
        </w:rPr>
        <w:t xml:space="preserve"> pusē ir skaidri redzama politiskā griba panākt vienošanos, tomēr minētā</w:t>
      </w:r>
      <w:r w:rsidR="00815FB4">
        <w:rPr>
          <w:lang w:eastAsia="lv-LV"/>
        </w:rPr>
        <w:t>s</w:t>
      </w:r>
      <w:r w:rsidR="00C431F9">
        <w:rPr>
          <w:lang w:eastAsia="lv-LV"/>
        </w:rPr>
        <w:t xml:space="preserve"> 30.-31.janvāra tikšanās </w:t>
      </w:r>
      <w:r w:rsidR="007B0CAD">
        <w:rPr>
          <w:lang w:eastAsia="lv-LV"/>
        </w:rPr>
        <w:t xml:space="preserve">laikā </w:t>
      </w:r>
      <w:r w:rsidR="00C431F9">
        <w:rPr>
          <w:lang w:eastAsia="lv-LV"/>
        </w:rPr>
        <w:t>tas vēl nenotika. Ir nepieciešams  zināms tehnisks darbs, lai šo politisko gribu ietērpu abām pusēm pieņemamos risinājumos, kā arī sarunu noslēguma fāzē</w:t>
      </w:r>
      <w:r w:rsidR="007B0CAD">
        <w:rPr>
          <w:lang w:eastAsia="lv-LV"/>
        </w:rPr>
        <w:t>,</w:t>
      </w:r>
      <w:r w:rsidR="00C431F9">
        <w:rPr>
          <w:lang w:eastAsia="lv-LV"/>
        </w:rPr>
        <w:t xml:space="preserve"> bez šaubām</w:t>
      </w:r>
      <w:r w:rsidR="007B0CAD">
        <w:rPr>
          <w:lang w:eastAsia="lv-LV"/>
        </w:rPr>
        <w:t>,</w:t>
      </w:r>
      <w:r w:rsidR="00C431F9">
        <w:rPr>
          <w:lang w:eastAsia="lv-LV"/>
        </w:rPr>
        <w:t xml:space="preserve"> notiek taktiska spēle par to, kura puse piekāpsies pirmā un kuros jautājumos. Sarunas turpinās</w:t>
      </w:r>
      <w:r w:rsidR="007B0CAD">
        <w:rPr>
          <w:lang w:eastAsia="lv-LV"/>
        </w:rPr>
        <w:t xml:space="preserve"> un abas puses saprot, ka </w:t>
      </w:r>
      <w:r w:rsidR="00C431F9">
        <w:rPr>
          <w:lang w:eastAsia="lv-LV"/>
        </w:rPr>
        <w:t xml:space="preserve">faktiski vienošanās panākšanai atvēlētais </w:t>
      </w:r>
      <w:r w:rsidR="007B0CAD">
        <w:rPr>
          <w:lang w:eastAsia="lv-LV"/>
        </w:rPr>
        <w:t xml:space="preserve">ir </w:t>
      </w:r>
      <w:r w:rsidR="001F63CD">
        <w:rPr>
          <w:lang w:eastAsia="lv-LV"/>
        </w:rPr>
        <w:t>vien neilgs laiks</w:t>
      </w:r>
      <w:r w:rsidR="007B0CAD">
        <w:rPr>
          <w:lang w:eastAsia="lv-LV"/>
        </w:rPr>
        <w:t xml:space="preserve"> dēļ tauvojošajām vispārējām vēlēšanām Brazīlijā.</w:t>
      </w:r>
    </w:p>
    <w:p w:rsidR="00CE0059" w:rsidRPr="00CE0059" w:rsidRDefault="00CE0059" w:rsidP="00CE0059">
      <w:pPr>
        <w:spacing w:before="80" w:after="80"/>
        <w:jc w:val="both"/>
        <w:rPr>
          <w:lang w:eastAsia="lv-LV"/>
        </w:rPr>
      </w:pPr>
      <w:r w:rsidRPr="00CE0059">
        <w:rPr>
          <w:lang w:eastAsia="lv-LV"/>
        </w:rPr>
        <w:t xml:space="preserve">Joprojām turpinās diskusijas par piešķiramo tarifu kvotu apmēru noteiktiem </w:t>
      </w:r>
      <w:r w:rsidRPr="00CE0059">
        <w:rPr>
          <w:i/>
          <w:lang w:eastAsia="lv-LV"/>
        </w:rPr>
        <w:t>Mercosur</w:t>
      </w:r>
      <w:r w:rsidRPr="00CE0059">
        <w:rPr>
          <w:lang w:eastAsia="lv-LV"/>
        </w:rPr>
        <w:t xml:space="preserve"> valstu izcelsmes lauksaimniecības produktiem – svaiga un saldēta liellopu gaļa, mājputnu gaļa, cūkgaļa, aitas gaļa, piena pulveris, sviests, siers, ķiploki, mīkstie kvieši, kukurūza un graudu sorgo, rīsi, etanols, pārstrādāts cukurs un pārstrādāti graudi. Joprojām būtiskākais jautājums ir tarifu kvotas liellopu gaļai. Mercosur pusei piedāvātie apjomi (70 000 t/gadā) neesot pietiekami augsti, turklāt Brazīlija, Argentīna, Urugvaja un Paragvaja sasaista tirgus pieeju lauksaimniecības un ne-lauksaimniecības produktiem. Lai sarunas netiku pārtrauktas, no ES puses 30.-31.janvāra tikšanās ar </w:t>
      </w:r>
      <w:r w:rsidR="00A40179" w:rsidRPr="00A40179">
        <w:rPr>
          <w:i/>
          <w:lang w:eastAsia="lv-LV"/>
        </w:rPr>
        <w:t>Mercosur</w:t>
      </w:r>
      <w:r w:rsidRPr="00CE0059">
        <w:rPr>
          <w:lang w:eastAsia="lv-LV"/>
        </w:rPr>
        <w:t xml:space="preserve"> pusi laikā Komisija ir minējusi iespēju palielināt ES tarifu kvotu liellopu gaļai </w:t>
      </w:r>
      <w:r w:rsidRPr="00CE0059">
        <w:rPr>
          <w:lang w:eastAsia="lv-LV"/>
        </w:rPr>
        <w:lastRenderedPageBreak/>
        <w:t>piedāvājumu līdz 99 000 t/gadā. Tāpat notiek diskusijas par citām līguma sadaļām, kurās iekļauti ES interesējoši jautājumi par autobūvi, piena produktiem, ģeogrāfiskās izcelsmes norādēm, publiskajiem iepirkumiem un jūras transporta pakalpojumiem. Nākamā tikšanās plānota 19.</w:t>
      </w:r>
      <w:r w:rsidR="00A40179">
        <w:rPr>
          <w:lang w:eastAsia="lv-LV"/>
        </w:rPr>
        <w:t> </w:t>
      </w:r>
      <w:r w:rsidRPr="00CE0059">
        <w:rPr>
          <w:lang w:eastAsia="lv-LV"/>
        </w:rPr>
        <w:t xml:space="preserve">februārī Asunsjonā, Paragvajā. </w:t>
      </w:r>
    </w:p>
    <w:p w:rsidR="00CE0059" w:rsidRPr="00CE0059" w:rsidRDefault="00CE0059" w:rsidP="00CE0059">
      <w:pPr>
        <w:spacing w:before="80" w:after="80"/>
        <w:jc w:val="both"/>
        <w:rPr>
          <w:lang w:eastAsia="lv-LV"/>
        </w:rPr>
      </w:pPr>
      <w:r w:rsidRPr="00CE0059">
        <w:rPr>
          <w:lang w:eastAsia="lv-LV"/>
        </w:rPr>
        <w:t xml:space="preserve">Līdz šim praktiski ir pabeigtas sadaļas par muitu un tirdzniecības veicināšanu, abpusējo administratīvo palīdzību, finanšu pakalpojumiem, kapitāla plūsmām un maksājumiem. Progress sasniegts attiecībā uz sadaļām par preču, pakalpojumu tirdzniecību un uzņēmumu nodibināšanu, valsts iepirkumiem, ģeogrāfiskās izcelsmes norādēm, tirdzniecību un ilgtspējīgu attīstību un strīdu izšķiršanu. </w:t>
      </w:r>
    </w:p>
    <w:p w:rsidR="00CE0059" w:rsidRPr="00CE0059" w:rsidRDefault="00CE0059" w:rsidP="00CE0059">
      <w:pPr>
        <w:spacing w:before="80" w:after="80"/>
        <w:jc w:val="both"/>
        <w:rPr>
          <w:lang w:eastAsia="lv-LV"/>
        </w:rPr>
      </w:pPr>
      <w:r w:rsidRPr="00CE0059">
        <w:rPr>
          <w:lang w:eastAsia="lv-LV"/>
        </w:rPr>
        <w:t>Latvija atbalsta sarunas par ES-Mercosur Asociācijas nolīguma tirdzniecības sadaļu. Sarunās par visaptverošu nolīgumu ir jāvienojas par tirgus pieejas uzlabošanu precēm, pakalpojumiem, un valsts iepirkumiem, kā arī jāsamazina netarifu barjeras un jāatceļ ierobežojumi ārvalstu investoriem. Vienlaicīgi tirdzniecības sarunu rezultātam ir jāatbilst ES un Latvijas ekonomiskajām interesēm. I</w:t>
      </w:r>
      <w:r w:rsidRPr="00CE0059">
        <w:rPr>
          <w:bCs/>
          <w:lang w:eastAsia="lv-LV"/>
        </w:rPr>
        <w:t xml:space="preserve">r būtiski </w:t>
      </w:r>
      <w:r w:rsidRPr="00CE0059">
        <w:rPr>
          <w:lang w:eastAsia="lv-LV"/>
        </w:rPr>
        <w:t xml:space="preserve">saglabāt zināmu tirgus aizsardzības līmeni sensitīvajiem produktiem, jo īpaši, attiecībā uz lauksaimniecības nozari, tarifu kvotu veidā vai garāka pakāpeniskās liberalizācijas grafika veidā. </w:t>
      </w:r>
      <w:r w:rsidRPr="00CE0059">
        <w:rPr>
          <w:color w:val="000000"/>
          <w:lang w:eastAsia="lv-LV"/>
        </w:rPr>
        <w:t>Vienlaikus sarunās jāpanāk, ka tiek saglabāts augsts pārtikas drošuma un kvalitātes, dzīvnieku</w:t>
      </w:r>
      <w:r w:rsidRPr="00CE0059">
        <w:rPr>
          <w:lang w:eastAsia="lv-LV"/>
        </w:rPr>
        <w:t xml:space="preserve"> </w:t>
      </w:r>
      <w:r w:rsidRPr="00CE0059">
        <w:rPr>
          <w:color w:val="000000"/>
          <w:lang w:eastAsia="lv-LV"/>
        </w:rPr>
        <w:t>veselības un labturības prasību un vides standartu līmenis. Nolīguma rezultātā nevar</w:t>
      </w:r>
      <w:r w:rsidRPr="00CE0059">
        <w:rPr>
          <w:lang w:eastAsia="lv-LV"/>
        </w:rPr>
        <w:t xml:space="preserve"> tikt mazinātas ES likumdošanas prasības veterinārajā, pārtikas un fitosanitārajā jomā. </w:t>
      </w:r>
      <w:r w:rsidR="006F2ACB">
        <w:rPr>
          <w:lang w:eastAsia="lv-LV"/>
        </w:rPr>
        <w:t xml:space="preserve">Latvija </w:t>
      </w:r>
      <w:r w:rsidR="006F2ACB" w:rsidRPr="00463B8E">
        <w:rPr>
          <w:lang w:eastAsia="lv-LV"/>
        </w:rPr>
        <w:t>sagaid</w:t>
      </w:r>
      <w:r w:rsidR="006F2ACB">
        <w:rPr>
          <w:lang w:eastAsia="lv-LV"/>
        </w:rPr>
        <w:t>a</w:t>
      </w:r>
      <w:r w:rsidRPr="00CE0059">
        <w:rPr>
          <w:lang w:eastAsia="lv-LV"/>
        </w:rPr>
        <w:t>, ka gala vienošanās Komisija būs panākusi pēc iespējas vairāk ES un Latvijas interešu ņemšanu vērā.</w:t>
      </w:r>
    </w:p>
    <w:p w:rsidR="00CE0059" w:rsidRPr="00CE0059" w:rsidRDefault="00CE0059" w:rsidP="00CE0059">
      <w:pPr>
        <w:spacing w:before="80" w:after="80"/>
        <w:jc w:val="both"/>
        <w:rPr>
          <w:lang w:eastAsia="lv-LV"/>
        </w:rPr>
      </w:pPr>
      <w:r w:rsidRPr="00CE0059">
        <w:rPr>
          <w:lang w:eastAsia="lv-LV"/>
        </w:rPr>
        <w:t>Ārlietu ministrijas sagatavotā nacionālā pozīcija par Eiropas Savienības un Mercosur valstu sarunām par Asociācijas nolīguma noslēgšanu tika apstiprināta 2017.gada 20.decembrī.</w:t>
      </w:r>
    </w:p>
    <w:p w:rsidR="00CE0059" w:rsidRPr="00CE0059" w:rsidRDefault="00CE0059" w:rsidP="00CE0059">
      <w:pPr>
        <w:spacing w:before="120" w:after="120"/>
        <w:contextualSpacing/>
        <w:jc w:val="both"/>
        <w:rPr>
          <w:highlight w:val="yellow"/>
        </w:rPr>
      </w:pPr>
    </w:p>
    <w:p w:rsidR="00CE0059" w:rsidRPr="00CE0059" w:rsidRDefault="00CE0059" w:rsidP="00CE0059">
      <w:pPr>
        <w:widowControl w:val="0"/>
        <w:spacing w:before="80" w:after="80"/>
        <w:jc w:val="both"/>
        <w:outlineLvl w:val="1"/>
        <w:rPr>
          <w:u w:val="single"/>
          <w:lang w:eastAsia="lv-LV"/>
        </w:rPr>
      </w:pPr>
      <w:r w:rsidRPr="00CE0059">
        <w:rPr>
          <w:u w:val="single"/>
          <w:lang w:eastAsia="lv-LV"/>
        </w:rPr>
        <w:t>ES – Meksikas tirdzniecības sarunas</w:t>
      </w:r>
    </w:p>
    <w:p w:rsidR="00CE0059" w:rsidRPr="00CE0059" w:rsidRDefault="00CE0059" w:rsidP="00CE0059">
      <w:pPr>
        <w:spacing w:before="80" w:after="80"/>
        <w:jc w:val="both"/>
        <w:rPr>
          <w:iCs/>
          <w:lang w:eastAsia="lv-LV"/>
        </w:rPr>
      </w:pPr>
      <w:r w:rsidRPr="00CE0059">
        <w:rPr>
          <w:lang w:eastAsia="lv-LV"/>
        </w:rPr>
        <w:t xml:space="preserve">ES un Meksikas tirdzniecības attiecības nosaka Ekonomiskās partnerības, politiskās koordinācijas un sadarbības nolīgums (turpmāk Globālais nolīgums), kurš stājās spēkā 1997. gadā. Nolīgums iekļāva arī tirdzniecības sadaļu, kura stājās spēkā 2000. gada oktobrī. 2013. gada janvārī ES – Latīņamerikas un Karību valstu samitā puses vienojās pārskatīt līgumu. 2016. gada 25. maijā ES un Meksika uzsāka sarunas par Globālā nolīguma modernizāciju, kura ietvaros noris arī sarunas par tirdzniecības sadaļu. </w:t>
      </w:r>
      <w:r w:rsidRPr="00CE0059">
        <w:rPr>
          <w:iCs/>
          <w:lang w:eastAsia="lv-LV"/>
        </w:rPr>
        <w:t>ES ir iesniegusi</w:t>
      </w:r>
      <w:r w:rsidRPr="00CE0059">
        <w:rPr>
          <w:i/>
          <w:iCs/>
          <w:lang w:eastAsia="lv-LV"/>
        </w:rPr>
        <w:t xml:space="preserve"> </w:t>
      </w:r>
      <w:r w:rsidRPr="00CE0059">
        <w:rPr>
          <w:iCs/>
          <w:lang w:eastAsia="lv-LV"/>
        </w:rPr>
        <w:t xml:space="preserve">priekšlikumus par izcelsmes noteikumiem, valsts iepirkumiem, sanitāriem un fitosanitāriem pasākumiem, enerģētiku un izejvielām, intelektuālā īpašuma tiesībām un maziem un vidējiem komersantiem. </w:t>
      </w:r>
    </w:p>
    <w:p w:rsidR="00CE0059" w:rsidRPr="00CE0059" w:rsidRDefault="00CE0059" w:rsidP="00CE0059">
      <w:pPr>
        <w:widowControl w:val="0"/>
        <w:spacing w:before="80" w:after="80"/>
        <w:jc w:val="both"/>
      </w:pPr>
      <w:r w:rsidRPr="00CE0059">
        <w:rPr>
          <w:lang w:eastAsia="lv-LV"/>
        </w:rPr>
        <w:t xml:space="preserve">Pēdējā septītā sarunu kārta ar Meksiku notika 2017. gada 12.-22. decembrī Briselē, kur pusēm izdevās noslēgtas astoņas nolīguma sadaļas – par preču tirdzniecību (galvenais teksts), tirdzniecības tehniskajām barjerām, labu </w:t>
      </w:r>
      <w:proofErr w:type="spellStart"/>
      <w:r w:rsidRPr="00CE0059">
        <w:rPr>
          <w:lang w:eastAsia="lv-LV"/>
        </w:rPr>
        <w:t>regulatoro</w:t>
      </w:r>
      <w:proofErr w:type="spellEnd"/>
      <w:r w:rsidRPr="00CE0059">
        <w:rPr>
          <w:lang w:eastAsia="lv-LV"/>
        </w:rPr>
        <w:t xml:space="preserve"> praksi, caurspīdīgumu, enerģētiku un izejmateriāliem, tirdzniecību un ilgtspējīgu attīstību, sanitārajiem un fitosanitārajiem pasākumiem, muitu un tirdzniecības veicināšanu. Joprojām atvērti ir jautājumi </w:t>
      </w:r>
      <w:r w:rsidRPr="00CE0059">
        <w:rPr>
          <w:rStyle w:val="word"/>
        </w:rPr>
        <w:t>attiecībā</w:t>
      </w:r>
      <w:r w:rsidRPr="00CE0059">
        <w:rPr>
          <w:rStyle w:val="phrase"/>
        </w:rPr>
        <w:t xml:space="preserve"> </w:t>
      </w:r>
      <w:r w:rsidRPr="00CE0059">
        <w:rPr>
          <w:rStyle w:val="word"/>
        </w:rPr>
        <w:t>uz</w:t>
      </w:r>
      <w:r w:rsidRPr="00CE0059">
        <w:rPr>
          <w:rStyle w:val="phrase"/>
        </w:rPr>
        <w:t xml:space="preserve"> </w:t>
      </w:r>
      <w:r w:rsidRPr="00CE0059">
        <w:rPr>
          <w:rStyle w:val="word"/>
        </w:rPr>
        <w:t>tirgus</w:t>
      </w:r>
      <w:r w:rsidRPr="00CE0059">
        <w:rPr>
          <w:rStyle w:val="sentence"/>
        </w:rPr>
        <w:t xml:space="preserve"> </w:t>
      </w:r>
      <w:r w:rsidRPr="00CE0059">
        <w:rPr>
          <w:rStyle w:val="word"/>
        </w:rPr>
        <w:t>piekļuvi</w:t>
      </w:r>
      <w:r w:rsidRPr="00CE0059">
        <w:rPr>
          <w:rStyle w:val="sentence"/>
        </w:rPr>
        <w:t xml:space="preserve"> </w:t>
      </w:r>
      <w:r w:rsidRPr="00CE0059">
        <w:rPr>
          <w:rStyle w:val="word"/>
        </w:rPr>
        <w:t>sensitīviem</w:t>
      </w:r>
      <w:r w:rsidRPr="00CE0059">
        <w:rPr>
          <w:rStyle w:val="sentence"/>
        </w:rPr>
        <w:t xml:space="preserve"> </w:t>
      </w:r>
      <w:r w:rsidRPr="00CE0059">
        <w:rPr>
          <w:rStyle w:val="word"/>
        </w:rPr>
        <w:t>lauksaimniecības</w:t>
      </w:r>
      <w:r w:rsidRPr="00CE0059">
        <w:rPr>
          <w:rStyle w:val="sentence"/>
        </w:rPr>
        <w:t xml:space="preserve"> </w:t>
      </w:r>
      <w:r w:rsidRPr="00CE0059">
        <w:rPr>
          <w:rStyle w:val="word"/>
        </w:rPr>
        <w:t xml:space="preserve">produktiem </w:t>
      </w:r>
      <w:r w:rsidRPr="00CE0059">
        <w:rPr>
          <w:lang w:eastAsia="lv-LV"/>
        </w:rPr>
        <w:t>(t.sk. piena produktiem, sieriem un piena pulverim)</w:t>
      </w:r>
      <w:r w:rsidRPr="00CE0059">
        <w:rPr>
          <w:rStyle w:val="word"/>
        </w:rPr>
        <w:t>,</w:t>
      </w:r>
      <w:r w:rsidRPr="00CE0059">
        <w:rPr>
          <w:rStyle w:val="sentence"/>
        </w:rPr>
        <w:t xml:space="preserve"> </w:t>
      </w:r>
      <w:r w:rsidRPr="00CE0059">
        <w:rPr>
          <w:rStyle w:val="word"/>
        </w:rPr>
        <w:t>investīciju aizsardzību, valsts</w:t>
      </w:r>
      <w:r w:rsidRPr="00CE0059">
        <w:rPr>
          <w:rStyle w:val="phrase"/>
        </w:rPr>
        <w:t xml:space="preserve"> </w:t>
      </w:r>
      <w:r w:rsidRPr="00CE0059">
        <w:rPr>
          <w:rStyle w:val="word"/>
        </w:rPr>
        <w:t>iepirkumiem</w:t>
      </w:r>
      <w:r w:rsidRPr="00CE0059">
        <w:rPr>
          <w:rStyle w:val="sentence"/>
        </w:rPr>
        <w:t xml:space="preserve"> </w:t>
      </w:r>
      <w:r w:rsidRPr="00CE0059">
        <w:rPr>
          <w:rStyle w:val="word"/>
        </w:rPr>
        <w:t xml:space="preserve">decentralizētā līmenī un </w:t>
      </w:r>
      <w:r w:rsidRPr="00CE0059">
        <w:rPr>
          <w:lang w:eastAsia="lv-LV"/>
        </w:rPr>
        <w:t>ģeogrāfiskās izcelsmes norādēm. Nākamā sarunu kārta paredzēta Mehiko 12.-16. februārī, kuru laikā puses ir izteikušas cerību noslēgt sarunas (vēl līdz prezidenta vēlēšanām Meksikā 2018. gada vasarā).</w:t>
      </w:r>
    </w:p>
    <w:p w:rsidR="00CE0059" w:rsidRPr="00CE0059" w:rsidRDefault="00CE0059" w:rsidP="00CE0059">
      <w:pPr>
        <w:widowControl w:val="0"/>
        <w:spacing w:before="80" w:after="80"/>
        <w:jc w:val="both"/>
      </w:pPr>
      <w:r w:rsidRPr="00CE0059">
        <w:rPr>
          <w:lang w:eastAsia="lv-LV"/>
        </w:rPr>
        <w:t xml:space="preserve">Latvija atbalsta ES–Meksikas Globālā nolīguma tirdzniecības sadaļas modernizāciju, tādējādi stiprinot Latvijas attiecības ar Meksiku. Nolīgumam jāsekmē Latvijas eksportspējīgo preču un pakalpojumu tirgus pieejamības nosacījumu uzlabošana Meksikas tirgū. </w:t>
      </w:r>
    </w:p>
    <w:p w:rsidR="00CE0059" w:rsidRPr="00CE0059" w:rsidRDefault="00CE0059" w:rsidP="00CE0059">
      <w:pPr>
        <w:spacing w:before="120" w:after="120"/>
        <w:contextualSpacing/>
        <w:jc w:val="both"/>
        <w:rPr>
          <w:lang w:eastAsia="lv-LV"/>
        </w:rPr>
      </w:pPr>
      <w:r w:rsidRPr="00CE0059">
        <w:rPr>
          <w:lang w:eastAsia="lv-LV"/>
        </w:rPr>
        <w:t xml:space="preserve">Ārlietu ministrijas sagatavotā nacionālā pozīcija par </w:t>
      </w:r>
      <w:r w:rsidRPr="00CE0059">
        <w:rPr>
          <w:iCs/>
          <w:lang w:eastAsia="lv-LV"/>
        </w:rPr>
        <w:t xml:space="preserve">ES – Meksikas Ekonomiskās partnerības, politiskās koordinācijas un sadarbības nolīgumu tirdzniecības un ieguldījumu partnerību </w:t>
      </w:r>
      <w:r w:rsidRPr="00CE0059">
        <w:rPr>
          <w:lang w:eastAsia="lv-LV"/>
        </w:rPr>
        <w:t>tika apstiprināta 2016.gada 26.februārī.</w:t>
      </w:r>
    </w:p>
    <w:p w:rsidR="00CE0059" w:rsidRPr="00CE0059" w:rsidRDefault="00CE0059" w:rsidP="00CE0059">
      <w:pPr>
        <w:spacing w:before="120" w:after="120"/>
        <w:contextualSpacing/>
        <w:jc w:val="both"/>
        <w:rPr>
          <w:lang w:eastAsia="lv-LV"/>
        </w:rPr>
      </w:pPr>
    </w:p>
    <w:p w:rsidR="00CE0059" w:rsidRPr="00CE0059" w:rsidRDefault="00CE0059" w:rsidP="00CE0059">
      <w:pPr>
        <w:spacing w:before="80" w:after="80"/>
        <w:jc w:val="both"/>
        <w:rPr>
          <w:lang w:eastAsia="lv-LV"/>
        </w:rPr>
      </w:pPr>
      <w:r w:rsidRPr="00CE0059">
        <w:rPr>
          <w:lang w:eastAsia="lv-LV"/>
        </w:rPr>
        <w:lastRenderedPageBreak/>
        <w:t xml:space="preserve">2017. gada 8. decembrī tika noslēgtas sarunas par </w:t>
      </w:r>
      <w:r w:rsidRPr="00CE0059">
        <w:rPr>
          <w:u w:val="single"/>
          <w:lang w:eastAsia="lv-LV"/>
        </w:rPr>
        <w:t>ES-Japānas Ekonomisko partnerattiecību nolīgumu</w:t>
      </w:r>
      <w:r w:rsidRPr="00CE0059">
        <w:rPr>
          <w:lang w:eastAsia="lv-LV"/>
        </w:rPr>
        <w:t xml:space="preserve">, kas ir viens no lielākajiem un visaptverošākajiem ekonomikas nolīgumiem, kādu ES vai Japāna līdz šim būs noslēgusi. </w:t>
      </w:r>
    </w:p>
    <w:p w:rsidR="00CE0059" w:rsidRPr="00CE0059" w:rsidRDefault="00CE0059" w:rsidP="00CE0059">
      <w:pPr>
        <w:spacing w:before="80" w:after="80"/>
        <w:jc w:val="both"/>
        <w:rPr>
          <w:lang w:eastAsia="lv-LV"/>
        </w:rPr>
      </w:pPr>
      <w:r w:rsidRPr="00CE0059">
        <w:rPr>
          <w:lang w:eastAsia="lv-LV"/>
        </w:rPr>
        <w:t xml:space="preserve">Tāpat sarunas jau ir noslēgtas par </w:t>
      </w:r>
      <w:r w:rsidRPr="00CE0059">
        <w:rPr>
          <w:u w:val="single"/>
          <w:lang w:eastAsia="lv-LV"/>
        </w:rPr>
        <w:t>ES-Singapūras brīvās tirdzniecības līgumu</w:t>
      </w:r>
      <w:r w:rsidRPr="00CE0059">
        <w:rPr>
          <w:lang w:eastAsia="lv-LV"/>
        </w:rPr>
        <w:t xml:space="preserve"> (2014. gada 17. oktobrī), taču </w:t>
      </w:r>
      <w:r w:rsidRPr="00CE0059">
        <w:rPr>
          <w:iCs/>
          <w:lang w:eastAsia="lv-LV"/>
        </w:rPr>
        <w:t>saskaņā ar ES Tiesas 2017. gada 16. maija lēmumu Brīvās tirdzniecības nolīgumu ar Singapūru tā pašreizējā formā ES nevar noslēgt kā ES kompetences nolīgumu. Komisija turpina darbu pie līguma sadalīšanas ES ekskluzīvās kompetences līgumā un dalītās kompetences līgumā (investīciju strīdu izšķiršanas jautājumi).</w:t>
      </w:r>
    </w:p>
    <w:p w:rsidR="00CE0059" w:rsidRPr="00CE0059" w:rsidRDefault="00CE0059" w:rsidP="00CE0059">
      <w:pPr>
        <w:spacing w:before="80" w:after="80"/>
        <w:jc w:val="both"/>
        <w:rPr>
          <w:lang w:eastAsia="lv-LV"/>
        </w:rPr>
      </w:pPr>
      <w:r w:rsidRPr="00CE0059">
        <w:rPr>
          <w:lang w:eastAsia="lv-LV"/>
        </w:rPr>
        <w:t xml:space="preserve">2017. gada 13. novembra </w:t>
      </w:r>
      <w:r w:rsidRPr="00CE0059">
        <w:rPr>
          <w:bCs/>
          <w:color w:val="000000"/>
        </w:rPr>
        <w:t xml:space="preserve">ES Ārlietu padomē tika apstiprināts mandāts Komisijai vest sarunas par esošā </w:t>
      </w:r>
      <w:r w:rsidRPr="00CE0059">
        <w:rPr>
          <w:bCs/>
          <w:color w:val="000000"/>
          <w:u w:val="single"/>
        </w:rPr>
        <w:t>ES-Čīles Asociācijas nolīguma</w:t>
      </w:r>
      <w:r w:rsidRPr="00CE0059">
        <w:rPr>
          <w:bCs/>
          <w:color w:val="000000"/>
        </w:rPr>
        <w:t xml:space="preserve"> (t.sk. tirdzniecības sadaļas) modernizāciju, taču aktīvas sarunas vēl nav uzsāktas.</w:t>
      </w:r>
      <w:r w:rsidRPr="00CE0059">
        <w:rPr>
          <w:rStyle w:val="FootnoteReference"/>
          <w:bCs/>
          <w:color w:val="000000"/>
        </w:rPr>
        <w:footnoteReference w:id="3"/>
      </w:r>
      <w:r w:rsidRPr="00CE0059">
        <w:rPr>
          <w:bCs/>
          <w:color w:val="000000"/>
        </w:rPr>
        <w:t xml:space="preserve"> Ārlietu ministrijas sagatavotā nacionālā pozīcija “Kopīgs ieteikums Padomes lēmumam, ar ko Eiropas Komisiju un Savienības Augsto pārstāvi ārlietās un drošības politikas jautājumos pilnvaro sākt un risināt sarunas par modernizētu asociācijas nolīgumu ar Čīles Republiku”</w:t>
      </w:r>
      <w:r w:rsidRPr="00CE0059">
        <w:rPr>
          <w:bCs/>
          <w:iCs/>
          <w:color w:val="000000"/>
        </w:rPr>
        <w:t xml:space="preserve"> </w:t>
      </w:r>
      <w:r w:rsidRPr="00CE0059">
        <w:rPr>
          <w:bCs/>
          <w:color w:val="000000"/>
        </w:rPr>
        <w:t>tika apstiprināta 2017. gada 19. oktobrī.</w:t>
      </w:r>
    </w:p>
    <w:p w:rsidR="00CE0059" w:rsidRPr="00CE0059" w:rsidRDefault="00CE0059" w:rsidP="00CE0059">
      <w:pPr>
        <w:spacing w:before="120" w:after="120"/>
        <w:contextualSpacing/>
        <w:jc w:val="both"/>
      </w:pPr>
      <w:r w:rsidRPr="00CE0059">
        <w:t xml:space="preserve">Joprojām ES Padomes Tirdzniecības komitejas ietvaros turpinās diskusijas par </w:t>
      </w:r>
      <w:r w:rsidRPr="00CE0059">
        <w:rPr>
          <w:u w:val="single"/>
        </w:rPr>
        <w:t>ES-Austrālijas un ES-Jaunzēlandes brīvā tirdzniecības nolīguma</w:t>
      </w:r>
      <w:r w:rsidRPr="00CE0059">
        <w:t xml:space="preserve"> sarunu mandātu apstiprināšanu. </w:t>
      </w:r>
    </w:p>
    <w:p w:rsidR="00CE0059" w:rsidRPr="00CE0059" w:rsidRDefault="00CE0059" w:rsidP="00CE0059">
      <w:pPr>
        <w:spacing w:before="120"/>
        <w:contextualSpacing/>
        <w:jc w:val="both"/>
        <w:rPr>
          <w:highlight w:val="yellow"/>
        </w:rPr>
      </w:pPr>
      <w:r w:rsidRPr="00CE0059">
        <w:rPr>
          <w:highlight w:val="yellow"/>
        </w:rPr>
        <w:t xml:space="preserve"> </w:t>
      </w:r>
    </w:p>
    <w:p w:rsidR="00CE0059" w:rsidRPr="00CE0059" w:rsidRDefault="00CE0059" w:rsidP="00CE0059">
      <w:pPr>
        <w:widowControl w:val="0"/>
        <w:spacing w:before="80" w:after="80"/>
        <w:jc w:val="both"/>
        <w:outlineLvl w:val="1"/>
        <w:rPr>
          <w:b/>
        </w:rPr>
      </w:pPr>
      <w:r w:rsidRPr="00CE0059">
        <w:rPr>
          <w:b/>
        </w:rPr>
        <w:t>Ilgtspējīgas attīstības sadaļu ietveršana tirdzniecības nolīgumos</w:t>
      </w:r>
    </w:p>
    <w:p w:rsidR="00CE0059" w:rsidRPr="00CE0059" w:rsidRDefault="00CE0059" w:rsidP="00CE0059">
      <w:pPr>
        <w:spacing w:before="80" w:after="80"/>
        <w:jc w:val="both"/>
        <w:rPr>
          <w:lang w:eastAsia="lv-LV"/>
        </w:rPr>
      </w:pPr>
      <w:r w:rsidRPr="00CE0059">
        <w:rPr>
          <w:lang w:eastAsia="lv-LV"/>
        </w:rPr>
        <w:t>Tirdzniecības un ilgtspējīgas attīstības (turpmāk - TIA) sadaļu iekļaušana ES tirdzniecības nolīgumos ar trešajām valstīm mērķis ir efektīva starptautisko pamata darba un vides konvenciju piemērošana, tādējādi nodrošinot vienādus tirdzniecības nosacījumus, kuri nepazemina esošos darba un vides standartus.</w:t>
      </w:r>
    </w:p>
    <w:p w:rsidR="00CE0059" w:rsidRPr="00CE0059" w:rsidRDefault="00CE0059" w:rsidP="00CE0059">
      <w:pPr>
        <w:spacing w:before="80" w:after="80"/>
        <w:jc w:val="both"/>
        <w:rPr>
          <w:lang w:eastAsia="lv-LV"/>
        </w:rPr>
      </w:pPr>
      <w:r w:rsidRPr="00CE0059">
        <w:rPr>
          <w:lang w:eastAsia="lv-LV"/>
        </w:rPr>
        <w:t>TIA sadaļu iekļaušana brīvās tirdzniecības nolīgumos ir samērā nesena prakse. Pašlaik šādi nosacījumi ir atrunāti ES nolīgumos ar Dienvidkoreju, Centrālameriku, Kolumbiju, Peru, Gruziju, Moldovu, Ukrainu un Kanādu.</w:t>
      </w:r>
    </w:p>
    <w:p w:rsidR="00CE0059" w:rsidRPr="00CE0059" w:rsidRDefault="00CE0059" w:rsidP="00CE0059">
      <w:pPr>
        <w:spacing w:before="80" w:after="80"/>
        <w:jc w:val="both"/>
        <w:rPr>
          <w:lang w:eastAsia="lv-LV"/>
        </w:rPr>
      </w:pPr>
      <w:r w:rsidRPr="00CE0059">
        <w:rPr>
          <w:lang w:eastAsia="lv-LV"/>
        </w:rPr>
        <w:t xml:space="preserve">Eiropas Komisija ir uzsākusi izvērtējumu TIA sadaļu īstenošanai tirdzniecības nolīgumos un principā piedāvā izšķirties starp diviem iespējamiem virzieniem saistībā ar efektīvāku šo TIA sadaļu īstenošanu: 1) pārliecinošāka līdzšinējā īstenošanas pieeja, aktivizējot dialogu ar partnervalstīm un atbilstošajām starptautiskajām organizācijām, pastiprinot esošo uzraudzību un TIA rīku izmantošanu, kā arī veicinot pilsoniskās sabiedrības iesaisti TIA īstenošanā; 2) sankciju modeļa ieviešana, kur šādi mēri tiek piemēroti, lai nodrošinātu TIA noteikumu ievērošanu un īstenošanu. </w:t>
      </w:r>
    </w:p>
    <w:p w:rsidR="00CE0059" w:rsidRPr="00CE0059" w:rsidRDefault="00CE0059" w:rsidP="00CE0059">
      <w:pPr>
        <w:spacing w:before="80" w:after="80"/>
        <w:jc w:val="both"/>
        <w:rPr>
          <w:lang w:eastAsia="lv-LV"/>
        </w:rPr>
      </w:pPr>
      <w:r w:rsidRPr="00CE0059">
        <w:rPr>
          <w:lang w:eastAsia="lv-LV"/>
        </w:rPr>
        <w:t xml:space="preserve">Latvija atbalsta TIA sadaļu iekļaušanu tirdzniecības nolīgumos un to īstenošanu caur pastiprinātu dialogu un ciešāku sadarbību. </w:t>
      </w:r>
    </w:p>
    <w:p w:rsidR="00CE0059" w:rsidRPr="00CE0059" w:rsidRDefault="00CE0059" w:rsidP="00CE0059">
      <w:pPr>
        <w:widowControl w:val="0"/>
        <w:spacing w:before="80"/>
        <w:jc w:val="both"/>
        <w:rPr>
          <w:b/>
        </w:rPr>
      </w:pPr>
    </w:p>
    <w:p w:rsidR="00CE0059" w:rsidRPr="00CE0059" w:rsidRDefault="00CE0059" w:rsidP="00CE0059">
      <w:pPr>
        <w:pStyle w:val="NoSpacing"/>
        <w:spacing w:before="80"/>
        <w:jc w:val="both"/>
        <w:rPr>
          <w:rFonts w:ascii="Times New Roman" w:hAnsi="Times New Roman"/>
          <w:b/>
          <w:sz w:val="24"/>
          <w:szCs w:val="24"/>
          <w:lang w:val="lv-LV"/>
        </w:rPr>
      </w:pPr>
      <w:r w:rsidRPr="00CE0059">
        <w:rPr>
          <w:rFonts w:ascii="Times New Roman" w:hAnsi="Times New Roman"/>
          <w:b/>
          <w:sz w:val="24"/>
          <w:szCs w:val="24"/>
          <w:lang w:val="lv-LV"/>
        </w:rPr>
        <w:t>Regulas projekts par Ārvalstu investīciju izvērtēšanas mehānismu un Daudzpusējā</w:t>
      </w:r>
      <w:r w:rsidR="00A24909">
        <w:rPr>
          <w:rFonts w:ascii="Times New Roman" w:hAnsi="Times New Roman"/>
          <w:b/>
          <w:sz w:val="24"/>
          <w:szCs w:val="24"/>
          <w:lang w:val="lv-LV"/>
        </w:rPr>
        <w:t>s</w:t>
      </w:r>
      <w:r w:rsidRPr="00CE0059">
        <w:rPr>
          <w:rFonts w:ascii="Times New Roman" w:hAnsi="Times New Roman"/>
          <w:b/>
          <w:sz w:val="24"/>
          <w:szCs w:val="24"/>
          <w:lang w:val="lv-LV"/>
        </w:rPr>
        <w:t xml:space="preserve"> ieguldījumu tiesas sistēma </w:t>
      </w:r>
    </w:p>
    <w:p w:rsidR="00CE0059" w:rsidRPr="00CE0059" w:rsidRDefault="00CE0059" w:rsidP="00CE0059">
      <w:pPr>
        <w:pStyle w:val="NoSpacing"/>
        <w:spacing w:before="240"/>
        <w:jc w:val="both"/>
        <w:rPr>
          <w:rFonts w:ascii="Times New Roman" w:hAnsi="Times New Roman"/>
          <w:sz w:val="24"/>
          <w:szCs w:val="24"/>
          <w:lang w:val="lv-LV"/>
        </w:rPr>
      </w:pPr>
      <w:r w:rsidRPr="00CE0059">
        <w:rPr>
          <w:rFonts w:ascii="Times New Roman" w:hAnsi="Times New Roman"/>
          <w:sz w:val="24"/>
          <w:szCs w:val="24"/>
          <w:lang w:val="lv-LV"/>
        </w:rPr>
        <w:t>Sanāksmes darba pusdienu formātā ministriem tiek dota iespēja izteikties par jautājumiem saistībā ar Regulas projektu par ārvalstu investīciju izvērtēšanas mehānisma izveidošanu, kā arī par Daudzpusējās investīciju tiesas sistēmas izveidi un Komisijas piedāvāto sarunu mandātu par Konvenciju, ar kuru izveido daudzpusējo tiesu ieguldījumu strīdus izšķiršanai.</w:t>
      </w:r>
    </w:p>
    <w:p w:rsidR="00CE0059" w:rsidRPr="00CE0059" w:rsidRDefault="00CE0059" w:rsidP="00CE0059">
      <w:pPr>
        <w:pStyle w:val="NoSpacing"/>
        <w:spacing w:before="240"/>
        <w:jc w:val="both"/>
        <w:rPr>
          <w:rFonts w:ascii="Times New Roman" w:hAnsi="Times New Roman"/>
          <w:sz w:val="24"/>
          <w:szCs w:val="24"/>
          <w:lang w:val="lv-LV"/>
        </w:rPr>
      </w:pPr>
      <w:r w:rsidRPr="00CE0059">
        <w:rPr>
          <w:rFonts w:ascii="Times New Roman" w:hAnsi="Times New Roman"/>
          <w:sz w:val="24"/>
          <w:szCs w:val="24"/>
          <w:lang w:val="lv-LV"/>
        </w:rPr>
        <w:t>2017. gada 13. septembrī Eiropas Komisija publicēja Regulas projektu par ārvalstu investīciju izvērtēšanas (skrīninga) mehānisma izveidošanu. Tās galvenie punkti nos</w:t>
      </w:r>
      <w:r w:rsidR="009173A6">
        <w:rPr>
          <w:rFonts w:ascii="Times New Roman" w:hAnsi="Times New Roman"/>
          <w:sz w:val="24"/>
          <w:szCs w:val="24"/>
          <w:lang w:val="lv-LV"/>
        </w:rPr>
        <w:t>a</w:t>
      </w:r>
      <w:r w:rsidRPr="00CE0059">
        <w:rPr>
          <w:rFonts w:ascii="Times New Roman" w:hAnsi="Times New Roman"/>
          <w:sz w:val="24"/>
          <w:szCs w:val="24"/>
          <w:lang w:val="lv-LV"/>
        </w:rPr>
        <w:t xml:space="preserve">ka, ka: </w:t>
      </w:r>
    </w:p>
    <w:p w:rsidR="00CE0059" w:rsidRPr="00CE0059" w:rsidRDefault="00CE0059" w:rsidP="00CE0059">
      <w:pPr>
        <w:pStyle w:val="NoSpacing"/>
        <w:jc w:val="both"/>
        <w:rPr>
          <w:rFonts w:ascii="Times New Roman" w:hAnsi="Times New Roman"/>
          <w:sz w:val="24"/>
          <w:szCs w:val="24"/>
          <w:lang w:val="lv-LV"/>
        </w:rPr>
      </w:pPr>
      <w:r w:rsidRPr="00CE0059">
        <w:rPr>
          <w:rFonts w:ascii="Times New Roman" w:hAnsi="Times New Roman"/>
          <w:sz w:val="24"/>
          <w:szCs w:val="24"/>
          <w:lang w:val="lv-LV"/>
        </w:rPr>
        <w:lastRenderedPageBreak/>
        <w:t xml:space="preserve">- dalībvalstīm jāinformē Komisija par veiktajiem investīciju </w:t>
      </w:r>
      <w:proofErr w:type="spellStart"/>
      <w:r w:rsidRPr="00CE0059">
        <w:rPr>
          <w:rFonts w:ascii="Times New Roman" w:hAnsi="Times New Roman"/>
          <w:sz w:val="24"/>
          <w:szCs w:val="24"/>
          <w:lang w:val="lv-LV"/>
        </w:rPr>
        <w:t>skrīningiem</w:t>
      </w:r>
      <w:proofErr w:type="spellEnd"/>
      <w:r w:rsidRPr="00CE0059">
        <w:rPr>
          <w:rFonts w:ascii="Times New Roman" w:hAnsi="Times New Roman"/>
          <w:sz w:val="24"/>
          <w:szCs w:val="24"/>
          <w:lang w:val="lv-LV"/>
        </w:rPr>
        <w:t xml:space="preserve"> nacionālā līmenī, ja investīcijas skar ES drošību un sabiedrisko kārtību, kā arī reizi gadā jāsniedz visaptveroša informācija par ārvalstu investīcijām, kas veiktas minētajās jomās;</w:t>
      </w:r>
    </w:p>
    <w:p w:rsidR="00CE0059" w:rsidRPr="00CE0059" w:rsidRDefault="00CE0059" w:rsidP="00CE0059">
      <w:pPr>
        <w:pStyle w:val="NoSpacing"/>
        <w:jc w:val="both"/>
        <w:rPr>
          <w:rFonts w:ascii="Times New Roman" w:hAnsi="Times New Roman"/>
          <w:sz w:val="24"/>
          <w:szCs w:val="24"/>
          <w:lang w:val="lv-LV"/>
        </w:rPr>
      </w:pPr>
      <w:r w:rsidRPr="00CE0059">
        <w:rPr>
          <w:rFonts w:ascii="Times New Roman" w:hAnsi="Times New Roman"/>
          <w:sz w:val="24"/>
          <w:szCs w:val="24"/>
          <w:lang w:val="lv-LV"/>
        </w:rPr>
        <w:t>- Komisija un citas ES dalībvalstis varēs (pēc izvēles) sniegt savu izvērtējumu par investīcijām, kurām tiek veikts nacionālais skrīnings, bet to viedokļi būs konsultatīvi;</w:t>
      </w:r>
    </w:p>
    <w:p w:rsidR="00CE0059" w:rsidRPr="00CE0059" w:rsidRDefault="00CE0059" w:rsidP="00CE0059">
      <w:pPr>
        <w:pStyle w:val="NoSpacing"/>
        <w:jc w:val="both"/>
        <w:rPr>
          <w:rFonts w:ascii="Times New Roman" w:hAnsi="Times New Roman"/>
          <w:sz w:val="24"/>
          <w:szCs w:val="24"/>
          <w:lang w:val="lv-LV"/>
        </w:rPr>
      </w:pPr>
      <w:r w:rsidRPr="00CE0059">
        <w:rPr>
          <w:rFonts w:ascii="Times New Roman" w:hAnsi="Times New Roman"/>
          <w:sz w:val="24"/>
          <w:szCs w:val="24"/>
          <w:lang w:val="lv-LV"/>
        </w:rPr>
        <w:t xml:space="preserve">- tiks izveidota īpaša darba grupa Komisijas vadībā, kurā piedalīsies no katras ES dalībvalstu nozīmēta kontaktpersona. Darba grupa skatīs visus ar šo Regulu saistītos jautājumus. </w:t>
      </w:r>
    </w:p>
    <w:p w:rsidR="00CE0059" w:rsidRPr="00CE0059" w:rsidRDefault="00CE0059" w:rsidP="00CE0059">
      <w:pPr>
        <w:pStyle w:val="NoSpacing"/>
        <w:jc w:val="both"/>
        <w:rPr>
          <w:rFonts w:ascii="Times New Roman" w:hAnsi="Times New Roman"/>
          <w:sz w:val="24"/>
          <w:szCs w:val="24"/>
          <w:lang w:val="lv-LV"/>
        </w:rPr>
      </w:pPr>
      <w:r w:rsidRPr="00CE0059">
        <w:rPr>
          <w:rFonts w:ascii="Times New Roman" w:hAnsi="Times New Roman"/>
          <w:sz w:val="24"/>
          <w:szCs w:val="24"/>
          <w:lang w:val="lv-LV"/>
        </w:rPr>
        <w:t>Šobrīd notiek intensīvas dalībvalstu diskusijas par piedāvāto Regulas projektu un ar tās ieviešanu saistītajiem administratīvajiem jautājumiem, piemēram, pašreiz tiek diskutēts par Regulas juridisko pamatojumu, kā arī dokumenta formu (regula vai vadlīnijas). Paralēli diskusijām, ņemot vērā, ka netika gatavots priekšlikuma ietekmes izvērtējums, Komisija gatavo informāciju (ietekmes izvērtējuma vietā) par jaunā mehānisma ietekmi uz turpmāko investīciju ienākšanu ES un administratīvā sloga iespējamo palielināšanos.</w:t>
      </w:r>
    </w:p>
    <w:p w:rsidR="00CE0059" w:rsidRPr="00CE0059" w:rsidRDefault="00CE0059" w:rsidP="00CE0059">
      <w:pPr>
        <w:pStyle w:val="NoSpacing"/>
        <w:jc w:val="both"/>
        <w:rPr>
          <w:rFonts w:ascii="Times New Roman" w:hAnsi="Times New Roman"/>
          <w:sz w:val="24"/>
          <w:szCs w:val="24"/>
          <w:lang w:val="lv-LV"/>
        </w:rPr>
      </w:pPr>
      <w:r w:rsidRPr="00CE0059">
        <w:rPr>
          <w:rFonts w:ascii="Times New Roman" w:hAnsi="Times New Roman"/>
          <w:sz w:val="24"/>
          <w:szCs w:val="24"/>
          <w:lang w:val="lv-LV"/>
        </w:rPr>
        <w:t>Latvijā par investīciju skrīninga mehānisma tālāko darbību atbildīga ir Ekonomikas ministrija. 2017. gada 3. oktobrī tika pieņemti Ministru kabineta noteikumi, kas nosaka kārtību, kādā Ekonomikas ministrija veic investīciju skrīningu nacionālā līmenī. Tā kā ES līmeņa investīciju skrīnings notiks ciešā sasaistē ar nacionālo līmenī, atbildīgā būs Ekonomikas ministrija.</w:t>
      </w:r>
    </w:p>
    <w:p w:rsidR="00CE0059" w:rsidRPr="00CE0059" w:rsidRDefault="00CE0059" w:rsidP="00CE0059">
      <w:pPr>
        <w:pStyle w:val="NoSpacing"/>
        <w:jc w:val="both"/>
        <w:rPr>
          <w:rFonts w:ascii="Times New Roman" w:hAnsi="Times New Roman"/>
          <w:sz w:val="24"/>
          <w:szCs w:val="24"/>
          <w:lang w:val="lv-LV"/>
        </w:rPr>
      </w:pPr>
      <w:r w:rsidRPr="00CE0059">
        <w:rPr>
          <w:rFonts w:ascii="Times New Roman" w:hAnsi="Times New Roman"/>
          <w:sz w:val="24"/>
          <w:szCs w:val="24"/>
          <w:lang w:val="lv-LV"/>
        </w:rPr>
        <w:t>2017. gada 17. oktobrī Ministru kabinets apstiprināja Latvijas sākotnējo pozīciju par Komisijas priekšlikumu. Apzinoties iespējamos riskus saistībā ar ārvalstu investīcijām stratēģiskajos ES ekonomikas sektoros, Latvija neiebilst Komis</w:t>
      </w:r>
      <w:r w:rsidR="002E5817">
        <w:rPr>
          <w:rFonts w:ascii="Times New Roman" w:hAnsi="Times New Roman"/>
          <w:sz w:val="24"/>
          <w:szCs w:val="24"/>
          <w:lang w:val="lv-LV"/>
        </w:rPr>
        <w:t>i</w:t>
      </w:r>
      <w:r w:rsidRPr="00CE0059">
        <w:rPr>
          <w:rFonts w:ascii="Times New Roman" w:hAnsi="Times New Roman"/>
          <w:sz w:val="24"/>
          <w:szCs w:val="24"/>
          <w:lang w:val="lv-LV"/>
        </w:rPr>
        <w:t xml:space="preserve">jas iniciatīvai sakārtot šīs jomas. Latvija jau ir ieviesusi šādu investīciju izvērtēšanas mehānismu nacionālajā līmenī nacionālajai drošībai nozīmīgās komercsabiedrībās (grozījumi Nacionālās drošības likumā, 2017. gada 29. marts). Vienlaikus saistībā ar Regulas projektu par investīciju skrīningu ir vēl daudz tehnisku jautājumu par to kā tas darbosies. Latvija uzskata, ka šāda Regula nedrīkstētu nozīmēt soli protekcionisma virzienā. </w:t>
      </w:r>
    </w:p>
    <w:p w:rsidR="00CE0059" w:rsidRPr="00CE0059" w:rsidRDefault="00CE0059" w:rsidP="00CE0059">
      <w:pPr>
        <w:widowControl w:val="0"/>
        <w:spacing w:before="80"/>
        <w:jc w:val="both"/>
      </w:pPr>
    </w:p>
    <w:p w:rsidR="00CE0059" w:rsidRPr="00CE0059" w:rsidRDefault="00CE0059" w:rsidP="00CE0059">
      <w:pPr>
        <w:pStyle w:val="NoSpacing"/>
        <w:jc w:val="both"/>
        <w:rPr>
          <w:rFonts w:ascii="Times New Roman" w:hAnsi="Times New Roman"/>
          <w:sz w:val="24"/>
          <w:szCs w:val="24"/>
          <w:lang w:val="lv-LV" w:eastAsia="lv-LV"/>
        </w:rPr>
      </w:pPr>
      <w:r w:rsidRPr="00CE0059">
        <w:rPr>
          <w:rFonts w:ascii="Times New Roman" w:hAnsi="Times New Roman"/>
          <w:sz w:val="24"/>
          <w:szCs w:val="24"/>
          <w:lang w:val="lv-LV"/>
        </w:rPr>
        <w:t xml:space="preserve">2017. gada 13. septembrī  Komisija publicēja ieteikumu Padomes lēmumam, ar kuru atļauj sākt sarunas par Konvenciju, ar ko izveido daudzpusējo tiesu ieguldījumu strīdu izšķiršanai (sarunu mandāta projekts). Tas autorizētu Komisiju turpmāk vest sarunas ES vārdā par daudzpusējās ieguldījumu tiesas (turpmāk - DIT) izveidi. Šobrīd sarunas notiek ANO </w:t>
      </w:r>
      <w:r w:rsidRPr="00CE0059">
        <w:rPr>
          <w:rFonts w:ascii="Times New Roman" w:hAnsi="Times New Roman"/>
          <w:sz w:val="24"/>
          <w:szCs w:val="24"/>
          <w:lang w:val="lv-LV" w:eastAsia="lv-LV"/>
        </w:rPr>
        <w:t>Starptautiskās tirdzniecības tiesību komisijas (turpmāk - UNCITRAL) 3.darba grupā, kurai 2017. gada 14.jūlijā tika dots mandāts</w:t>
      </w:r>
      <w:r w:rsidRPr="00CE0059">
        <w:rPr>
          <w:rStyle w:val="FootnoteReference"/>
          <w:rFonts w:ascii="Times New Roman" w:hAnsi="Times New Roman"/>
          <w:sz w:val="24"/>
          <w:szCs w:val="24"/>
          <w:lang w:val="lv-LV" w:eastAsia="lv-LV"/>
        </w:rPr>
        <w:footnoteReference w:id="4"/>
      </w:r>
      <w:r w:rsidRPr="00CE0059">
        <w:rPr>
          <w:rFonts w:ascii="Times New Roman" w:hAnsi="Times New Roman"/>
          <w:sz w:val="24"/>
          <w:szCs w:val="24"/>
          <w:lang w:val="lv-LV" w:eastAsia="lv-LV"/>
        </w:rPr>
        <w:t>: 1) izvērtēt pastāvošo investora-valsts strīdus izšķiršanu (turpmāk - IVSI); 2) noteikt, vai ir nepieciešamas reformas šajā jomā; 3) ja nepieciešamas reformas, kādas tās būtu. Pirmā UNCITRAL 3.darba grupas sesija notika no 2017. gada 27. novembra līdz 1. decembrim Vīnē, kurā valstis vienojās turpināt darbu pie IVSI izvērtēšanas. Nā</w:t>
      </w:r>
      <w:r w:rsidR="00F10331">
        <w:rPr>
          <w:rFonts w:ascii="Times New Roman" w:hAnsi="Times New Roman"/>
          <w:sz w:val="24"/>
          <w:szCs w:val="24"/>
          <w:lang w:val="lv-LV" w:eastAsia="lv-LV"/>
        </w:rPr>
        <w:t>košā darba sesija plānota 2018. </w:t>
      </w:r>
      <w:r w:rsidRPr="00CE0059">
        <w:rPr>
          <w:rFonts w:ascii="Times New Roman" w:hAnsi="Times New Roman"/>
          <w:sz w:val="24"/>
          <w:szCs w:val="24"/>
          <w:lang w:val="lv-LV" w:eastAsia="lv-LV"/>
        </w:rPr>
        <w:t>gada aprīlī Ņujorkā. ES dalībvalstis vēl nav vienojušās par sarunu mandāta gala redakciju (nav atrisināti atsevišķi tehniski jautājumi, piemēram, mandāta publicēšanas kārtība), tāpēc Komisija šobrīd piedalās UNCITRAL darbā, cieši koordinējoties ar ES dalībvalstīm.</w:t>
      </w:r>
    </w:p>
    <w:p w:rsidR="00CE0059" w:rsidRPr="00CE0059" w:rsidRDefault="00CE0059" w:rsidP="00CE0059">
      <w:pPr>
        <w:pStyle w:val="NoSpacing"/>
        <w:jc w:val="both"/>
        <w:rPr>
          <w:rFonts w:ascii="Times New Roman" w:hAnsi="Times New Roman"/>
          <w:sz w:val="24"/>
          <w:szCs w:val="24"/>
          <w:lang w:val="lv-LV"/>
        </w:rPr>
      </w:pPr>
      <w:r w:rsidRPr="00CE0059">
        <w:rPr>
          <w:rFonts w:ascii="Times New Roman" w:hAnsi="Times New Roman"/>
          <w:sz w:val="24"/>
          <w:szCs w:val="24"/>
          <w:lang w:val="lv-LV"/>
        </w:rPr>
        <w:t xml:space="preserve">DIT iniciatīvas mērķis ir izveidot starptautisku ieguldījumu strīdu izšķiršanas satvaru, kas būtu pastāvīgs, neatkarīgs un leģitīms, būtu paredzams, nodrošinot konsekventu judikatūru, nodrošinātu iespēju pārsūdzēt lēmumus, būtu izmaksu ziņā lietderīgs un nodrošinātu pārredzamas un efektīvas procedūras un iespēju maziem un vidējiem uzņēmumiem, kā arī </w:t>
      </w:r>
      <w:proofErr w:type="spellStart"/>
      <w:r w:rsidRPr="00CE0059">
        <w:rPr>
          <w:rFonts w:ascii="Times New Roman" w:hAnsi="Times New Roman"/>
          <w:sz w:val="24"/>
          <w:szCs w:val="24"/>
          <w:lang w:val="lv-LV"/>
        </w:rPr>
        <w:t>trešām</w:t>
      </w:r>
      <w:proofErr w:type="spellEnd"/>
      <w:r w:rsidRPr="00CE0059">
        <w:rPr>
          <w:rFonts w:ascii="Times New Roman" w:hAnsi="Times New Roman"/>
          <w:sz w:val="24"/>
          <w:szCs w:val="24"/>
          <w:lang w:val="lv-LV"/>
        </w:rPr>
        <w:t xml:space="preserve"> personām (ieskaitot, piemēram, vides vai darba ņēmēju ieinteresētās organizācijas) iesniegt pieprasījumus. </w:t>
      </w:r>
    </w:p>
    <w:p w:rsidR="00CE0059" w:rsidRPr="00CE0059" w:rsidRDefault="00CE0059" w:rsidP="00CE0059">
      <w:pPr>
        <w:pStyle w:val="NoSpacing"/>
        <w:jc w:val="both"/>
        <w:rPr>
          <w:rFonts w:ascii="Times New Roman" w:hAnsi="Times New Roman"/>
          <w:sz w:val="24"/>
          <w:szCs w:val="24"/>
          <w:lang w:val="lv-LV"/>
        </w:rPr>
      </w:pPr>
      <w:r w:rsidRPr="00CE0059">
        <w:rPr>
          <w:rFonts w:ascii="Times New Roman" w:hAnsi="Times New Roman"/>
          <w:sz w:val="24"/>
          <w:szCs w:val="24"/>
          <w:lang w:val="lv-LV"/>
        </w:rPr>
        <w:t>2017. gada 28.</w:t>
      </w:r>
      <w:r w:rsidR="00F10331">
        <w:rPr>
          <w:rFonts w:ascii="Times New Roman" w:hAnsi="Times New Roman"/>
          <w:sz w:val="24"/>
          <w:szCs w:val="24"/>
          <w:lang w:val="lv-LV"/>
        </w:rPr>
        <w:t xml:space="preserve"> </w:t>
      </w:r>
      <w:r w:rsidRPr="00CE0059">
        <w:rPr>
          <w:rFonts w:ascii="Times New Roman" w:hAnsi="Times New Roman"/>
          <w:sz w:val="24"/>
          <w:szCs w:val="24"/>
          <w:lang w:val="lv-LV"/>
        </w:rPr>
        <w:t xml:space="preserve">novembrī Ministru kabinets apstiprināja Latvijas nacionālo pozīciju “Par ieteikumu Padomes lēmumam, ar kuru atļauj sākt sarunas par Konvenciju, ar ko izveido daudzpusējo tiesu ieguldījumu strīdu izšķiršanai”. Latvija atbalsta priekšlikumus investīciju aizsardzības sistēmas reformēšanai, kas vērsti uz valstu tiesību stiprināšanu, t.sk., investīciju tiesas sistēmas pilnveidošanu, kas nodrošinātu vienotu, caurskatāmu un pēc iespējas objektīvu investīciju strīdus </w:t>
      </w:r>
      <w:r w:rsidRPr="00CE0059">
        <w:rPr>
          <w:rFonts w:ascii="Times New Roman" w:hAnsi="Times New Roman"/>
          <w:sz w:val="24"/>
          <w:szCs w:val="24"/>
          <w:lang w:val="lv-LV"/>
        </w:rPr>
        <w:lastRenderedPageBreak/>
        <w:t>izšķiršanu</w:t>
      </w:r>
      <w:r w:rsidRPr="00CE0059">
        <w:rPr>
          <w:rStyle w:val="FootnoteReference"/>
          <w:rFonts w:ascii="Times New Roman" w:hAnsi="Times New Roman"/>
          <w:sz w:val="24"/>
          <w:szCs w:val="24"/>
          <w:lang w:val="lv-LV"/>
        </w:rPr>
        <w:footnoteReference w:id="5"/>
      </w:r>
      <w:r w:rsidRPr="00CE0059">
        <w:rPr>
          <w:rFonts w:ascii="Times New Roman" w:hAnsi="Times New Roman"/>
          <w:sz w:val="24"/>
          <w:szCs w:val="24"/>
          <w:lang w:val="lv-LV"/>
        </w:rPr>
        <w:t xml:space="preserve">. Būtiski, ka šādas normas tiktu piemērotas arī citos nolīgumos, t.sk. divpusējos ieguldījumu veicināšanas līgumos, kurus ir parakstījusi Latvija un kuros ir paredzēta investīciju strīdus izšķiršanas sistēma. Līdz ar to Latvija atbalsta turpmāko darbu pie DIT izveides. </w:t>
      </w:r>
    </w:p>
    <w:p w:rsidR="00CE0059" w:rsidRPr="00CE0059" w:rsidRDefault="00CE0059" w:rsidP="00CE0059">
      <w:pPr>
        <w:pStyle w:val="NoSpacing"/>
        <w:rPr>
          <w:rFonts w:ascii="Times New Roman" w:hAnsi="Times New Roman"/>
          <w:sz w:val="24"/>
          <w:szCs w:val="24"/>
          <w:lang w:val="lv-LV"/>
        </w:rPr>
      </w:pPr>
    </w:p>
    <w:p w:rsidR="00CE0059" w:rsidRPr="00CE0059" w:rsidRDefault="00CE0059" w:rsidP="00CE0059">
      <w:pPr>
        <w:widowControl w:val="0"/>
        <w:spacing w:before="80"/>
        <w:jc w:val="both"/>
        <w:rPr>
          <w:b/>
          <w:i/>
        </w:rPr>
      </w:pPr>
    </w:p>
    <w:p w:rsidR="00CE0059" w:rsidRPr="00CE0059" w:rsidRDefault="00CE0059" w:rsidP="00CE0059">
      <w:pPr>
        <w:spacing w:before="80"/>
        <w:jc w:val="both"/>
        <w:rPr>
          <w:b/>
        </w:rPr>
      </w:pPr>
      <w:r w:rsidRPr="00CE0059">
        <w:rPr>
          <w:b/>
        </w:rPr>
        <w:t>Latvijas delegācija ES Ārlietu padomes Kopējās tirdzniecības politikas jautājumos neformālajā sanāksmē 2018. gada 26.-27. februārī:</w:t>
      </w:r>
    </w:p>
    <w:p w:rsidR="00CE0059" w:rsidRPr="00CE0059" w:rsidRDefault="00CE0059" w:rsidP="00CE0059">
      <w:pPr>
        <w:spacing w:before="80"/>
        <w:jc w:val="both"/>
        <w:rPr>
          <w:b/>
        </w:rPr>
      </w:pPr>
    </w:p>
    <w:tbl>
      <w:tblPr>
        <w:tblW w:w="9464" w:type="dxa"/>
        <w:tblLook w:val="04A0" w:firstRow="1" w:lastRow="0" w:firstColumn="1" w:lastColumn="0" w:noHBand="0" w:noVBand="1"/>
      </w:tblPr>
      <w:tblGrid>
        <w:gridCol w:w="2368"/>
        <w:gridCol w:w="7096"/>
      </w:tblGrid>
      <w:tr w:rsidR="00CE0059" w:rsidRPr="00CE0059" w:rsidTr="008C2120">
        <w:trPr>
          <w:trHeight w:val="746"/>
        </w:trPr>
        <w:tc>
          <w:tcPr>
            <w:tcW w:w="2368" w:type="dxa"/>
          </w:tcPr>
          <w:p w:rsidR="00CE0059" w:rsidRPr="00CE0059" w:rsidRDefault="00CE0059" w:rsidP="008C2120">
            <w:pPr>
              <w:spacing w:before="80"/>
              <w:jc w:val="both"/>
              <w:rPr>
                <w:b/>
              </w:rPr>
            </w:pPr>
            <w:r w:rsidRPr="00CE0059">
              <w:rPr>
                <w:bCs/>
              </w:rPr>
              <w:t>Delegācijas vadītāja:</w:t>
            </w:r>
          </w:p>
        </w:tc>
        <w:tc>
          <w:tcPr>
            <w:tcW w:w="7096" w:type="dxa"/>
          </w:tcPr>
          <w:p w:rsidR="00CE0059" w:rsidRPr="00CE0059" w:rsidRDefault="00CE0059" w:rsidP="008C2120">
            <w:pPr>
              <w:spacing w:before="80"/>
              <w:jc w:val="both"/>
              <w:rPr>
                <w:b/>
              </w:rPr>
            </w:pPr>
            <w:r w:rsidRPr="00CE0059">
              <w:rPr>
                <w:bCs/>
              </w:rPr>
              <w:t xml:space="preserve">Zanda Kalniņa-Lukaševica, Ārlietu ministrijas parlamentārā sekretāre. </w:t>
            </w:r>
          </w:p>
        </w:tc>
      </w:tr>
      <w:tr w:rsidR="00CE0059" w:rsidRPr="00CE0059" w:rsidTr="008C2120">
        <w:trPr>
          <w:trHeight w:val="677"/>
        </w:trPr>
        <w:tc>
          <w:tcPr>
            <w:tcW w:w="2368" w:type="dxa"/>
          </w:tcPr>
          <w:p w:rsidR="00CE0059" w:rsidRPr="00CE0059" w:rsidRDefault="00CE0059" w:rsidP="008C2120">
            <w:pPr>
              <w:spacing w:before="80"/>
              <w:jc w:val="both"/>
              <w:rPr>
                <w:b/>
              </w:rPr>
            </w:pPr>
            <w:r w:rsidRPr="00CE0059">
              <w:rPr>
                <w:bCs/>
              </w:rPr>
              <w:t>Delegācijas sastāvā:</w:t>
            </w:r>
          </w:p>
        </w:tc>
        <w:tc>
          <w:tcPr>
            <w:tcW w:w="7096" w:type="dxa"/>
          </w:tcPr>
          <w:p w:rsidR="00CE0059" w:rsidRPr="00CE0059" w:rsidRDefault="00CE0059" w:rsidP="008C2120">
            <w:pPr>
              <w:spacing w:before="80"/>
              <w:jc w:val="both"/>
              <w:rPr>
                <w:b/>
              </w:rPr>
            </w:pPr>
            <w:r w:rsidRPr="00CE0059">
              <w:rPr>
                <w:bCs/>
              </w:rPr>
              <w:t xml:space="preserve">Juris </w:t>
            </w:r>
            <w:proofErr w:type="spellStart"/>
            <w:r w:rsidRPr="00CE0059">
              <w:rPr>
                <w:bCs/>
              </w:rPr>
              <w:t>Štālmeistars</w:t>
            </w:r>
            <w:proofErr w:type="spellEnd"/>
            <w:r w:rsidRPr="00CE0059">
              <w:rPr>
                <w:bCs/>
              </w:rPr>
              <w:t xml:space="preserve">, Ārlietu ministrijas </w:t>
            </w:r>
            <w:r w:rsidRPr="00CE0059">
              <w:t>Ekonomisko attiecību, tirdzniecības un attīstības sadarbības direkcijas vadītājs</w:t>
            </w:r>
            <w:r w:rsidRPr="00CE0059">
              <w:rPr>
                <w:bCs/>
              </w:rPr>
              <w:t>;</w:t>
            </w:r>
          </w:p>
        </w:tc>
      </w:tr>
      <w:tr w:rsidR="00CE0059" w:rsidRPr="00CE0059" w:rsidTr="008C2120">
        <w:trPr>
          <w:trHeight w:val="985"/>
        </w:trPr>
        <w:tc>
          <w:tcPr>
            <w:tcW w:w="2368" w:type="dxa"/>
          </w:tcPr>
          <w:p w:rsidR="00CE0059" w:rsidRPr="00CE0059" w:rsidRDefault="00CE0059" w:rsidP="008C2120">
            <w:pPr>
              <w:spacing w:before="80"/>
              <w:jc w:val="both"/>
              <w:rPr>
                <w:bCs/>
              </w:rPr>
            </w:pPr>
          </w:p>
        </w:tc>
        <w:tc>
          <w:tcPr>
            <w:tcW w:w="7096" w:type="dxa"/>
          </w:tcPr>
          <w:p w:rsidR="00CE0059" w:rsidRPr="00CE0059" w:rsidRDefault="00CE0059" w:rsidP="008C2120">
            <w:pPr>
              <w:spacing w:before="80"/>
              <w:jc w:val="both"/>
              <w:rPr>
                <w:bCs/>
              </w:rPr>
            </w:pPr>
            <w:r w:rsidRPr="00CE0059">
              <w:rPr>
                <w:bCs/>
              </w:rPr>
              <w:t>Gints Zadraks, Ārlietu ministrijas Ārējās tirdzniecības un ārējo ekonomisko sakaru veicināšanas departamenta direktora vietnieks, Ārējās tirdzniecības un investīciju nodaļas vadītājs.</w:t>
            </w:r>
          </w:p>
        </w:tc>
      </w:tr>
    </w:tbl>
    <w:p w:rsidR="00CE0059" w:rsidRPr="00CE0059" w:rsidRDefault="00CE0059" w:rsidP="00CE0059">
      <w:pPr>
        <w:tabs>
          <w:tab w:val="right" w:pos="9071"/>
        </w:tabs>
        <w:spacing w:before="80"/>
        <w:jc w:val="both"/>
      </w:pPr>
    </w:p>
    <w:p w:rsidR="00CE0059" w:rsidRPr="00CE0059" w:rsidRDefault="00CE0059" w:rsidP="00CE0059">
      <w:pPr>
        <w:tabs>
          <w:tab w:val="right" w:pos="9071"/>
        </w:tabs>
        <w:spacing w:before="80"/>
        <w:jc w:val="both"/>
      </w:pPr>
    </w:p>
    <w:p w:rsidR="00CE0059" w:rsidRPr="00CE0059" w:rsidRDefault="00CE0059" w:rsidP="00CE0059">
      <w:pPr>
        <w:tabs>
          <w:tab w:val="right" w:pos="9071"/>
        </w:tabs>
        <w:spacing w:before="80"/>
        <w:jc w:val="both"/>
      </w:pPr>
    </w:p>
    <w:p w:rsidR="00CE0059" w:rsidRPr="00CE0059" w:rsidRDefault="00CE0059" w:rsidP="00CE0059">
      <w:pPr>
        <w:tabs>
          <w:tab w:val="right" w:pos="9071"/>
        </w:tabs>
        <w:spacing w:before="80"/>
        <w:jc w:val="both"/>
      </w:pPr>
    </w:p>
    <w:p w:rsidR="00CE0059" w:rsidRPr="00CE0059" w:rsidRDefault="00CE0059" w:rsidP="00CE0059">
      <w:pPr>
        <w:tabs>
          <w:tab w:val="right" w:pos="9071"/>
        </w:tabs>
        <w:spacing w:before="80"/>
      </w:pPr>
      <w:r w:rsidRPr="00CE0059">
        <w:t>Iesniedzējs: ārlietu ministra vietā – izglītības</w:t>
      </w:r>
      <w:r w:rsidR="000A569C">
        <w:t xml:space="preserve"> un zinātnes</w:t>
      </w:r>
      <w:r w:rsidRPr="00CE0059">
        <w:t xml:space="preserve"> ministrs</w:t>
      </w:r>
      <w:r w:rsidRPr="00CE0059">
        <w:tab/>
        <w:t>K. Šadurskis</w:t>
      </w:r>
    </w:p>
    <w:p w:rsidR="00CE0059" w:rsidRPr="00CE0059" w:rsidRDefault="00CE0059" w:rsidP="00CE0059">
      <w:pPr>
        <w:tabs>
          <w:tab w:val="right" w:pos="9071"/>
        </w:tabs>
        <w:spacing w:before="80"/>
      </w:pPr>
    </w:p>
    <w:p w:rsidR="00CE0059" w:rsidRPr="00CE0059" w:rsidRDefault="00CE0059" w:rsidP="00CE0059">
      <w:pPr>
        <w:tabs>
          <w:tab w:val="right" w:pos="9071"/>
        </w:tabs>
        <w:spacing w:before="80"/>
      </w:pPr>
    </w:p>
    <w:p w:rsidR="00CE0059" w:rsidRPr="00CE0059" w:rsidRDefault="00CE0059" w:rsidP="00CE0059">
      <w:pPr>
        <w:tabs>
          <w:tab w:val="right" w:pos="9071"/>
        </w:tabs>
        <w:spacing w:before="80"/>
      </w:pPr>
      <w:r w:rsidRPr="00CE0059">
        <w:t xml:space="preserve">Vīza: valsts sekretāra </w:t>
      </w:r>
      <w:proofErr w:type="spellStart"/>
      <w:r w:rsidRPr="00CE0059">
        <w:t>p.i</w:t>
      </w:r>
      <w:proofErr w:type="spellEnd"/>
      <w:r w:rsidRPr="00CE0059">
        <w:t>.</w:t>
      </w:r>
      <w:r w:rsidRPr="00CE0059">
        <w:tab/>
        <w:t xml:space="preserve">N. </w:t>
      </w:r>
      <w:proofErr w:type="spellStart"/>
      <w:r w:rsidRPr="00CE0059">
        <w:t>Penke</w:t>
      </w:r>
      <w:proofErr w:type="spellEnd"/>
    </w:p>
    <w:p w:rsidR="00CE0059" w:rsidRPr="00CE0059" w:rsidRDefault="00CE0059" w:rsidP="00CE0059">
      <w:pPr>
        <w:tabs>
          <w:tab w:val="left" w:pos="1425"/>
        </w:tabs>
        <w:spacing w:before="80"/>
        <w:jc w:val="both"/>
      </w:pPr>
      <w:r w:rsidRPr="00CE0059">
        <w:tab/>
      </w:r>
    </w:p>
    <w:p w:rsidR="00CE0059" w:rsidRPr="00CE0059" w:rsidRDefault="00CE0059" w:rsidP="00CE0059">
      <w:pPr>
        <w:widowControl w:val="0"/>
        <w:spacing w:before="80"/>
        <w:rPr>
          <w:color w:val="000000"/>
        </w:rPr>
      </w:pPr>
    </w:p>
    <w:p w:rsidR="00CE0059" w:rsidRPr="00CE0059" w:rsidRDefault="00CE0059" w:rsidP="00CE0059">
      <w:pPr>
        <w:spacing w:before="80"/>
      </w:pPr>
    </w:p>
    <w:p w:rsidR="00CE0059" w:rsidRPr="00CE0059" w:rsidRDefault="00CE0059" w:rsidP="00CE0059">
      <w:pPr>
        <w:spacing w:before="80"/>
      </w:pPr>
    </w:p>
    <w:p w:rsidR="00CE0059" w:rsidRPr="00CE0059" w:rsidRDefault="00CE0059" w:rsidP="00CE0059">
      <w:pPr>
        <w:spacing w:before="80"/>
      </w:pPr>
    </w:p>
    <w:p w:rsidR="00CE0059" w:rsidRPr="00CE0059" w:rsidRDefault="00CE0059" w:rsidP="00CE0059">
      <w:pPr>
        <w:spacing w:before="80"/>
      </w:pPr>
    </w:p>
    <w:p w:rsidR="00CE0059" w:rsidRPr="00CE0059" w:rsidRDefault="00CE0059" w:rsidP="00CE0059">
      <w:pPr>
        <w:spacing w:before="80"/>
      </w:pPr>
    </w:p>
    <w:p w:rsidR="00CE0059" w:rsidRPr="00CE0059" w:rsidRDefault="00CE0059" w:rsidP="00CE0059">
      <w:pPr>
        <w:spacing w:before="80"/>
      </w:pPr>
    </w:p>
    <w:p w:rsidR="00CE0059" w:rsidRPr="00CE0059" w:rsidRDefault="00CE0059" w:rsidP="00CE0059">
      <w:pPr>
        <w:spacing w:before="80"/>
      </w:pPr>
    </w:p>
    <w:p w:rsidR="000A569C" w:rsidRDefault="000A569C" w:rsidP="00CE0059">
      <w:pPr>
        <w:tabs>
          <w:tab w:val="left" w:pos="180"/>
        </w:tabs>
        <w:rPr>
          <w:bCs/>
          <w:sz w:val="20"/>
          <w:szCs w:val="20"/>
        </w:rPr>
      </w:pPr>
      <w:bookmarkStart w:id="0" w:name="_GoBack"/>
      <w:bookmarkEnd w:id="0"/>
    </w:p>
    <w:p w:rsidR="000A569C" w:rsidRPr="00480ACD" w:rsidRDefault="000A569C" w:rsidP="00CE0059">
      <w:pPr>
        <w:tabs>
          <w:tab w:val="left" w:pos="180"/>
        </w:tabs>
        <w:rPr>
          <w:bCs/>
          <w:sz w:val="20"/>
          <w:szCs w:val="20"/>
        </w:rPr>
      </w:pPr>
    </w:p>
    <w:p w:rsidR="00CE0059" w:rsidRPr="00480ACD" w:rsidRDefault="00CE0059" w:rsidP="00CE0059">
      <w:pPr>
        <w:tabs>
          <w:tab w:val="left" w:pos="180"/>
        </w:tabs>
        <w:rPr>
          <w:bCs/>
          <w:sz w:val="20"/>
          <w:szCs w:val="20"/>
        </w:rPr>
      </w:pPr>
      <w:r w:rsidRPr="00480ACD">
        <w:rPr>
          <w:bCs/>
          <w:sz w:val="20"/>
          <w:szCs w:val="20"/>
        </w:rPr>
        <w:t>Gints Zadraks, 67016240</w:t>
      </w:r>
    </w:p>
    <w:p w:rsidR="00CE0059" w:rsidRPr="00480ACD" w:rsidRDefault="000A569C" w:rsidP="00CE0059">
      <w:pPr>
        <w:tabs>
          <w:tab w:val="left" w:pos="180"/>
        </w:tabs>
        <w:rPr>
          <w:bCs/>
          <w:sz w:val="20"/>
          <w:szCs w:val="20"/>
        </w:rPr>
      </w:pPr>
      <w:hyperlink r:id="rId7" w:history="1">
        <w:r w:rsidR="00CE0059" w:rsidRPr="00480ACD">
          <w:rPr>
            <w:rStyle w:val="Hyperlink"/>
            <w:bCs/>
            <w:sz w:val="20"/>
            <w:szCs w:val="20"/>
          </w:rPr>
          <w:t>gints.zadraks@mfa.gov.lv</w:t>
        </w:r>
      </w:hyperlink>
      <w:r w:rsidR="00CE0059" w:rsidRPr="00480ACD">
        <w:rPr>
          <w:bCs/>
          <w:sz w:val="20"/>
          <w:szCs w:val="20"/>
        </w:rPr>
        <w:t xml:space="preserve"> </w:t>
      </w:r>
    </w:p>
    <w:p w:rsidR="00CE0059" w:rsidRPr="00480ACD" w:rsidRDefault="00CE0059" w:rsidP="00CE0059">
      <w:pPr>
        <w:jc w:val="both"/>
        <w:rPr>
          <w:b/>
          <w:iCs/>
          <w:sz w:val="20"/>
          <w:szCs w:val="20"/>
        </w:rPr>
      </w:pPr>
    </w:p>
    <w:p w:rsidR="0052675C" w:rsidRPr="00CE0059" w:rsidRDefault="0052675C"/>
    <w:sectPr w:rsidR="0052675C" w:rsidRPr="00CE0059" w:rsidSect="00F949EB">
      <w:headerReference w:type="even" r:id="rId8"/>
      <w:footerReference w:type="even" r:id="rId9"/>
      <w:footerReference w:type="default" r:id="rId10"/>
      <w:headerReference w:type="first" r:id="rId11"/>
      <w:footerReference w:type="first" r:id="rId12"/>
      <w:pgSz w:w="11907" w:h="16839" w:code="9"/>
      <w:pgMar w:top="1134" w:right="1134" w:bottom="1134" w:left="1418" w:header="425" w:footer="26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059" w:rsidRDefault="00CE0059" w:rsidP="00CE0059">
      <w:r>
        <w:separator/>
      </w:r>
    </w:p>
  </w:endnote>
  <w:endnote w:type="continuationSeparator" w:id="0">
    <w:p w:rsidR="00CE0059" w:rsidRDefault="00CE0059" w:rsidP="00CE0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12E" w:rsidRDefault="00CE00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02712E" w:rsidRDefault="000A56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248" w:rsidRPr="00374227" w:rsidRDefault="00CE0059" w:rsidP="00570954">
    <w:pPr>
      <w:spacing w:line="276" w:lineRule="auto"/>
      <w:rPr>
        <w:b/>
        <w:bCs/>
        <w:kern w:val="2"/>
        <w:sz w:val="20"/>
        <w:szCs w:val="20"/>
      </w:rPr>
    </w:pPr>
    <w:r w:rsidRPr="003F787D">
      <w:rPr>
        <w:sz w:val="20"/>
        <w:szCs w:val="20"/>
      </w:rPr>
      <w:t>AMzino_</w:t>
    </w:r>
    <w:r w:rsidR="002514B7">
      <w:rPr>
        <w:sz w:val="20"/>
        <w:szCs w:val="20"/>
      </w:rPr>
      <w:t>14</w:t>
    </w:r>
    <w:r w:rsidRPr="003F787D">
      <w:rPr>
        <w:sz w:val="20"/>
        <w:szCs w:val="20"/>
      </w:rPr>
      <w:t>021</w:t>
    </w:r>
    <w:r>
      <w:rPr>
        <w:sz w:val="20"/>
        <w:szCs w:val="20"/>
      </w:rPr>
      <w:t>8</w:t>
    </w:r>
    <w:r w:rsidRPr="003F787D">
      <w:rPr>
        <w:sz w:val="20"/>
        <w:szCs w:val="20"/>
      </w:rPr>
      <w:t>; Informatīvais ziņojums “Par Eiropas Savienības Ārlietu padomes Kopējās tirdzniecības politikas jautājumos neformālo sanāksmi 20</w:t>
    </w:r>
    <w:r>
      <w:rPr>
        <w:sz w:val="20"/>
        <w:szCs w:val="20"/>
      </w:rPr>
      <w:t>18</w:t>
    </w:r>
    <w:r w:rsidRPr="003F787D">
      <w:rPr>
        <w:sz w:val="20"/>
        <w:szCs w:val="20"/>
      </w:rPr>
      <w:t>. gada 2</w:t>
    </w:r>
    <w:r>
      <w:rPr>
        <w:sz w:val="20"/>
        <w:szCs w:val="20"/>
      </w:rPr>
      <w:t>6</w:t>
    </w:r>
    <w:r w:rsidRPr="003F787D">
      <w:rPr>
        <w:sz w:val="20"/>
        <w:szCs w:val="20"/>
      </w:rPr>
      <w:t>.-</w:t>
    </w:r>
    <w:r>
      <w:rPr>
        <w:sz w:val="20"/>
        <w:szCs w:val="20"/>
      </w:rPr>
      <w:t>27</w:t>
    </w:r>
    <w:r w:rsidRPr="003F787D">
      <w:rPr>
        <w:sz w:val="20"/>
        <w:szCs w:val="20"/>
      </w:rPr>
      <w:t xml:space="preserve">. </w:t>
    </w:r>
    <w:r>
      <w:rPr>
        <w:sz w:val="20"/>
        <w:szCs w:val="20"/>
      </w:rPr>
      <w:t>februārī</w:t>
    </w:r>
    <w:r w:rsidRPr="003F787D">
      <w:rPr>
        <w:sz w:val="20"/>
        <w:szCs w:val="20"/>
      </w:rPr>
      <w:t>”</w:t>
    </w:r>
  </w:p>
  <w:p w:rsidR="00250988" w:rsidRDefault="000A569C" w:rsidP="00B20343">
    <w:pPr>
      <w:pStyle w:val="Footer"/>
      <w:jc w:val="center"/>
      <w:rPr>
        <w:bCs/>
        <w:sz w:val="24"/>
      </w:rPr>
    </w:pPr>
  </w:p>
  <w:p w:rsidR="00B20343" w:rsidRDefault="00CE0059" w:rsidP="00B20343">
    <w:pPr>
      <w:pStyle w:val="Footer"/>
      <w:jc w:val="right"/>
    </w:pPr>
    <w:r w:rsidRPr="00B20343">
      <w:rPr>
        <w:sz w:val="24"/>
      </w:rPr>
      <w:fldChar w:fldCharType="begin"/>
    </w:r>
    <w:r w:rsidRPr="00B20343">
      <w:rPr>
        <w:sz w:val="24"/>
      </w:rPr>
      <w:instrText xml:space="preserve"> PAGE   \* MERGEFORMAT </w:instrText>
    </w:r>
    <w:r w:rsidRPr="00B20343">
      <w:rPr>
        <w:sz w:val="24"/>
      </w:rPr>
      <w:fldChar w:fldCharType="separate"/>
    </w:r>
    <w:r w:rsidR="000A569C">
      <w:rPr>
        <w:noProof/>
        <w:sz w:val="24"/>
      </w:rPr>
      <w:t>6</w:t>
    </w:r>
    <w:r w:rsidRPr="00B20343">
      <w:rPr>
        <w:sz w:val="24"/>
      </w:rPr>
      <w:fldChar w:fldCharType="end"/>
    </w:r>
    <w:r w:rsidRPr="00B20343">
      <w:rPr>
        <w:sz w:val="24"/>
      </w:rPr>
      <w:t>-</w:t>
    </w:r>
    <w:r w:rsidRPr="00B20343">
      <w:rPr>
        <w:sz w:val="24"/>
      </w:rPr>
      <w:fldChar w:fldCharType="begin"/>
    </w:r>
    <w:r w:rsidRPr="00B20343">
      <w:rPr>
        <w:sz w:val="24"/>
      </w:rPr>
      <w:instrText xml:space="preserve"> NUMPAGES  \* Arabic  \* MERGEFORMAT </w:instrText>
    </w:r>
    <w:r w:rsidRPr="00B20343">
      <w:rPr>
        <w:sz w:val="24"/>
      </w:rPr>
      <w:fldChar w:fldCharType="separate"/>
    </w:r>
    <w:r w:rsidR="000A569C">
      <w:rPr>
        <w:noProof/>
        <w:sz w:val="24"/>
      </w:rPr>
      <w:t>7</w:t>
    </w:r>
    <w:r w:rsidRPr="00B20343">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EA6" w:rsidRDefault="000A569C" w:rsidP="00647518">
    <w:pPr>
      <w:pStyle w:val="Footer"/>
      <w:jc w:val="both"/>
    </w:pPr>
  </w:p>
  <w:p w:rsidR="00647518" w:rsidRDefault="00CE0059" w:rsidP="00647518">
    <w:pPr>
      <w:pStyle w:val="Footer"/>
      <w:jc w:val="both"/>
      <w:rPr>
        <w:iCs/>
        <w:sz w:val="28"/>
        <w:szCs w:val="28"/>
      </w:rPr>
    </w:pPr>
    <w:r w:rsidRPr="00647518">
      <w:t>AMzino_</w:t>
    </w:r>
    <w:r>
      <w:t>130114</w:t>
    </w:r>
    <w:r w:rsidRPr="00647518">
      <w:t xml:space="preserve">; </w:t>
    </w:r>
    <w:r w:rsidRPr="00AD544F">
      <w:rPr>
        <w:iCs/>
      </w:rPr>
      <w:t>Par Latvijas nacionālo pozīciju apstiprināšanu Eiropas Savienības Ārlietu padomes 201</w:t>
    </w:r>
    <w:r>
      <w:rPr>
        <w:iCs/>
      </w:rPr>
      <w:t>4</w:t>
    </w:r>
    <w:r w:rsidRPr="00AD544F">
      <w:rPr>
        <w:iCs/>
      </w:rPr>
      <w:t xml:space="preserve">.gada </w:t>
    </w:r>
    <w:r>
      <w:rPr>
        <w:iCs/>
      </w:rPr>
      <w:t>20.janvāra</w:t>
    </w:r>
    <w:r w:rsidRPr="00AD544F">
      <w:rPr>
        <w:iCs/>
      </w:rPr>
      <w:t xml:space="preserve"> sanāksmei</w:t>
    </w:r>
  </w:p>
  <w:p w:rsidR="00AD544F" w:rsidRPr="00647518" w:rsidRDefault="000A569C" w:rsidP="00647518">
    <w:pPr>
      <w:pStyle w:val="Footer"/>
      <w:jc w:val="both"/>
    </w:pPr>
  </w:p>
  <w:p w:rsidR="00647518" w:rsidRPr="00647518" w:rsidRDefault="00CE0059">
    <w:pPr>
      <w:pStyle w:val="Footer"/>
      <w:jc w:val="center"/>
    </w:pPr>
    <w:r w:rsidRPr="00647518">
      <w:fldChar w:fldCharType="begin"/>
    </w:r>
    <w:r w:rsidRPr="00647518">
      <w:instrText xml:space="preserve"> PAGE   \* MERGEFORMAT </w:instrText>
    </w:r>
    <w:r w:rsidRPr="00647518">
      <w:fldChar w:fldCharType="separate"/>
    </w:r>
    <w:r>
      <w:rPr>
        <w:noProof/>
      </w:rPr>
      <w:t>1</w:t>
    </w:r>
    <w:r w:rsidRPr="00647518">
      <w:rPr>
        <w:noProof/>
      </w:rPr>
      <w:fldChar w:fldCharType="end"/>
    </w:r>
  </w:p>
  <w:p w:rsidR="0002712E" w:rsidRPr="00647518" w:rsidRDefault="000A569C">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059" w:rsidRDefault="00CE0059" w:rsidP="00CE0059">
      <w:r>
        <w:separator/>
      </w:r>
    </w:p>
  </w:footnote>
  <w:footnote w:type="continuationSeparator" w:id="0">
    <w:p w:rsidR="00CE0059" w:rsidRDefault="00CE0059" w:rsidP="00CE0059">
      <w:r>
        <w:continuationSeparator/>
      </w:r>
    </w:p>
  </w:footnote>
  <w:footnote w:id="1">
    <w:p w:rsidR="00CE0059" w:rsidRDefault="00CE0059" w:rsidP="00CE0059">
      <w:pPr>
        <w:pStyle w:val="FootnoteText"/>
      </w:pPr>
      <w:r>
        <w:rPr>
          <w:rStyle w:val="FootnoteReference"/>
        </w:rPr>
        <w:footnoteRef/>
      </w:r>
      <w:r>
        <w:t xml:space="preserve"> </w:t>
      </w:r>
      <w:r w:rsidRPr="00405217">
        <w:t>JOB/GC/148</w:t>
      </w:r>
    </w:p>
  </w:footnote>
  <w:footnote w:id="2">
    <w:p w:rsidR="00CE0059" w:rsidRDefault="00CE0059" w:rsidP="00CE0059">
      <w:pPr>
        <w:pStyle w:val="FootnoteText"/>
      </w:pPr>
      <w:r>
        <w:rPr>
          <w:rStyle w:val="FootnoteReference"/>
        </w:rPr>
        <w:footnoteRef/>
      </w:r>
      <w:r>
        <w:t xml:space="preserve"> </w:t>
      </w:r>
      <w:proofErr w:type="spellStart"/>
      <w:r>
        <w:t>Rule</w:t>
      </w:r>
      <w:proofErr w:type="spellEnd"/>
      <w:r>
        <w:t xml:space="preserve"> 15 </w:t>
      </w:r>
      <w:proofErr w:type="spellStart"/>
      <w:r>
        <w:t>of</w:t>
      </w:r>
      <w:proofErr w:type="spellEnd"/>
      <w:r>
        <w:t xml:space="preserve"> </w:t>
      </w:r>
      <w:hyperlink r:id="rId1" w:history="1">
        <w:r w:rsidRPr="00795E81">
          <w:rPr>
            <w:rStyle w:val="Hyperlink"/>
            <w:lang w:val="en"/>
          </w:rPr>
          <w:t>Working procedures for appellate review</w:t>
        </w:r>
      </w:hyperlink>
      <w:r>
        <w:rPr>
          <w:lang w:val="en"/>
        </w:rPr>
        <w:t>, </w:t>
      </w:r>
      <w:r>
        <w:t>k</w:t>
      </w:r>
      <w:r w:rsidRPr="00D9245E">
        <w:t>opš 1996. gada noteikums piemērots 16 reizes</w:t>
      </w:r>
      <w:r>
        <w:t>.</w:t>
      </w:r>
    </w:p>
  </w:footnote>
  <w:footnote w:id="3">
    <w:p w:rsidR="00CE0059" w:rsidRDefault="00CE0059" w:rsidP="00CE0059">
      <w:pPr>
        <w:pStyle w:val="FootnoteText"/>
        <w:jc w:val="both"/>
      </w:pPr>
      <w:r>
        <w:rPr>
          <w:rStyle w:val="FootnoteReference"/>
        </w:rPr>
        <w:footnoteRef/>
      </w:r>
      <w:r>
        <w:t xml:space="preserve"> Sarunas par ES – Čīles </w:t>
      </w:r>
      <w:r w:rsidRPr="004B710D">
        <w:rPr>
          <w:iCs/>
          <w:lang w:eastAsia="lv-LV"/>
        </w:rPr>
        <w:t>Asociācijas</w:t>
      </w:r>
      <w:r>
        <w:t xml:space="preserve"> nolīgumu, kurš iekļāva arī visaptverošu ES – Čīles brīvās tirdzniecības nolīgumu, noslēdzās 2002. gadā un tas stājās spēkā 2003. gadā. 2015. gada 10.–11. jūnijā Briselē notikušajā CELAC valstu samitā tika paziņots par ES – Čīles Brīvā tirdzniecības nolīguma modernizēšanu. </w:t>
      </w:r>
    </w:p>
    <w:p w:rsidR="00CE0059" w:rsidRDefault="00CE0059" w:rsidP="00CE0059">
      <w:pPr>
        <w:pStyle w:val="FootnoteText"/>
      </w:pPr>
    </w:p>
  </w:footnote>
  <w:footnote w:id="4">
    <w:p w:rsidR="00CE0059" w:rsidRPr="00836790" w:rsidRDefault="00CE0059" w:rsidP="00CE0059">
      <w:pPr>
        <w:pStyle w:val="FootnoteText"/>
        <w:rPr>
          <w:rFonts w:ascii="Calibri" w:hAnsi="Calibri"/>
        </w:rPr>
      </w:pPr>
      <w:r>
        <w:rPr>
          <w:rStyle w:val="FootnoteReference"/>
        </w:rPr>
        <w:footnoteRef/>
      </w:r>
      <w:r>
        <w:t xml:space="preserve"> </w:t>
      </w:r>
      <w:hyperlink r:id="rId2" w:history="1">
        <w:r>
          <w:rPr>
            <w:rStyle w:val="Hyperlink"/>
          </w:rPr>
          <w:t>http://www.unis.unvienna.org/unis/en/pressrels/2017/unisl250.html</w:t>
        </w:r>
      </w:hyperlink>
      <w:r>
        <w:t xml:space="preserve"> </w:t>
      </w:r>
    </w:p>
  </w:footnote>
  <w:footnote w:id="5">
    <w:p w:rsidR="00CE0059" w:rsidRDefault="00CE0059" w:rsidP="00CE0059">
      <w:pPr>
        <w:spacing w:before="240" w:after="120"/>
        <w:jc w:val="both"/>
        <w:rPr>
          <w:sz w:val="20"/>
          <w:szCs w:val="20"/>
        </w:rPr>
      </w:pPr>
      <w:r>
        <w:rPr>
          <w:rStyle w:val="FootnoteReference"/>
        </w:rPr>
        <w:footnoteRef/>
      </w:r>
      <w:r>
        <w:t xml:space="preserve"> </w:t>
      </w:r>
      <w:r>
        <w:rPr>
          <w:sz w:val="20"/>
          <w:szCs w:val="20"/>
        </w:rPr>
        <w:t xml:space="preserve">Saskaņā ar Latvijas Republikas pozīciju Nr. 1 </w:t>
      </w:r>
      <w:r>
        <w:rPr>
          <w:i/>
          <w:sz w:val="20"/>
          <w:szCs w:val="20"/>
        </w:rPr>
        <w:t xml:space="preserve">Par </w:t>
      </w:r>
      <w:r>
        <w:rPr>
          <w:rStyle w:val="apple-style-span"/>
          <w:i/>
          <w:sz w:val="20"/>
          <w:szCs w:val="20"/>
        </w:rPr>
        <w:t>Eiropas Komisijas paziņojumu Eiropas Parlamentam, Padomei, Ekonomiskajai un Sociālajai komitejai un Reģionu komitejai “Tirdzniecība visiem. Ceļā uz atbildīgāku tirdzniecības un ieguldījumu politiku”, 20.11.2015.</w:t>
      </w:r>
    </w:p>
    <w:p w:rsidR="00CE0059" w:rsidRPr="00836790" w:rsidRDefault="00CE0059" w:rsidP="00CE0059">
      <w:pPr>
        <w:pStyle w:val="FootnoteText"/>
        <w:rPr>
          <w:rFonts w:ascii="Calibri" w:eastAsia="Calibri" w:hAnsi="Calibr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12E" w:rsidRDefault="00CE005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02712E" w:rsidRDefault="000A569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12E" w:rsidRDefault="000A569C">
    <w:pPr>
      <w:pStyle w:val="Header"/>
      <w:jc w:val="center"/>
      <w:rPr>
        <w:b/>
        <w:bCs/>
        <w: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72BF5"/>
    <w:multiLevelType w:val="hybridMultilevel"/>
    <w:tmpl w:val="0E588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059"/>
    <w:rsid w:val="0001708C"/>
    <w:rsid w:val="00032512"/>
    <w:rsid w:val="000A569C"/>
    <w:rsid w:val="001F63CD"/>
    <w:rsid w:val="002514B7"/>
    <w:rsid w:val="00280569"/>
    <w:rsid w:val="002E5817"/>
    <w:rsid w:val="003068A4"/>
    <w:rsid w:val="00311EF1"/>
    <w:rsid w:val="00417300"/>
    <w:rsid w:val="00480ACD"/>
    <w:rsid w:val="0052675C"/>
    <w:rsid w:val="00557DDF"/>
    <w:rsid w:val="005B2105"/>
    <w:rsid w:val="00636E64"/>
    <w:rsid w:val="006427C6"/>
    <w:rsid w:val="0065624A"/>
    <w:rsid w:val="006E34D4"/>
    <w:rsid w:val="006F2ACB"/>
    <w:rsid w:val="0079428C"/>
    <w:rsid w:val="007B0CAD"/>
    <w:rsid w:val="00815FB4"/>
    <w:rsid w:val="00892299"/>
    <w:rsid w:val="008B38C6"/>
    <w:rsid w:val="009173A6"/>
    <w:rsid w:val="009C258F"/>
    <w:rsid w:val="00A24909"/>
    <w:rsid w:val="00A40179"/>
    <w:rsid w:val="00A74B1E"/>
    <w:rsid w:val="00C431F9"/>
    <w:rsid w:val="00CE0059"/>
    <w:rsid w:val="00D72279"/>
    <w:rsid w:val="00D86F3D"/>
    <w:rsid w:val="00F10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F3B0B"/>
  <w15:chartTrackingRefBased/>
  <w15:docId w15:val="{3CA1DF52-CC11-446B-9A9F-BC982FF43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059"/>
    <w:pPr>
      <w:spacing w:after="0" w:line="240" w:lineRule="auto"/>
    </w:pPr>
    <w:rPr>
      <w:rFonts w:ascii="Times New Roman" w:eastAsia="Times New Roman" w:hAnsi="Times New Roman" w:cs="Times New Roman"/>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E0059"/>
    <w:rPr>
      <w:color w:val="0000FF"/>
      <w:u w:val="single"/>
    </w:rPr>
  </w:style>
  <w:style w:type="paragraph" w:styleId="Header">
    <w:name w:val="header"/>
    <w:basedOn w:val="Normal"/>
    <w:link w:val="HeaderChar"/>
    <w:uiPriority w:val="99"/>
    <w:rsid w:val="00CE0059"/>
    <w:pPr>
      <w:tabs>
        <w:tab w:val="center" w:pos="4320"/>
        <w:tab w:val="right" w:pos="8640"/>
      </w:tabs>
    </w:pPr>
    <w:rPr>
      <w:sz w:val="20"/>
      <w:szCs w:val="20"/>
    </w:rPr>
  </w:style>
  <w:style w:type="character" w:customStyle="1" w:styleId="HeaderChar">
    <w:name w:val="Header Char"/>
    <w:basedOn w:val="DefaultParagraphFont"/>
    <w:link w:val="Header"/>
    <w:uiPriority w:val="99"/>
    <w:rsid w:val="00CE0059"/>
    <w:rPr>
      <w:rFonts w:ascii="Times New Roman" w:eastAsia="Times New Roman" w:hAnsi="Times New Roman" w:cs="Times New Roman"/>
      <w:sz w:val="20"/>
      <w:szCs w:val="20"/>
      <w:lang w:val="lv-LV"/>
    </w:rPr>
  </w:style>
  <w:style w:type="character" w:styleId="PageNumber">
    <w:name w:val="page number"/>
    <w:basedOn w:val="DefaultParagraphFont"/>
    <w:rsid w:val="00CE0059"/>
  </w:style>
  <w:style w:type="paragraph" w:styleId="Footer">
    <w:name w:val="footer"/>
    <w:basedOn w:val="Normal"/>
    <w:link w:val="FooterChar"/>
    <w:uiPriority w:val="99"/>
    <w:rsid w:val="00CE0059"/>
    <w:pPr>
      <w:tabs>
        <w:tab w:val="center" w:pos="4320"/>
        <w:tab w:val="right" w:pos="8640"/>
      </w:tabs>
    </w:pPr>
    <w:rPr>
      <w:sz w:val="20"/>
      <w:szCs w:val="20"/>
    </w:rPr>
  </w:style>
  <w:style w:type="character" w:customStyle="1" w:styleId="FooterChar">
    <w:name w:val="Footer Char"/>
    <w:basedOn w:val="DefaultParagraphFont"/>
    <w:link w:val="Footer"/>
    <w:uiPriority w:val="99"/>
    <w:rsid w:val="00CE0059"/>
    <w:rPr>
      <w:rFonts w:ascii="Times New Roman" w:eastAsia="Times New Roman" w:hAnsi="Times New Roman" w:cs="Times New Roman"/>
      <w:sz w:val="20"/>
      <w:szCs w:val="20"/>
      <w:lang w:val="lv-LV"/>
    </w:rPr>
  </w:style>
  <w:style w:type="paragraph" w:styleId="NoSpacing">
    <w:name w:val="No Spacing"/>
    <w:uiPriority w:val="1"/>
    <w:qFormat/>
    <w:rsid w:val="00CE0059"/>
    <w:pPr>
      <w:spacing w:after="0" w:line="240" w:lineRule="auto"/>
    </w:pPr>
    <w:rPr>
      <w:rFonts w:ascii="Calibri" w:eastAsia="Calibri" w:hAnsi="Calibri" w:cs="Times New Roman"/>
    </w:rPr>
  </w:style>
  <w:style w:type="character" w:styleId="FootnoteReference">
    <w:name w:val="footnote reference"/>
    <w:aliases w:val="Footnote Reference Number,stylish,Footnote Reference Superscript,BVI fnr,Footnote symbol,Footnote symboFußnotenzeichen,Footnote sign,E FNZ,-E Fußnotenzeichen,Footnote#,Times 10 Point,Exposant 3 Point,Ref,de nota al pie,SUPERS,o,R"/>
    <w:link w:val="FootnotesymbolCarZchn"/>
    <w:uiPriority w:val="99"/>
    <w:qFormat/>
    <w:rsid w:val="00CE0059"/>
    <w:rPr>
      <w:vertAlign w:val="superscript"/>
    </w:rPr>
  </w:style>
  <w:style w:type="paragraph" w:styleId="FootnoteText">
    <w:name w:val="footnote text"/>
    <w:aliases w:val=" Char1,Footnote Text Char1,Footnote Text Char2 Char,Footnote Text Char1 Char Char,Footnote Text Char2 Char Char Char,Footnote Text Char1 Char Char Char Char,Footnote Text Char2 Char Char Char Char Char,Footnote Text Char1 Char,Footnote"/>
    <w:basedOn w:val="Normal"/>
    <w:link w:val="FootnoteTextChar"/>
    <w:uiPriority w:val="99"/>
    <w:qFormat/>
    <w:rsid w:val="00CE0059"/>
    <w:rPr>
      <w:sz w:val="20"/>
      <w:szCs w:val="20"/>
    </w:rPr>
  </w:style>
  <w:style w:type="character" w:customStyle="1" w:styleId="FootnoteTextChar">
    <w:name w:val="Footnote Text Char"/>
    <w:aliases w:val=" Char1 Char,Footnote Text Char1 Char1,Footnote Text Char2 Char Char,Footnote Text Char1 Char Char Char,Footnote Text Char2 Char Char Char Char,Footnote Text Char1 Char Char Char Char Char,Footnote Text Char1 Char Char1,Footnote Char"/>
    <w:basedOn w:val="DefaultParagraphFont"/>
    <w:link w:val="FootnoteText"/>
    <w:uiPriority w:val="99"/>
    <w:rsid w:val="00CE0059"/>
    <w:rPr>
      <w:rFonts w:ascii="Times New Roman" w:eastAsia="Times New Roman" w:hAnsi="Times New Roman" w:cs="Times New Roman"/>
      <w:sz w:val="20"/>
      <w:szCs w:val="20"/>
      <w:lang w:val="lv-LV"/>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CE0059"/>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rsid w:val="00CE0059"/>
    <w:rPr>
      <w:rFonts w:ascii="Calibri" w:eastAsia="Calibri" w:hAnsi="Calibri" w:cs="Times New Roman"/>
      <w:lang w:val="lv-LV"/>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CE0059"/>
    <w:pPr>
      <w:spacing w:after="160" w:line="240" w:lineRule="exact"/>
      <w:jc w:val="both"/>
    </w:pPr>
    <w:rPr>
      <w:rFonts w:asciiTheme="minorHAnsi" w:eastAsiaTheme="minorHAnsi" w:hAnsiTheme="minorHAnsi" w:cstheme="minorBidi"/>
      <w:sz w:val="22"/>
      <w:szCs w:val="22"/>
      <w:vertAlign w:val="superscript"/>
      <w:lang w:val="en-US"/>
    </w:rPr>
  </w:style>
  <w:style w:type="character" w:customStyle="1" w:styleId="apple-style-span">
    <w:name w:val="apple-style-span"/>
    <w:rsid w:val="00CE0059"/>
  </w:style>
  <w:style w:type="character" w:customStyle="1" w:styleId="sentence">
    <w:name w:val="sentence"/>
    <w:rsid w:val="00CE0059"/>
  </w:style>
  <w:style w:type="character" w:customStyle="1" w:styleId="phrase">
    <w:name w:val="phrase"/>
    <w:rsid w:val="00CE0059"/>
  </w:style>
  <w:style w:type="character" w:customStyle="1" w:styleId="word">
    <w:name w:val="word"/>
    <w:rsid w:val="00CE0059"/>
  </w:style>
  <w:style w:type="paragraph" w:styleId="BalloonText">
    <w:name w:val="Balloon Text"/>
    <w:basedOn w:val="Normal"/>
    <w:link w:val="BalloonTextChar"/>
    <w:uiPriority w:val="99"/>
    <w:semiHidden/>
    <w:unhideWhenUsed/>
    <w:rsid w:val="002514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4B7"/>
    <w:rPr>
      <w:rFonts w:ascii="Segoe UI" w:eastAsia="Times New Roman"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ints.zadraks@mfa.gov.lv"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unis.unvienna.org/unis/en/pressrels/2017/unisl250.html" TargetMode="External"/><Relationship Id="rId1" Type="http://schemas.openxmlformats.org/officeDocument/2006/relationships/hyperlink" Target="https://www.wto.org/english/tratop_e/dispu_e/ab_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15308</Words>
  <Characters>8726</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23987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Gints Zadraks</dc:creator>
  <cp:keywords/>
  <dc:description/>
  <cp:lastModifiedBy>Gints Zadraks</cp:lastModifiedBy>
  <cp:revision>23</cp:revision>
  <cp:lastPrinted>2018-02-14T14:00:00Z</cp:lastPrinted>
  <dcterms:created xsi:type="dcterms:W3CDTF">2018-02-14T09:18:00Z</dcterms:created>
  <dcterms:modified xsi:type="dcterms:W3CDTF">2018-02-16T09:46:00Z</dcterms:modified>
</cp:coreProperties>
</file>