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6A7B" w14:textId="44FC4DB6" w:rsidR="002B1957" w:rsidRPr="004733D7" w:rsidRDefault="00724569" w:rsidP="00CD2766">
      <w:pPr>
        <w:ind w:firstLine="720"/>
        <w:jc w:val="center"/>
        <w:rPr>
          <w:b/>
          <w:bCs/>
          <w:sz w:val="24"/>
          <w:szCs w:val="24"/>
          <w:lang w:val="lv-LV"/>
        </w:rPr>
      </w:pPr>
      <w:bookmarkStart w:id="0" w:name="_GoBack"/>
      <w:bookmarkEnd w:id="0"/>
      <w:r w:rsidRPr="00265838">
        <w:rPr>
          <w:b/>
          <w:sz w:val="24"/>
          <w:szCs w:val="24"/>
          <w:lang w:val="lv-LV"/>
        </w:rPr>
        <w:t xml:space="preserve">Ministru kabineta noteikumu </w:t>
      </w:r>
      <w:r w:rsidR="009C4501" w:rsidRPr="00265838">
        <w:rPr>
          <w:b/>
          <w:bCs/>
          <w:sz w:val="24"/>
          <w:szCs w:val="24"/>
          <w:lang w:val="lv-LV"/>
        </w:rPr>
        <w:t>projekta</w:t>
      </w:r>
      <w:r w:rsidR="009C4501" w:rsidRPr="00265838">
        <w:rPr>
          <w:b/>
          <w:sz w:val="24"/>
          <w:szCs w:val="24"/>
          <w:lang w:val="lv-LV"/>
        </w:rPr>
        <w:t xml:space="preserve"> </w:t>
      </w:r>
      <w:r w:rsidR="00162B4C">
        <w:rPr>
          <w:b/>
          <w:sz w:val="24"/>
          <w:szCs w:val="24"/>
          <w:lang w:val="lv-LV"/>
        </w:rPr>
        <w:t>“</w:t>
      </w:r>
      <w:r w:rsidR="002774BA">
        <w:rPr>
          <w:b/>
          <w:sz w:val="24"/>
          <w:szCs w:val="24"/>
          <w:lang w:val="lv-LV"/>
        </w:rPr>
        <w:t>Grozījumi Ministru kabineta 2015.</w:t>
      </w:r>
      <w:r w:rsidR="00162B4C">
        <w:rPr>
          <w:b/>
          <w:sz w:val="24"/>
          <w:szCs w:val="24"/>
          <w:lang w:val="lv-LV"/>
        </w:rPr>
        <w:t> </w:t>
      </w:r>
      <w:r w:rsidR="002774BA">
        <w:rPr>
          <w:b/>
          <w:sz w:val="24"/>
          <w:szCs w:val="24"/>
          <w:lang w:val="lv-LV"/>
        </w:rPr>
        <w:t>gada 29.</w:t>
      </w:r>
      <w:r w:rsidR="00162B4C">
        <w:rPr>
          <w:b/>
          <w:sz w:val="24"/>
          <w:szCs w:val="24"/>
          <w:lang w:val="lv-LV"/>
        </w:rPr>
        <w:t> </w:t>
      </w:r>
      <w:r w:rsidR="002774BA">
        <w:rPr>
          <w:b/>
          <w:sz w:val="24"/>
          <w:szCs w:val="24"/>
          <w:lang w:val="lv-LV"/>
        </w:rPr>
        <w:t>septembra noteikumos Nr.</w:t>
      </w:r>
      <w:r w:rsidR="00162B4C">
        <w:rPr>
          <w:b/>
          <w:sz w:val="24"/>
          <w:szCs w:val="24"/>
          <w:lang w:val="lv-LV"/>
        </w:rPr>
        <w:t> </w:t>
      </w:r>
      <w:r w:rsidR="002774BA">
        <w:rPr>
          <w:b/>
          <w:sz w:val="24"/>
          <w:szCs w:val="24"/>
          <w:lang w:val="lv-LV"/>
        </w:rPr>
        <w:t>542 “</w:t>
      </w:r>
      <w:r w:rsidR="00CD2766" w:rsidRPr="00265838">
        <w:rPr>
          <w:b/>
          <w:sz w:val="24"/>
          <w:szCs w:val="24"/>
          <w:lang w:val="lv-LV"/>
        </w:rPr>
        <w:t xml:space="preserve">Kārtība, </w:t>
      </w:r>
      <w:proofErr w:type="gramStart"/>
      <w:r w:rsidR="00CD2766" w:rsidRPr="00265838">
        <w:rPr>
          <w:b/>
          <w:sz w:val="24"/>
          <w:szCs w:val="24"/>
          <w:lang w:val="lv-LV"/>
        </w:rPr>
        <w:t>kādā pieprasa un saņem Aizsardzības ministrijas atļauju būvēt, ierīkot</w:t>
      </w:r>
      <w:r w:rsidR="00277337" w:rsidRPr="00265838">
        <w:rPr>
          <w:b/>
          <w:sz w:val="24"/>
          <w:szCs w:val="24"/>
          <w:lang w:val="lv-LV"/>
        </w:rPr>
        <w:t xml:space="preserve"> un</w:t>
      </w:r>
      <w:r w:rsidR="00CD2766" w:rsidRPr="00265838">
        <w:rPr>
          <w:b/>
          <w:sz w:val="24"/>
          <w:szCs w:val="24"/>
          <w:lang w:val="lv-LV"/>
        </w:rPr>
        <w:t xml:space="preserve"> izvietot konkrētu militāro lidlauku un militār</w:t>
      </w:r>
      <w:r w:rsidR="00CA4BAB" w:rsidRPr="00265838">
        <w:rPr>
          <w:b/>
          <w:sz w:val="24"/>
          <w:szCs w:val="24"/>
          <w:lang w:val="lv-LV"/>
        </w:rPr>
        <w:t>ās</w:t>
      </w:r>
      <w:r w:rsidR="00CD2766" w:rsidRPr="00265838">
        <w:rPr>
          <w:b/>
          <w:sz w:val="24"/>
          <w:szCs w:val="24"/>
          <w:lang w:val="lv-LV"/>
        </w:rPr>
        <w:t xml:space="preserve"> aviācijas poligonu darbības drošībai potenciāli bīstamus objektus</w:t>
      </w:r>
      <w:proofErr w:type="gramEnd"/>
      <w:r w:rsidR="00326B32" w:rsidRPr="00265838">
        <w:rPr>
          <w:b/>
          <w:sz w:val="24"/>
          <w:szCs w:val="24"/>
          <w:lang w:val="lv-LV"/>
        </w:rPr>
        <w:t xml:space="preserve"> un veic to uzskaiti</w:t>
      </w:r>
      <w:r w:rsidRPr="00265838">
        <w:rPr>
          <w:b/>
          <w:sz w:val="24"/>
          <w:szCs w:val="24"/>
          <w:lang w:val="lv-LV"/>
        </w:rPr>
        <w:t>”</w:t>
      </w:r>
      <w:r w:rsidR="002774BA">
        <w:rPr>
          <w:b/>
          <w:sz w:val="24"/>
          <w:szCs w:val="24"/>
          <w:lang w:val="lv-LV"/>
        </w:rPr>
        <w:t>”</w:t>
      </w:r>
      <w:r w:rsidRPr="00265838">
        <w:rPr>
          <w:b/>
          <w:sz w:val="24"/>
          <w:szCs w:val="24"/>
          <w:lang w:val="lv-LV"/>
        </w:rPr>
        <w:t xml:space="preserve"> </w:t>
      </w:r>
      <w:r w:rsidR="002B1957" w:rsidRPr="004733D7">
        <w:rPr>
          <w:b/>
          <w:bCs/>
          <w:sz w:val="24"/>
          <w:szCs w:val="24"/>
          <w:lang w:val="lv-LV"/>
        </w:rPr>
        <w:t>sākotnējās ietekmes novērtējuma ziņojums (anotācija)</w:t>
      </w:r>
    </w:p>
    <w:p w14:paraId="4D1DC79A" w14:textId="77777777"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2B1957" w:rsidRPr="00724569" w14:paraId="4BFD5C59" w14:textId="77777777"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7F2D66" w14:textId="77777777"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14:paraId="287DCC66" w14:textId="77777777" w:rsidTr="00B35AA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1CCA84F" w14:textId="77777777" w:rsidR="002B1957" w:rsidRPr="00724569" w:rsidRDefault="002B1957" w:rsidP="002B1957">
            <w:pPr>
              <w:rPr>
                <w:sz w:val="24"/>
                <w:szCs w:val="24"/>
                <w:lang w:val="lv-LV"/>
              </w:rPr>
            </w:pPr>
            <w:r w:rsidRPr="00724569">
              <w:rPr>
                <w:sz w:val="24"/>
                <w:szCs w:val="24"/>
                <w:lang w:val="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3361C0B5" w14:textId="77777777" w:rsidR="002B1957" w:rsidRPr="00724569" w:rsidRDefault="002B1957" w:rsidP="002B1957">
            <w:pPr>
              <w:rPr>
                <w:sz w:val="24"/>
                <w:szCs w:val="24"/>
                <w:lang w:val="lv-LV"/>
              </w:rPr>
            </w:pPr>
            <w:r w:rsidRPr="00724569">
              <w:rPr>
                <w:sz w:val="24"/>
                <w:szCs w:val="24"/>
                <w:lang w:val="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482AA9B5" w14:textId="5AF1541F" w:rsidR="00CA233F" w:rsidRPr="000D21A9" w:rsidRDefault="00887A35" w:rsidP="002C4013">
            <w:pPr>
              <w:rPr>
                <w:sz w:val="24"/>
                <w:szCs w:val="24"/>
              </w:rPr>
            </w:pPr>
            <w:r w:rsidRPr="00EF3BF9">
              <w:rPr>
                <w:sz w:val="24"/>
                <w:szCs w:val="24"/>
                <w:lang w:val="lv-LV"/>
              </w:rPr>
              <w:t xml:space="preserve">Likuma “Par </w:t>
            </w:r>
            <w:r w:rsidR="00277337" w:rsidRPr="000D21A9">
              <w:rPr>
                <w:sz w:val="24"/>
                <w:szCs w:val="24"/>
                <w:lang w:val="lv-LV"/>
              </w:rPr>
              <w:t>a</w:t>
            </w:r>
            <w:r w:rsidR="00CD2766" w:rsidRPr="000D21A9">
              <w:rPr>
                <w:sz w:val="24"/>
                <w:szCs w:val="24"/>
                <w:lang w:val="lv-LV"/>
              </w:rPr>
              <w:t>viācij</w:t>
            </w:r>
            <w:r w:rsidRPr="000D21A9">
              <w:rPr>
                <w:sz w:val="24"/>
                <w:szCs w:val="24"/>
                <w:lang w:val="lv-LV"/>
              </w:rPr>
              <w:t>u”</w:t>
            </w:r>
            <w:r w:rsidR="00CD2766" w:rsidRPr="000D21A9">
              <w:rPr>
                <w:sz w:val="24"/>
                <w:szCs w:val="24"/>
                <w:lang w:val="lv-LV"/>
              </w:rPr>
              <w:t xml:space="preserve"> </w:t>
            </w:r>
            <w:r w:rsidR="00CA233F" w:rsidRPr="000D21A9">
              <w:rPr>
                <w:bCs/>
                <w:sz w:val="24"/>
                <w:szCs w:val="24"/>
              </w:rPr>
              <w:t>113.</w:t>
            </w:r>
            <w:r w:rsidR="00CA233F" w:rsidRPr="000D21A9">
              <w:rPr>
                <w:bCs/>
                <w:sz w:val="24"/>
                <w:szCs w:val="24"/>
                <w:vertAlign w:val="superscript"/>
              </w:rPr>
              <w:t>2</w:t>
            </w:r>
            <w:r w:rsidR="00162B4C">
              <w:rPr>
                <w:bCs/>
                <w:sz w:val="24"/>
                <w:szCs w:val="24"/>
              </w:rPr>
              <w:t> </w:t>
            </w:r>
            <w:proofErr w:type="spellStart"/>
            <w:r w:rsidR="00CA233F" w:rsidRPr="000D21A9">
              <w:rPr>
                <w:bCs/>
                <w:sz w:val="24"/>
                <w:szCs w:val="24"/>
              </w:rPr>
              <w:t>panta</w:t>
            </w:r>
            <w:proofErr w:type="spellEnd"/>
            <w:r w:rsidR="00CA233F" w:rsidRPr="000D21A9">
              <w:rPr>
                <w:sz w:val="24"/>
                <w:szCs w:val="24"/>
              </w:rPr>
              <w:t xml:space="preserve"> </w:t>
            </w:r>
            <w:proofErr w:type="spellStart"/>
            <w:r w:rsidR="00CA233F" w:rsidRPr="000D21A9">
              <w:rPr>
                <w:sz w:val="24"/>
                <w:szCs w:val="24"/>
              </w:rPr>
              <w:t>otrā</w:t>
            </w:r>
            <w:proofErr w:type="spellEnd"/>
            <w:r w:rsidR="009C4501">
              <w:rPr>
                <w:sz w:val="24"/>
                <w:szCs w:val="24"/>
              </w:rPr>
              <w:t xml:space="preserve"> un </w:t>
            </w:r>
            <w:proofErr w:type="spellStart"/>
            <w:r w:rsidR="009C4501">
              <w:rPr>
                <w:sz w:val="24"/>
                <w:szCs w:val="24"/>
              </w:rPr>
              <w:t>trešā</w:t>
            </w:r>
            <w:proofErr w:type="spellEnd"/>
            <w:r w:rsidR="00CA233F" w:rsidRPr="000D21A9">
              <w:rPr>
                <w:sz w:val="24"/>
                <w:szCs w:val="24"/>
              </w:rPr>
              <w:t xml:space="preserve"> </w:t>
            </w:r>
            <w:proofErr w:type="spellStart"/>
            <w:r w:rsidR="00CA233F" w:rsidRPr="000D21A9">
              <w:rPr>
                <w:sz w:val="24"/>
                <w:szCs w:val="24"/>
              </w:rPr>
              <w:t>daļa</w:t>
            </w:r>
            <w:proofErr w:type="spellEnd"/>
            <w:r w:rsidR="00CA233F" w:rsidRPr="000D21A9">
              <w:rPr>
                <w:sz w:val="24"/>
                <w:szCs w:val="24"/>
              </w:rPr>
              <w:t xml:space="preserve">, </w:t>
            </w:r>
          </w:p>
          <w:p w14:paraId="27BD694F" w14:textId="4C9DABD2" w:rsidR="002B1957" w:rsidRPr="00724569" w:rsidRDefault="00CA233F" w:rsidP="00085F67">
            <w:pPr>
              <w:rPr>
                <w:sz w:val="24"/>
                <w:szCs w:val="24"/>
                <w:lang w:val="lv-LV"/>
              </w:rPr>
            </w:pPr>
            <w:r w:rsidRPr="000D21A9">
              <w:rPr>
                <w:sz w:val="24"/>
                <w:szCs w:val="24"/>
              </w:rPr>
              <w:t xml:space="preserve"> </w:t>
            </w:r>
            <w:r w:rsidRPr="000D21A9">
              <w:rPr>
                <w:bCs/>
                <w:sz w:val="24"/>
                <w:szCs w:val="24"/>
              </w:rPr>
              <w:t>113.</w:t>
            </w:r>
            <w:r w:rsidRPr="000D21A9">
              <w:rPr>
                <w:bCs/>
                <w:sz w:val="24"/>
                <w:szCs w:val="24"/>
                <w:vertAlign w:val="superscript"/>
              </w:rPr>
              <w:t>3</w:t>
            </w:r>
            <w:r w:rsidR="00162B4C">
              <w:rPr>
                <w:bCs/>
                <w:sz w:val="24"/>
                <w:szCs w:val="24"/>
              </w:rPr>
              <w:t> </w:t>
            </w:r>
            <w:proofErr w:type="spellStart"/>
            <w:r w:rsidRPr="000D21A9">
              <w:rPr>
                <w:sz w:val="24"/>
                <w:szCs w:val="24"/>
              </w:rPr>
              <w:t>panta</w:t>
            </w:r>
            <w:proofErr w:type="spellEnd"/>
            <w:r w:rsidRPr="000D21A9">
              <w:rPr>
                <w:sz w:val="24"/>
                <w:szCs w:val="24"/>
              </w:rPr>
              <w:t xml:space="preserve"> </w:t>
            </w:r>
            <w:proofErr w:type="spellStart"/>
            <w:r w:rsidRPr="000D21A9">
              <w:rPr>
                <w:sz w:val="24"/>
                <w:szCs w:val="24"/>
              </w:rPr>
              <w:t>otrā</w:t>
            </w:r>
            <w:proofErr w:type="spellEnd"/>
            <w:r w:rsidRPr="000D21A9">
              <w:rPr>
                <w:sz w:val="24"/>
                <w:szCs w:val="24"/>
              </w:rPr>
              <w:t xml:space="preserve"> un </w:t>
            </w:r>
            <w:proofErr w:type="spellStart"/>
            <w:r w:rsidRPr="000D21A9">
              <w:rPr>
                <w:sz w:val="24"/>
                <w:szCs w:val="24"/>
              </w:rPr>
              <w:t>trešā</w:t>
            </w:r>
            <w:proofErr w:type="spellEnd"/>
            <w:r w:rsidRPr="000D21A9">
              <w:rPr>
                <w:sz w:val="24"/>
                <w:szCs w:val="24"/>
              </w:rPr>
              <w:t xml:space="preserve"> </w:t>
            </w:r>
            <w:proofErr w:type="spellStart"/>
            <w:r w:rsidRPr="000D21A9">
              <w:rPr>
                <w:sz w:val="24"/>
                <w:szCs w:val="24"/>
              </w:rPr>
              <w:t>daļa</w:t>
            </w:r>
            <w:proofErr w:type="spellEnd"/>
            <w:r w:rsidR="00085F67">
              <w:rPr>
                <w:sz w:val="24"/>
                <w:szCs w:val="24"/>
              </w:rPr>
              <w:t>.</w:t>
            </w:r>
          </w:p>
        </w:tc>
      </w:tr>
      <w:tr w:rsidR="00F77A52" w:rsidRPr="00B8547D" w14:paraId="0FFE29FA" w14:textId="77777777" w:rsidTr="00B35A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173094" w14:textId="77777777" w:rsidR="002B1957" w:rsidRPr="00F77A52" w:rsidRDefault="002B1957" w:rsidP="002B1957">
            <w:pPr>
              <w:rPr>
                <w:sz w:val="24"/>
                <w:szCs w:val="24"/>
                <w:lang w:val="lv-LV"/>
              </w:rPr>
            </w:pPr>
            <w:r w:rsidRPr="00F77A52">
              <w:rPr>
                <w:sz w:val="24"/>
                <w:szCs w:val="24"/>
                <w:lang w:val="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DAFA190" w14:textId="77777777" w:rsidR="002B1957" w:rsidRPr="00F77A52" w:rsidRDefault="002B1957" w:rsidP="002B1957">
            <w:pPr>
              <w:rPr>
                <w:sz w:val="24"/>
                <w:szCs w:val="24"/>
                <w:lang w:val="lv-LV"/>
              </w:rPr>
            </w:pPr>
            <w:r w:rsidRPr="00F77A52">
              <w:rPr>
                <w:sz w:val="24"/>
                <w:szCs w:val="24"/>
                <w:lang w:val="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55D5FEA2" w14:textId="70DC214A" w:rsidR="00FC4BD3" w:rsidRPr="00FC4BD3" w:rsidRDefault="00FC4BD3" w:rsidP="007F0F27">
            <w:pPr>
              <w:widowControl w:val="0"/>
              <w:ind w:firstLine="829"/>
              <w:jc w:val="both"/>
              <w:rPr>
                <w:sz w:val="24"/>
                <w:szCs w:val="24"/>
                <w:lang w:val="lv-LV"/>
              </w:rPr>
            </w:pPr>
            <w:r w:rsidRPr="00FC4BD3">
              <w:rPr>
                <w:sz w:val="24"/>
                <w:szCs w:val="24"/>
                <w:lang w:val="lv-LV"/>
              </w:rPr>
              <w:t>Likumprojekts “Grozījumi likumā ”Par aviāciju”” (</w:t>
            </w:r>
            <w:r w:rsidRPr="00FC4BD3">
              <w:rPr>
                <w:bCs/>
                <w:sz w:val="24"/>
                <w:szCs w:val="24"/>
                <w:lang w:val="lv-LV"/>
              </w:rPr>
              <w:t>Nr</w:t>
            </w:r>
            <w:r w:rsidR="00162B4C">
              <w:rPr>
                <w:bCs/>
                <w:sz w:val="24"/>
                <w:szCs w:val="24"/>
                <w:lang w:val="lv-LV"/>
              </w:rPr>
              <w:t>.</w:t>
            </w:r>
            <w:r w:rsidRPr="00FC4BD3">
              <w:rPr>
                <w:bCs/>
                <w:sz w:val="24"/>
                <w:szCs w:val="24"/>
                <w:lang w:val="lv-LV"/>
              </w:rPr>
              <w:t xml:space="preserve"> 961/Lp12, </w:t>
            </w:r>
            <w:r w:rsidR="009E3BDB">
              <w:rPr>
                <w:bCs/>
                <w:sz w:val="24"/>
                <w:szCs w:val="24"/>
                <w:lang w:val="lv-LV"/>
              </w:rPr>
              <w:t>pieņemts Saeimā 3. lasījumā 2017. gada 23. novembrī</w:t>
            </w:r>
            <w:r w:rsidRPr="00FC4BD3">
              <w:rPr>
                <w:bCs/>
                <w:sz w:val="24"/>
                <w:szCs w:val="24"/>
                <w:lang w:val="lv-LV"/>
              </w:rPr>
              <w:t>)</w:t>
            </w:r>
            <w:r w:rsidRPr="00FC4BD3">
              <w:rPr>
                <w:b/>
                <w:bCs/>
                <w:sz w:val="24"/>
                <w:szCs w:val="24"/>
                <w:lang w:val="lv-LV"/>
              </w:rPr>
              <w:t xml:space="preserve"> </w:t>
            </w:r>
            <w:r w:rsidRPr="00FC4BD3">
              <w:rPr>
                <w:sz w:val="24"/>
                <w:szCs w:val="24"/>
                <w:lang w:val="lv-LV"/>
              </w:rPr>
              <w:t>papildin</w:t>
            </w:r>
            <w:r w:rsidR="009E3BDB">
              <w:rPr>
                <w:sz w:val="24"/>
                <w:szCs w:val="24"/>
                <w:lang w:val="lv-LV"/>
              </w:rPr>
              <w:t>a</w:t>
            </w:r>
            <w:r w:rsidRPr="00FC4BD3">
              <w:rPr>
                <w:sz w:val="24"/>
                <w:szCs w:val="24"/>
                <w:lang w:val="lv-LV"/>
              </w:rPr>
              <w:t xml:space="preserve"> likuma “Par aviāciju” 113.</w:t>
            </w:r>
            <w:r w:rsidRPr="00FC4BD3">
              <w:rPr>
                <w:sz w:val="24"/>
                <w:szCs w:val="24"/>
                <w:vertAlign w:val="superscript"/>
                <w:lang w:val="lv-LV"/>
              </w:rPr>
              <w:t>2</w:t>
            </w:r>
            <w:r w:rsidRPr="00FC4BD3">
              <w:rPr>
                <w:sz w:val="24"/>
                <w:szCs w:val="24"/>
                <w:lang w:val="lv-LV"/>
              </w:rPr>
              <w:t xml:space="preserve"> panta pirmo daļu ar 8. punktu, kas nosaka, ka papildus citu normatīvo aktu prasību izpildei saņemama Aizsardzības ministrijas atļauja būvēt, ierīkot un izvietot tādus militārā lidlauka darbības drošībai potenciāli bīstamus objektus, kuru augstums virs to atrašanās vietas reljefa sasniedz 100 metrus un vairāk, kas atradīsies militāro gaisa kuģu pacelšanās vai nosēšanās sektorā un kuri neatradīsies šīs daļas 4. punktā minētajā vietā – 15 kilometru attālumā no skrejceļa tuvākā sliekšņa. </w:t>
            </w:r>
          </w:p>
          <w:p w14:paraId="0D96674B" w14:textId="77777777" w:rsidR="00FC4BD3" w:rsidRPr="00FC4BD3" w:rsidRDefault="00FC4BD3" w:rsidP="00FC4BD3">
            <w:pPr>
              <w:ind w:firstLine="709"/>
              <w:jc w:val="both"/>
              <w:rPr>
                <w:sz w:val="24"/>
                <w:szCs w:val="24"/>
                <w:lang w:val="lv-LV"/>
              </w:rPr>
            </w:pPr>
            <w:r w:rsidRPr="00FC4BD3">
              <w:rPr>
                <w:sz w:val="24"/>
                <w:szCs w:val="24"/>
                <w:lang w:val="lv-LV"/>
              </w:rPr>
              <w:t>Veicot Lielvārdes militārā lidlauka ekspluatēšanai nepieciešamos uzmērīšanas darbus</w:t>
            </w:r>
            <w:r w:rsidR="00162B4C">
              <w:rPr>
                <w:sz w:val="24"/>
                <w:szCs w:val="24"/>
                <w:lang w:val="lv-LV"/>
              </w:rPr>
              <w:t>,</w:t>
            </w:r>
            <w:r w:rsidRPr="00FC4BD3">
              <w:rPr>
                <w:sz w:val="24"/>
                <w:szCs w:val="24"/>
                <w:lang w:val="lv-LV"/>
              </w:rPr>
              <w:t xml:space="preserve"> ir konstatēta nepieciešamība precizēt Ministru kabineta 2015.</w:t>
            </w:r>
            <w:r w:rsidR="009E3BDB">
              <w:rPr>
                <w:sz w:val="24"/>
                <w:szCs w:val="24"/>
                <w:lang w:val="lv-LV"/>
              </w:rPr>
              <w:t> </w:t>
            </w:r>
            <w:r w:rsidRPr="00FC4BD3">
              <w:rPr>
                <w:sz w:val="24"/>
                <w:szCs w:val="24"/>
                <w:lang w:val="lv-LV"/>
              </w:rPr>
              <w:t>gada 29.</w:t>
            </w:r>
            <w:r w:rsidR="009E3BDB">
              <w:rPr>
                <w:sz w:val="24"/>
                <w:szCs w:val="24"/>
                <w:lang w:val="lv-LV"/>
              </w:rPr>
              <w:t> </w:t>
            </w:r>
            <w:r w:rsidRPr="00FC4BD3">
              <w:rPr>
                <w:sz w:val="24"/>
                <w:szCs w:val="24"/>
                <w:lang w:val="lv-LV"/>
              </w:rPr>
              <w:t>septembra noteikumos Nr.</w:t>
            </w:r>
            <w:r w:rsidR="009E3BDB">
              <w:rPr>
                <w:sz w:val="24"/>
                <w:szCs w:val="24"/>
                <w:lang w:val="lv-LV"/>
              </w:rPr>
              <w:t> </w:t>
            </w:r>
            <w:r w:rsidRPr="00FC4BD3">
              <w:rPr>
                <w:sz w:val="24"/>
                <w:szCs w:val="24"/>
                <w:lang w:val="lv-LV"/>
              </w:rPr>
              <w:t xml:space="preserve">542 “Kārtība, kādā pieprasa un saņem Aizsardzības ministrijas atļauju būvēt, ierīkot un izvietot </w:t>
            </w:r>
            <w:proofErr w:type="gramStart"/>
            <w:r w:rsidRPr="00FC4BD3">
              <w:rPr>
                <w:sz w:val="24"/>
                <w:szCs w:val="24"/>
                <w:lang w:val="lv-LV"/>
              </w:rPr>
              <w:t>konkrētu militāro lidlauku un militārās aviācijas poligonu darbības drošībai potenciāli bīstamu objektus</w:t>
            </w:r>
            <w:proofErr w:type="gramEnd"/>
            <w:r w:rsidRPr="00FC4BD3">
              <w:rPr>
                <w:sz w:val="24"/>
                <w:szCs w:val="24"/>
                <w:lang w:val="lv-LV"/>
              </w:rPr>
              <w:t xml:space="preserve"> un veic to uzskaiti” (turpmāk – MK noteikumi Nr.</w:t>
            </w:r>
            <w:r w:rsidR="009E3BDB">
              <w:rPr>
                <w:sz w:val="24"/>
                <w:szCs w:val="24"/>
                <w:lang w:val="lv-LV"/>
              </w:rPr>
              <w:t> </w:t>
            </w:r>
            <w:r w:rsidRPr="00FC4BD3">
              <w:rPr>
                <w:sz w:val="24"/>
                <w:szCs w:val="24"/>
                <w:lang w:val="lv-LV"/>
              </w:rPr>
              <w:t>542) 1.</w:t>
            </w:r>
            <w:r w:rsidR="009E3BDB">
              <w:rPr>
                <w:sz w:val="24"/>
                <w:szCs w:val="24"/>
                <w:lang w:val="lv-LV"/>
              </w:rPr>
              <w:t> </w:t>
            </w:r>
            <w:r w:rsidRPr="00FC4BD3">
              <w:rPr>
                <w:sz w:val="24"/>
                <w:szCs w:val="24"/>
                <w:lang w:val="lv-LV"/>
              </w:rPr>
              <w:t>pielikuma 3.</w:t>
            </w:r>
            <w:r w:rsidR="009E3BDB">
              <w:rPr>
                <w:sz w:val="24"/>
                <w:szCs w:val="24"/>
                <w:lang w:val="lv-LV"/>
              </w:rPr>
              <w:t> </w:t>
            </w:r>
            <w:r w:rsidRPr="00FC4BD3">
              <w:rPr>
                <w:sz w:val="24"/>
                <w:szCs w:val="24"/>
                <w:lang w:val="lv-LV"/>
              </w:rPr>
              <w:t>punktā noteikto koordināti.</w:t>
            </w:r>
          </w:p>
          <w:p w14:paraId="5E0564F0" w14:textId="77DEB6E8" w:rsidR="003752D7" w:rsidRPr="00FC4BD3" w:rsidRDefault="00FC4BD3" w:rsidP="007F0F27">
            <w:pPr>
              <w:ind w:firstLine="687"/>
              <w:jc w:val="both"/>
              <w:rPr>
                <w:rFonts w:cs="Times New Roman"/>
                <w:iCs/>
                <w:sz w:val="24"/>
                <w:szCs w:val="24"/>
                <w:lang w:val="lv-LV"/>
              </w:rPr>
            </w:pPr>
            <w:r w:rsidRPr="00080A77">
              <w:rPr>
                <w:sz w:val="24"/>
                <w:szCs w:val="24"/>
                <w:lang w:val="lv-LV"/>
              </w:rPr>
              <w:t>Ņemot vērā minēto</w:t>
            </w:r>
            <w:r w:rsidR="00162B4C">
              <w:rPr>
                <w:sz w:val="24"/>
                <w:szCs w:val="24"/>
                <w:lang w:val="lv-LV"/>
              </w:rPr>
              <w:t>,</w:t>
            </w:r>
            <w:r w:rsidRPr="00080A77">
              <w:rPr>
                <w:sz w:val="24"/>
                <w:szCs w:val="24"/>
                <w:lang w:val="lv-LV"/>
              </w:rPr>
              <w:t xml:space="preserve"> ir izstrādāti grozījumi MK noteikumos Nr.</w:t>
            </w:r>
            <w:r w:rsidR="009E3BDB">
              <w:rPr>
                <w:sz w:val="24"/>
                <w:szCs w:val="24"/>
                <w:lang w:val="lv-LV"/>
              </w:rPr>
              <w:t> </w:t>
            </w:r>
            <w:r w:rsidRPr="00080A77">
              <w:rPr>
                <w:sz w:val="24"/>
                <w:szCs w:val="24"/>
                <w:lang w:val="lv-LV"/>
              </w:rPr>
              <w:t>54</w:t>
            </w:r>
            <w:r w:rsidR="006A5921">
              <w:rPr>
                <w:sz w:val="24"/>
                <w:szCs w:val="24"/>
                <w:lang w:val="lv-LV"/>
              </w:rPr>
              <w:t>2</w:t>
            </w:r>
            <w:r w:rsidRPr="00080A77">
              <w:rPr>
                <w:sz w:val="24"/>
                <w:szCs w:val="24"/>
                <w:lang w:val="lv-LV"/>
              </w:rPr>
              <w:t>, lai precizētu MK noteikum</w:t>
            </w:r>
            <w:r w:rsidR="006A5921">
              <w:rPr>
                <w:sz w:val="24"/>
                <w:szCs w:val="24"/>
                <w:lang w:val="lv-LV"/>
              </w:rPr>
              <w:t>u</w:t>
            </w:r>
            <w:r w:rsidRPr="00080A77">
              <w:rPr>
                <w:sz w:val="24"/>
                <w:szCs w:val="24"/>
                <w:lang w:val="lv-LV"/>
              </w:rPr>
              <w:t xml:space="preserve"> Nr.</w:t>
            </w:r>
            <w:r w:rsidR="009E3BDB">
              <w:rPr>
                <w:sz w:val="24"/>
                <w:szCs w:val="24"/>
                <w:lang w:val="lv-LV"/>
              </w:rPr>
              <w:t> </w:t>
            </w:r>
            <w:r w:rsidRPr="00080A77">
              <w:rPr>
                <w:sz w:val="24"/>
                <w:szCs w:val="24"/>
                <w:lang w:val="lv-LV"/>
              </w:rPr>
              <w:t>542 1.</w:t>
            </w:r>
            <w:r w:rsidR="009E3BDB">
              <w:rPr>
                <w:sz w:val="24"/>
                <w:szCs w:val="24"/>
                <w:lang w:val="lv-LV"/>
              </w:rPr>
              <w:t> </w:t>
            </w:r>
            <w:r w:rsidRPr="00080A77">
              <w:rPr>
                <w:sz w:val="24"/>
                <w:szCs w:val="24"/>
                <w:lang w:val="lv-LV"/>
              </w:rPr>
              <w:t>pielikuma 3.</w:t>
            </w:r>
            <w:r w:rsidR="009E3BDB">
              <w:rPr>
                <w:sz w:val="24"/>
                <w:szCs w:val="24"/>
                <w:lang w:val="lv-LV"/>
              </w:rPr>
              <w:t> </w:t>
            </w:r>
            <w:r w:rsidRPr="00080A77">
              <w:rPr>
                <w:sz w:val="24"/>
                <w:szCs w:val="24"/>
                <w:lang w:val="lv-LV"/>
              </w:rPr>
              <w:t>punktā noteikto koordināti un papildinātu MK noteikumus Nr.</w:t>
            </w:r>
            <w:r w:rsidR="009E3BDB">
              <w:rPr>
                <w:sz w:val="24"/>
                <w:szCs w:val="24"/>
                <w:lang w:val="lv-LV"/>
              </w:rPr>
              <w:t> </w:t>
            </w:r>
            <w:r w:rsidRPr="00080A77">
              <w:rPr>
                <w:sz w:val="24"/>
                <w:szCs w:val="24"/>
                <w:lang w:val="lv-LV"/>
              </w:rPr>
              <w:t>542 ar jaunu Lielvārdes militārā lidlauka zonu potenciāli bīstamiem objektiem.</w:t>
            </w:r>
          </w:p>
        </w:tc>
      </w:tr>
      <w:tr w:rsidR="00F77A52" w:rsidRPr="003752D7" w14:paraId="718DE0C4" w14:textId="77777777" w:rsidTr="00B35A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9D06AE" w14:textId="77777777" w:rsidR="002B1957" w:rsidRPr="00F77A52" w:rsidRDefault="002B1957" w:rsidP="002B1957">
            <w:pPr>
              <w:rPr>
                <w:sz w:val="24"/>
                <w:szCs w:val="24"/>
                <w:lang w:val="lv-LV"/>
              </w:rPr>
            </w:pPr>
            <w:r w:rsidRPr="00F77A52">
              <w:rPr>
                <w:sz w:val="24"/>
                <w:szCs w:val="24"/>
                <w:lang w:val="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37161728" w14:textId="77777777" w:rsidR="002B1957" w:rsidRPr="00F77A52" w:rsidRDefault="002B1957" w:rsidP="002B1957">
            <w:pPr>
              <w:rPr>
                <w:sz w:val="24"/>
                <w:szCs w:val="24"/>
                <w:lang w:val="lv-LV"/>
              </w:rPr>
            </w:pPr>
            <w:r w:rsidRPr="00F77A52">
              <w:rPr>
                <w:sz w:val="24"/>
                <w:szCs w:val="24"/>
                <w:lang w:val="lv-LV"/>
              </w:rPr>
              <w:t>Projekta izstrādē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65831A1E" w14:textId="77777777" w:rsidR="00955EA9" w:rsidRPr="00955EA9" w:rsidRDefault="00CD659D" w:rsidP="003752D7">
            <w:pPr>
              <w:jc w:val="both"/>
              <w:outlineLvl w:val="0"/>
              <w:rPr>
                <w:rFonts w:cs="Times New Roman"/>
                <w:color w:val="FF0000"/>
                <w:sz w:val="24"/>
                <w:szCs w:val="24"/>
                <w:lang w:val="lv-LV"/>
              </w:rPr>
            </w:pPr>
            <w:r w:rsidRPr="00186F91">
              <w:rPr>
                <w:rFonts w:cs="Times New Roman"/>
                <w:iCs/>
                <w:sz w:val="24"/>
                <w:szCs w:val="24"/>
                <w:lang w:val="lv-LV"/>
              </w:rPr>
              <w:t>Aizsardzības minist</w:t>
            </w:r>
            <w:r w:rsidR="002F754E">
              <w:rPr>
                <w:rFonts w:cs="Times New Roman"/>
                <w:iCs/>
                <w:sz w:val="24"/>
                <w:szCs w:val="24"/>
                <w:lang w:val="lv-LV"/>
              </w:rPr>
              <w:t>rija, Nacionālie bruņotie spēki.</w:t>
            </w:r>
          </w:p>
        </w:tc>
      </w:tr>
      <w:tr w:rsidR="002B1957" w:rsidRPr="00D45B8C" w14:paraId="6C83145A" w14:textId="77777777" w:rsidTr="00B35AAD">
        <w:tc>
          <w:tcPr>
            <w:tcW w:w="250" w:type="pct"/>
            <w:tcBorders>
              <w:top w:val="outset" w:sz="6" w:space="0" w:color="414142"/>
              <w:left w:val="outset" w:sz="6" w:space="0" w:color="414142"/>
              <w:bottom w:val="outset" w:sz="6" w:space="0" w:color="414142"/>
              <w:right w:val="outset" w:sz="6" w:space="0" w:color="414142"/>
            </w:tcBorders>
            <w:hideMark/>
          </w:tcPr>
          <w:p w14:paraId="6AF4A04F" w14:textId="77777777" w:rsidR="002B1957" w:rsidRPr="00F77A52" w:rsidRDefault="002B1957" w:rsidP="002B1957">
            <w:pPr>
              <w:rPr>
                <w:sz w:val="24"/>
                <w:szCs w:val="24"/>
                <w:lang w:val="lv-LV"/>
              </w:rPr>
            </w:pPr>
            <w:r w:rsidRPr="00F77A52">
              <w:rPr>
                <w:sz w:val="24"/>
                <w:szCs w:val="24"/>
                <w:lang w:val="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45B6E020" w14:textId="77777777" w:rsidR="002B1957" w:rsidRPr="00F77A52" w:rsidRDefault="002B1957" w:rsidP="002B1957">
            <w:pPr>
              <w:rPr>
                <w:sz w:val="24"/>
                <w:szCs w:val="24"/>
                <w:lang w:val="lv-LV"/>
              </w:rPr>
            </w:pPr>
            <w:r w:rsidRPr="00F77A52">
              <w:rPr>
                <w:sz w:val="24"/>
                <w:szCs w:val="24"/>
                <w:lang w:val="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13C0F4FC" w14:textId="77777777" w:rsidR="00085F67" w:rsidRPr="00FC4BD3" w:rsidRDefault="00B35AAD" w:rsidP="006A5921">
            <w:pPr>
              <w:jc w:val="both"/>
              <w:rPr>
                <w:rFonts w:cs="Times New Roman"/>
                <w:sz w:val="24"/>
                <w:szCs w:val="24"/>
                <w:lang w:val="lv-LV" w:eastAsia="lv-LV" w:bidi="ar-SA"/>
              </w:rPr>
            </w:pPr>
            <w:r>
              <w:rPr>
                <w:rFonts w:cs="Times New Roman"/>
                <w:sz w:val="24"/>
                <w:szCs w:val="24"/>
                <w:lang w:val="lv-LV" w:eastAsia="lv-LV" w:bidi="ar-SA"/>
              </w:rPr>
              <w:t>Nav</w:t>
            </w:r>
          </w:p>
        </w:tc>
      </w:tr>
    </w:tbl>
    <w:p w14:paraId="7BB0B25C" w14:textId="77777777" w:rsidR="002B1957" w:rsidRPr="00F77A52" w:rsidRDefault="002B1957" w:rsidP="002B1957">
      <w:pPr>
        <w:rPr>
          <w:vanish/>
          <w:lang w:val="lv-LV"/>
        </w:rPr>
      </w:pPr>
    </w:p>
    <w:p w14:paraId="44B76264" w14:textId="77777777" w:rsidR="002B1957" w:rsidRPr="00724569" w:rsidRDefault="002B1957" w:rsidP="002B1957">
      <w:pPr>
        <w:rPr>
          <w:rFonts w:cs="Times New Roman"/>
          <w:vanish/>
          <w:sz w:val="24"/>
          <w:szCs w:val="24"/>
          <w:lang w:val="lv-LV"/>
        </w:rPr>
      </w:pPr>
    </w:p>
    <w:p w14:paraId="4A46709E" w14:textId="77777777" w:rsidR="002B1957" w:rsidRPr="00724569" w:rsidRDefault="002B1957" w:rsidP="002B1957">
      <w:pPr>
        <w:rPr>
          <w:rFonts w:cs="Times New Roman"/>
          <w:sz w:val="24"/>
          <w:szCs w:val="24"/>
          <w:lang w:val="lv-LV"/>
        </w:rPr>
      </w:pPr>
    </w:p>
    <w:tbl>
      <w:tblPr>
        <w:tblStyle w:val="TableGrid"/>
        <w:tblW w:w="9067" w:type="dxa"/>
        <w:tblLook w:val="04A0" w:firstRow="1" w:lastRow="0" w:firstColumn="1" w:lastColumn="0" w:noHBand="0" w:noVBand="1"/>
      </w:tblPr>
      <w:tblGrid>
        <w:gridCol w:w="435"/>
        <w:gridCol w:w="2562"/>
        <w:gridCol w:w="6070"/>
      </w:tblGrid>
      <w:tr w:rsidR="006A5921" w:rsidRPr="00B8547D" w14:paraId="44ADD8FB" w14:textId="77777777" w:rsidTr="002F754E">
        <w:tc>
          <w:tcPr>
            <w:tcW w:w="9067" w:type="dxa"/>
            <w:gridSpan w:val="3"/>
          </w:tcPr>
          <w:p w14:paraId="0B5B3285" w14:textId="77777777" w:rsidR="006A5921" w:rsidRDefault="006A5921" w:rsidP="0083721D">
            <w:pPr>
              <w:jc w:val="center"/>
              <w:rPr>
                <w:rFonts w:cs="Times New Roman"/>
                <w:sz w:val="24"/>
                <w:szCs w:val="24"/>
                <w:lang w:val="lv-LV"/>
              </w:rPr>
            </w:pPr>
            <w:r w:rsidRPr="00F77A52">
              <w:rPr>
                <w:rFonts w:cs="Times New Roman"/>
                <w:b/>
                <w:bCs/>
                <w:sz w:val="24"/>
                <w:szCs w:val="24"/>
                <w:lang w:val="lv-LV"/>
              </w:rPr>
              <w:t>II. Tiesību akta projekta ietekme uz sabiedrību, tautsaimniecības attīstību un administratīvo slogu</w:t>
            </w:r>
          </w:p>
        </w:tc>
      </w:tr>
      <w:tr w:rsidR="006A5921" w:rsidRPr="00B8547D" w14:paraId="215C6C87" w14:textId="77777777" w:rsidTr="002F754E">
        <w:tc>
          <w:tcPr>
            <w:tcW w:w="435" w:type="dxa"/>
          </w:tcPr>
          <w:p w14:paraId="5C69E5A8" w14:textId="77777777" w:rsidR="006A5921" w:rsidRDefault="006A5921" w:rsidP="006A5921">
            <w:pPr>
              <w:jc w:val="both"/>
              <w:rPr>
                <w:rFonts w:cs="Times New Roman"/>
                <w:sz w:val="24"/>
                <w:szCs w:val="24"/>
                <w:lang w:val="lv-LV"/>
              </w:rPr>
            </w:pPr>
            <w:r>
              <w:rPr>
                <w:rFonts w:cs="Times New Roman"/>
                <w:sz w:val="24"/>
                <w:szCs w:val="24"/>
                <w:lang w:val="lv-LV"/>
              </w:rPr>
              <w:t>1.</w:t>
            </w:r>
          </w:p>
        </w:tc>
        <w:tc>
          <w:tcPr>
            <w:tcW w:w="2562" w:type="dxa"/>
          </w:tcPr>
          <w:p w14:paraId="659C3B04" w14:textId="77777777" w:rsidR="006A5921" w:rsidRDefault="006A5921" w:rsidP="006A5921">
            <w:pPr>
              <w:jc w:val="both"/>
              <w:rPr>
                <w:rFonts w:cs="Times New Roman"/>
                <w:sz w:val="24"/>
                <w:szCs w:val="24"/>
                <w:lang w:val="lv-LV"/>
              </w:rPr>
            </w:pPr>
            <w:r w:rsidRPr="00F77A52">
              <w:rPr>
                <w:rFonts w:cs="Times New Roman"/>
                <w:sz w:val="24"/>
                <w:szCs w:val="24"/>
                <w:lang w:val="lv-LV"/>
              </w:rPr>
              <w:t>Sabiedrības mērķgrupas, kuras tiesiskais regulējums ietekmē vai varētu ietekmēt</w:t>
            </w:r>
          </w:p>
        </w:tc>
        <w:tc>
          <w:tcPr>
            <w:tcW w:w="6070" w:type="dxa"/>
          </w:tcPr>
          <w:p w14:paraId="3590F241" w14:textId="77777777" w:rsidR="006A5921" w:rsidRPr="00186F91" w:rsidRDefault="006A5921" w:rsidP="006A5921">
            <w:pPr>
              <w:jc w:val="both"/>
              <w:rPr>
                <w:rFonts w:cs="Times New Roman"/>
                <w:iCs/>
                <w:sz w:val="24"/>
                <w:szCs w:val="24"/>
                <w:lang w:val="lv-LV"/>
              </w:rPr>
            </w:pPr>
            <w:r w:rsidRPr="00F77A52">
              <w:rPr>
                <w:rFonts w:cs="Times New Roman"/>
                <w:iCs/>
                <w:sz w:val="24"/>
                <w:szCs w:val="24"/>
                <w:lang w:val="lv-LV"/>
              </w:rPr>
              <w:t>Informācija par projekta skarto zemes īpašnieku skaitu atsevišķi netiek apkopota un uzkrāta.</w:t>
            </w:r>
            <w:r w:rsidRPr="00F77A52">
              <w:rPr>
                <w:rFonts w:cs="Times New Roman"/>
                <w:i/>
                <w:iCs/>
                <w:sz w:val="24"/>
                <w:szCs w:val="24"/>
                <w:lang w:val="lv-LV"/>
              </w:rPr>
              <w:t xml:space="preserve"> </w:t>
            </w:r>
            <w:r w:rsidRPr="00F77A52">
              <w:rPr>
                <w:rFonts w:cs="Times New Roman"/>
                <w:iCs/>
                <w:sz w:val="24"/>
                <w:szCs w:val="24"/>
                <w:lang w:val="lv-LV"/>
              </w:rPr>
              <w:t>Paredzētais normatīvais regulējums attieksies tikai uz nākotnes būv</w:t>
            </w:r>
            <w:r>
              <w:rPr>
                <w:rFonts w:cs="Times New Roman"/>
                <w:iCs/>
                <w:sz w:val="24"/>
                <w:szCs w:val="24"/>
                <w:lang w:val="lv-LV"/>
              </w:rPr>
              <w:t>niecības</w:t>
            </w:r>
            <w:r w:rsidRPr="00F77A52">
              <w:rPr>
                <w:rFonts w:cs="Times New Roman"/>
                <w:iCs/>
                <w:sz w:val="24"/>
                <w:szCs w:val="24"/>
                <w:lang w:val="lv-LV"/>
              </w:rPr>
              <w:t xml:space="preserve"> projektiem un nav attiecināms uz esošajām būvēm vai apstiprinātajiem </w:t>
            </w:r>
            <w:r w:rsidRPr="00186F91">
              <w:rPr>
                <w:rFonts w:cs="Times New Roman"/>
                <w:iCs/>
                <w:sz w:val="24"/>
                <w:szCs w:val="24"/>
                <w:lang w:val="lv-LV"/>
              </w:rPr>
              <w:t>būvprojektiem.</w:t>
            </w:r>
          </w:p>
          <w:p w14:paraId="14AA6D60" w14:textId="77777777" w:rsidR="006A5921" w:rsidRPr="00186F91" w:rsidRDefault="006A5921" w:rsidP="006A5921">
            <w:pPr>
              <w:jc w:val="both"/>
              <w:rPr>
                <w:rFonts w:cs="Times New Roman"/>
                <w:sz w:val="24"/>
                <w:szCs w:val="24"/>
                <w:lang w:val="lv-LV"/>
              </w:rPr>
            </w:pPr>
          </w:p>
          <w:p w14:paraId="6932B378" w14:textId="77777777" w:rsidR="006A5921" w:rsidRPr="00186F91" w:rsidRDefault="006A5921" w:rsidP="006A5921">
            <w:pPr>
              <w:jc w:val="both"/>
              <w:rPr>
                <w:rFonts w:cs="Times New Roman"/>
                <w:iCs/>
                <w:sz w:val="24"/>
                <w:szCs w:val="24"/>
                <w:lang w:val="lv-LV"/>
              </w:rPr>
            </w:pPr>
            <w:r w:rsidRPr="00186F91">
              <w:rPr>
                <w:rFonts w:cs="Times New Roman"/>
                <w:iCs/>
                <w:sz w:val="24"/>
                <w:szCs w:val="24"/>
                <w:lang w:val="lv-LV"/>
              </w:rPr>
              <w:t xml:space="preserve">Indivīds, kura tiesības ir aizskartas ar speciālo nosacījumu noteikšanu, var sūdzēties tiesā. </w:t>
            </w:r>
          </w:p>
          <w:p w14:paraId="591BFA41" w14:textId="77777777" w:rsidR="006A5921" w:rsidRDefault="006A5921" w:rsidP="006A5921">
            <w:pPr>
              <w:jc w:val="both"/>
              <w:rPr>
                <w:rFonts w:cs="Times New Roman"/>
                <w:sz w:val="24"/>
                <w:szCs w:val="24"/>
                <w:lang w:val="lv-LV"/>
              </w:rPr>
            </w:pPr>
            <w:r w:rsidRPr="00186F91">
              <w:rPr>
                <w:rFonts w:cs="Times New Roman"/>
                <w:iCs/>
                <w:sz w:val="24"/>
                <w:szCs w:val="24"/>
                <w:lang w:val="lv-LV"/>
              </w:rPr>
              <w:lastRenderedPageBreak/>
              <w:t>Aizsardzības ministrijas izdotā atļauja</w:t>
            </w:r>
            <w:r w:rsidRPr="00F77A52">
              <w:rPr>
                <w:rFonts w:cs="Times New Roman"/>
                <w:iCs/>
                <w:sz w:val="24"/>
                <w:szCs w:val="24"/>
                <w:lang w:val="lv-LV"/>
              </w:rPr>
              <w:t xml:space="preserve"> būs administratīvs akts, kuru privātpersonai </w:t>
            </w:r>
            <w:r>
              <w:rPr>
                <w:rFonts w:cs="Times New Roman"/>
                <w:iCs/>
                <w:sz w:val="24"/>
                <w:szCs w:val="24"/>
                <w:lang w:val="lv-LV"/>
              </w:rPr>
              <w:t>ir</w:t>
            </w:r>
            <w:r w:rsidRPr="00F77A52">
              <w:rPr>
                <w:rFonts w:cs="Times New Roman"/>
                <w:iCs/>
                <w:sz w:val="24"/>
                <w:szCs w:val="24"/>
                <w:lang w:val="lv-LV"/>
              </w:rPr>
              <w:t xml:space="preserve"> tiesības apstrīdēt un pārsūdzēt Administratīvā procesa likuma noteiktajā kārtībā.</w:t>
            </w:r>
          </w:p>
        </w:tc>
      </w:tr>
      <w:tr w:rsidR="006A5921" w:rsidRPr="006A5921" w14:paraId="637C5045" w14:textId="77777777" w:rsidTr="002F754E">
        <w:tc>
          <w:tcPr>
            <w:tcW w:w="435" w:type="dxa"/>
          </w:tcPr>
          <w:p w14:paraId="71BC3382" w14:textId="77777777" w:rsidR="006A5921" w:rsidRDefault="006A5921" w:rsidP="006A5921">
            <w:pPr>
              <w:jc w:val="both"/>
              <w:rPr>
                <w:rFonts w:cs="Times New Roman"/>
                <w:sz w:val="24"/>
                <w:szCs w:val="24"/>
                <w:lang w:val="lv-LV"/>
              </w:rPr>
            </w:pPr>
            <w:r>
              <w:rPr>
                <w:rFonts w:cs="Times New Roman"/>
                <w:sz w:val="24"/>
                <w:szCs w:val="24"/>
                <w:lang w:val="lv-LV"/>
              </w:rPr>
              <w:lastRenderedPageBreak/>
              <w:t>2.</w:t>
            </w:r>
          </w:p>
        </w:tc>
        <w:tc>
          <w:tcPr>
            <w:tcW w:w="2562" w:type="dxa"/>
          </w:tcPr>
          <w:p w14:paraId="5C10F278" w14:textId="77777777" w:rsidR="006A5921" w:rsidRDefault="006A5921" w:rsidP="006A5921">
            <w:pPr>
              <w:jc w:val="both"/>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6070" w:type="dxa"/>
          </w:tcPr>
          <w:p w14:paraId="1132C355" w14:textId="77777777" w:rsidR="006A5921" w:rsidRDefault="006A5921" w:rsidP="006A5921">
            <w:pPr>
              <w:jc w:val="both"/>
              <w:rPr>
                <w:rFonts w:cs="Times New Roman"/>
                <w:sz w:val="24"/>
                <w:szCs w:val="24"/>
                <w:lang w:val="lv-LV"/>
              </w:rPr>
            </w:pPr>
            <w:r w:rsidRPr="00724569">
              <w:rPr>
                <w:rFonts w:cs="Times New Roman"/>
                <w:sz w:val="24"/>
                <w:szCs w:val="24"/>
                <w:lang w:val="lv-LV"/>
              </w:rPr>
              <w:t>Nav attiecināms</w:t>
            </w:r>
          </w:p>
        </w:tc>
      </w:tr>
      <w:tr w:rsidR="006A5921" w:rsidRPr="006A5921" w14:paraId="0F2449FB" w14:textId="77777777" w:rsidTr="002F754E">
        <w:tc>
          <w:tcPr>
            <w:tcW w:w="435" w:type="dxa"/>
          </w:tcPr>
          <w:p w14:paraId="33205057" w14:textId="77777777" w:rsidR="006A5921" w:rsidRDefault="006A5921" w:rsidP="006A5921">
            <w:pPr>
              <w:jc w:val="both"/>
              <w:rPr>
                <w:rFonts w:cs="Times New Roman"/>
                <w:sz w:val="24"/>
                <w:szCs w:val="24"/>
                <w:lang w:val="lv-LV"/>
              </w:rPr>
            </w:pPr>
            <w:r>
              <w:rPr>
                <w:rFonts w:cs="Times New Roman"/>
                <w:sz w:val="24"/>
                <w:szCs w:val="24"/>
                <w:lang w:val="lv-LV"/>
              </w:rPr>
              <w:t>3.</w:t>
            </w:r>
          </w:p>
        </w:tc>
        <w:tc>
          <w:tcPr>
            <w:tcW w:w="2562" w:type="dxa"/>
          </w:tcPr>
          <w:p w14:paraId="79B6FB4F" w14:textId="77777777" w:rsidR="006A5921" w:rsidRDefault="006A5921" w:rsidP="006A5921">
            <w:pPr>
              <w:jc w:val="both"/>
              <w:rPr>
                <w:rFonts w:cs="Times New Roman"/>
                <w:sz w:val="24"/>
                <w:szCs w:val="24"/>
                <w:lang w:val="lv-LV"/>
              </w:rPr>
            </w:pPr>
            <w:r w:rsidRPr="00724569">
              <w:rPr>
                <w:rFonts w:cs="Times New Roman"/>
                <w:sz w:val="24"/>
                <w:szCs w:val="24"/>
                <w:lang w:val="lv-LV"/>
              </w:rPr>
              <w:t>Administratīvo izmaksu monetārs novērtējums</w:t>
            </w:r>
          </w:p>
        </w:tc>
        <w:tc>
          <w:tcPr>
            <w:tcW w:w="6070" w:type="dxa"/>
          </w:tcPr>
          <w:p w14:paraId="7BD40081" w14:textId="77777777" w:rsidR="006A5921" w:rsidRDefault="006A5921" w:rsidP="006A5921">
            <w:pPr>
              <w:jc w:val="both"/>
              <w:rPr>
                <w:rFonts w:cs="Times New Roman"/>
                <w:sz w:val="24"/>
                <w:szCs w:val="24"/>
                <w:lang w:val="lv-LV"/>
              </w:rPr>
            </w:pPr>
            <w:r w:rsidRPr="00724569">
              <w:rPr>
                <w:rFonts w:cs="Times New Roman"/>
                <w:sz w:val="24"/>
                <w:szCs w:val="24"/>
                <w:lang w:val="lv-LV"/>
              </w:rPr>
              <w:t>Nav attiecināms</w:t>
            </w:r>
          </w:p>
        </w:tc>
      </w:tr>
      <w:tr w:rsidR="006A5921" w:rsidRPr="00B8547D" w14:paraId="0C2D25EA" w14:textId="77777777" w:rsidTr="002F754E">
        <w:tc>
          <w:tcPr>
            <w:tcW w:w="435" w:type="dxa"/>
          </w:tcPr>
          <w:p w14:paraId="7E36D20F" w14:textId="77777777" w:rsidR="006A5921" w:rsidRDefault="006A5921" w:rsidP="006A5921">
            <w:pPr>
              <w:jc w:val="both"/>
              <w:rPr>
                <w:rFonts w:cs="Times New Roman"/>
                <w:sz w:val="24"/>
                <w:szCs w:val="24"/>
                <w:lang w:val="lv-LV"/>
              </w:rPr>
            </w:pPr>
            <w:r>
              <w:rPr>
                <w:rFonts w:cs="Times New Roman"/>
                <w:sz w:val="24"/>
                <w:szCs w:val="24"/>
                <w:lang w:val="lv-LV"/>
              </w:rPr>
              <w:t>4.</w:t>
            </w:r>
          </w:p>
        </w:tc>
        <w:tc>
          <w:tcPr>
            <w:tcW w:w="2562" w:type="dxa"/>
          </w:tcPr>
          <w:p w14:paraId="18258C47" w14:textId="77777777" w:rsidR="006A5921" w:rsidRDefault="006A5921" w:rsidP="006A5921">
            <w:pPr>
              <w:jc w:val="both"/>
              <w:rPr>
                <w:rFonts w:cs="Times New Roman"/>
                <w:sz w:val="24"/>
                <w:szCs w:val="24"/>
                <w:lang w:val="lv-LV"/>
              </w:rPr>
            </w:pPr>
            <w:r w:rsidRPr="00724569">
              <w:rPr>
                <w:rFonts w:cs="Times New Roman"/>
                <w:sz w:val="24"/>
                <w:szCs w:val="24"/>
                <w:lang w:val="lv-LV"/>
              </w:rPr>
              <w:t>Cita informācija</w:t>
            </w:r>
          </w:p>
        </w:tc>
        <w:tc>
          <w:tcPr>
            <w:tcW w:w="6070" w:type="dxa"/>
          </w:tcPr>
          <w:p w14:paraId="738338F6" w14:textId="64999FA5" w:rsidR="006A5921" w:rsidRDefault="006A5921" w:rsidP="00B35AAD">
            <w:pPr>
              <w:jc w:val="both"/>
              <w:rPr>
                <w:rFonts w:cs="Times New Roman"/>
                <w:sz w:val="24"/>
                <w:szCs w:val="24"/>
                <w:lang w:val="lv-LV"/>
              </w:rPr>
            </w:pPr>
            <w:r w:rsidRPr="00BA18EC">
              <w:rPr>
                <w:rFonts w:cs="Times New Roman"/>
                <w:sz w:val="24"/>
                <w:szCs w:val="24"/>
                <w:lang w:val="lv-LV"/>
              </w:rPr>
              <w:t>Aizsardzības ministrija informēs</w:t>
            </w:r>
            <w:r w:rsidRPr="00BA18EC">
              <w:rPr>
                <w:color w:val="1F497D"/>
                <w:lang w:val="lv-LV"/>
              </w:rPr>
              <w:t xml:space="preserve"> </w:t>
            </w:r>
            <w:r w:rsidR="00B35AAD">
              <w:rPr>
                <w:rFonts w:cs="Times New Roman"/>
                <w:sz w:val="24"/>
                <w:szCs w:val="24"/>
                <w:lang w:val="lv-LV"/>
              </w:rPr>
              <w:t xml:space="preserve">Vides aizsardzības un reģionālās attīstības ministriju </w:t>
            </w:r>
            <w:r>
              <w:rPr>
                <w:rFonts w:cs="Times New Roman"/>
                <w:sz w:val="24"/>
                <w:szCs w:val="24"/>
                <w:lang w:val="lv-LV"/>
              </w:rPr>
              <w:t xml:space="preserve">un tās </w:t>
            </w:r>
            <w:r w:rsidRPr="00BA18EC">
              <w:rPr>
                <w:rFonts w:cs="Times New Roman"/>
                <w:sz w:val="24"/>
                <w:szCs w:val="24"/>
                <w:lang w:val="lv-LV"/>
              </w:rPr>
              <w:t>pašvaldības (t.</w:t>
            </w:r>
            <w:r w:rsidR="00B45EBB">
              <w:rPr>
                <w:rFonts w:cs="Times New Roman"/>
                <w:sz w:val="24"/>
                <w:szCs w:val="24"/>
                <w:lang w:val="lv-LV"/>
              </w:rPr>
              <w:t> </w:t>
            </w:r>
            <w:r w:rsidRPr="00BA18EC">
              <w:rPr>
                <w:rFonts w:cs="Times New Roman"/>
                <w:sz w:val="24"/>
                <w:szCs w:val="24"/>
                <w:lang w:val="lv-LV"/>
              </w:rPr>
              <w:t xml:space="preserve">sk. </w:t>
            </w:r>
            <w:r w:rsidRPr="00BA18EC">
              <w:rPr>
                <w:sz w:val="24"/>
                <w:szCs w:val="24"/>
                <w:lang w:val="lv-LV"/>
              </w:rPr>
              <w:t xml:space="preserve">elektroniski nodrošinot informāciju </w:t>
            </w:r>
            <w:proofErr w:type="spellStart"/>
            <w:r w:rsidRPr="00BA18EC">
              <w:rPr>
                <w:sz w:val="24"/>
                <w:szCs w:val="24"/>
                <w:lang w:val="lv-LV"/>
              </w:rPr>
              <w:t>vektordatu</w:t>
            </w:r>
            <w:proofErr w:type="spellEnd"/>
            <w:r w:rsidRPr="00BA18EC">
              <w:rPr>
                <w:sz w:val="24"/>
                <w:szCs w:val="24"/>
                <w:lang w:val="lv-LV"/>
              </w:rPr>
              <w:t xml:space="preserve"> formā)</w:t>
            </w:r>
            <w:r w:rsidRPr="00BA18EC">
              <w:rPr>
                <w:rFonts w:cs="Times New Roman"/>
                <w:sz w:val="24"/>
                <w:szCs w:val="24"/>
                <w:lang w:val="lv-LV"/>
              </w:rPr>
              <w:t xml:space="preserve">, </w:t>
            </w:r>
            <w:r>
              <w:rPr>
                <w:rFonts w:cs="Times New Roman"/>
                <w:sz w:val="24"/>
                <w:szCs w:val="24"/>
                <w:lang w:val="lv-LV"/>
              </w:rPr>
              <w:t xml:space="preserve">uz </w:t>
            </w:r>
            <w:r w:rsidRPr="00BA18EC">
              <w:rPr>
                <w:rFonts w:cs="Times New Roman"/>
                <w:sz w:val="24"/>
                <w:szCs w:val="24"/>
                <w:lang w:val="lv-LV"/>
              </w:rPr>
              <w:t>kuru administratīv</w:t>
            </w:r>
            <w:r>
              <w:rPr>
                <w:rFonts w:cs="Times New Roman"/>
                <w:sz w:val="24"/>
                <w:szCs w:val="24"/>
                <w:lang w:val="lv-LV"/>
              </w:rPr>
              <w:t>a</w:t>
            </w:r>
            <w:r w:rsidRPr="00BA18EC">
              <w:rPr>
                <w:rFonts w:cs="Times New Roman"/>
                <w:sz w:val="24"/>
                <w:szCs w:val="24"/>
                <w:lang w:val="lv-LV"/>
              </w:rPr>
              <w:t>jā</w:t>
            </w:r>
            <w:r>
              <w:rPr>
                <w:rFonts w:cs="Times New Roman"/>
                <w:sz w:val="24"/>
                <w:szCs w:val="24"/>
                <w:lang w:val="lv-LV"/>
              </w:rPr>
              <w:t>m</w:t>
            </w:r>
            <w:r w:rsidRPr="00BA18EC">
              <w:rPr>
                <w:rFonts w:cs="Times New Roman"/>
                <w:sz w:val="24"/>
                <w:szCs w:val="24"/>
                <w:lang w:val="lv-LV"/>
              </w:rPr>
              <w:t xml:space="preserve"> teritorijā</w:t>
            </w:r>
            <w:r>
              <w:rPr>
                <w:rFonts w:cs="Times New Roman"/>
                <w:sz w:val="24"/>
                <w:szCs w:val="24"/>
                <w:lang w:val="lv-LV"/>
              </w:rPr>
              <w:t>m</w:t>
            </w:r>
            <w:r w:rsidRPr="00BA18EC">
              <w:rPr>
                <w:rFonts w:cs="Times New Roman"/>
                <w:sz w:val="24"/>
                <w:szCs w:val="24"/>
                <w:lang w:val="lv-LV"/>
              </w:rPr>
              <w:t xml:space="preserve"> </w:t>
            </w:r>
            <w:r>
              <w:rPr>
                <w:rFonts w:cs="Times New Roman"/>
                <w:sz w:val="24"/>
                <w:szCs w:val="24"/>
                <w:lang w:val="lv-LV"/>
              </w:rPr>
              <w:t>attiecas šajos noteikumos ietvertie speciālie nosacījumi.</w:t>
            </w:r>
          </w:p>
        </w:tc>
      </w:tr>
    </w:tbl>
    <w:p w14:paraId="3B142EE4" w14:textId="77777777" w:rsidR="006A5921" w:rsidRPr="00724569" w:rsidRDefault="006A5921" w:rsidP="006A5921">
      <w:pPr>
        <w:rPr>
          <w:rFonts w:cs="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A5921" w:rsidRPr="00B8547D" w14:paraId="0F7EB0DC" w14:textId="77777777" w:rsidTr="002F754E">
        <w:tc>
          <w:tcPr>
            <w:tcW w:w="9072" w:type="dxa"/>
            <w:shd w:val="clear" w:color="auto" w:fill="auto"/>
          </w:tcPr>
          <w:p w14:paraId="1057B31A" w14:textId="77777777" w:rsidR="006A5921" w:rsidRPr="001E1B72" w:rsidRDefault="006A5921" w:rsidP="0083721D">
            <w:pPr>
              <w:pStyle w:val="naisnod"/>
              <w:spacing w:before="0" w:beforeAutospacing="0" w:after="0" w:afterAutospacing="0"/>
              <w:jc w:val="center"/>
              <w:rPr>
                <w:b/>
              </w:rPr>
            </w:pPr>
            <w:r w:rsidRPr="001E1B72">
              <w:rPr>
                <w:b/>
              </w:rPr>
              <w:t>III. Tiesību akta projekta ietekme uz valsts budžetu un pašvaldību budžetiem</w:t>
            </w:r>
          </w:p>
        </w:tc>
      </w:tr>
      <w:tr w:rsidR="006A5921" w:rsidRPr="00E32FE8" w14:paraId="438ED476" w14:textId="77777777" w:rsidTr="002F754E">
        <w:tc>
          <w:tcPr>
            <w:tcW w:w="9072" w:type="dxa"/>
            <w:shd w:val="clear" w:color="auto" w:fill="auto"/>
          </w:tcPr>
          <w:p w14:paraId="0A53952F" w14:textId="77777777" w:rsidR="006A5921" w:rsidRPr="00B8547D" w:rsidRDefault="006A5921" w:rsidP="00B35AAD">
            <w:pPr>
              <w:jc w:val="both"/>
              <w:rPr>
                <w:rFonts w:cs="Times New Roman"/>
                <w:sz w:val="24"/>
                <w:szCs w:val="24"/>
                <w:lang w:val="lv-LV"/>
              </w:rPr>
            </w:pPr>
            <w:proofErr w:type="spellStart"/>
            <w:r w:rsidRPr="001E1B72">
              <w:rPr>
                <w:rFonts w:cs="Times New Roman"/>
                <w:sz w:val="24"/>
                <w:szCs w:val="24"/>
              </w:rPr>
              <w:t>Noteikumu</w:t>
            </w:r>
            <w:proofErr w:type="spellEnd"/>
            <w:r w:rsidRPr="001E1B72">
              <w:rPr>
                <w:rFonts w:cs="Times New Roman"/>
                <w:sz w:val="24"/>
                <w:szCs w:val="24"/>
              </w:rPr>
              <w:t xml:space="preserve"> </w:t>
            </w:r>
            <w:proofErr w:type="spellStart"/>
            <w:r w:rsidRPr="001E1B72">
              <w:rPr>
                <w:rFonts w:cs="Times New Roman"/>
                <w:sz w:val="24"/>
                <w:szCs w:val="24"/>
              </w:rPr>
              <w:t>projekts</w:t>
            </w:r>
            <w:proofErr w:type="spellEnd"/>
            <w:r w:rsidRPr="001E1B72">
              <w:rPr>
                <w:rFonts w:cs="Times New Roman"/>
                <w:sz w:val="24"/>
                <w:szCs w:val="24"/>
              </w:rPr>
              <w:t xml:space="preserve"> </w:t>
            </w:r>
            <w:proofErr w:type="spellStart"/>
            <w:r w:rsidRPr="001E1B72">
              <w:rPr>
                <w:rFonts w:cs="Times New Roman"/>
                <w:sz w:val="24"/>
                <w:szCs w:val="24"/>
              </w:rPr>
              <w:t>tieši</w:t>
            </w:r>
            <w:proofErr w:type="spellEnd"/>
            <w:r w:rsidRPr="001E1B72">
              <w:rPr>
                <w:rFonts w:cs="Times New Roman"/>
                <w:sz w:val="24"/>
                <w:szCs w:val="24"/>
              </w:rPr>
              <w:t xml:space="preserve"> </w:t>
            </w:r>
            <w:proofErr w:type="spellStart"/>
            <w:r w:rsidRPr="001E1B72">
              <w:rPr>
                <w:rFonts w:cs="Times New Roman"/>
                <w:sz w:val="24"/>
                <w:szCs w:val="24"/>
              </w:rPr>
              <w:t>neietekmēs</w:t>
            </w:r>
            <w:proofErr w:type="spellEnd"/>
            <w:r w:rsidRPr="001E1B72">
              <w:rPr>
                <w:rFonts w:cs="Times New Roman"/>
                <w:sz w:val="24"/>
                <w:szCs w:val="24"/>
              </w:rPr>
              <w:t xml:space="preserve"> </w:t>
            </w:r>
            <w:proofErr w:type="spellStart"/>
            <w:r w:rsidRPr="001E1B72">
              <w:rPr>
                <w:rFonts w:cs="Times New Roman"/>
                <w:sz w:val="24"/>
                <w:szCs w:val="24"/>
              </w:rPr>
              <w:t>valsts</w:t>
            </w:r>
            <w:proofErr w:type="spellEnd"/>
            <w:r w:rsidRPr="001E1B72">
              <w:rPr>
                <w:rFonts w:cs="Times New Roman"/>
                <w:sz w:val="24"/>
                <w:szCs w:val="24"/>
              </w:rPr>
              <w:t xml:space="preserve"> un </w:t>
            </w:r>
            <w:proofErr w:type="spellStart"/>
            <w:r w:rsidRPr="001E1B72">
              <w:rPr>
                <w:rFonts w:cs="Times New Roman"/>
                <w:sz w:val="24"/>
                <w:szCs w:val="24"/>
              </w:rPr>
              <w:t>pašvaldību</w:t>
            </w:r>
            <w:proofErr w:type="spellEnd"/>
            <w:r w:rsidRPr="001E1B72">
              <w:rPr>
                <w:rFonts w:cs="Times New Roman"/>
                <w:sz w:val="24"/>
                <w:szCs w:val="24"/>
              </w:rPr>
              <w:t xml:space="preserve"> </w:t>
            </w:r>
            <w:proofErr w:type="spellStart"/>
            <w:r w:rsidRPr="001E1B72">
              <w:rPr>
                <w:rFonts w:cs="Times New Roman"/>
                <w:sz w:val="24"/>
                <w:szCs w:val="24"/>
              </w:rPr>
              <w:t>budžetus</w:t>
            </w:r>
            <w:proofErr w:type="spellEnd"/>
            <w:r w:rsidRPr="001E1B72">
              <w:rPr>
                <w:rFonts w:cs="Times New Roman"/>
                <w:sz w:val="24"/>
                <w:szCs w:val="24"/>
              </w:rPr>
              <w:t>.</w:t>
            </w:r>
            <w:r w:rsidR="00B35AAD">
              <w:rPr>
                <w:rFonts w:cs="Times New Roman"/>
                <w:sz w:val="24"/>
                <w:szCs w:val="24"/>
              </w:rPr>
              <w:t xml:space="preserve"> </w:t>
            </w:r>
            <w:r w:rsidR="00B35AAD" w:rsidRPr="00FC4BD3">
              <w:rPr>
                <w:rFonts w:cs="Times New Roman"/>
                <w:sz w:val="24"/>
                <w:szCs w:val="24"/>
                <w:lang w:val="lv-LV" w:eastAsia="lv-LV" w:bidi="ar-SA"/>
              </w:rPr>
              <w:t xml:space="preserve">Projektā paredzētie </w:t>
            </w:r>
            <w:r w:rsidR="00B35AAD" w:rsidRPr="00FC4BD3">
              <w:rPr>
                <w:rFonts w:cs="Times New Roman"/>
                <w:sz w:val="24"/>
                <w:szCs w:val="24"/>
                <w:lang w:val="lv-LV" w:eastAsia="lv-LV"/>
              </w:rPr>
              <w:t xml:space="preserve">uzdevumi </w:t>
            </w:r>
            <w:r w:rsidR="00B35AAD" w:rsidRPr="00FC4BD3">
              <w:rPr>
                <w:rFonts w:cs="Times New Roman"/>
                <w:sz w:val="24"/>
                <w:szCs w:val="24"/>
                <w:lang w:val="lv-LV" w:eastAsia="lv-LV" w:bidi="ar-SA"/>
              </w:rPr>
              <w:t xml:space="preserve">tiks īstenoti </w:t>
            </w:r>
            <w:r w:rsidR="00B35AAD">
              <w:rPr>
                <w:rFonts w:cs="Times New Roman"/>
                <w:sz w:val="24"/>
                <w:szCs w:val="24"/>
                <w:lang w:val="lv-LV" w:eastAsia="lv-LV" w:bidi="ar-SA"/>
              </w:rPr>
              <w:t>Aizsardzības ministrijai piešķirto valsts</w:t>
            </w:r>
            <w:r w:rsidR="00B35AAD" w:rsidRPr="00FC4BD3">
              <w:rPr>
                <w:rFonts w:cs="Times New Roman"/>
                <w:sz w:val="24"/>
                <w:szCs w:val="24"/>
                <w:lang w:val="lv-LV" w:eastAsia="lv-LV" w:bidi="ar-SA"/>
              </w:rPr>
              <w:t xml:space="preserve"> budžeta</w:t>
            </w:r>
            <w:r w:rsidR="00B35AAD">
              <w:rPr>
                <w:rFonts w:cs="Times New Roman"/>
                <w:sz w:val="24"/>
                <w:szCs w:val="24"/>
                <w:lang w:val="lv-LV" w:eastAsia="lv-LV" w:bidi="ar-SA"/>
              </w:rPr>
              <w:t xml:space="preserve"> līdzekļu</w:t>
            </w:r>
            <w:r w:rsidR="00B35AAD" w:rsidRPr="00FC4BD3">
              <w:rPr>
                <w:rFonts w:cs="Times New Roman"/>
                <w:sz w:val="24"/>
                <w:szCs w:val="24"/>
                <w:lang w:val="lv-LV" w:eastAsia="lv-LV" w:bidi="ar-SA"/>
              </w:rPr>
              <w:t xml:space="preserve"> ietvaros </w:t>
            </w:r>
            <w:proofErr w:type="gramStart"/>
            <w:r w:rsidR="00B35AAD" w:rsidRPr="00FC4BD3">
              <w:rPr>
                <w:rFonts w:cs="Times New Roman"/>
                <w:sz w:val="24"/>
                <w:szCs w:val="24"/>
                <w:lang w:val="lv-LV" w:eastAsia="lv-LV" w:bidi="ar-SA"/>
              </w:rPr>
              <w:t>(</w:t>
            </w:r>
            <w:proofErr w:type="gramEnd"/>
            <w:r w:rsidR="00B35AAD" w:rsidRPr="00FC4BD3">
              <w:rPr>
                <w:sz w:val="24"/>
                <w:szCs w:val="24"/>
                <w:lang w:val="lv-LV"/>
              </w:rPr>
              <w:t xml:space="preserve">apakšprogrammu 22.10.00. </w:t>
            </w:r>
            <w:r w:rsidR="00B35AAD" w:rsidRPr="00B8547D">
              <w:rPr>
                <w:sz w:val="24"/>
                <w:szCs w:val="24"/>
                <w:lang w:val="lv-LV"/>
              </w:rPr>
              <w:t>„Starptautisko operāciju un Nacionālo bruņoto spēku personālsastāva centralizētais atalgojums” un 22.12.00. „Nacionālo bruņoto spēku uzturēšana” ietvaros)</w:t>
            </w:r>
            <w:r w:rsidR="00B35AAD" w:rsidRPr="00FC4BD3">
              <w:rPr>
                <w:rFonts w:cs="Times New Roman"/>
                <w:sz w:val="24"/>
                <w:szCs w:val="24"/>
                <w:lang w:val="lv-LV" w:eastAsia="lv-LV" w:bidi="ar-SA"/>
              </w:rPr>
              <w:t>.</w:t>
            </w:r>
          </w:p>
        </w:tc>
      </w:tr>
    </w:tbl>
    <w:p w14:paraId="59798909" w14:textId="77777777" w:rsidR="006A5921" w:rsidRDefault="006A5921" w:rsidP="006A5921">
      <w:pPr>
        <w:rPr>
          <w:rFonts w:cs="Times New Roman"/>
          <w:sz w:val="24"/>
          <w:szCs w:val="24"/>
          <w:lang w:val="lv-LV"/>
        </w:rPr>
      </w:pPr>
    </w:p>
    <w:tbl>
      <w:tblPr>
        <w:tblStyle w:val="TableGrid"/>
        <w:tblW w:w="9067" w:type="dxa"/>
        <w:tblLook w:val="04A0" w:firstRow="1" w:lastRow="0" w:firstColumn="1" w:lastColumn="0" w:noHBand="0" w:noVBand="1"/>
      </w:tblPr>
      <w:tblGrid>
        <w:gridCol w:w="9067"/>
      </w:tblGrid>
      <w:tr w:rsidR="00B35AAD" w:rsidRPr="00B8547D" w14:paraId="3BB66358" w14:textId="77777777" w:rsidTr="006D6A9F">
        <w:tc>
          <w:tcPr>
            <w:tcW w:w="9067" w:type="dxa"/>
            <w:vAlign w:val="center"/>
          </w:tcPr>
          <w:p w14:paraId="268AF3C4" w14:textId="77777777" w:rsidR="00B35AAD" w:rsidRPr="001E1B72" w:rsidRDefault="00B35AAD" w:rsidP="0083721D">
            <w:pPr>
              <w:spacing w:before="100" w:beforeAutospacing="1" w:after="100" w:afterAutospacing="1" w:line="315" w:lineRule="atLeast"/>
              <w:jc w:val="center"/>
              <w:rPr>
                <w:rFonts w:cs="Times New Roman"/>
                <w:b/>
                <w:bCs/>
                <w:sz w:val="24"/>
                <w:szCs w:val="24"/>
                <w:lang w:val="lv-LV" w:eastAsia="lv-LV" w:bidi="ar-SA"/>
              </w:rPr>
            </w:pPr>
            <w:r w:rsidRPr="001E1B72">
              <w:rPr>
                <w:rFonts w:cs="Times New Roman"/>
                <w:b/>
                <w:bCs/>
                <w:sz w:val="24"/>
                <w:szCs w:val="24"/>
                <w:lang w:val="lv-LV" w:eastAsia="lv-LV" w:bidi="ar-SA"/>
              </w:rPr>
              <w:t>IV. Tiesību akta projekta ietekme uz spēkā esošo tiesību normu sistēmu</w:t>
            </w:r>
          </w:p>
        </w:tc>
      </w:tr>
      <w:tr w:rsidR="009E3BDB" w:rsidRPr="002C4013" w14:paraId="3883C863" w14:textId="77777777" w:rsidTr="00D96A1D">
        <w:tc>
          <w:tcPr>
            <w:tcW w:w="9067" w:type="dxa"/>
          </w:tcPr>
          <w:p w14:paraId="5F0E0933" w14:textId="77777777" w:rsidR="009E3BDB" w:rsidRPr="001E1B72" w:rsidRDefault="009E3BDB" w:rsidP="009E3BDB">
            <w:pPr>
              <w:jc w:val="center"/>
              <w:rPr>
                <w:rFonts w:cs="Times New Roman"/>
                <w:sz w:val="24"/>
                <w:szCs w:val="24"/>
                <w:lang w:val="lv-LV" w:eastAsia="lv-LV"/>
              </w:rPr>
            </w:pPr>
            <w:r>
              <w:rPr>
                <w:rFonts w:cs="Times New Roman"/>
                <w:sz w:val="24"/>
                <w:szCs w:val="24"/>
                <w:lang w:val="lv-LV" w:eastAsia="lv-LV"/>
              </w:rPr>
              <w:t>Noteikumu projekts šo jomu neskar.</w:t>
            </w:r>
          </w:p>
        </w:tc>
      </w:tr>
    </w:tbl>
    <w:p w14:paraId="32AB5628" w14:textId="77777777" w:rsidR="006A5921" w:rsidRDefault="006A5921" w:rsidP="006A5921">
      <w:pPr>
        <w:rPr>
          <w:rFonts w:cs="Times New Roman"/>
          <w:sz w:val="24"/>
          <w:szCs w:val="24"/>
          <w:lang w:val="lv-LV"/>
        </w:rPr>
      </w:pPr>
    </w:p>
    <w:tbl>
      <w:tblPr>
        <w:tblStyle w:val="TableGrid"/>
        <w:tblW w:w="9067" w:type="dxa"/>
        <w:tblLook w:val="04A0" w:firstRow="1" w:lastRow="0" w:firstColumn="1" w:lastColumn="0" w:noHBand="0" w:noVBand="1"/>
      </w:tblPr>
      <w:tblGrid>
        <w:gridCol w:w="9067"/>
      </w:tblGrid>
      <w:tr w:rsidR="006A5921" w14:paraId="2CD47A06" w14:textId="77777777" w:rsidTr="002F754E">
        <w:tc>
          <w:tcPr>
            <w:tcW w:w="9067" w:type="dxa"/>
          </w:tcPr>
          <w:p w14:paraId="72150E5A" w14:textId="77777777" w:rsidR="006A5921" w:rsidRPr="001E1B72" w:rsidRDefault="006A5921" w:rsidP="0083721D">
            <w:pPr>
              <w:jc w:val="center"/>
              <w:rPr>
                <w:rFonts w:cs="Times New Roman"/>
                <w:sz w:val="24"/>
                <w:szCs w:val="24"/>
                <w:lang w:val="lv-LV"/>
              </w:rPr>
            </w:pPr>
            <w:r w:rsidRPr="001E1B72">
              <w:rPr>
                <w:rFonts w:cs="Times New Roman"/>
                <w:b/>
                <w:bCs/>
                <w:sz w:val="24"/>
                <w:szCs w:val="24"/>
                <w:lang w:val="lv-LV" w:eastAsia="lv-LV" w:bidi="ar-SA"/>
              </w:rPr>
              <w:t>V. Tiesību akta projekta atbilstība Latvijas Republikas starptautiskajām saistībām</w:t>
            </w:r>
          </w:p>
        </w:tc>
      </w:tr>
      <w:tr w:rsidR="006A5921" w14:paraId="0D7B3DA2" w14:textId="77777777" w:rsidTr="002F754E">
        <w:tc>
          <w:tcPr>
            <w:tcW w:w="9067" w:type="dxa"/>
          </w:tcPr>
          <w:p w14:paraId="6E59FE3C" w14:textId="77777777" w:rsidR="006A5921" w:rsidRPr="001E1B72" w:rsidRDefault="006A5921" w:rsidP="0083721D">
            <w:pPr>
              <w:jc w:val="center"/>
              <w:rPr>
                <w:rFonts w:cs="Times New Roman"/>
                <w:sz w:val="24"/>
                <w:szCs w:val="24"/>
                <w:lang w:val="lv-LV"/>
              </w:rPr>
            </w:pPr>
            <w:r>
              <w:rPr>
                <w:rFonts w:cs="Times New Roman"/>
                <w:sz w:val="24"/>
                <w:szCs w:val="24"/>
                <w:lang w:val="lv-LV" w:eastAsia="lv-LV" w:bidi="ar-SA"/>
              </w:rPr>
              <w:t>Noteikumu projekts</w:t>
            </w:r>
            <w:r w:rsidRPr="001E1B72">
              <w:rPr>
                <w:rFonts w:cs="Times New Roman"/>
                <w:sz w:val="24"/>
                <w:szCs w:val="24"/>
                <w:lang w:val="lv-LV" w:eastAsia="lv-LV" w:bidi="ar-SA"/>
              </w:rPr>
              <w:t xml:space="preserve"> šo jomu neskar.</w:t>
            </w:r>
          </w:p>
        </w:tc>
      </w:tr>
    </w:tbl>
    <w:p w14:paraId="4BF830D0" w14:textId="77777777" w:rsidR="002F754E" w:rsidRPr="00724569" w:rsidRDefault="002F754E"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38"/>
        <w:gridCol w:w="6136"/>
      </w:tblGrid>
      <w:tr w:rsidR="002B1957" w:rsidRPr="00B8547D" w14:paraId="36EBC226" w14:textId="77777777"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7587EA" w14:textId="77777777"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B8547D" w14:paraId="08FDD741" w14:textId="77777777" w:rsidTr="00B35AA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D83F0BE" w14:textId="77777777"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19B760B3" w14:textId="77777777"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B0564EE" w14:textId="6DA1297D" w:rsidR="002B1957" w:rsidRPr="0033630F" w:rsidRDefault="006A5921" w:rsidP="00B35AAD">
            <w:pPr>
              <w:jc w:val="both"/>
              <w:rPr>
                <w:rFonts w:cs="Times New Roman"/>
                <w:sz w:val="24"/>
                <w:szCs w:val="24"/>
                <w:lang w:val="lv-LV"/>
              </w:rPr>
            </w:pPr>
            <w:r w:rsidRPr="001E1B72">
              <w:rPr>
                <w:sz w:val="24"/>
                <w:szCs w:val="24"/>
                <w:lang w:val="lv-LV"/>
              </w:rPr>
              <w:t>Projekts publicēts sabiedrības līdzdalībai Aizsardzības ministrijas mājaslapas sadaļā „Sabiedrības līdzd</w:t>
            </w:r>
            <w:r w:rsidR="00B45EBB">
              <w:rPr>
                <w:sz w:val="24"/>
                <w:szCs w:val="24"/>
                <w:lang w:val="lv-LV"/>
              </w:rPr>
              <w:t xml:space="preserve">alība” (publicēts uz 2 nedēļām </w:t>
            </w:r>
            <w:r w:rsidRPr="001E1B72">
              <w:rPr>
                <w:sz w:val="24"/>
                <w:szCs w:val="24"/>
                <w:lang w:val="lv-LV"/>
              </w:rPr>
              <w:t>2017.</w:t>
            </w:r>
            <w:r w:rsidR="00B45EBB">
              <w:rPr>
                <w:sz w:val="24"/>
                <w:szCs w:val="24"/>
                <w:lang w:val="lv-LV"/>
              </w:rPr>
              <w:t> </w:t>
            </w:r>
            <w:r w:rsidRPr="001E1B72">
              <w:rPr>
                <w:sz w:val="24"/>
                <w:szCs w:val="24"/>
                <w:lang w:val="lv-LV"/>
              </w:rPr>
              <w:t>gada 1.</w:t>
            </w:r>
            <w:r w:rsidR="00B45EBB">
              <w:rPr>
                <w:sz w:val="24"/>
                <w:szCs w:val="24"/>
                <w:lang w:val="lv-LV"/>
              </w:rPr>
              <w:t> </w:t>
            </w:r>
            <w:r w:rsidRPr="001E1B72">
              <w:rPr>
                <w:sz w:val="24"/>
                <w:szCs w:val="24"/>
                <w:lang w:val="lv-LV"/>
              </w:rPr>
              <w:t>novembrī).</w:t>
            </w:r>
          </w:p>
        </w:tc>
      </w:tr>
      <w:tr w:rsidR="002B1957" w:rsidRPr="003752D7" w14:paraId="24ED1966" w14:textId="77777777" w:rsidTr="00B35AA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D379575" w14:textId="77777777"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86D6FDD" w14:textId="77777777"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9693A45" w14:textId="77777777" w:rsidR="002B1957" w:rsidRPr="00724569" w:rsidRDefault="006A5921" w:rsidP="00B35AAD">
            <w:pPr>
              <w:jc w:val="both"/>
              <w:rPr>
                <w:rFonts w:cs="Times New Roman"/>
                <w:sz w:val="24"/>
                <w:szCs w:val="24"/>
                <w:lang w:val="lv-LV"/>
              </w:rPr>
            </w:pPr>
            <w:r w:rsidRPr="001E1B72">
              <w:rPr>
                <w:sz w:val="24"/>
                <w:szCs w:val="24"/>
                <w:lang w:val="lv-LV"/>
              </w:rPr>
              <w:t>Sabiedrības pārstāvjiem likumprojekts bija pieejams Aizsardzības ministrijas mājaslapā</w:t>
            </w:r>
            <w:r w:rsidRPr="001E1B72">
              <w:rPr>
                <w:rFonts w:cs="Times New Roman"/>
                <w:sz w:val="24"/>
                <w:szCs w:val="24"/>
                <w:lang w:val="lv-LV"/>
              </w:rPr>
              <w:t>. Neviens sabiedrības pārstāvis neiesaistījās konsultāciju procesā par likumprojektu.</w:t>
            </w:r>
          </w:p>
        </w:tc>
      </w:tr>
      <w:tr w:rsidR="006A5921" w:rsidRPr="00B8547D" w14:paraId="74E133AD" w14:textId="77777777" w:rsidTr="00B35A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6F4179A" w14:textId="77777777" w:rsidR="006A5921" w:rsidRPr="00724569" w:rsidRDefault="006A5921" w:rsidP="006A5921">
            <w:pPr>
              <w:rPr>
                <w:rFonts w:cs="Times New Roman"/>
                <w:sz w:val="24"/>
                <w:szCs w:val="24"/>
                <w:lang w:val="lv-LV"/>
              </w:rPr>
            </w:pPr>
            <w:r w:rsidRPr="00724569">
              <w:rPr>
                <w:rFonts w:cs="Times New Roman"/>
                <w:sz w:val="24"/>
                <w:szCs w:val="24"/>
                <w:lang w:val="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D3A359A" w14:textId="77777777" w:rsidR="006A5921" w:rsidRPr="00724569" w:rsidRDefault="006A5921" w:rsidP="006A5921">
            <w:pPr>
              <w:rPr>
                <w:rFonts w:cs="Times New Roman"/>
                <w:sz w:val="24"/>
                <w:szCs w:val="24"/>
                <w:lang w:val="lv-LV"/>
              </w:rPr>
            </w:pPr>
            <w:r w:rsidRPr="00724569">
              <w:rPr>
                <w:rFonts w:cs="Times New Roman"/>
                <w:sz w:val="24"/>
                <w:szCs w:val="24"/>
                <w:lang w:val="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D2739CC" w14:textId="77777777" w:rsidR="006A5921" w:rsidRPr="001E1B72" w:rsidRDefault="006A5921" w:rsidP="006A5921">
            <w:pPr>
              <w:rPr>
                <w:rFonts w:cs="Times New Roman"/>
                <w:sz w:val="24"/>
                <w:szCs w:val="24"/>
                <w:lang w:val="lv-LV"/>
              </w:rPr>
            </w:pPr>
            <w:r w:rsidRPr="001E1B72">
              <w:rPr>
                <w:sz w:val="24"/>
                <w:szCs w:val="24"/>
                <w:lang w:val="lv-LV"/>
              </w:rPr>
              <w:t>Sabiedrības pārstāvji viedokli par likumprojektu nesniedza.</w:t>
            </w:r>
          </w:p>
        </w:tc>
      </w:tr>
      <w:tr w:rsidR="006A5921" w:rsidRPr="00B848E3" w14:paraId="79572C33" w14:textId="77777777" w:rsidTr="00B35A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E887B9D" w14:textId="77777777" w:rsidR="006A5921" w:rsidRPr="00724569" w:rsidRDefault="006A5921" w:rsidP="006A5921">
            <w:pPr>
              <w:rPr>
                <w:rFonts w:cs="Times New Roman"/>
                <w:sz w:val="24"/>
                <w:szCs w:val="24"/>
                <w:lang w:val="lv-LV"/>
              </w:rPr>
            </w:pPr>
            <w:r w:rsidRPr="00724569">
              <w:rPr>
                <w:rFonts w:cs="Times New Roman"/>
                <w:sz w:val="24"/>
                <w:szCs w:val="24"/>
                <w:lang w:val="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54FB3B55" w14:textId="77777777" w:rsidR="006A5921" w:rsidRPr="00724569" w:rsidRDefault="006A5921" w:rsidP="006A5921">
            <w:pPr>
              <w:rPr>
                <w:rFonts w:cs="Times New Roman"/>
                <w:sz w:val="24"/>
                <w:szCs w:val="24"/>
                <w:lang w:val="lv-LV"/>
              </w:rPr>
            </w:pPr>
            <w:r w:rsidRPr="00724569">
              <w:rPr>
                <w:rFonts w:cs="Times New Roman"/>
                <w:sz w:val="24"/>
                <w:szCs w:val="24"/>
                <w:lang w:val="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5200B1D" w14:textId="77777777" w:rsidR="006A5921" w:rsidRPr="00B848E3" w:rsidRDefault="006A5921" w:rsidP="006A5921">
            <w:pPr>
              <w:rPr>
                <w:rFonts w:cs="Times New Roman"/>
                <w:sz w:val="24"/>
                <w:szCs w:val="24"/>
                <w:lang w:val="lv-LV"/>
              </w:rPr>
            </w:pPr>
            <w:r w:rsidRPr="00724569">
              <w:rPr>
                <w:rFonts w:cs="Times New Roman"/>
                <w:sz w:val="24"/>
                <w:szCs w:val="24"/>
                <w:lang w:val="lv-LV"/>
              </w:rPr>
              <w:t>Nav</w:t>
            </w:r>
          </w:p>
        </w:tc>
      </w:tr>
    </w:tbl>
    <w:p w14:paraId="2047AA79" w14:textId="77777777" w:rsidR="00B35AAD" w:rsidRPr="00724569" w:rsidRDefault="00B35AAD"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B1957" w:rsidRPr="00B8547D" w14:paraId="2205745B" w14:textId="77777777"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63A6DD" w14:textId="77777777"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14:paraId="5380817E" w14:textId="77777777"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64D9B81" w14:textId="77777777"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A53728A" w14:textId="77777777"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E5DE755" w14:textId="77777777"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B8547D" w14:paraId="501EF2C0" w14:textId="77777777"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3F4A1E8" w14:textId="77777777"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AF400AB" w14:textId="77777777"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14:paraId="5DCA9396" w14:textId="77777777" w:rsidR="002B1957" w:rsidRPr="00724569" w:rsidRDefault="002B1957" w:rsidP="002B1957">
            <w:pPr>
              <w:rPr>
                <w:rFonts w:cs="Times New Roman"/>
                <w:sz w:val="24"/>
                <w:szCs w:val="24"/>
                <w:lang w:val="lv-LV"/>
              </w:rPr>
            </w:pPr>
            <w:r w:rsidRPr="00724569">
              <w:rPr>
                <w:rFonts w:cs="Times New Roman"/>
                <w:sz w:val="24"/>
                <w:szCs w:val="24"/>
                <w:lang w:val="lv-LV"/>
              </w:rPr>
              <w:t xml:space="preserve">Jaunu institūciju izveide, esošu </w:t>
            </w:r>
            <w:r w:rsidRPr="00724569">
              <w:rPr>
                <w:rFonts w:cs="Times New Roman"/>
                <w:sz w:val="24"/>
                <w:szCs w:val="24"/>
                <w:lang w:val="lv-LV"/>
              </w:rPr>
              <w:lastRenderedPageBreak/>
              <w:t>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F8CB7CF" w14:textId="214F14A9" w:rsidR="00A57432" w:rsidRPr="00A57432" w:rsidRDefault="00B45EBB" w:rsidP="00A57432">
            <w:pPr>
              <w:jc w:val="both"/>
              <w:rPr>
                <w:iCs/>
                <w:sz w:val="24"/>
                <w:szCs w:val="24"/>
                <w:lang w:val="lv-LV"/>
              </w:rPr>
            </w:pPr>
            <w:r>
              <w:rPr>
                <w:iCs/>
                <w:sz w:val="24"/>
                <w:szCs w:val="24"/>
                <w:lang w:val="lv-LV"/>
              </w:rPr>
              <w:lastRenderedPageBreak/>
              <w:t xml:space="preserve">Pilnveidojot </w:t>
            </w:r>
            <w:r w:rsidR="00A57432" w:rsidRPr="00A57432">
              <w:rPr>
                <w:sz w:val="24"/>
                <w:szCs w:val="24"/>
                <w:lang w:val="lv-LV"/>
              </w:rPr>
              <w:t>normatīv</w:t>
            </w:r>
            <w:r>
              <w:rPr>
                <w:sz w:val="24"/>
                <w:szCs w:val="24"/>
                <w:lang w:val="lv-LV"/>
              </w:rPr>
              <w:t>o</w:t>
            </w:r>
            <w:r w:rsidR="00A57432" w:rsidRPr="00A57432">
              <w:rPr>
                <w:sz w:val="24"/>
                <w:szCs w:val="24"/>
                <w:lang w:val="lv-LV"/>
              </w:rPr>
              <w:t xml:space="preserve"> regulējum</w:t>
            </w:r>
            <w:r>
              <w:rPr>
                <w:iCs/>
                <w:sz w:val="24"/>
                <w:szCs w:val="24"/>
                <w:lang w:val="lv-LV"/>
              </w:rPr>
              <w:t xml:space="preserve">u, </w:t>
            </w:r>
            <w:r w:rsidR="00A57432" w:rsidRPr="00A57432">
              <w:rPr>
                <w:iCs/>
                <w:sz w:val="24"/>
                <w:szCs w:val="24"/>
                <w:lang w:val="lv-LV"/>
              </w:rPr>
              <w:t xml:space="preserve">tiks panākta </w:t>
            </w:r>
            <w:r w:rsidR="00BE5770" w:rsidRPr="00724569">
              <w:rPr>
                <w:rFonts w:cs="Times New Roman"/>
                <w:sz w:val="24"/>
                <w:szCs w:val="24"/>
                <w:lang w:val="lv-LV"/>
              </w:rPr>
              <w:t>Nacionāl</w:t>
            </w:r>
            <w:r w:rsidR="00BE5770">
              <w:rPr>
                <w:rFonts w:cs="Times New Roman"/>
                <w:sz w:val="24"/>
                <w:szCs w:val="24"/>
                <w:lang w:val="lv-LV"/>
              </w:rPr>
              <w:t>o</w:t>
            </w:r>
            <w:r w:rsidR="00BE5770" w:rsidRPr="00724569">
              <w:rPr>
                <w:rFonts w:cs="Times New Roman"/>
                <w:sz w:val="24"/>
                <w:szCs w:val="24"/>
                <w:lang w:val="lv-LV"/>
              </w:rPr>
              <w:t xml:space="preserve"> bruņot</w:t>
            </w:r>
            <w:r w:rsidR="00BE5770">
              <w:rPr>
                <w:rFonts w:cs="Times New Roman"/>
                <w:sz w:val="24"/>
                <w:szCs w:val="24"/>
                <w:lang w:val="lv-LV"/>
              </w:rPr>
              <w:t>o</w:t>
            </w:r>
            <w:r w:rsidR="00BE5770" w:rsidRPr="00724569">
              <w:rPr>
                <w:rFonts w:cs="Times New Roman"/>
                <w:sz w:val="24"/>
                <w:szCs w:val="24"/>
                <w:lang w:val="lv-LV"/>
              </w:rPr>
              <w:t xml:space="preserve"> spēk</w:t>
            </w:r>
            <w:r w:rsidR="00BE5770">
              <w:rPr>
                <w:rFonts w:cs="Times New Roman"/>
                <w:sz w:val="24"/>
                <w:szCs w:val="24"/>
                <w:lang w:val="lv-LV"/>
              </w:rPr>
              <w:t>u</w:t>
            </w:r>
            <w:r w:rsidR="00BE5770" w:rsidRPr="00724569">
              <w:rPr>
                <w:rFonts w:cs="Times New Roman"/>
                <w:sz w:val="24"/>
                <w:szCs w:val="24"/>
                <w:lang w:val="lv-LV"/>
              </w:rPr>
              <w:t xml:space="preserve"> </w:t>
            </w:r>
            <w:r w:rsidR="00A57432" w:rsidRPr="00A57432">
              <w:rPr>
                <w:iCs/>
                <w:sz w:val="24"/>
                <w:szCs w:val="24"/>
                <w:lang w:val="lv-LV"/>
              </w:rPr>
              <w:t xml:space="preserve">spēju </w:t>
            </w:r>
            <w:proofErr w:type="spellStart"/>
            <w:r w:rsidR="00A57432" w:rsidRPr="00A57432">
              <w:rPr>
                <w:iCs/>
                <w:sz w:val="24"/>
                <w:szCs w:val="24"/>
                <w:lang w:val="lv-LV"/>
              </w:rPr>
              <w:t>efektivizēšana</w:t>
            </w:r>
            <w:proofErr w:type="spellEnd"/>
            <w:r w:rsidR="00BE5770">
              <w:rPr>
                <w:iCs/>
                <w:sz w:val="24"/>
                <w:szCs w:val="24"/>
                <w:lang w:val="lv-LV"/>
              </w:rPr>
              <w:t>, lai tie varētu</w:t>
            </w:r>
            <w:r w:rsidR="00A57432" w:rsidRPr="00A57432">
              <w:rPr>
                <w:iCs/>
                <w:sz w:val="24"/>
                <w:szCs w:val="24"/>
                <w:lang w:val="lv-LV"/>
              </w:rPr>
              <w:t xml:space="preserve"> veikt likumā note</w:t>
            </w:r>
            <w:r w:rsidR="00BE5770">
              <w:rPr>
                <w:iCs/>
                <w:sz w:val="24"/>
                <w:szCs w:val="24"/>
                <w:lang w:val="lv-LV"/>
              </w:rPr>
              <w:t>i</w:t>
            </w:r>
            <w:r w:rsidR="00A57432" w:rsidRPr="00A57432">
              <w:rPr>
                <w:iCs/>
                <w:sz w:val="24"/>
                <w:szCs w:val="24"/>
                <w:lang w:val="lv-LV"/>
              </w:rPr>
              <w:t>ktos uzdevumus</w:t>
            </w:r>
            <w:r w:rsidR="00BE5770">
              <w:rPr>
                <w:iCs/>
                <w:sz w:val="24"/>
                <w:szCs w:val="24"/>
                <w:lang w:val="lv-LV"/>
              </w:rPr>
              <w:t>,</w:t>
            </w:r>
            <w:r w:rsidR="00A57432" w:rsidRPr="00A57432">
              <w:rPr>
                <w:iCs/>
                <w:sz w:val="24"/>
                <w:szCs w:val="24"/>
                <w:lang w:val="lv-LV"/>
              </w:rPr>
              <w:t xml:space="preserve"> un paaugstināta valsts un sabiedrības drošība.</w:t>
            </w:r>
          </w:p>
          <w:p w14:paraId="147463A2" w14:textId="77777777" w:rsidR="002B1957" w:rsidRPr="00724569" w:rsidRDefault="002B1957" w:rsidP="002B1957">
            <w:pPr>
              <w:rPr>
                <w:rFonts w:cs="Times New Roman"/>
                <w:sz w:val="24"/>
                <w:szCs w:val="24"/>
                <w:lang w:val="lv-LV"/>
              </w:rPr>
            </w:pPr>
          </w:p>
        </w:tc>
      </w:tr>
      <w:tr w:rsidR="002B1957" w:rsidRPr="00724569" w14:paraId="2F201C5D" w14:textId="77777777"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E5392BB" w14:textId="77777777" w:rsidR="002B1957" w:rsidRPr="00724569" w:rsidRDefault="002B1957" w:rsidP="002B1957">
            <w:pPr>
              <w:rPr>
                <w:rFonts w:cs="Times New Roman"/>
                <w:sz w:val="24"/>
                <w:szCs w:val="24"/>
                <w:lang w:val="lv-LV"/>
              </w:rPr>
            </w:pPr>
            <w:r w:rsidRPr="00724569">
              <w:rPr>
                <w:rFonts w:cs="Times New Roman"/>
                <w:sz w:val="24"/>
                <w:szCs w:val="24"/>
                <w:lang w:val="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730E7BF" w14:textId="77777777"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A378618" w14:textId="77777777"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14:paraId="7DECE6DC" w14:textId="77777777" w:rsidR="00F44C6A" w:rsidRPr="00724569" w:rsidRDefault="00F44C6A">
      <w:pPr>
        <w:rPr>
          <w:rFonts w:cs="Times New Roman"/>
          <w:sz w:val="24"/>
          <w:szCs w:val="24"/>
          <w:lang w:val="lv-LV"/>
        </w:rPr>
      </w:pPr>
    </w:p>
    <w:p w14:paraId="04618647" w14:textId="77777777" w:rsidR="00C953C1" w:rsidRPr="00724569" w:rsidRDefault="00C953C1" w:rsidP="00C953C1">
      <w:pPr>
        <w:rPr>
          <w:sz w:val="24"/>
          <w:szCs w:val="24"/>
          <w:lang w:val="lv-LV"/>
        </w:rPr>
      </w:pPr>
    </w:p>
    <w:p w14:paraId="2C690B1D" w14:textId="77777777" w:rsidR="00085F67" w:rsidRDefault="00085F67">
      <w:pPr>
        <w:rPr>
          <w:sz w:val="24"/>
          <w:szCs w:val="24"/>
          <w:lang w:val="lv-LV"/>
        </w:rPr>
      </w:pPr>
    </w:p>
    <w:p w14:paraId="1E1CE486" w14:textId="77777777" w:rsidR="00085F67" w:rsidRPr="00724569" w:rsidRDefault="00085F67">
      <w:pPr>
        <w:rPr>
          <w:sz w:val="24"/>
          <w:szCs w:val="24"/>
          <w:lang w:val="lv-LV"/>
        </w:rPr>
      </w:pPr>
    </w:p>
    <w:p w14:paraId="5577ADC3" w14:textId="77777777"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proofErr w:type="gramEnd"/>
      <w:r w:rsidR="00E16EC8">
        <w:rPr>
          <w:sz w:val="24"/>
          <w:szCs w:val="24"/>
          <w:lang w:val="lv-LV"/>
        </w:rPr>
        <w:t>R</w:t>
      </w:r>
      <w:r w:rsidR="002F754E">
        <w:rPr>
          <w:sz w:val="24"/>
          <w:szCs w:val="24"/>
          <w:lang w:val="lv-LV"/>
        </w:rPr>
        <w:t>aimonds</w:t>
      </w:r>
      <w:r w:rsidR="00BE5770">
        <w:rPr>
          <w:sz w:val="24"/>
          <w:szCs w:val="24"/>
          <w:lang w:val="lv-LV"/>
        </w:rPr>
        <w:t> </w:t>
      </w:r>
      <w:r w:rsidR="00D91784">
        <w:rPr>
          <w:sz w:val="24"/>
          <w:szCs w:val="24"/>
          <w:lang w:val="lv-LV"/>
        </w:rPr>
        <w:t>Bergmanis</w:t>
      </w:r>
    </w:p>
    <w:p w14:paraId="6B51FDCF" w14:textId="77777777" w:rsidR="00C953C1" w:rsidRDefault="00C953C1" w:rsidP="00C953C1">
      <w:pPr>
        <w:rPr>
          <w:sz w:val="24"/>
          <w:szCs w:val="24"/>
          <w:lang w:val="lv-LV"/>
        </w:rPr>
      </w:pPr>
    </w:p>
    <w:p w14:paraId="4382E496" w14:textId="77777777" w:rsidR="00A34EA9" w:rsidRPr="00724569" w:rsidRDefault="00A34EA9" w:rsidP="00C953C1">
      <w:pPr>
        <w:rPr>
          <w:sz w:val="24"/>
          <w:szCs w:val="24"/>
          <w:lang w:val="lv-LV"/>
        </w:rPr>
      </w:pPr>
    </w:p>
    <w:p w14:paraId="0F882809" w14:textId="77777777" w:rsidR="00A34EA9" w:rsidRDefault="00A34EA9" w:rsidP="00C953C1">
      <w:pPr>
        <w:rPr>
          <w:sz w:val="24"/>
          <w:szCs w:val="24"/>
          <w:lang w:val="lv-LV"/>
        </w:rPr>
      </w:pPr>
    </w:p>
    <w:p w14:paraId="75749711" w14:textId="77777777" w:rsidR="00085F67" w:rsidRDefault="00085F67" w:rsidP="00C953C1">
      <w:pPr>
        <w:rPr>
          <w:sz w:val="24"/>
          <w:szCs w:val="24"/>
          <w:lang w:val="lv-LV"/>
        </w:rPr>
      </w:pPr>
    </w:p>
    <w:p w14:paraId="14D4510D" w14:textId="77777777" w:rsidR="00085F67" w:rsidRDefault="00085F67" w:rsidP="00C953C1">
      <w:pPr>
        <w:rPr>
          <w:sz w:val="24"/>
          <w:szCs w:val="24"/>
          <w:lang w:val="lv-LV"/>
        </w:rPr>
      </w:pPr>
    </w:p>
    <w:p w14:paraId="30362C87" w14:textId="77777777" w:rsidR="00085F67" w:rsidRPr="00724569" w:rsidRDefault="00085F67" w:rsidP="00C953C1">
      <w:pPr>
        <w:rPr>
          <w:sz w:val="24"/>
          <w:szCs w:val="24"/>
          <w:lang w:val="lv-LV"/>
        </w:rPr>
      </w:pPr>
    </w:p>
    <w:p w14:paraId="2956F17D" w14:textId="46CCD7ED" w:rsidR="00C953C1" w:rsidRDefault="00B45EBB">
      <w:pPr>
        <w:rPr>
          <w:sz w:val="16"/>
          <w:szCs w:val="16"/>
          <w:lang w:val="lv-LV"/>
        </w:rPr>
      </w:pPr>
      <w:r>
        <w:rPr>
          <w:sz w:val="16"/>
          <w:szCs w:val="16"/>
          <w:lang w:val="lv-LV"/>
        </w:rPr>
        <w:t>H. </w:t>
      </w:r>
      <w:proofErr w:type="spellStart"/>
      <w:r w:rsidR="002F754E">
        <w:rPr>
          <w:sz w:val="16"/>
          <w:szCs w:val="16"/>
          <w:lang w:val="lv-LV"/>
        </w:rPr>
        <w:t>Rozēns</w:t>
      </w:r>
      <w:proofErr w:type="spellEnd"/>
      <w:r w:rsidR="002F754E">
        <w:rPr>
          <w:sz w:val="16"/>
          <w:szCs w:val="16"/>
          <w:lang w:val="lv-LV"/>
        </w:rPr>
        <w:t>, 67335072</w:t>
      </w:r>
    </w:p>
    <w:p w14:paraId="077B15F7" w14:textId="77777777" w:rsidR="002F754E" w:rsidRPr="002F754E" w:rsidRDefault="002F754E">
      <w:pPr>
        <w:rPr>
          <w:sz w:val="16"/>
          <w:szCs w:val="16"/>
          <w:lang w:val="lv-LV"/>
        </w:rPr>
      </w:pPr>
      <w:r>
        <w:rPr>
          <w:sz w:val="16"/>
          <w:szCs w:val="16"/>
          <w:lang w:val="lv-LV"/>
        </w:rPr>
        <w:t>Heinrihs.Rozens@mod.gov.lv</w:t>
      </w:r>
    </w:p>
    <w:sectPr w:rsidR="002F754E" w:rsidRPr="002F754E" w:rsidSect="002F754E">
      <w:headerReference w:type="default" r:id="rId9"/>
      <w:footerReference w:type="default" r:id="rId10"/>
      <w:pgSz w:w="11906" w:h="16838"/>
      <w:pgMar w:top="1418" w:right="1134" w:bottom="1134" w:left="1701" w:header="720" w:footer="4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A395" w14:textId="77777777" w:rsidR="005471CE" w:rsidRDefault="005471CE" w:rsidP="00CD659D">
      <w:r>
        <w:separator/>
      </w:r>
    </w:p>
  </w:endnote>
  <w:endnote w:type="continuationSeparator" w:id="0">
    <w:p w14:paraId="4D79985B" w14:textId="77777777" w:rsidR="005471CE" w:rsidRDefault="005471CE"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37B3" w14:textId="77777777" w:rsidR="00724569" w:rsidRDefault="00724569">
    <w:pPr>
      <w:pStyle w:val="Footer"/>
      <w:jc w:val="right"/>
    </w:pPr>
  </w:p>
  <w:p w14:paraId="2467A027" w14:textId="77777777" w:rsidR="00CD659D" w:rsidRPr="00755AFD" w:rsidRDefault="006A5921" w:rsidP="00755AFD">
    <w:pPr>
      <w:pStyle w:val="Footer"/>
      <w:jc w:val="both"/>
      <w:rPr>
        <w:sz w:val="16"/>
        <w:szCs w:val="16"/>
        <w:lang w:val="lv-LV"/>
      </w:rPr>
    </w:pPr>
    <w:r>
      <w:rPr>
        <w:sz w:val="16"/>
        <w:szCs w:val="16"/>
        <w:lang w:val="lv-LV"/>
      </w:rPr>
      <w:t>Ai</w:t>
    </w:r>
    <w:r w:rsidR="00755AFD" w:rsidRPr="00755AFD">
      <w:rPr>
        <w:sz w:val="16"/>
        <w:szCs w:val="16"/>
        <w:lang w:val="lv-LV"/>
      </w:rPr>
      <w:t>Manot_</w:t>
    </w:r>
    <w:r w:rsidR="002F754E">
      <w:rPr>
        <w:sz w:val="16"/>
        <w:szCs w:val="16"/>
        <w:lang w:val="lv-LV"/>
      </w:rPr>
      <w:t>201217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3FF6A" w14:textId="77777777" w:rsidR="005471CE" w:rsidRDefault="005471CE" w:rsidP="00CD659D">
      <w:r>
        <w:separator/>
      </w:r>
    </w:p>
  </w:footnote>
  <w:footnote w:type="continuationSeparator" w:id="0">
    <w:p w14:paraId="7B2A51CC" w14:textId="77777777" w:rsidR="005471CE" w:rsidRDefault="005471CE" w:rsidP="00CD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6759"/>
      <w:docPartObj>
        <w:docPartGallery w:val="Page Numbers (Top of Page)"/>
        <w:docPartUnique/>
      </w:docPartObj>
    </w:sdtPr>
    <w:sdtEndPr>
      <w:rPr>
        <w:noProof/>
        <w:sz w:val="24"/>
        <w:szCs w:val="24"/>
      </w:rPr>
    </w:sdtEndPr>
    <w:sdtContent>
      <w:p w14:paraId="28C2EF31" w14:textId="176DB437" w:rsidR="002F754E" w:rsidRPr="002F754E" w:rsidRDefault="002F754E">
        <w:pPr>
          <w:pStyle w:val="Header"/>
          <w:jc w:val="center"/>
          <w:rPr>
            <w:sz w:val="24"/>
            <w:szCs w:val="24"/>
          </w:rPr>
        </w:pPr>
        <w:r w:rsidRPr="002F754E">
          <w:rPr>
            <w:sz w:val="24"/>
            <w:szCs w:val="24"/>
          </w:rPr>
          <w:fldChar w:fldCharType="begin"/>
        </w:r>
        <w:r w:rsidRPr="002F754E">
          <w:rPr>
            <w:sz w:val="24"/>
            <w:szCs w:val="24"/>
          </w:rPr>
          <w:instrText xml:space="preserve"> PAGE   \* MERGEFORMAT </w:instrText>
        </w:r>
        <w:r w:rsidRPr="002F754E">
          <w:rPr>
            <w:sz w:val="24"/>
            <w:szCs w:val="24"/>
          </w:rPr>
          <w:fldChar w:fldCharType="separate"/>
        </w:r>
        <w:r w:rsidR="00B8547D">
          <w:rPr>
            <w:noProof/>
            <w:sz w:val="24"/>
            <w:szCs w:val="24"/>
          </w:rPr>
          <w:t>1</w:t>
        </w:r>
        <w:r w:rsidRPr="002F754E">
          <w:rPr>
            <w:noProof/>
            <w:sz w:val="24"/>
            <w:szCs w:val="24"/>
          </w:rPr>
          <w:fldChar w:fldCharType="end"/>
        </w:r>
      </w:p>
    </w:sdtContent>
  </w:sdt>
  <w:p w14:paraId="595EFDBF" w14:textId="77777777" w:rsidR="002F754E" w:rsidRDefault="002F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36728E"/>
    <w:multiLevelType w:val="multilevel"/>
    <w:tmpl w:val="AE22DA5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6B66566"/>
    <w:multiLevelType w:val="hybridMultilevel"/>
    <w:tmpl w:val="49C6C9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9141FA"/>
    <w:multiLevelType w:val="hybridMultilevel"/>
    <w:tmpl w:val="BFF24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115D0"/>
    <w:rsid w:val="00023930"/>
    <w:rsid w:val="00025139"/>
    <w:rsid w:val="000601F5"/>
    <w:rsid w:val="00080A77"/>
    <w:rsid w:val="0008188D"/>
    <w:rsid w:val="00085F67"/>
    <w:rsid w:val="00086B5A"/>
    <w:rsid w:val="00087FD1"/>
    <w:rsid w:val="000B53DE"/>
    <w:rsid w:val="000D21A9"/>
    <w:rsid w:val="000F4695"/>
    <w:rsid w:val="00134EDE"/>
    <w:rsid w:val="00135087"/>
    <w:rsid w:val="00162B4C"/>
    <w:rsid w:val="0017778A"/>
    <w:rsid w:val="00186F91"/>
    <w:rsid w:val="001B1FF9"/>
    <w:rsid w:val="001B4507"/>
    <w:rsid w:val="001C25DB"/>
    <w:rsid w:val="001C356E"/>
    <w:rsid w:val="001C429C"/>
    <w:rsid w:val="001D15E1"/>
    <w:rsid w:val="001D4AFB"/>
    <w:rsid w:val="001E318B"/>
    <w:rsid w:val="00205B58"/>
    <w:rsid w:val="002305DE"/>
    <w:rsid w:val="00256215"/>
    <w:rsid w:val="0026236D"/>
    <w:rsid w:val="0026459F"/>
    <w:rsid w:val="00265838"/>
    <w:rsid w:val="00277337"/>
    <w:rsid w:val="002774BA"/>
    <w:rsid w:val="0028439D"/>
    <w:rsid w:val="00286A42"/>
    <w:rsid w:val="002B1957"/>
    <w:rsid w:val="002C4013"/>
    <w:rsid w:val="002E6932"/>
    <w:rsid w:val="002F754E"/>
    <w:rsid w:val="003023BE"/>
    <w:rsid w:val="00304507"/>
    <w:rsid w:val="00326B32"/>
    <w:rsid w:val="0033630F"/>
    <w:rsid w:val="00355C1A"/>
    <w:rsid w:val="00364011"/>
    <w:rsid w:val="003733AC"/>
    <w:rsid w:val="003752D7"/>
    <w:rsid w:val="00375EFA"/>
    <w:rsid w:val="003A6CE4"/>
    <w:rsid w:val="003B43E7"/>
    <w:rsid w:val="003D50AA"/>
    <w:rsid w:val="00403056"/>
    <w:rsid w:val="00425A5F"/>
    <w:rsid w:val="00433FBF"/>
    <w:rsid w:val="004361E3"/>
    <w:rsid w:val="00450016"/>
    <w:rsid w:val="0047318A"/>
    <w:rsid w:val="004733D7"/>
    <w:rsid w:val="00484343"/>
    <w:rsid w:val="0048742F"/>
    <w:rsid w:val="004909ED"/>
    <w:rsid w:val="004E55EE"/>
    <w:rsid w:val="00523DCC"/>
    <w:rsid w:val="00535741"/>
    <w:rsid w:val="00537744"/>
    <w:rsid w:val="005471CE"/>
    <w:rsid w:val="00577010"/>
    <w:rsid w:val="005B2FCF"/>
    <w:rsid w:val="005C16C0"/>
    <w:rsid w:val="005D32BC"/>
    <w:rsid w:val="005D6439"/>
    <w:rsid w:val="005F5345"/>
    <w:rsid w:val="00604118"/>
    <w:rsid w:val="006076C8"/>
    <w:rsid w:val="0065418F"/>
    <w:rsid w:val="00657D0C"/>
    <w:rsid w:val="00660BA0"/>
    <w:rsid w:val="0066377D"/>
    <w:rsid w:val="00664815"/>
    <w:rsid w:val="00674EE0"/>
    <w:rsid w:val="00681361"/>
    <w:rsid w:val="00695832"/>
    <w:rsid w:val="006A5921"/>
    <w:rsid w:val="00712FA1"/>
    <w:rsid w:val="0071312F"/>
    <w:rsid w:val="007148B8"/>
    <w:rsid w:val="00724569"/>
    <w:rsid w:val="00724AB3"/>
    <w:rsid w:val="00740604"/>
    <w:rsid w:val="00747A16"/>
    <w:rsid w:val="00755AFD"/>
    <w:rsid w:val="007635F3"/>
    <w:rsid w:val="007701CE"/>
    <w:rsid w:val="00772C35"/>
    <w:rsid w:val="00786AA1"/>
    <w:rsid w:val="007B342A"/>
    <w:rsid w:val="007D68F1"/>
    <w:rsid w:val="007E2C1E"/>
    <w:rsid w:val="007F026B"/>
    <w:rsid w:val="007F0F27"/>
    <w:rsid w:val="007F6063"/>
    <w:rsid w:val="00826BD9"/>
    <w:rsid w:val="00873F1F"/>
    <w:rsid w:val="008804EF"/>
    <w:rsid w:val="00887A35"/>
    <w:rsid w:val="008B0AA1"/>
    <w:rsid w:val="008E3D87"/>
    <w:rsid w:val="008F131F"/>
    <w:rsid w:val="009154B2"/>
    <w:rsid w:val="00955EA9"/>
    <w:rsid w:val="00961DC0"/>
    <w:rsid w:val="00961EAA"/>
    <w:rsid w:val="009A48D6"/>
    <w:rsid w:val="009B0EE6"/>
    <w:rsid w:val="009C1B91"/>
    <w:rsid w:val="009C4501"/>
    <w:rsid w:val="009D4F29"/>
    <w:rsid w:val="009E3BDB"/>
    <w:rsid w:val="009E7443"/>
    <w:rsid w:val="00A26C02"/>
    <w:rsid w:val="00A34EA9"/>
    <w:rsid w:val="00A57432"/>
    <w:rsid w:val="00A57456"/>
    <w:rsid w:val="00A668DF"/>
    <w:rsid w:val="00AA77FB"/>
    <w:rsid w:val="00AD753D"/>
    <w:rsid w:val="00AF3AC3"/>
    <w:rsid w:val="00B016A2"/>
    <w:rsid w:val="00B32F2F"/>
    <w:rsid w:val="00B35AAD"/>
    <w:rsid w:val="00B45EBB"/>
    <w:rsid w:val="00B51DCA"/>
    <w:rsid w:val="00B61580"/>
    <w:rsid w:val="00B83310"/>
    <w:rsid w:val="00B848E3"/>
    <w:rsid w:val="00B8547D"/>
    <w:rsid w:val="00BA18EC"/>
    <w:rsid w:val="00BA2189"/>
    <w:rsid w:val="00BB1341"/>
    <w:rsid w:val="00BD0EDE"/>
    <w:rsid w:val="00BE3BA4"/>
    <w:rsid w:val="00BE5770"/>
    <w:rsid w:val="00BE7C40"/>
    <w:rsid w:val="00C02489"/>
    <w:rsid w:val="00C03888"/>
    <w:rsid w:val="00C33573"/>
    <w:rsid w:val="00C54E02"/>
    <w:rsid w:val="00C64EF7"/>
    <w:rsid w:val="00C729FB"/>
    <w:rsid w:val="00C73AFD"/>
    <w:rsid w:val="00C94348"/>
    <w:rsid w:val="00C95399"/>
    <w:rsid w:val="00C953C1"/>
    <w:rsid w:val="00CA134F"/>
    <w:rsid w:val="00CA1F0A"/>
    <w:rsid w:val="00CA233F"/>
    <w:rsid w:val="00CA4A29"/>
    <w:rsid w:val="00CA4BAB"/>
    <w:rsid w:val="00CD2766"/>
    <w:rsid w:val="00CD659D"/>
    <w:rsid w:val="00CF36CA"/>
    <w:rsid w:val="00D002F7"/>
    <w:rsid w:val="00D40110"/>
    <w:rsid w:val="00D45B8C"/>
    <w:rsid w:val="00D552A7"/>
    <w:rsid w:val="00D56989"/>
    <w:rsid w:val="00D71B5C"/>
    <w:rsid w:val="00D902F8"/>
    <w:rsid w:val="00D91784"/>
    <w:rsid w:val="00DA0A4E"/>
    <w:rsid w:val="00DB41F0"/>
    <w:rsid w:val="00DB4913"/>
    <w:rsid w:val="00DC5B35"/>
    <w:rsid w:val="00DD210E"/>
    <w:rsid w:val="00DE7FF7"/>
    <w:rsid w:val="00E10F80"/>
    <w:rsid w:val="00E16EC8"/>
    <w:rsid w:val="00E32FE8"/>
    <w:rsid w:val="00E51888"/>
    <w:rsid w:val="00E64C4F"/>
    <w:rsid w:val="00E7302D"/>
    <w:rsid w:val="00EA5B87"/>
    <w:rsid w:val="00EC422E"/>
    <w:rsid w:val="00EF3BF9"/>
    <w:rsid w:val="00EF62FF"/>
    <w:rsid w:val="00EF75D9"/>
    <w:rsid w:val="00F22346"/>
    <w:rsid w:val="00F23CB3"/>
    <w:rsid w:val="00F31937"/>
    <w:rsid w:val="00F412B5"/>
    <w:rsid w:val="00F44C6A"/>
    <w:rsid w:val="00F662B3"/>
    <w:rsid w:val="00F71765"/>
    <w:rsid w:val="00F76CA1"/>
    <w:rsid w:val="00F77A52"/>
    <w:rsid w:val="00F87BF9"/>
    <w:rsid w:val="00F932C9"/>
    <w:rsid w:val="00F949F0"/>
    <w:rsid w:val="00FC4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8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 w:type="paragraph" w:customStyle="1" w:styleId="CharCharCharCharCharCharCharCharChar">
    <w:name w:val="Char Char Char Char Char Char Char Char Char"/>
    <w:basedOn w:val="Normal"/>
    <w:rsid w:val="007F6063"/>
    <w:pPr>
      <w:spacing w:before="40"/>
    </w:pPr>
    <w:rPr>
      <w:rFonts w:cs="Times New Roman"/>
      <w:sz w:val="24"/>
      <w:szCs w:val="24"/>
      <w:lang w:val="pl-PL" w:eastAsia="pl-PL" w:bidi="ar-SA"/>
    </w:rPr>
  </w:style>
  <w:style w:type="table" w:styleId="TableGrid">
    <w:name w:val="Table Grid"/>
    <w:basedOn w:val="TableNormal"/>
    <w:rsid w:val="006A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 w:type="paragraph" w:customStyle="1" w:styleId="CharCharCharCharCharCharCharCharChar">
    <w:name w:val="Char Char Char Char Char Char Char Char Char"/>
    <w:basedOn w:val="Normal"/>
    <w:rsid w:val="007F6063"/>
    <w:pPr>
      <w:spacing w:before="40"/>
    </w:pPr>
    <w:rPr>
      <w:rFonts w:cs="Times New Roman"/>
      <w:sz w:val="24"/>
      <w:szCs w:val="24"/>
      <w:lang w:val="pl-PL" w:eastAsia="pl-PL" w:bidi="ar-SA"/>
    </w:rPr>
  </w:style>
  <w:style w:type="table" w:styleId="TableGrid">
    <w:name w:val="Table Grid"/>
    <w:basedOn w:val="TableNormal"/>
    <w:rsid w:val="006A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646">
      <w:bodyDiv w:val="1"/>
      <w:marLeft w:val="0"/>
      <w:marRight w:val="0"/>
      <w:marTop w:val="0"/>
      <w:marBottom w:val="0"/>
      <w:divBdr>
        <w:top w:val="none" w:sz="0" w:space="0" w:color="auto"/>
        <w:left w:val="none" w:sz="0" w:space="0" w:color="auto"/>
        <w:bottom w:val="none" w:sz="0" w:space="0" w:color="auto"/>
        <w:right w:val="none" w:sz="0" w:space="0" w:color="auto"/>
      </w:divBdr>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A11D-EFE4-457D-A934-9218F88C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29. septembra noteikumos Nr. 542 “Kārtība, kādā pieprasa un saņem Aizsardzības ministrijas atļauju būvēt, ierīkot un izvietot konkrētu militāro lidlauku un militārās aviācijas po</vt:lpstr>
    </vt:vector>
  </TitlesOfParts>
  <Company>Aizsardzības ministrija</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 sākotnējās ietekmes novērtējuma ziņojums (anotācija)</dc:title>
  <dc:subject>Noteikumu projekta sākotnējās ietekmes novērtējuma ziņojums (anotācija)</dc:subject>
  <dc:creator>Heinrihs.Rozens@mod.gov.lv</dc:creator>
  <dc:description>67335072, heinrihs.rozens@mod.gov.lv</dc:description>
  <cp:lastModifiedBy>Laimdota Adlere</cp:lastModifiedBy>
  <cp:revision>4</cp:revision>
  <cp:lastPrinted>2017-06-07T06:01:00Z</cp:lastPrinted>
  <dcterms:created xsi:type="dcterms:W3CDTF">2018-01-11T07:44:00Z</dcterms:created>
  <dcterms:modified xsi:type="dcterms:W3CDTF">2018-01-11T07:45:00Z</dcterms:modified>
</cp:coreProperties>
</file>