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764447"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264123506"/>
          <w:placeholder>
            <w:docPart w:val="AD0B1411E4B941058C021C10033BC0A2"/>
          </w:placeholder>
          <w:richText/>
        </w:sdtPr>
        <w:sdtContent>
          <w:r w:rsidRPr="00764447" w:rsidR="00BA1E52">
            <w:rPr>
              <w:rFonts w:ascii="Times New Roman" w:eastAsia="Times New Roman" w:hAnsi="Times New Roman" w:cs="Times New Roman"/>
              <w:b/>
              <w:bCs/>
              <w:sz w:val="28"/>
              <w:szCs w:val="24"/>
              <w:lang w:eastAsia="lv-LV"/>
            </w:rPr>
            <w:t>Grozījumi Enerģētikas likumā</w:t>
          </w:r>
        </w:sdtContent>
      </w:sdt>
      <w:r w:rsidRPr="00764447" w:rsidR="00BA1E52">
        <w:rPr>
          <w:rFonts w:ascii="Times New Roman" w:eastAsia="Times New Roman" w:hAnsi="Times New Roman" w:cs="Times New Roman"/>
          <w:b/>
          <w:bCs/>
          <w:sz w:val="28"/>
          <w:szCs w:val="24"/>
          <w:lang w:eastAsia="lv-LV"/>
        </w:rPr>
        <w:t xml:space="preserve"> </w:t>
      </w:r>
      <w:r w:rsidRPr="00764447">
        <w:rPr>
          <w:rFonts w:ascii="Times New Roman" w:eastAsia="Times New Roman" w:hAnsi="Times New Roman" w:cs="Times New Roman"/>
          <w:b/>
          <w:bCs/>
          <w:sz w:val="28"/>
          <w:szCs w:val="24"/>
          <w:lang w:eastAsia="lv-LV"/>
        </w:rPr>
        <w:t>projekta</w:t>
      </w:r>
      <w:r w:rsidRPr="00764447" w:rsidR="003B0BF9">
        <w:rPr>
          <w:rFonts w:ascii="Times New Roman" w:eastAsia="Times New Roman" w:hAnsi="Times New Roman" w:cs="Times New Roman"/>
          <w:b/>
          <w:bCs/>
          <w:sz w:val="28"/>
          <w:szCs w:val="24"/>
          <w:lang w:eastAsia="lv-LV"/>
        </w:rPr>
        <w:br/>
      </w:r>
      <w:r w:rsidRPr="00764447">
        <w:rPr>
          <w:rFonts w:ascii="Times New Roman" w:eastAsia="Times New Roman" w:hAnsi="Times New Roman" w:cs="Times New Roman"/>
          <w:b/>
          <w:bCs/>
          <w:sz w:val="28"/>
          <w:szCs w:val="24"/>
          <w:lang w:eastAsia="lv-LV"/>
        </w:rPr>
        <w:t>sākotnējās ietekmes novērtējuma ziņojums (anotācija)</w:t>
      </w:r>
    </w:p>
    <w:p w:rsidR="00E5323B" w:rsidRPr="00764447"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b/>
                <w:bCs/>
                <w:iCs/>
                <w:sz w:val="24"/>
                <w:szCs w:val="24"/>
                <w:lang w:eastAsia="lv-LV"/>
              </w:rPr>
            </w:pPr>
            <w:r w:rsidRPr="00764447">
              <w:rPr>
                <w:rFonts w:ascii="Times New Roman" w:eastAsia="Times New Roman" w:hAnsi="Times New Roman" w:cs="Times New Roman"/>
                <w:b/>
                <w:bCs/>
                <w:iCs/>
                <w:sz w:val="24"/>
                <w:szCs w:val="24"/>
                <w:lang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764447" w:rsidP="00815752">
            <w:pPr>
              <w:spacing w:after="0" w:line="240" w:lineRule="auto"/>
              <w:jc w:val="both"/>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Likumprojekts „ Grozījumi Enerģētikas likumā” (turpmāk – likumprojekts) izstrādāts</w:t>
            </w:r>
            <w:r w:rsidR="00F23F47">
              <w:rPr>
                <w:rFonts w:ascii="Times New Roman" w:eastAsia="Times New Roman" w:hAnsi="Times New Roman" w:cs="Times New Roman"/>
                <w:iCs/>
                <w:sz w:val="24"/>
                <w:szCs w:val="24"/>
                <w:lang w:eastAsia="lv-LV"/>
              </w:rPr>
              <w:t xml:space="preserve"> saskaņā ar  </w:t>
            </w:r>
            <w:r w:rsidRPr="00764447">
              <w:rPr>
                <w:rFonts w:ascii="Times New Roman" w:eastAsia="Times New Roman" w:hAnsi="Times New Roman" w:cs="Times New Roman"/>
                <w:iCs/>
                <w:sz w:val="24"/>
                <w:szCs w:val="24"/>
                <w:lang w:eastAsia="lv-LV"/>
              </w:rPr>
              <w:t>konceptuāl</w:t>
            </w:r>
            <w:r w:rsidR="00F23F47">
              <w:rPr>
                <w:rFonts w:ascii="Times New Roman" w:eastAsia="Times New Roman" w:hAnsi="Times New Roman" w:cs="Times New Roman"/>
                <w:iCs/>
                <w:sz w:val="24"/>
                <w:szCs w:val="24"/>
                <w:lang w:eastAsia="lv-LV"/>
              </w:rPr>
              <w:t>o</w:t>
            </w:r>
            <w:r w:rsidRPr="00764447">
              <w:rPr>
                <w:rFonts w:ascii="Times New Roman" w:eastAsia="Times New Roman" w:hAnsi="Times New Roman" w:cs="Times New Roman"/>
                <w:iCs/>
                <w:sz w:val="24"/>
                <w:szCs w:val="24"/>
                <w:lang w:eastAsia="lv-LV"/>
              </w:rPr>
              <w:t xml:space="preserve"> ziņojum</w:t>
            </w:r>
            <w:r w:rsidR="00F23F47">
              <w:rPr>
                <w:rFonts w:ascii="Times New Roman" w:eastAsia="Times New Roman" w:hAnsi="Times New Roman" w:cs="Times New Roman"/>
                <w:iCs/>
                <w:sz w:val="24"/>
                <w:szCs w:val="24"/>
                <w:lang w:eastAsia="lv-LV"/>
              </w:rPr>
              <w:t>u</w:t>
            </w:r>
            <w:r w:rsidRPr="00764447">
              <w:rPr>
                <w:rFonts w:ascii="Times New Roman" w:eastAsia="Times New Roman" w:hAnsi="Times New Roman" w:cs="Times New Roman"/>
                <w:iCs/>
                <w:sz w:val="24"/>
                <w:szCs w:val="24"/>
                <w:lang w:eastAsia="lv-LV"/>
              </w:rPr>
              <w:t xml:space="preserve"> “Par drošības rezervju pakalpojuma valsts naftas produktu drošības rezervju izveidei pilnveidošanu”</w:t>
            </w:r>
            <w:r w:rsidR="00F23F47">
              <w:rPr>
                <w:rFonts w:ascii="Times New Roman" w:eastAsia="Times New Roman" w:hAnsi="Times New Roman" w:cs="Times New Roman"/>
                <w:iCs/>
                <w:sz w:val="24"/>
                <w:szCs w:val="24"/>
                <w:lang w:eastAsia="lv-LV"/>
              </w:rPr>
              <w:t xml:space="preserve">, kurš </w:t>
            </w:r>
            <w:r w:rsidR="007E2A7D">
              <w:rPr>
                <w:rFonts w:ascii="Times New Roman" w:eastAsia="Times New Roman" w:hAnsi="Times New Roman" w:cs="Times New Roman"/>
                <w:iCs/>
                <w:sz w:val="24"/>
                <w:szCs w:val="24"/>
                <w:lang w:eastAsia="lv-LV"/>
              </w:rPr>
              <w:t xml:space="preserve">apstiprināts </w:t>
            </w:r>
            <w:r w:rsidR="00F23F47">
              <w:rPr>
                <w:rFonts w:ascii="Times New Roman" w:eastAsia="Times New Roman" w:hAnsi="Times New Roman" w:cs="Times New Roman"/>
                <w:iCs/>
                <w:sz w:val="24"/>
                <w:szCs w:val="24"/>
                <w:lang w:eastAsia="lv-LV"/>
              </w:rPr>
              <w:t xml:space="preserve">2018.gada </w:t>
            </w:r>
            <w:r w:rsidR="007E2A7D">
              <w:rPr>
                <w:rFonts w:ascii="Times New Roman" w:eastAsia="Times New Roman" w:hAnsi="Times New Roman" w:cs="Times New Roman"/>
                <w:iCs/>
                <w:sz w:val="24"/>
                <w:szCs w:val="24"/>
                <w:lang w:eastAsia="lv-LV"/>
              </w:rPr>
              <w:t>6.februāra Ministru kabineta sēdē</w:t>
            </w:r>
            <w:r w:rsidR="00F23F47">
              <w:rPr>
                <w:rFonts w:ascii="Times New Roman" w:eastAsia="Times New Roman" w:hAnsi="Times New Roman" w:cs="Times New Roman"/>
                <w:iCs/>
                <w:sz w:val="24"/>
                <w:szCs w:val="24"/>
                <w:lang w:eastAsia="lv-LV"/>
              </w:rPr>
              <w:t xml:space="preserve">  (</w:t>
            </w:r>
            <w:r w:rsidR="007E2A7D">
              <w:rPr>
                <w:rFonts w:ascii="Times New Roman" w:eastAsia="Times New Roman" w:hAnsi="Times New Roman" w:cs="Times New Roman"/>
                <w:iCs/>
                <w:sz w:val="24"/>
                <w:szCs w:val="24"/>
                <w:lang w:eastAsia="lv-LV"/>
              </w:rPr>
              <w:t xml:space="preserve">protokols </w:t>
            </w:r>
            <w:r w:rsidR="00F23F47">
              <w:rPr>
                <w:rFonts w:ascii="Times New Roman" w:eastAsia="Times New Roman" w:hAnsi="Times New Roman" w:cs="Times New Roman"/>
                <w:iCs/>
                <w:sz w:val="24"/>
                <w:szCs w:val="24"/>
                <w:lang w:eastAsia="lv-LV"/>
              </w:rPr>
              <w:t>Nr.</w:t>
            </w:r>
            <w:r w:rsidRPr="00764447">
              <w:rPr>
                <w:rFonts w:ascii="Times New Roman" w:eastAsia="Times New Roman" w:hAnsi="Times New Roman" w:cs="Times New Roman"/>
                <w:iCs/>
                <w:sz w:val="24"/>
                <w:szCs w:val="24"/>
                <w:lang w:eastAsia="lv-LV"/>
              </w:rPr>
              <w:t xml:space="preserve"> </w:t>
            </w:r>
            <w:r w:rsidR="007E2A7D">
              <w:rPr>
                <w:rFonts w:ascii="Times New Roman" w:eastAsia="Times New Roman" w:hAnsi="Times New Roman" w:cs="Times New Roman"/>
                <w:iCs/>
                <w:sz w:val="24"/>
                <w:szCs w:val="24"/>
                <w:lang w:eastAsia="lv-LV"/>
              </w:rPr>
              <w:t>7 32.§</w:t>
            </w:r>
            <w:r w:rsidR="00F23F47">
              <w:rPr>
                <w:rFonts w:ascii="Times New Roman" w:eastAsia="Times New Roman" w:hAnsi="Times New Roman" w:cs="Times New Roman"/>
                <w:iCs/>
                <w:sz w:val="24"/>
                <w:szCs w:val="24"/>
                <w:lang w:eastAsia="lv-LV"/>
              </w:rPr>
              <w:t xml:space="preserve">). </w:t>
            </w:r>
            <w:r w:rsidR="00815752">
              <w:rPr>
                <w:rFonts w:ascii="Times New Roman" w:eastAsia="Times New Roman" w:hAnsi="Times New Roman" w:cs="Times New Roman"/>
                <w:iCs/>
                <w:sz w:val="24"/>
                <w:szCs w:val="24"/>
                <w:lang w:eastAsia="lv-LV"/>
              </w:rPr>
              <w:t>Likumprojekts izstrādāts, lai uzlabotu e</w:t>
            </w:r>
            <w:r w:rsidRPr="00764447">
              <w:rPr>
                <w:rFonts w:ascii="Times New Roman" w:eastAsia="Times New Roman" w:hAnsi="Times New Roman" w:cs="Times New Roman"/>
                <w:iCs/>
                <w:sz w:val="24"/>
                <w:szCs w:val="24"/>
                <w:lang w:eastAsia="lv-LV"/>
              </w:rPr>
              <w:t>sošo kārtību, kādā tiek nodrošināts drošības rezervju pakalpojuma iepirkums, kurš tiek organizēts saska</w:t>
            </w:r>
            <w:r w:rsidRPr="00764447" w:rsidR="00D53E5A">
              <w:rPr>
                <w:rFonts w:ascii="Times New Roman" w:eastAsia="Times New Roman" w:hAnsi="Times New Roman" w:cs="Times New Roman"/>
                <w:iCs/>
                <w:sz w:val="24"/>
                <w:szCs w:val="24"/>
                <w:lang w:eastAsia="lv-LV"/>
              </w:rPr>
              <w:t>ņā ar Publisko iepirkumu likumu</w:t>
            </w:r>
            <w:r w:rsidR="00764447">
              <w:rPr>
                <w:rFonts w:ascii="Times New Roman" w:eastAsia="Times New Roman" w:hAnsi="Times New Roman" w:cs="Times New Roman"/>
                <w:iCs/>
                <w:sz w:val="24"/>
                <w:szCs w:val="24"/>
                <w:lang w:eastAsia="lv-LV"/>
              </w:rPr>
              <w:t xml:space="preserve"> </w:t>
            </w:r>
            <w:r w:rsidRPr="00764447" w:rsidR="00764447">
              <w:rPr>
                <w:rFonts w:ascii="Times New Roman" w:eastAsia="Times New Roman" w:hAnsi="Times New Roman" w:cs="Times New Roman"/>
                <w:iCs/>
                <w:sz w:val="24"/>
                <w:szCs w:val="24"/>
                <w:lang w:eastAsia="lv-LV"/>
              </w:rPr>
              <w:t xml:space="preserve">(turpmāk - </w:t>
            </w:r>
            <w:r w:rsidR="00764447">
              <w:rPr>
                <w:rFonts w:ascii="Times New Roman" w:eastAsia="Times New Roman" w:hAnsi="Times New Roman" w:cs="Times New Roman"/>
                <w:iCs/>
                <w:sz w:val="24"/>
                <w:szCs w:val="24"/>
                <w:lang w:eastAsia="lv-LV"/>
              </w:rPr>
              <w:t>PIL</w:t>
            </w:r>
            <w:r w:rsidRPr="00764447" w:rsidR="00764447">
              <w:rPr>
                <w:rFonts w:ascii="Times New Roman" w:eastAsia="Times New Roman" w:hAnsi="Times New Roman" w:cs="Times New Roman"/>
                <w:iCs/>
                <w:sz w:val="24"/>
                <w:szCs w:val="24"/>
                <w:lang w:eastAsia="lv-LV"/>
              </w:rPr>
              <w:t>),</w:t>
            </w:r>
            <w:r w:rsidRPr="00764447" w:rsidR="00D53E5A">
              <w:rPr>
                <w:rFonts w:ascii="Times New Roman" w:eastAsia="Times New Roman" w:hAnsi="Times New Roman" w:cs="Times New Roman"/>
                <w:iCs/>
                <w:sz w:val="24"/>
                <w:szCs w:val="24"/>
                <w:lang w:eastAsia="lv-LV"/>
              </w:rPr>
              <w:t xml:space="preserve"> piemērojot</w:t>
            </w:r>
            <w:r w:rsidR="00815752">
              <w:rPr>
                <w:rFonts w:ascii="Times New Roman" w:eastAsia="Times New Roman" w:hAnsi="Times New Roman" w:cs="Times New Roman"/>
                <w:iCs/>
                <w:sz w:val="24"/>
                <w:szCs w:val="24"/>
                <w:lang w:eastAsia="lv-LV"/>
              </w:rPr>
              <w:t xml:space="preserve"> arī </w:t>
            </w:r>
            <w:r w:rsidRPr="00764447" w:rsidR="00D53E5A">
              <w:rPr>
                <w:rFonts w:ascii="Times New Roman" w:eastAsia="Times New Roman" w:hAnsi="Times New Roman" w:cs="Times New Roman"/>
                <w:iCs/>
                <w:sz w:val="24"/>
                <w:szCs w:val="24"/>
                <w:lang w:eastAsia="lv-LV"/>
              </w:rPr>
              <w:t xml:space="preserve"> Aizsardzības un drošības jomas iepirkumu likumu (turpmāk - ADJIL)  naftas rezervju pakalpojuma iepirkumam.</w:t>
            </w:r>
          </w:p>
        </w:tc>
      </w:tr>
    </w:tbl>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b/>
                <w:bCs/>
                <w:iCs/>
                <w:sz w:val="24"/>
                <w:szCs w:val="24"/>
                <w:lang w:eastAsia="lv-LV"/>
              </w:rPr>
            </w:pPr>
            <w:r w:rsidRPr="00764447">
              <w:rPr>
                <w:rFonts w:ascii="Times New Roman" w:eastAsia="Times New Roman" w:hAnsi="Times New Roman" w:cs="Times New Roman"/>
                <w:b/>
                <w:bCs/>
                <w:iCs/>
                <w:sz w:val="24"/>
                <w:szCs w:val="24"/>
                <w:lang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9B36A8" w:rsidRPr="00764447" w:rsidP="00BA1E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w:t>
            </w:r>
            <w:r>
              <w:rPr>
                <w:rFonts w:ascii="Times New Roman" w:eastAsia="Times New Roman" w:hAnsi="Times New Roman" w:cs="Times New Roman"/>
                <w:iCs/>
                <w:sz w:val="24"/>
                <w:szCs w:val="24"/>
                <w:lang w:eastAsia="lv-LV"/>
              </w:rPr>
              <w:t>2018.gada 6.februāra Ministru kabineta sēd</w:t>
            </w:r>
            <w:r>
              <w:rPr>
                <w:rFonts w:ascii="Times New Roman" w:eastAsia="Times New Roman" w:hAnsi="Times New Roman" w:cs="Times New Roman"/>
                <w:iCs/>
                <w:sz w:val="24"/>
                <w:szCs w:val="24"/>
                <w:lang w:eastAsia="lv-LV"/>
              </w:rPr>
              <w:t>ē</w:t>
            </w:r>
            <w:r>
              <w:rPr>
                <w:rFonts w:ascii="Times New Roman" w:eastAsia="Times New Roman" w:hAnsi="Times New Roman" w:cs="Times New Roman"/>
                <w:iCs/>
                <w:sz w:val="24"/>
                <w:szCs w:val="24"/>
                <w:lang w:eastAsia="lv-LV"/>
              </w:rPr>
              <w:t xml:space="preserve">  (protokols Nr.</w:t>
            </w:r>
            <w:r w:rsidRPr="0076444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7 32.§</w:t>
            </w:r>
            <w:r>
              <w:rPr>
                <w:rFonts w:ascii="Times New Roman" w:eastAsia="Times New Roman" w:hAnsi="Times New Roman" w:cs="Times New Roman"/>
                <w:iCs/>
                <w:sz w:val="24"/>
                <w:szCs w:val="24"/>
                <w:lang w:eastAsia="lv-LV"/>
              </w:rPr>
              <w:t xml:space="preserve">) nolemto, kā arī to  </w:t>
            </w:r>
            <w:r w:rsidRPr="007E2A7D" w:rsidR="007E2A7D">
              <w:rPr>
                <w:rFonts w:ascii="Times New Roman" w:eastAsia="Times New Roman" w:hAnsi="Times New Roman" w:cs="Times New Roman"/>
                <w:iCs/>
                <w:sz w:val="24"/>
                <w:szCs w:val="24"/>
                <w:lang w:eastAsia="lv-LV"/>
              </w:rPr>
              <w:t xml:space="preserve">ka </w:t>
            </w:r>
            <w:r w:rsidRPr="007E2A7D" w:rsidR="007E2A7D">
              <w:rPr>
                <w:rFonts w:ascii="Times New Roman" w:eastAsia="Times New Roman" w:hAnsi="Times New Roman" w:cs="Times New Roman"/>
                <w:iCs/>
                <w:sz w:val="24"/>
                <w:szCs w:val="24"/>
                <w:lang w:eastAsia="lv-LV"/>
              </w:rPr>
              <w:t>Valsts naftas produktu rezervju izveides koncepcija Ministru kabineta sēdē tika ap</w:t>
            </w:r>
            <w:r w:rsidR="007E2A7D">
              <w:rPr>
                <w:rFonts w:ascii="Times New Roman" w:eastAsia="Times New Roman" w:hAnsi="Times New Roman" w:cs="Times New Roman"/>
                <w:iCs/>
                <w:sz w:val="24"/>
                <w:szCs w:val="24"/>
                <w:lang w:eastAsia="lv-LV"/>
              </w:rPr>
              <w:t>stiprināta 2010. gada 23. martā, k</w:t>
            </w:r>
            <w:r>
              <w:rPr>
                <w:rFonts w:ascii="Times New Roman" w:eastAsia="Times New Roman" w:hAnsi="Times New Roman" w:cs="Times New Roman"/>
                <w:iCs/>
                <w:sz w:val="24"/>
                <w:szCs w:val="24"/>
                <w:lang w:eastAsia="lv-LV"/>
              </w:rPr>
              <w:t>a</w:t>
            </w:r>
            <w:r w:rsidR="007E2A7D">
              <w:rPr>
                <w:rFonts w:ascii="Times New Roman" w:eastAsia="Times New Roman" w:hAnsi="Times New Roman" w:cs="Times New Roman"/>
                <w:iCs/>
                <w:sz w:val="24"/>
                <w:szCs w:val="24"/>
                <w:lang w:eastAsia="lv-LV"/>
              </w:rPr>
              <w:t xml:space="preserve"> tā</w:t>
            </w:r>
            <w:r w:rsidRPr="007E2A7D" w:rsidR="007E2A7D">
              <w:rPr>
                <w:rFonts w:ascii="Times New Roman" w:eastAsia="Times New Roman" w:hAnsi="Times New Roman" w:cs="Times New Roman"/>
                <w:iCs/>
                <w:sz w:val="24"/>
                <w:szCs w:val="24"/>
                <w:lang w:eastAsia="lv-LV"/>
              </w:rPr>
              <w:t xml:space="preserve"> ir atbalstīta ar Ministru kabineta 2010. gada 29. marta rīkojumu Nr. 179 "Par Valsts naftas produktu rezervju izveides koncepciju",</w:t>
            </w:r>
            <w:r w:rsidR="007E2A7D">
              <w:rPr>
                <w:rFonts w:ascii="Times New Roman" w:eastAsia="Times New Roman" w:hAnsi="Times New Roman" w:cs="Times New Roman"/>
                <w:iCs/>
                <w:sz w:val="24"/>
                <w:szCs w:val="24"/>
                <w:lang w:eastAsia="lv-LV"/>
              </w:rPr>
              <w:t xml:space="preserve"> ka tajā laikā vienīgais likums, kurš nodrošināja iepirkuma procedūru</w:t>
            </w:r>
            <w:r>
              <w:rPr>
                <w:rFonts w:ascii="Times New Roman" w:eastAsia="Times New Roman" w:hAnsi="Times New Roman" w:cs="Times New Roman"/>
                <w:iCs/>
                <w:sz w:val="24"/>
                <w:szCs w:val="24"/>
                <w:lang w:eastAsia="lv-LV"/>
              </w:rPr>
              <w:t xml:space="preserve"> bija Publisko iepirkumu likums, nepieciešams ir mainīt iepirkumu procedūru drošības rezervju pakalpojuma nodrošināšanai. </w:t>
            </w:r>
            <w:r w:rsidR="007E2A7D">
              <w:rPr>
                <w:rFonts w:ascii="Times New Roman" w:eastAsia="Times New Roman" w:hAnsi="Times New Roman" w:cs="Times New Roman"/>
                <w:iCs/>
                <w:sz w:val="24"/>
                <w:szCs w:val="24"/>
                <w:lang w:eastAsia="lv-LV"/>
              </w:rPr>
              <w:t xml:space="preserve"> </w:t>
            </w:r>
            <w:r w:rsidRPr="007E2A7D" w:rsidR="007E2A7D">
              <w:rPr>
                <w:rFonts w:ascii="Times New Roman" w:eastAsia="Times New Roman" w:hAnsi="Times New Roman" w:cs="Times New Roman"/>
                <w:iCs/>
                <w:sz w:val="24"/>
                <w:szCs w:val="24"/>
                <w:lang w:eastAsia="lv-LV"/>
              </w:rPr>
              <w:t xml:space="preserve"> </w:t>
            </w:r>
            <w:r w:rsidRPr="00764447">
              <w:rPr>
                <w:rFonts w:ascii="Times New Roman" w:eastAsia="Times New Roman" w:hAnsi="Times New Roman" w:cs="Times New Roman"/>
                <w:iCs/>
                <w:sz w:val="24"/>
                <w:szCs w:val="24"/>
                <w:lang w:eastAsia="lv-LV"/>
              </w:rPr>
              <w:t xml:space="preserve">ADJIL  paredz nodrošināt efektīvāku iepirkumu norisi aizsardzības un drošības jomās un  </w:t>
            </w:r>
          </w:p>
          <w:p w:rsidR="009B36A8" w:rsidRPr="00764447" w:rsidP="00BA1E52">
            <w:pPr>
              <w:spacing w:after="0" w:line="240" w:lineRule="auto"/>
              <w:jc w:val="both"/>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ADJIL paredz konkrētai jomai piemērotas iepirkuma procedūras - slēgts konkurss, konkursa dialogs un sarunu procedūra. Tāpat papildu prasības noteiktas piegāžu drošībai, lai garantētu, ka pretendents būs spējīgs līgumu izpildīt arī krīzes vai bruņota konflikta laikā. </w:t>
            </w:r>
          </w:p>
          <w:p w:rsidR="00E5323B" w:rsidRPr="00764447" w:rsidP="00BA1E52">
            <w:pPr>
              <w:spacing w:after="0" w:line="240" w:lineRule="auto"/>
              <w:jc w:val="both"/>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ADJIL attiecas uz iepirkumiem aizsardzības jomā, kurus veic Aizsardzības ministrija un tās resorā ietilpstošās institūcijas. Savukārt iepirkumus drošības jomā veic Iekšlietu ministrija un tās resorā ietilpstošās institūcijas, kā arī pašvaldību izveidotās policijas iestādes, citas iestādes un sabiedrisko pakalpojumu sniedzēji.</w:t>
            </w:r>
          </w:p>
          <w:p w:rsidR="00082543" w:rsidRPr="00764447" w:rsidP="00BA1E52">
            <w:pPr>
              <w:spacing w:after="0" w:line="240" w:lineRule="auto"/>
              <w:jc w:val="both"/>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Piemērojot </w:t>
            </w:r>
            <w:r w:rsidRPr="00764447" w:rsidR="00764447">
              <w:rPr>
                <w:rFonts w:ascii="Times New Roman" w:eastAsia="Times New Roman" w:hAnsi="Times New Roman" w:cs="Times New Roman"/>
                <w:iCs/>
                <w:sz w:val="24"/>
                <w:szCs w:val="24"/>
                <w:lang w:eastAsia="lv-LV"/>
              </w:rPr>
              <w:t xml:space="preserve">naftas rezervju pakalpojuma iepirkumam </w:t>
            </w:r>
            <w:r w:rsidRPr="00764447">
              <w:rPr>
                <w:rFonts w:ascii="Times New Roman" w:eastAsia="Times New Roman" w:hAnsi="Times New Roman" w:cs="Times New Roman"/>
                <w:iCs/>
                <w:sz w:val="24"/>
                <w:szCs w:val="24"/>
                <w:lang w:eastAsia="lv-LV"/>
              </w:rPr>
              <w:t xml:space="preserve">ADJIL, ir iespējama slēgta konkursa izsludināšana, t.i. iepirkuma procedūra, kurā visi ieinteresētie piegādātāji var pieprasīt tiesības piedalīties konkursā, bet konkursa organizators ir tiesīgs uzaicināt piedalīties tā izvēlētos </w:t>
            </w:r>
            <w:r w:rsidRPr="00764447">
              <w:rPr>
                <w:rFonts w:ascii="Times New Roman" w:eastAsia="Times New Roman" w:hAnsi="Times New Roman" w:cs="Times New Roman"/>
                <w:iCs/>
                <w:sz w:val="24"/>
                <w:szCs w:val="24"/>
                <w:lang w:eastAsia="lv-LV"/>
              </w:rPr>
              <w:t>kandidātus. Attiecīgi konkursa piedāvājumus ir tiesīgi iesniegt tikai tie kandidāti, kurus pasūtītājs uzaicina.</w:t>
            </w:r>
          </w:p>
          <w:p w:rsidR="00082543" w:rsidRPr="00764447" w:rsidP="00BA1E52">
            <w:pPr>
              <w:spacing w:after="0" w:line="240" w:lineRule="auto"/>
              <w:jc w:val="both"/>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ADJIL 44.panta pirmās daļas otrais punkts pieļauj izslēgt kandidātu vai pretendentu no turpmākas dalības iepirkuma procedūrā, ja pasūtītājs ir saņēmis valsts drošības iestādes atzinumu, ka iepirkuma līguma noslēgšana ar kandidātu vai pretendentu var radīt draudus nacionālajai drošībai. Tādējādi šādā veidā būtu iespējams kliedēt paustās sabiedrības bažas attiecībā uz atsevišķu konkursa pretendentu atbilstību, kā arī novērst iespējamos riskus enerģētiskās krīzes vai valsts apdraudējuma iestāšanās gadījumā.</w:t>
            </w:r>
          </w:p>
          <w:p w:rsidR="00082543" w:rsidRPr="00764447" w:rsidP="00BA1E52">
            <w:pPr>
              <w:spacing w:after="0" w:line="240" w:lineRule="auto"/>
              <w:jc w:val="both"/>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ADJL pamatā ir Eiropas Savienības iepirkumu regulējums, kas izriet no Eiropas Parlamenta un Padomes 2009.gada 13.jūlija direktīvas 2009/81/EK, ar kuru koordinē procedūras attiecībā uz to, kā līgumslēdzējas iestādes vai subjekti, kas darbojas drošības un aizsardzības jomā, piešķir noteiktu būvdarbu, piegādes un pakalpojumu līgumu slēgšanas tiesības, un ar kuru groza direktīvas 2004/17/EK un 2004/18/EK  (turpmāk - Direktīva 2009/81/EK). </w:t>
            </w:r>
          </w:p>
          <w:p w:rsidR="00082543" w:rsidRPr="00764447" w:rsidP="00BA1E52">
            <w:pPr>
              <w:spacing w:after="0" w:line="240" w:lineRule="auto"/>
              <w:jc w:val="both"/>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Atbilstoši Direktīvas 2009/81/EK regulējumam un COM ziņojumā  sagatavotajam skaidrojumam, Direktīva 2009/81/EK un līdz ar to ADJIL attiecas uz “sensitīviem pakalpojumiem”. </w:t>
            </w:r>
          </w:p>
          <w:p w:rsidR="00082543" w:rsidRPr="00764447" w:rsidP="00BA1E52">
            <w:pPr>
              <w:spacing w:after="0" w:line="240" w:lineRule="auto"/>
              <w:jc w:val="both"/>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ADJIL stājies spēkā 2011.gada 16.novembrī, taču, kā jau minēts iepriekš, Valsts naftas produktu rezervju izveides koncepcija Ministru kabineta sēdē tika apstiprināta jau 2010.gada 23.martā. Līdz ar to koncepcijas izstrādes laikā nebija iespējams apskatīt cita veida risinājumu, kādu piedāvā ADJIL. Izveidotā koncepcija paredzēja, ka naftas rezervju izveide tiek nodrošināta, piemērojot PIL nosacījumus. PIL noteiktās prasības un to biežās izmaiņas, kā arī kopējais iepirkuma procedūras termiņš ir par iemeslu cita risinājuma meklēšanai, nodrošinot efektīvāku drošības rezervju pakalpojuma sniegšanu valsts naftas produktu rezervju izveidei noteiktā apjomā. Ņemot vērā naftas rezervju pakalpojumu mērķi – energoapgādes nepārtrauktības nodrošināšana ārkārtas </w:t>
            </w:r>
            <w:r w:rsidRPr="00764447" w:rsidR="00764447">
              <w:rPr>
                <w:rFonts w:ascii="Times New Roman" w:eastAsia="Times New Roman" w:hAnsi="Times New Roman" w:cs="Times New Roman"/>
                <w:iCs/>
                <w:sz w:val="24"/>
                <w:szCs w:val="24"/>
                <w:lang w:eastAsia="lv-LV"/>
              </w:rPr>
              <w:t>situācijās</w:t>
            </w:r>
            <w:r w:rsidRPr="00764447">
              <w:rPr>
                <w:rFonts w:ascii="Times New Roman" w:eastAsia="Times New Roman" w:hAnsi="Times New Roman" w:cs="Times New Roman"/>
                <w:iCs/>
                <w:sz w:val="24"/>
                <w:szCs w:val="24"/>
                <w:lang w:eastAsia="lv-LV"/>
              </w:rPr>
              <w:t xml:space="preserve"> un enerģētiskās krīzes gadījumā (piegādes drošības aspekts un informācijas aizsardzības aspekts), ADJIL ir piemērojams naftas rezervju pakalpojuma iepirkumam. </w:t>
            </w:r>
          </w:p>
          <w:p w:rsidR="00082543" w:rsidRPr="00764447" w:rsidP="00722B7D">
            <w:pPr>
              <w:spacing w:after="0" w:line="240" w:lineRule="auto"/>
              <w:jc w:val="both"/>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Šāds risinājums nodrošinātu valstij iespēju organizēt konkursa procedūru ātrāku kārtošanu, kā arī atlasīt kandidātus, ņemot vērā valsts energoapgādes drošuma intereses, piemēram, paredzot ierobežojumus pakalpojumu sniegšanas ģeogrāfiskajam izvietojumam, prasības kandidātu reputācijai un citiem aspektiem.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971E47" w:rsidRPr="00764447" w:rsidP="00BA1E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Mērķis </w:t>
            </w:r>
            <w:r w:rsidR="0093280C">
              <w:rPr>
                <w:rFonts w:ascii="Times New Roman" w:eastAsia="Times New Roman" w:hAnsi="Times New Roman" w:cs="Times New Roman"/>
                <w:iCs/>
                <w:sz w:val="24"/>
                <w:szCs w:val="24"/>
                <w:lang w:eastAsia="lv-LV"/>
              </w:rPr>
              <w:t xml:space="preserve">nodrošināt </w:t>
            </w:r>
            <w:r w:rsidRPr="00764447">
              <w:rPr>
                <w:rFonts w:ascii="Times New Roman" w:eastAsia="Times New Roman" w:hAnsi="Times New Roman" w:cs="Times New Roman"/>
                <w:iCs/>
                <w:sz w:val="24"/>
                <w:szCs w:val="24"/>
                <w:lang w:eastAsia="lv-LV"/>
              </w:rPr>
              <w:t>efektīvāku iepirkumu norisi aizsardzības un drošības jomās</w:t>
            </w:r>
            <w:r>
              <w:rPr>
                <w:rFonts w:ascii="Times New Roman" w:eastAsia="Times New Roman" w:hAnsi="Times New Roman" w:cs="Times New Roman"/>
                <w:iCs/>
                <w:sz w:val="24"/>
                <w:szCs w:val="24"/>
                <w:lang w:eastAsia="lv-LV"/>
              </w:rPr>
              <w:t>.</w:t>
            </w:r>
            <w:r w:rsidRPr="00764447">
              <w:rPr>
                <w:rFonts w:ascii="Times New Roman" w:eastAsia="Times New Roman" w:hAnsi="Times New Roman" w:cs="Times New Roman"/>
                <w:iCs/>
                <w:sz w:val="24"/>
                <w:szCs w:val="24"/>
                <w:lang w:eastAsia="lv-LV"/>
              </w:rPr>
              <w:t xml:space="preserve"> </w:t>
            </w:r>
            <w:r w:rsidRPr="00764447">
              <w:rPr>
                <w:rFonts w:ascii="Times New Roman" w:eastAsia="Times New Roman" w:hAnsi="Times New Roman" w:cs="Times New Roman"/>
                <w:iCs/>
                <w:sz w:val="24"/>
                <w:szCs w:val="24"/>
                <w:lang w:eastAsia="lv-LV"/>
              </w:rPr>
              <w:t xml:space="preserve">Pašlaik Enerģētikas likuma 72.pants paredz deleģējumu Ministru kabinetam noteikt kārtību, kādā komersanti nodrošina un sniedz drošības rezervju pakalpojumu valsts naftas produktu rezervju izveidei noteiktā apjomā, lai enerģētiskās krīzes periodos tiktu nodrošināta apgāde ar naftas produktiem. Par šā panta pirmajā daļā minētā drošības rezervju pakalpojuma nodrošināšanu un sniegšanu Ekonomikas ministrija reizi gadā līdz kārtējā gada 1.jūnijam izsludina atklātus konkursus. </w:t>
            </w:r>
          </w:p>
          <w:p w:rsidR="00971E47" w:rsidRPr="00764447" w:rsidP="00BA1E52">
            <w:pPr>
              <w:spacing w:after="0" w:line="240" w:lineRule="auto"/>
              <w:jc w:val="both"/>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Vārdu salikums “atklāts konkurss” tiek vērtēts atbilstoši likumdevēja nolūkam nodrošināt vairāku kandidātu iesaistīšanu konkursa procedūrā, kā arī caurspīdīgu konkursa norises kārtību. Lai gan Enerģētikas likumā detalizēti nav atrunāta procedūra ar nosaukumu “atklāts konkurss”, šo vārdkopu nozīme ir norādīt uz tādu iepirkuma procedūru, kas publiski izsludināma (t.sk. arī slēgtu konkursu un sarunu procedūru, publicējot paziņojumu).</w:t>
            </w:r>
          </w:p>
          <w:p w:rsidR="005C7033" w:rsidRPr="005C7033" w:rsidP="005C7033">
            <w:pPr>
              <w:spacing w:after="0" w:line="240" w:lineRule="auto"/>
              <w:jc w:val="both"/>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Līdz ar to, grozījumi Enerģētikas likumā </w:t>
            </w:r>
            <w:r w:rsidRPr="00764447" w:rsidR="00BA1E52">
              <w:rPr>
                <w:rFonts w:ascii="Times New Roman" w:eastAsia="Times New Roman" w:hAnsi="Times New Roman" w:cs="Times New Roman"/>
                <w:iCs/>
                <w:sz w:val="24"/>
                <w:szCs w:val="24"/>
                <w:lang w:eastAsia="lv-LV"/>
              </w:rPr>
              <w:t>ir</w:t>
            </w:r>
            <w:r w:rsidR="00764447">
              <w:rPr>
                <w:rFonts w:ascii="Times New Roman" w:eastAsia="Times New Roman" w:hAnsi="Times New Roman" w:cs="Times New Roman"/>
                <w:iCs/>
                <w:sz w:val="24"/>
                <w:szCs w:val="24"/>
                <w:lang w:eastAsia="lv-LV"/>
              </w:rPr>
              <w:t xml:space="preserve"> nepieciešami, paplašinot iepirkuma procedūru izvēles iespējas.</w:t>
            </w:r>
            <w:r w:rsidR="00742243">
              <w:rPr>
                <w:rFonts w:ascii="Times New Roman" w:eastAsia="Times New Roman" w:hAnsi="Times New Roman" w:cs="Times New Roman"/>
                <w:iCs/>
                <w:sz w:val="24"/>
                <w:szCs w:val="24"/>
                <w:lang w:eastAsia="lv-LV"/>
              </w:rPr>
              <w:t xml:space="preserve"> </w:t>
            </w:r>
            <w:r w:rsidRPr="00764447" w:rsidR="00742243">
              <w:rPr>
                <w:rFonts w:ascii="Times New Roman" w:eastAsia="Times New Roman" w:hAnsi="Times New Roman" w:cs="Times New Roman"/>
                <w:iCs/>
                <w:sz w:val="24"/>
                <w:szCs w:val="24"/>
                <w:lang w:eastAsia="lv-LV"/>
              </w:rPr>
              <w:t>Šāda deleģējuma izpilde ir iespējama, īstenojot gan PIL procedūr</w:t>
            </w:r>
            <w:r>
              <w:rPr>
                <w:rFonts w:ascii="Times New Roman" w:eastAsia="Times New Roman" w:hAnsi="Times New Roman" w:cs="Times New Roman"/>
                <w:iCs/>
                <w:sz w:val="24"/>
                <w:szCs w:val="24"/>
                <w:lang w:eastAsia="lv-LV"/>
              </w:rPr>
              <w:t>as, gan ADJIL procedūras. Enerģētikas likuma</w:t>
            </w:r>
            <w:r w:rsidRPr="005C7033">
              <w:rPr>
                <w:rFonts w:ascii="Times New Roman" w:eastAsia="Times New Roman" w:hAnsi="Times New Roman" w:cs="Times New Roman"/>
                <w:iCs/>
                <w:sz w:val="24"/>
                <w:szCs w:val="24"/>
                <w:lang w:eastAsia="lv-LV"/>
              </w:rPr>
              <w:t xml:space="preserve"> 72</w:t>
            </w:r>
            <w:r>
              <w:rPr>
                <w:rFonts w:ascii="Times New Roman" w:eastAsia="Times New Roman" w:hAnsi="Times New Roman" w:cs="Times New Roman"/>
                <w:iCs/>
                <w:sz w:val="24"/>
                <w:szCs w:val="24"/>
                <w:lang w:eastAsia="lv-LV"/>
              </w:rPr>
              <w:t>.panta otro daļai mainot redakciju, t.i., aizstājot vārdus “atklāts konkurss”</w:t>
            </w:r>
            <w:r w:rsidRPr="005C703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ar “iepirkuma procedūru</w:t>
            </w:r>
            <w:r w:rsidRPr="005C703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un </w:t>
            </w:r>
            <w:r w:rsidR="00C4490C">
              <w:rPr>
                <w:rFonts w:ascii="Times New Roman" w:eastAsia="Times New Roman" w:hAnsi="Times New Roman" w:cs="Times New Roman"/>
                <w:iCs/>
                <w:sz w:val="24"/>
                <w:szCs w:val="24"/>
                <w:lang w:eastAsia="lv-LV"/>
              </w:rPr>
              <w:t>aizstājot</w:t>
            </w:r>
            <w:r w:rsidRPr="005C7033">
              <w:rPr>
                <w:rFonts w:ascii="Times New Roman" w:eastAsia="Times New Roman" w:hAnsi="Times New Roman" w:cs="Times New Roman"/>
                <w:iCs/>
                <w:sz w:val="24"/>
                <w:szCs w:val="24"/>
                <w:lang w:eastAsia="lv-LV"/>
              </w:rPr>
              <w:t xml:space="preserve"> 72.</w:t>
            </w:r>
            <w:r w:rsidRPr="005C7033">
              <w:rPr>
                <w:rFonts w:ascii="Times New Roman" w:eastAsia="Times New Roman" w:hAnsi="Times New Roman" w:cs="Times New Roman"/>
                <w:iCs/>
                <w:sz w:val="24"/>
                <w:szCs w:val="24"/>
                <w:vertAlign w:val="superscript"/>
                <w:lang w:eastAsia="lv-LV"/>
              </w:rPr>
              <w:t xml:space="preserve">1 </w:t>
            </w:r>
            <w:r w:rsidR="00C4490C">
              <w:rPr>
                <w:rFonts w:ascii="Times New Roman" w:eastAsia="Times New Roman" w:hAnsi="Times New Roman" w:cs="Times New Roman"/>
                <w:iCs/>
                <w:sz w:val="24"/>
                <w:szCs w:val="24"/>
                <w:lang w:eastAsia="lv-LV"/>
              </w:rPr>
              <w:t>pantā</w:t>
            </w:r>
            <w:r w:rsidRPr="005C7033">
              <w:rPr>
                <w:rFonts w:ascii="Times New Roman" w:eastAsia="Times New Roman" w:hAnsi="Times New Roman" w:cs="Times New Roman"/>
                <w:iCs/>
                <w:sz w:val="24"/>
                <w:szCs w:val="24"/>
                <w:lang w:eastAsia="lv-LV"/>
              </w:rPr>
              <w:t xml:space="preserve"> vārd</w:t>
            </w:r>
            <w:r w:rsidR="00C4490C">
              <w:rPr>
                <w:rFonts w:ascii="Times New Roman" w:eastAsia="Times New Roman" w:hAnsi="Times New Roman" w:cs="Times New Roman"/>
                <w:iCs/>
                <w:sz w:val="24"/>
                <w:szCs w:val="24"/>
                <w:lang w:eastAsia="lv-LV"/>
              </w:rPr>
              <w:t>us</w:t>
            </w:r>
            <w:r w:rsidRPr="005C7033">
              <w:rPr>
                <w:rFonts w:ascii="Times New Roman" w:eastAsia="Times New Roman" w:hAnsi="Times New Roman" w:cs="Times New Roman"/>
                <w:iCs/>
                <w:sz w:val="24"/>
                <w:szCs w:val="24"/>
                <w:lang w:eastAsia="lv-LV"/>
              </w:rPr>
              <w:t xml:space="preserve"> “Publisko iepirkumu likumā “ ar vārdiem “</w:t>
            </w:r>
            <w:r w:rsidR="00C4490C">
              <w:rPr>
                <w:rFonts w:ascii="Times New Roman" w:eastAsia="Times New Roman" w:hAnsi="Times New Roman" w:cs="Times New Roman"/>
                <w:iCs/>
                <w:sz w:val="24"/>
                <w:szCs w:val="24"/>
                <w:lang w:eastAsia="lv-LV"/>
              </w:rPr>
              <w:t>publisko iepirkuma jomas normatīvajos aktos</w:t>
            </w:r>
            <w:r w:rsidRPr="005C7033">
              <w:rPr>
                <w:rFonts w:ascii="Times New Roman" w:eastAsia="Times New Roman" w:hAnsi="Times New Roman" w:cs="Times New Roman"/>
                <w:iCs/>
                <w:sz w:val="24"/>
                <w:szCs w:val="24"/>
                <w:lang w:eastAsia="lv-LV"/>
              </w:rPr>
              <w:t>”.</w:t>
            </w:r>
          </w:p>
          <w:p w:rsidR="007A4337" w:rsidRPr="00764447" w:rsidP="00742243">
            <w:pPr>
              <w:spacing w:after="0" w:line="240" w:lineRule="auto"/>
              <w:jc w:val="both"/>
              <w:rPr>
                <w:rFonts w:ascii="Times New Roman" w:eastAsia="Times New Roman" w:hAnsi="Times New Roman" w:cs="Times New Roman"/>
                <w:iCs/>
                <w:sz w:val="24"/>
                <w:szCs w:val="24"/>
                <w:lang w:eastAsia="lv-LV"/>
              </w:rPr>
            </w:pP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8E6041"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Ekonomikas ministrija</w:t>
            </w:r>
          </w:p>
          <w:p w:rsidR="00E5323B" w:rsidRPr="00764447" w:rsidP="00E5323B">
            <w:pPr>
              <w:spacing w:after="0" w:line="240" w:lineRule="auto"/>
              <w:rPr>
                <w:rFonts w:ascii="Times New Roman" w:eastAsia="Times New Roman" w:hAnsi="Times New Roman" w:cs="Times New Roman"/>
                <w:iCs/>
                <w:sz w:val="24"/>
                <w:szCs w:val="24"/>
                <w:lang w:eastAsia="lv-LV"/>
              </w:rPr>
            </w:pP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"Nav"</w:t>
            </w:r>
          </w:p>
        </w:tc>
      </w:tr>
    </w:tbl>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b/>
                <w:bCs/>
                <w:iCs/>
                <w:sz w:val="24"/>
                <w:szCs w:val="24"/>
                <w:lang w:eastAsia="lv-LV"/>
              </w:rPr>
            </w:pPr>
            <w:r w:rsidRPr="0076444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64447" w:rsidP="00BA1E52">
            <w:pPr>
              <w:spacing w:after="0" w:line="240" w:lineRule="auto"/>
              <w:jc w:val="both"/>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Ikviens komersants, kas atbilst un kvalificējas Ekonomikas ministrijas izsludināto konkursu nolikuma prasībām par drošības rezervju uzglabāšanas pakalpojuma sniegšanu.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Saņemot zemākas uzglabāšanas cenas, samazināsies kopējā ietekme uz degvielas mazumtirdzniecības cenu, kas tieši ietekmē ikvienu fizisku vai juridisku personu, kas ikdienā izmanto transportlīdzekli privātām vai dienesta vajadzībām.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93280C">
              <w:rPr>
                <w:rFonts w:ascii="Times New Roman" w:eastAsia="Times New Roman" w:hAnsi="Times New Roman" w:cs="Times New Roman"/>
                <w:iCs/>
                <w:sz w:val="24"/>
                <w:szCs w:val="24"/>
                <w:lang w:eastAsia="lv-LV"/>
              </w:rPr>
              <w:t>Projekts šo jomu neska</w:t>
            </w:r>
            <w:r>
              <w:rPr>
                <w:rFonts w:ascii="Times New Roman" w:eastAsia="Times New Roman" w:hAnsi="Times New Roman" w:cs="Times New Roman"/>
                <w:iCs/>
                <w:sz w:val="24"/>
                <w:szCs w:val="24"/>
                <w:lang w:eastAsia="lv-LV"/>
              </w:rPr>
              <w:t>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93280C">
              <w:rPr>
                <w:rFonts w:ascii="Times New Roman" w:eastAsia="Times New Roman" w:hAnsi="Times New Roman" w:cs="Times New Roman"/>
                <w:iCs/>
                <w:sz w:val="24"/>
                <w:szCs w:val="24"/>
                <w:lang w:eastAsia="lv-LV"/>
              </w:rPr>
              <w:t>Projekts šo jomu neska</w:t>
            </w:r>
            <w:r>
              <w:rPr>
                <w:rFonts w:ascii="Times New Roman" w:eastAsia="Times New Roman" w:hAnsi="Times New Roman" w:cs="Times New Roman"/>
                <w:iCs/>
                <w:sz w:val="24"/>
                <w:szCs w:val="24"/>
                <w:lang w:eastAsia="lv-LV"/>
              </w:rPr>
              <w:t>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"Nav"</w:t>
            </w:r>
          </w:p>
        </w:tc>
      </w:tr>
    </w:tbl>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b/>
                <w:bCs/>
                <w:iCs/>
                <w:sz w:val="24"/>
                <w:szCs w:val="24"/>
                <w:lang w:eastAsia="lv-LV"/>
              </w:rPr>
            </w:pPr>
            <w:r w:rsidRPr="00764447">
              <w:rPr>
                <w:rFonts w:ascii="Times New Roman" w:eastAsia="Times New Roman" w:hAnsi="Times New Roman" w:cs="Times New Roman"/>
                <w:b/>
                <w:bCs/>
                <w:iCs/>
                <w:sz w:val="24"/>
                <w:szCs w:val="24"/>
                <w:lang w:eastAsia="lv-LV"/>
              </w:rPr>
              <w:t>III. Tiesību akta projekta ietekme uz valsts budžetu un pašvaldību budžetiem</w:t>
            </w:r>
          </w:p>
        </w:tc>
      </w:tr>
      <w:tr w:rsidTr="0093280C">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3280C" w:rsidRPr="00764447" w:rsidP="00E5323B">
            <w:pPr>
              <w:spacing w:after="0" w:line="240" w:lineRule="auto"/>
              <w:rPr>
                <w:rFonts w:ascii="Times New Roman" w:eastAsia="Times New Roman" w:hAnsi="Times New Roman" w:cs="Times New Roman"/>
                <w:iCs/>
                <w:sz w:val="24"/>
                <w:szCs w:val="24"/>
                <w:lang w:eastAsia="lv-LV"/>
              </w:rPr>
            </w:pPr>
            <w:r w:rsidRPr="0093280C">
              <w:rPr>
                <w:rFonts w:ascii="Times New Roman" w:eastAsia="Times New Roman" w:hAnsi="Times New Roman" w:cs="Times New Roman"/>
                <w:iCs/>
                <w:sz w:val="24"/>
                <w:szCs w:val="24"/>
                <w:lang w:eastAsia="lv-LV"/>
              </w:rPr>
              <w:t>Projekts šo jomu neskar</w:t>
            </w:r>
          </w:p>
        </w:tc>
      </w:tr>
    </w:tbl>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b/>
                <w:bCs/>
                <w:iCs/>
                <w:sz w:val="24"/>
                <w:szCs w:val="24"/>
                <w:lang w:eastAsia="lv-LV"/>
              </w:rPr>
            </w:pPr>
            <w:r w:rsidRPr="00764447">
              <w:rPr>
                <w:rFonts w:ascii="Times New Roman" w:eastAsia="Times New Roman" w:hAnsi="Times New Roman" w:cs="Times New Roman"/>
                <w:b/>
                <w:bCs/>
                <w:iCs/>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387426" w:rsidRPr="00764447" w:rsidP="00387426">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Nepieciešams veikt grozījumus Ministru kabineta 2011.gada 12.aprīļa noteikumos Nr.286 „Kārtība, kādā komersanti nodrošina un sniedz drošības rezervju pakalpojumu valsts naftas produktu drošības rezervju izveidei noteiktā apjomā”.</w:t>
            </w:r>
          </w:p>
          <w:p w:rsidR="00E5323B" w:rsidRPr="00764447" w:rsidP="00387426">
            <w:pPr>
              <w:spacing w:after="0" w:line="240" w:lineRule="auto"/>
              <w:rPr>
                <w:rFonts w:ascii="Times New Roman" w:eastAsia="Times New Roman" w:hAnsi="Times New Roman" w:cs="Times New Roman"/>
                <w:iCs/>
                <w:sz w:val="24"/>
                <w:szCs w:val="24"/>
                <w:lang w:eastAsia="lv-LV"/>
              </w:rPr>
            </w:pP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Tiesību akta projektu izstrādās 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"Nav"</w:t>
            </w:r>
          </w:p>
        </w:tc>
      </w:tr>
    </w:tbl>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b/>
                <w:bCs/>
                <w:iCs/>
                <w:sz w:val="24"/>
                <w:szCs w:val="24"/>
                <w:lang w:eastAsia="lv-LV"/>
              </w:rPr>
            </w:pPr>
            <w:r w:rsidRPr="00764447">
              <w:rPr>
                <w:rFonts w:ascii="Times New Roman" w:eastAsia="Times New Roman" w:hAnsi="Times New Roman" w:cs="Times New Roman"/>
                <w:b/>
                <w:bCs/>
                <w:iCs/>
                <w:sz w:val="24"/>
                <w:szCs w:val="24"/>
                <w:lang w:eastAsia="lv-LV"/>
              </w:rPr>
              <w:t>V. Tiesību akta projekta atbilstība Latvijas Republikas starptautiskajām saistībām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764447" w:rsidP="00932B56">
            <w:pPr>
              <w:spacing w:after="0" w:line="240" w:lineRule="auto"/>
              <w:jc w:val="both"/>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Eiropas Savienības iepirkumu regulējums, kas izriet no Eiropas Parlamenta un Padomes 2009.gada 13.jūlija direktīvas 2009/81/EK, ar kuru koordinē procedūras attiecībā uz to, kā līgumslēdzējas iestādes vai subjekti, kas darbojas drošības un aizsardzības jomā, piešķir noteiktu būvdarbu, piegādes un pakalpojumu līgumu slēgšanas tiesības, un ar kuru groza direktīvas 2004/17/EK un 2004/18/EK  (turpmāk - Direktīva 2009/81/EK).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"Nav"</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"Nav"</w:t>
            </w:r>
          </w:p>
        </w:tc>
      </w:tr>
    </w:tbl>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63"/>
        <w:gridCol w:w="2249"/>
        <w:gridCol w:w="1006"/>
        <w:gridCol w:w="1273"/>
        <w:gridCol w:w="226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b/>
                <w:bCs/>
                <w:iCs/>
                <w:sz w:val="24"/>
                <w:szCs w:val="24"/>
                <w:lang w:eastAsia="lv-LV"/>
              </w:rPr>
            </w:pPr>
            <w:r w:rsidRPr="00764447">
              <w:rPr>
                <w:rFonts w:ascii="Times New Roman" w:eastAsia="Times New Roman" w:hAnsi="Times New Roman" w:cs="Times New Roman"/>
                <w:b/>
                <w:bCs/>
                <w:iCs/>
                <w:sz w:val="24"/>
                <w:szCs w:val="24"/>
                <w:lang w:eastAsia="lv-LV"/>
              </w:rPr>
              <w:t>1. tabula</w:t>
            </w:r>
            <w:r w:rsidRPr="00764447">
              <w:rPr>
                <w:rFonts w:ascii="Times New Roman" w:eastAsia="Times New Roman" w:hAnsi="Times New Roman" w:cs="Times New Roman"/>
                <w:b/>
                <w:bCs/>
                <w:iCs/>
                <w:sz w:val="24"/>
                <w:szCs w:val="24"/>
                <w:lang w:eastAsia="lv-LV"/>
              </w:rPr>
              <w:br/>
              <w:t>Tiesību akta projekta atbilstība ES tiesību aktiem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D</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CF3523"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p w:rsidR="00CF3523" w:rsidRPr="00CF3523" w:rsidP="00CF3523">
            <w:pPr>
              <w:rPr>
                <w:rFonts w:ascii="Times New Roman" w:eastAsia="Times New Roman" w:hAnsi="Times New Roman" w:cs="Times New Roman"/>
                <w:sz w:val="24"/>
                <w:szCs w:val="24"/>
                <w:lang w:eastAsia="lv-LV"/>
              </w:rPr>
            </w:pPr>
          </w:p>
          <w:p w:rsidR="00CF3523" w:rsidRPr="00CF3523" w:rsidP="00CF3523">
            <w:pPr>
              <w:rPr>
                <w:rFonts w:ascii="Times New Roman" w:eastAsia="Times New Roman" w:hAnsi="Times New Roman" w:cs="Times New Roman"/>
                <w:sz w:val="24"/>
                <w:szCs w:val="24"/>
                <w:lang w:eastAsia="lv-LV"/>
              </w:rPr>
            </w:pPr>
          </w:p>
          <w:p w:rsidR="00CF3523" w:rsidRPr="00CF3523" w:rsidP="00CF3523">
            <w:pPr>
              <w:rPr>
                <w:rFonts w:ascii="Times New Roman" w:eastAsia="Times New Roman" w:hAnsi="Times New Roman" w:cs="Times New Roman"/>
                <w:sz w:val="24"/>
                <w:szCs w:val="24"/>
                <w:lang w:eastAsia="lv-LV"/>
              </w:rPr>
            </w:pPr>
          </w:p>
          <w:p w:rsidR="00CF3523" w:rsidRPr="00CF3523" w:rsidP="00CF3523">
            <w:pPr>
              <w:rPr>
                <w:rFonts w:ascii="Times New Roman" w:eastAsia="Times New Roman" w:hAnsi="Times New Roman" w:cs="Times New Roman"/>
                <w:sz w:val="24"/>
                <w:szCs w:val="24"/>
                <w:lang w:eastAsia="lv-LV"/>
              </w:rPr>
            </w:pPr>
          </w:p>
          <w:p w:rsidR="00CF3523" w:rsidRPr="00CF3523" w:rsidP="00CF3523">
            <w:pPr>
              <w:rPr>
                <w:rFonts w:ascii="Times New Roman" w:eastAsia="Times New Roman" w:hAnsi="Times New Roman" w:cs="Times New Roman"/>
                <w:sz w:val="24"/>
                <w:szCs w:val="24"/>
                <w:lang w:eastAsia="lv-LV"/>
              </w:rPr>
            </w:pPr>
          </w:p>
          <w:p w:rsidR="00CF3523" w:rsidRPr="00CF3523" w:rsidP="00CF3523">
            <w:pPr>
              <w:rPr>
                <w:rFonts w:ascii="Times New Roman" w:eastAsia="Times New Roman" w:hAnsi="Times New Roman" w:cs="Times New Roman"/>
                <w:sz w:val="24"/>
                <w:szCs w:val="24"/>
                <w:lang w:eastAsia="lv-LV"/>
              </w:rPr>
            </w:pPr>
          </w:p>
          <w:p w:rsidR="00CF3523" w:rsidRPr="00CF3523" w:rsidP="00CF3523">
            <w:pPr>
              <w:rPr>
                <w:rFonts w:ascii="Times New Roman" w:eastAsia="Times New Roman" w:hAnsi="Times New Roman" w:cs="Times New Roman"/>
                <w:sz w:val="24"/>
                <w:szCs w:val="24"/>
                <w:lang w:eastAsia="lv-LV"/>
              </w:rPr>
            </w:pPr>
          </w:p>
          <w:p w:rsidR="00CF3523" w:rsidRPr="00CF3523" w:rsidP="00CF3523">
            <w:pPr>
              <w:rPr>
                <w:rFonts w:ascii="Times New Roman" w:eastAsia="Times New Roman" w:hAnsi="Times New Roman" w:cs="Times New Roman"/>
                <w:sz w:val="24"/>
                <w:szCs w:val="24"/>
                <w:lang w:eastAsia="lv-LV"/>
              </w:rPr>
            </w:pPr>
          </w:p>
          <w:p w:rsidR="00E5323B" w:rsidRPr="00CF3523" w:rsidP="00CF3523">
            <w:pPr>
              <w:jc w:val="center"/>
              <w:rPr>
                <w:rFonts w:ascii="Times New Roman" w:eastAsia="Times New Roman" w:hAnsi="Times New Roman" w:cs="Times New Roman"/>
                <w:sz w:val="24"/>
                <w:szCs w:val="24"/>
                <w:lang w:eastAsia="lv-LV"/>
              </w:rPr>
            </w:pPr>
          </w:p>
        </w:tc>
        <w:tc>
          <w:tcPr>
            <w:tcW w:w="125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Projekta vienība, kas pārņem vai ievieš katru šīs tabulas A ailē minēto ES tiesību akta vienību, vai tiesību akts, kur attiecīgā ES tiesību </w:t>
            </w:r>
            <w:r w:rsidRPr="00764447">
              <w:rPr>
                <w:rFonts w:ascii="Times New Roman" w:eastAsia="Times New Roman" w:hAnsi="Times New Roman" w:cs="Times New Roman"/>
                <w:iCs/>
                <w:sz w:val="24"/>
                <w:szCs w:val="24"/>
                <w:lang w:eastAsia="lv-LV"/>
              </w:rPr>
              <w:t>akta vienība pārņemta vai ieviesta</w:t>
            </w:r>
          </w:p>
        </w:tc>
        <w:tc>
          <w:tcPr>
            <w:tcW w:w="1250" w:type="pct"/>
            <w:gridSpan w:val="2"/>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764447">
              <w:rPr>
                <w:rFonts w:ascii="Times New Roman" w:eastAsia="Times New Roman" w:hAnsi="Times New Roman" w:cs="Times New Roman"/>
                <w:iCs/>
                <w:sz w:val="24"/>
                <w:szCs w:val="24"/>
                <w:lang w:eastAsia="lv-LV"/>
              </w:rPr>
              <w:br/>
            </w:r>
            <w:r w:rsidRPr="00764447">
              <w:rPr>
                <w:rFonts w:ascii="Times New Roman" w:eastAsia="Times New Roman" w:hAnsi="Times New Roman" w:cs="Times New Roman"/>
                <w:iCs/>
                <w:sz w:val="24"/>
                <w:szCs w:val="24"/>
                <w:lang w:eastAsia="lv-LV"/>
              </w:rPr>
              <w:t>Ja attiecīgā ES tiesību akta vienība tiek pārņemta vai ieviesta daļēji, sniedz attiecīgu skaidrojumu, kā arī precīzi norāda, kad un kādā veidā ES tiesību akta vienība tiks pārņemta vai ieviesta pilnībā.</w:t>
            </w:r>
            <w:r w:rsidRPr="00764447">
              <w:rPr>
                <w:rFonts w:ascii="Times New Roman" w:eastAsia="Times New Roman" w:hAnsi="Times New Roman" w:cs="Times New Roman"/>
                <w:iCs/>
                <w:sz w:val="24"/>
                <w:szCs w:val="24"/>
                <w:lang w:eastAsia="lv-LV"/>
              </w:rPr>
              <w:br/>
              <w:t>Norāda institūciju, kas 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Informācija par to, vai šīs tabulas B ailē minētās projekta vienības paredz stingrākas prasības nekā šīs tabulas A ailē minētās ES </w:t>
            </w:r>
            <w:r w:rsidRPr="00764447">
              <w:rPr>
                <w:rFonts w:ascii="Times New Roman" w:eastAsia="Times New Roman" w:hAnsi="Times New Roman" w:cs="Times New Roman"/>
                <w:iCs/>
                <w:sz w:val="24"/>
                <w:szCs w:val="24"/>
                <w:lang w:eastAsia="lv-LV"/>
              </w:rPr>
              <w:t>tiesību akta vienības.</w:t>
            </w:r>
            <w:r w:rsidRPr="00764447">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764447">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Iekļauj informāciju atbilstoši instrukcijas 56.1. apakšpunktam</w:t>
            </w:r>
          </w:p>
        </w:tc>
        <w:tc>
          <w:tcPr>
            <w:tcW w:w="125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Iekļauj informāciju atbilstoši instrukcijas 56.2. apakšpunktam</w:t>
            </w:r>
          </w:p>
        </w:tc>
        <w:tc>
          <w:tcPr>
            <w:tcW w:w="1250" w:type="pct"/>
            <w:gridSpan w:val="2"/>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Iekļauj informāciju atbilstoši instrukcijas 56.3. apakšpunktam.</w:t>
            </w:r>
            <w:r w:rsidRPr="00764447">
              <w:rPr>
                <w:rFonts w:ascii="Times New Roman" w:eastAsia="Times New Roman" w:hAnsi="Times New Roman" w:cs="Times New Roman"/>
                <w:iCs/>
                <w:sz w:val="24"/>
                <w:szCs w:val="24"/>
                <w:lang w:eastAsia="lv-LV"/>
              </w:rPr>
              <w:br/>
              <w:t>Ja attiecināms, iekļauj arī informāciju atbilstoši instrukcijas 56.3.1., 56.3.2. un 56.3.3. apakšpunktam</w:t>
            </w:r>
          </w:p>
        </w:tc>
        <w:tc>
          <w:tcPr>
            <w:tcW w:w="125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Iekļauj informāciju atbilstoši instrukcijas 56.4. apakšpunktam.</w:t>
            </w:r>
            <w:r w:rsidRPr="00764447">
              <w:rPr>
                <w:rFonts w:ascii="Times New Roman" w:eastAsia="Times New Roman" w:hAnsi="Times New Roman" w:cs="Times New Roman"/>
                <w:iCs/>
                <w:sz w:val="24"/>
                <w:szCs w:val="24"/>
                <w:lang w:eastAsia="lv-LV"/>
              </w:rPr>
              <w:br/>
              <w:t>Ja attiecināms, iekļauj arī informāciju atbilstoši instrukcijas 56.4.1. un 56.4.2. apakšpunktam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Iekļauj informāciju atbilstoši instrukcijas 56.5. apakšpunktam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Iekļauj informāciju atbilstoši instrukcijas 56.6. apakšpunktam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"Nav"</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b/>
                <w:bCs/>
                <w:iCs/>
                <w:sz w:val="24"/>
                <w:szCs w:val="24"/>
                <w:lang w:eastAsia="lv-LV"/>
              </w:rPr>
            </w:pPr>
            <w:r w:rsidRPr="00764447">
              <w:rPr>
                <w:rFonts w:ascii="Times New Roman" w:eastAsia="Times New Roman" w:hAnsi="Times New Roman" w:cs="Times New Roman"/>
                <w:b/>
                <w:bCs/>
                <w:iCs/>
                <w:sz w:val="24"/>
                <w:szCs w:val="24"/>
                <w:lang w:eastAsia="lv-LV"/>
              </w:rPr>
              <w:t>2. tabula</w:t>
            </w:r>
            <w:r w:rsidRPr="00764447">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764447">
              <w:rPr>
                <w:rFonts w:ascii="Times New Roman" w:eastAsia="Times New Roman" w:hAnsi="Times New Roman" w:cs="Times New Roman"/>
                <w:b/>
                <w:bCs/>
                <w:iCs/>
                <w:sz w:val="24"/>
                <w:szCs w:val="24"/>
                <w:lang w:eastAsia="lv-LV"/>
              </w:rPr>
              <w:br/>
              <w:t>Pasākumi šo saistību izpildei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Aizpilda, ja ar projektu izpildītas vai tiek uzņemtas saistības, kas izriet no vairāk nekā viena starptautiskā dokumenta, – norāda informāciju, kas minēta instrukcijas </w:t>
            </w:r>
            <w:r>
              <w:fldChar w:fldCharType="begin"/>
            </w:r>
            <w:r>
              <w:instrText xml:space="preserve"> HYPERLINK "https://likumi.lv/doc.php?id=203061" \l "n57.1" \t "_blank" </w:instrText>
            </w:r>
            <w:r>
              <w:fldChar w:fldCharType="separate"/>
            </w:r>
            <w:r w:rsidRPr="00764447">
              <w:rPr>
                <w:rStyle w:val="Hyperlink"/>
                <w:rFonts w:ascii="Times New Roman" w:eastAsia="Times New Roman" w:hAnsi="Times New Roman" w:cs="Times New Roman"/>
                <w:iCs/>
                <w:color w:val="auto"/>
                <w:sz w:val="24"/>
                <w:szCs w:val="24"/>
                <w:lang w:eastAsia="lv-LV"/>
              </w:rPr>
              <w:t>57.1</w:t>
            </w:r>
            <w:r>
              <w:fldChar w:fldCharType="end"/>
            </w:r>
            <w:r w:rsidRPr="00764447">
              <w:rPr>
                <w:rFonts w:ascii="Times New Roman" w:eastAsia="Times New Roman" w:hAnsi="Times New Roman" w:cs="Times New Roman"/>
                <w:iCs/>
                <w:sz w:val="24"/>
                <w:szCs w:val="24"/>
                <w:lang w:eastAsia="lv-LV"/>
              </w:rPr>
              <w:t>. apakšpunktā un kas jau tika norādīta arī</w:t>
            </w:r>
            <w:r>
              <w:fldChar w:fldCharType="begin"/>
            </w:r>
            <w:r>
              <w:instrText xml:space="preserve"> HYPERLINK "https://likumi.lv/doc.php?id=203061" \l "n5" \t "_blank" </w:instrText>
            </w:r>
            <w:r>
              <w:fldChar w:fldCharType="separate"/>
            </w:r>
            <w:r w:rsidRPr="00764447">
              <w:rPr>
                <w:rStyle w:val="Hyperlink"/>
                <w:rFonts w:ascii="Times New Roman" w:eastAsia="Times New Roman" w:hAnsi="Times New Roman" w:cs="Times New Roman"/>
                <w:iCs/>
                <w:color w:val="auto"/>
                <w:sz w:val="24"/>
                <w:szCs w:val="24"/>
                <w:lang w:eastAsia="lv-LV"/>
              </w:rPr>
              <w:t xml:space="preserve"> V sadaļas</w:t>
            </w:r>
            <w:r>
              <w:fldChar w:fldCharType="end"/>
            </w:r>
            <w:r w:rsidRPr="00764447">
              <w:rPr>
                <w:rFonts w:ascii="Times New Roman" w:eastAsia="Times New Roman" w:hAnsi="Times New Roman" w:cs="Times New Roman"/>
                <w:iCs/>
                <w:sz w:val="24"/>
                <w:szCs w:val="24"/>
                <w:lang w:eastAsia="lv-LV"/>
              </w:rPr>
              <w:t xml:space="preserve"> </w:t>
            </w:r>
            <w:r>
              <w:fldChar w:fldCharType="begin"/>
            </w:r>
            <w:r>
              <w:instrText xml:space="preserve"> HYPERLINK "https://likumi.lv/doc.php?id=203061" \l "p2" \t "_blank" </w:instrText>
            </w:r>
            <w:r>
              <w:fldChar w:fldCharType="separate"/>
            </w:r>
            <w:r w:rsidRPr="00764447">
              <w:rPr>
                <w:rStyle w:val="Hyperlink"/>
                <w:rFonts w:ascii="Times New Roman" w:eastAsia="Times New Roman" w:hAnsi="Times New Roman" w:cs="Times New Roman"/>
                <w:iCs/>
                <w:color w:val="auto"/>
                <w:sz w:val="24"/>
                <w:szCs w:val="24"/>
                <w:lang w:eastAsia="lv-LV"/>
              </w:rPr>
              <w:t>2. punktā</w:t>
            </w:r>
            <w:r>
              <w:fldChar w:fldCharType="end"/>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C</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Starptautiskās saistības (pēc būtības), kas izriet no norādītā starptautiskā dokumenta.</w:t>
            </w:r>
            <w:r w:rsidRPr="00764447">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764447">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764447">
              <w:rPr>
                <w:rFonts w:ascii="Times New Roman" w:eastAsia="Times New Roman" w:hAnsi="Times New Roman" w:cs="Times New Roman"/>
                <w:iCs/>
                <w:sz w:val="24"/>
                <w:szCs w:val="24"/>
                <w:lang w:eastAsia="lv-LV"/>
              </w:rPr>
              <w:br/>
              <w:t>Norāda institūciju, kas ir atbildīga par šo saistību izpildi pilnībā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Iekļauj informāciju atbilstoši instrukcijas 58.1. apakšpunktam</w:t>
            </w:r>
          </w:p>
        </w:tc>
        <w:tc>
          <w:tcPr>
            <w:tcW w:w="1800" w:type="pct"/>
            <w:gridSpan w:val="2"/>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Iekļauj informāciju atbilstoši instrukcijas 58.2. apakšpunktam</w:t>
            </w:r>
          </w:p>
        </w:tc>
        <w:tc>
          <w:tcPr>
            <w:tcW w:w="1950" w:type="pct"/>
            <w:gridSpan w:val="2"/>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Iekļauj informāciju atbilstoši instrukcijas 58.3. apakšpunktam.</w:t>
            </w:r>
            <w:r w:rsidRPr="00764447">
              <w:rPr>
                <w:rFonts w:ascii="Times New Roman" w:eastAsia="Times New Roman" w:hAnsi="Times New Roman" w:cs="Times New Roman"/>
                <w:iCs/>
                <w:sz w:val="24"/>
                <w:szCs w:val="24"/>
                <w:lang w:eastAsia="lv-LV"/>
              </w:rPr>
              <w:br/>
              <w:t>Ja attiecināms, iekļauj arī informāciju atbilstoši instrukcijas 58.3.1., 58.3.2. un 58.3.3. apakšpunktam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Iekļauj informāciju atbilstoši instrukcijas 58.4. apakšpunktam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Iekļauj papildu informāciju pēc tiesību akta projekta izstrādātāja ieskatiem. Ja šādas informācijas nav, ieraksta "Nav"</w:t>
            </w:r>
          </w:p>
        </w:tc>
      </w:tr>
    </w:tbl>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b/>
                <w:bCs/>
                <w:iCs/>
                <w:sz w:val="24"/>
                <w:szCs w:val="24"/>
                <w:lang w:eastAsia="lv-LV"/>
              </w:rPr>
            </w:pPr>
            <w:r w:rsidRPr="00764447">
              <w:rPr>
                <w:rFonts w:ascii="Times New Roman" w:eastAsia="Times New Roman" w:hAnsi="Times New Roman" w:cs="Times New Roman"/>
                <w:b/>
                <w:bCs/>
                <w:iCs/>
                <w:sz w:val="24"/>
                <w:szCs w:val="24"/>
                <w:lang w:eastAsia="lv-LV"/>
              </w:rPr>
              <w:t>VI. Sabiedrības līdzdalība un komunikācijas aktivitātes</w:t>
            </w:r>
          </w:p>
        </w:tc>
      </w:tr>
      <w:tr w:rsidTr="0093280C">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tcPr>
          <w:p w:rsidR="0093280C" w:rsidRPr="00764447" w:rsidP="00E5323B">
            <w:pPr>
              <w:spacing w:after="0" w:line="240" w:lineRule="auto"/>
              <w:rPr>
                <w:rFonts w:ascii="Times New Roman" w:eastAsia="Times New Roman" w:hAnsi="Times New Roman" w:cs="Times New Roman"/>
                <w:iCs/>
                <w:sz w:val="24"/>
                <w:szCs w:val="24"/>
                <w:lang w:eastAsia="lv-LV"/>
              </w:rPr>
            </w:pPr>
            <w:r w:rsidRPr="0093280C">
              <w:rPr>
                <w:rFonts w:ascii="Times New Roman" w:eastAsia="Times New Roman" w:hAnsi="Times New Roman" w:cs="Times New Roman"/>
                <w:iCs/>
                <w:sz w:val="24"/>
                <w:szCs w:val="24"/>
                <w:lang w:eastAsia="lv-LV"/>
              </w:rPr>
              <w:t>Projekts šo jomu neskar</w:t>
            </w:r>
          </w:p>
        </w:tc>
      </w:tr>
    </w:tbl>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64447" w:rsidP="00E5323B">
            <w:pPr>
              <w:spacing w:after="0" w:line="240" w:lineRule="auto"/>
              <w:rPr>
                <w:rFonts w:ascii="Times New Roman" w:eastAsia="Times New Roman" w:hAnsi="Times New Roman" w:cs="Times New Roman"/>
                <w:b/>
                <w:bCs/>
                <w:iCs/>
                <w:sz w:val="24"/>
                <w:szCs w:val="24"/>
                <w:lang w:eastAsia="lv-LV"/>
              </w:rPr>
            </w:pPr>
            <w:r w:rsidRPr="00764447">
              <w:rPr>
                <w:rFonts w:ascii="Times New Roman" w:eastAsia="Times New Roman" w:hAnsi="Times New Roman" w:cs="Times New Roman"/>
                <w:b/>
                <w:bCs/>
                <w:iCs/>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1575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Finanšu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Projekta izpildes ietekme uz pārvaldes funkcijām un institucionālo struktūru.</w:t>
            </w:r>
            <w:r w:rsidRPr="0076444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87426"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Jauna institūcija neti</w:t>
            </w:r>
            <w:r w:rsidR="00815752">
              <w:rPr>
                <w:rFonts w:ascii="Times New Roman" w:eastAsia="Times New Roman" w:hAnsi="Times New Roman" w:cs="Times New Roman"/>
                <w:iCs/>
                <w:sz w:val="24"/>
                <w:szCs w:val="24"/>
                <w:lang w:eastAsia="lv-LV"/>
              </w:rPr>
              <w:t>ek</w:t>
            </w:r>
            <w:r w:rsidRPr="00764447">
              <w:rPr>
                <w:rFonts w:ascii="Times New Roman" w:eastAsia="Times New Roman" w:hAnsi="Times New Roman" w:cs="Times New Roman"/>
                <w:iCs/>
                <w:sz w:val="24"/>
                <w:szCs w:val="24"/>
                <w:lang w:eastAsia="lv-LV"/>
              </w:rPr>
              <w:t xml:space="preserve"> veidota, Centrālās krājumu uzturēšanas struktūra</w:t>
            </w:r>
            <w:r w:rsidR="00815752">
              <w:rPr>
                <w:rFonts w:ascii="Times New Roman" w:eastAsia="Times New Roman" w:hAnsi="Times New Roman" w:cs="Times New Roman"/>
                <w:iCs/>
                <w:sz w:val="24"/>
                <w:szCs w:val="24"/>
                <w:lang w:eastAsia="lv-LV"/>
              </w:rPr>
              <w:t>s</w:t>
            </w:r>
            <w:r w:rsidRPr="00764447">
              <w:rPr>
                <w:rFonts w:ascii="Times New Roman" w:eastAsia="Times New Roman" w:hAnsi="Times New Roman" w:cs="Times New Roman"/>
                <w:iCs/>
                <w:sz w:val="24"/>
                <w:szCs w:val="24"/>
                <w:lang w:eastAsia="lv-LV"/>
              </w:rPr>
              <w:t xml:space="preserve"> (CKUS) </w:t>
            </w:r>
            <w:r w:rsidR="00815752">
              <w:rPr>
                <w:rFonts w:ascii="Times New Roman" w:eastAsia="Times New Roman" w:hAnsi="Times New Roman" w:cs="Times New Roman"/>
                <w:iCs/>
                <w:sz w:val="24"/>
                <w:szCs w:val="24"/>
                <w:lang w:eastAsia="lv-LV"/>
              </w:rPr>
              <w:t>funkcijas n</w:t>
            </w:r>
            <w:r w:rsidRPr="00764447">
              <w:rPr>
                <w:rFonts w:ascii="Times New Roman" w:eastAsia="Times New Roman" w:hAnsi="Times New Roman" w:cs="Times New Roman"/>
                <w:iCs/>
                <w:sz w:val="24"/>
                <w:szCs w:val="24"/>
                <w:lang w:eastAsia="lv-LV"/>
              </w:rPr>
              <w:t xml:space="preserve">odrošina Ekonomikas ministrijas </w:t>
            </w:r>
            <w:r w:rsidR="00815752">
              <w:rPr>
                <w:rFonts w:ascii="Times New Roman" w:eastAsia="Times New Roman" w:hAnsi="Times New Roman" w:cs="Times New Roman"/>
                <w:iCs/>
                <w:sz w:val="24"/>
                <w:szCs w:val="24"/>
                <w:lang w:eastAsia="lv-LV"/>
              </w:rPr>
              <w:t>Enerģētikas un tirgus departamenta</w:t>
            </w:r>
            <w:r w:rsidRPr="00764447">
              <w:rPr>
                <w:rFonts w:ascii="Times New Roman" w:eastAsia="Times New Roman" w:hAnsi="Times New Roman" w:cs="Times New Roman"/>
                <w:iCs/>
                <w:sz w:val="24"/>
                <w:szCs w:val="24"/>
                <w:lang w:eastAsia="lv-LV"/>
              </w:rPr>
              <w:t xml:space="preserve"> ietvaros.</w:t>
            </w:r>
          </w:p>
          <w:p w:rsidR="005C7033" w:rsidP="00E5323B">
            <w:pPr>
              <w:spacing w:after="0" w:line="240" w:lineRule="auto"/>
              <w:rPr>
                <w:rFonts w:ascii="Times New Roman" w:eastAsia="Times New Roman" w:hAnsi="Times New Roman" w:cs="Times New Roman"/>
                <w:iCs/>
                <w:sz w:val="24"/>
                <w:szCs w:val="24"/>
                <w:lang w:eastAsia="lv-LV"/>
              </w:rPr>
            </w:pPr>
          </w:p>
          <w:p w:rsidR="00E5323B" w:rsidRPr="00764447" w:rsidP="00E5323B">
            <w:pPr>
              <w:spacing w:after="0" w:line="240" w:lineRule="auto"/>
              <w:rPr>
                <w:rFonts w:ascii="Times New Roman" w:eastAsia="Times New Roman" w:hAnsi="Times New Roman" w:cs="Times New Roman"/>
                <w:iCs/>
                <w:sz w:val="24"/>
                <w:szCs w:val="24"/>
                <w:lang w:eastAsia="lv-LV"/>
              </w:rPr>
            </w:pP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64447" w:rsidP="00E5323B">
            <w:pPr>
              <w:spacing w:after="0" w:line="240" w:lineRule="auto"/>
              <w:rPr>
                <w:rFonts w:ascii="Times New Roman" w:eastAsia="Times New Roman" w:hAnsi="Times New Roman" w:cs="Times New Roman"/>
                <w:iCs/>
                <w:sz w:val="24"/>
                <w:szCs w:val="24"/>
                <w:lang w:eastAsia="lv-LV"/>
              </w:rPr>
            </w:pPr>
            <w:r w:rsidRPr="00764447">
              <w:rPr>
                <w:rFonts w:ascii="Times New Roman" w:eastAsia="Times New Roman" w:hAnsi="Times New Roman" w:cs="Times New Roman"/>
                <w:iCs/>
                <w:sz w:val="24"/>
                <w:szCs w:val="24"/>
                <w:lang w:eastAsia="lv-LV"/>
              </w:rPr>
              <w:t>"Nav"</w:t>
            </w:r>
          </w:p>
        </w:tc>
      </w:tr>
    </w:tbl>
    <w:p w:rsidR="00C25B49" w:rsidRPr="00764447" w:rsidP="00894C55">
      <w:pPr>
        <w:spacing w:after="0" w:line="240" w:lineRule="auto"/>
        <w:rPr>
          <w:rFonts w:ascii="Times New Roman" w:hAnsi="Times New Roman" w:cs="Times New Roman"/>
          <w:sz w:val="28"/>
          <w:szCs w:val="28"/>
        </w:rPr>
      </w:pPr>
    </w:p>
    <w:tbl>
      <w:tblPr>
        <w:tblW w:w="5010" w:type="pct"/>
        <w:tblLook w:val="04A0"/>
      </w:tblPr>
      <w:tblGrid>
        <w:gridCol w:w="4117"/>
        <w:gridCol w:w="4972"/>
      </w:tblGrid>
      <w:tr w:rsidTr="00722B7D">
        <w:tblPrEx>
          <w:tblW w:w="5010" w:type="pct"/>
          <w:tblLook w:val="04A0"/>
        </w:tblPrEx>
        <w:tc>
          <w:tcPr>
            <w:tcW w:w="2265" w:type="pct"/>
          </w:tcPr>
          <w:p w:rsidR="00BA1E52" w:rsidRPr="00BA1E52" w:rsidP="00BA1E52">
            <w:pPr>
              <w:spacing w:after="0" w:line="240" w:lineRule="auto"/>
              <w:jc w:val="both"/>
              <w:rPr>
                <w:rFonts w:ascii="Times New Roman" w:eastAsia="Times New Roman" w:hAnsi="Times New Roman" w:cs="Times New Roman"/>
                <w:sz w:val="24"/>
                <w:szCs w:val="24"/>
                <w:lang w:eastAsia="lv-LV"/>
              </w:rPr>
            </w:pPr>
            <w:r w:rsidRPr="00BA1E52">
              <w:rPr>
                <w:rFonts w:ascii="Times New Roman" w:eastAsia="Times New Roman" w:hAnsi="Times New Roman" w:cs="Times New Roman"/>
                <w:sz w:val="24"/>
                <w:szCs w:val="24"/>
                <w:lang w:eastAsia="lv-LV"/>
              </w:rPr>
              <w:t>Iesniedzējs:</w:t>
            </w:r>
          </w:p>
        </w:tc>
        <w:tc>
          <w:tcPr>
            <w:tcW w:w="2735" w:type="pct"/>
          </w:tcPr>
          <w:p w:rsidR="00BA1E52" w:rsidRPr="00BA1E52" w:rsidP="00BA1E52">
            <w:pPr>
              <w:spacing w:after="0" w:line="240" w:lineRule="auto"/>
              <w:jc w:val="right"/>
              <w:rPr>
                <w:rFonts w:ascii="Times New Roman" w:eastAsia="Times New Roman" w:hAnsi="Times New Roman" w:cs="Times New Roman"/>
                <w:sz w:val="24"/>
                <w:szCs w:val="24"/>
                <w:lang w:eastAsia="lv-LV"/>
              </w:rPr>
            </w:pPr>
          </w:p>
        </w:tc>
      </w:tr>
      <w:tr w:rsidTr="00722B7D">
        <w:tblPrEx>
          <w:tblW w:w="5010" w:type="pct"/>
          <w:tblLook w:val="04A0"/>
        </w:tblPrEx>
        <w:tc>
          <w:tcPr>
            <w:tcW w:w="2265" w:type="pct"/>
          </w:tcPr>
          <w:p w:rsidR="00BA1E52" w:rsidRPr="00BA1E52" w:rsidP="00BA1E52">
            <w:pPr>
              <w:spacing w:after="0" w:line="240" w:lineRule="auto"/>
              <w:jc w:val="both"/>
              <w:rPr>
                <w:rFonts w:ascii="Times New Roman" w:eastAsia="Times New Roman" w:hAnsi="Times New Roman" w:cs="Times New Roman"/>
                <w:sz w:val="24"/>
                <w:szCs w:val="24"/>
                <w:lang w:eastAsia="lv-LV"/>
              </w:rPr>
            </w:pPr>
          </w:p>
          <w:p w:rsidR="00BA1E52" w:rsidRPr="00BA1E52" w:rsidP="00BA1E52">
            <w:pPr>
              <w:spacing w:after="0" w:line="240" w:lineRule="auto"/>
              <w:jc w:val="both"/>
              <w:rPr>
                <w:rFonts w:ascii="Times New Roman" w:eastAsia="Times New Roman" w:hAnsi="Times New Roman" w:cs="Times New Roman"/>
                <w:sz w:val="24"/>
                <w:szCs w:val="24"/>
                <w:lang w:eastAsia="lv-LV"/>
              </w:rPr>
            </w:pPr>
            <w:r w:rsidRPr="00BA1E52">
              <w:rPr>
                <w:rFonts w:ascii="Times New Roman" w:eastAsia="Times New Roman" w:hAnsi="Times New Roman" w:cs="Times New Roman"/>
                <w:sz w:val="24"/>
                <w:szCs w:val="24"/>
                <w:lang w:eastAsia="lv-LV"/>
              </w:rPr>
              <w:t>Ministru prezidenta biedrs,</w:t>
            </w:r>
          </w:p>
          <w:p w:rsidR="00BA1E52" w:rsidRPr="00BA1E52" w:rsidP="00BA1E52">
            <w:pPr>
              <w:spacing w:after="0" w:line="240" w:lineRule="auto"/>
              <w:jc w:val="both"/>
              <w:rPr>
                <w:rFonts w:ascii="Times New Roman" w:eastAsia="Times New Roman" w:hAnsi="Times New Roman" w:cs="Times New Roman"/>
                <w:sz w:val="24"/>
                <w:szCs w:val="24"/>
                <w:lang w:eastAsia="lv-LV"/>
              </w:rPr>
            </w:pPr>
            <w:r w:rsidRPr="00BA1E52">
              <w:rPr>
                <w:rFonts w:ascii="Times New Roman" w:eastAsia="Times New Roman" w:hAnsi="Times New Roman" w:cs="Times New Roman"/>
                <w:sz w:val="24"/>
                <w:szCs w:val="24"/>
                <w:lang w:eastAsia="lv-LV"/>
              </w:rPr>
              <w:t>ekonomikas ministrs</w:t>
            </w:r>
          </w:p>
        </w:tc>
        <w:tc>
          <w:tcPr>
            <w:tcW w:w="2735" w:type="pct"/>
          </w:tcPr>
          <w:p w:rsidR="00BA1E52" w:rsidRPr="00BA1E52" w:rsidP="00BA1E52">
            <w:pPr>
              <w:spacing w:after="0" w:line="240" w:lineRule="auto"/>
              <w:ind w:firstLine="2161"/>
              <w:rPr>
                <w:rFonts w:ascii="Times New Roman" w:eastAsia="Times New Roman" w:hAnsi="Times New Roman" w:cs="Times New Roman"/>
                <w:color w:val="000000"/>
                <w:sz w:val="24"/>
                <w:szCs w:val="24"/>
                <w:lang w:eastAsia="lv-LV"/>
              </w:rPr>
            </w:pPr>
          </w:p>
          <w:p w:rsidR="00BA1E52" w:rsidRPr="00BA1E52" w:rsidP="00BA1E52">
            <w:pPr>
              <w:spacing w:after="200" w:line="276" w:lineRule="auto"/>
              <w:ind w:left="2881"/>
              <w:contextualSpacing/>
              <w:rPr>
                <w:rFonts w:ascii="Times New Roman" w:eastAsia="Times New Roman" w:hAnsi="Times New Roman" w:cs="Times New Roman"/>
                <w:sz w:val="24"/>
                <w:szCs w:val="24"/>
                <w:lang w:eastAsia="lv-LV"/>
              </w:rPr>
            </w:pPr>
            <w:r w:rsidRPr="00BA1E52">
              <w:rPr>
                <w:rFonts w:ascii="Times New Roman" w:eastAsia="Times New Roman" w:hAnsi="Times New Roman" w:cs="Times New Roman"/>
                <w:sz w:val="24"/>
                <w:szCs w:val="24"/>
                <w:lang w:eastAsia="lv-LV"/>
              </w:rPr>
              <w:t xml:space="preserve">  </w:t>
            </w:r>
          </w:p>
          <w:p w:rsidR="00BA1E52" w:rsidRPr="00BA1E52" w:rsidP="00BA1E52">
            <w:pPr>
              <w:spacing w:after="200" w:line="276" w:lineRule="auto"/>
              <w:ind w:left="2881"/>
              <w:contextualSpacing/>
              <w:jc w:val="right"/>
              <w:rPr>
                <w:rFonts w:ascii="Times New Roman" w:eastAsia="Times New Roman" w:hAnsi="Times New Roman" w:cs="Times New Roman"/>
                <w:sz w:val="24"/>
                <w:szCs w:val="24"/>
                <w:lang w:eastAsia="lv-LV"/>
              </w:rPr>
            </w:pPr>
            <w:r w:rsidRPr="00BA1E52">
              <w:rPr>
                <w:rFonts w:ascii="Times New Roman" w:eastAsia="Times New Roman" w:hAnsi="Times New Roman" w:cs="Times New Roman"/>
                <w:sz w:val="24"/>
                <w:szCs w:val="24"/>
                <w:lang w:eastAsia="lv-LV"/>
              </w:rPr>
              <w:t xml:space="preserve">    A.Ašeradens </w:t>
            </w:r>
          </w:p>
        </w:tc>
      </w:tr>
      <w:tr w:rsidTr="00722B7D">
        <w:tblPrEx>
          <w:tblW w:w="5010" w:type="pct"/>
          <w:tblLook w:val="04A0"/>
        </w:tblPrEx>
        <w:tc>
          <w:tcPr>
            <w:tcW w:w="2265" w:type="pct"/>
          </w:tcPr>
          <w:p w:rsidR="00BA1E52" w:rsidRPr="00764447" w:rsidP="00BA1E52">
            <w:pPr>
              <w:tabs>
                <w:tab w:val="left" w:pos="6237"/>
              </w:tabs>
              <w:spacing w:after="0" w:line="240" w:lineRule="auto"/>
              <w:rPr>
                <w:rFonts w:ascii="Times New Roman" w:eastAsia="Times New Roman" w:hAnsi="Times New Roman" w:cs="Times New Roman"/>
                <w:bCs/>
                <w:sz w:val="24"/>
                <w:szCs w:val="24"/>
                <w:lang w:eastAsia="lv-LV"/>
              </w:rPr>
            </w:pPr>
          </w:p>
          <w:p w:rsidR="00BA1E52" w:rsidRPr="00BA1E52" w:rsidP="00BA1E52">
            <w:pPr>
              <w:tabs>
                <w:tab w:val="left" w:pos="6237"/>
              </w:tabs>
              <w:spacing w:after="0" w:line="240" w:lineRule="auto"/>
              <w:rPr>
                <w:rFonts w:ascii="Times New Roman" w:eastAsia="Times New Roman" w:hAnsi="Times New Roman" w:cs="Times New Roman"/>
                <w:bCs/>
                <w:sz w:val="24"/>
                <w:szCs w:val="24"/>
                <w:lang w:eastAsia="lv-LV"/>
              </w:rPr>
            </w:pPr>
            <w:r w:rsidRPr="00BA1E52">
              <w:rPr>
                <w:rFonts w:ascii="Times New Roman" w:eastAsia="Times New Roman" w:hAnsi="Times New Roman" w:cs="Times New Roman"/>
                <w:bCs/>
                <w:sz w:val="24"/>
                <w:szCs w:val="24"/>
                <w:lang w:eastAsia="lv-LV"/>
              </w:rPr>
              <w:t xml:space="preserve">Vīza: </w:t>
            </w:r>
          </w:p>
          <w:p w:rsidR="00BA1E52" w:rsidRPr="00BA1E52" w:rsidP="00BA1E52">
            <w:pPr>
              <w:tabs>
                <w:tab w:val="left" w:pos="6237"/>
              </w:tabs>
              <w:spacing w:after="0" w:line="240" w:lineRule="auto"/>
              <w:rPr>
                <w:rFonts w:ascii="Times New Roman" w:eastAsia="Times New Roman" w:hAnsi="Times New Roman" w:cs="Times New Roman"/>
                <w:sz w:val="24"/>
                <w:szCs w:val="24"/>
                <w:lang w:eastAsia="lv-LV"/>
              </w:rPr>
            </w:pPr>
            <w:r w:rsidRPr="00BA1E52">
              <w:rPr>
                <w:rFonts w:ascii="Times New Roman" w:eastAsia="Times New Roman" w:hAnsi="Times New Roman" w:cs="Times New Roman"/>
                <w:bCs/>
                <w:sz w:val="24"/>
                <w:szCs w:val="24"/>
                <w:lang w:eastAsia="lv-LV"/>
              </w:rPr>
              <w:t>Valsts sekretārs</w:t>
            </w:r>
          </w:p>
        </w:tc>
        <w:tc>
          <w:tcPr>
            <w:tcW w:w="2735" w:type="pct"/>
          </w:tcPr>
          <w:p w:rsidR="00BA1E52" w:rsidRPr="00764447" w:rsidP="00BA1E52">
            <w:pPr>
              <w:spacing w:after="0" w:line="240" w:lineRule="auto"/>
              <w:jc w:val="right"/>
              <w:rPr>
                <w:rFonts w:ascii="Times New Roman" w:eastAsia="Times New Roman" w:hAnsi="Times New Roman" w:cs="Times New Roman"/>
                <w:bCs/>
                <w:sz w:val="24"/>
                <w:szCs w:val="24"/>
                <w:lang w:eastAsia="lv-LV"/>
              </w:rPr>
            </w:pPr>
          </w:p>
          <w:p w:rsidR="00BA1E52" w:rsidRPr="00BA1E52" w:rsidP="00BA1E52">
            <w:pPr>
              <w:spacing w:after="0" w:line="240" w:lineRule="auto"/>
              <w:jc w:val="right"/>
              <w:rPr>
                <w:rFonts w:ascii="Times New Roman" w:eastAsia="Times New Roman" w:hAnsi="Times New Roman" w:cs="Times New Roman"/>
                <w:bCs/>
                <w:sz w:val="24"/>
                <w:szCs w:val="24"/>
                <w:lang w:eastAsia="lv-LV"/>
              </w:rPr>
            </w:pPr>
            <w:r w:rsidRPr="00BA1E52">
              <w:rPr>
                <w:rFonts w:ascii="Times New Roman" w:eastAsia="Times New Roman" w:hAnsi="Times New Roman" w:cs="Times New Roman"/>
                <w:bCs/>
                <w:sz w:val="24"/>
                <w:szCs w:val="24"/>
                <w:lang w:eastAsia="lv-LV"/>
              </w:rPr>
              <w:t>J.Stinka</w:t>
            </w:r>
          </w:p>
          <w:p w:rsidR="00BA1E52" w:rsidRPr="00BA1E52" w:rsidP="00BA1E52">
            <w:pPr>
              <w:spacing w:after="0" w:line="240" w:lineRule="auto"/>
              <w:rPr>
                <w:rFonts w:ascii="Times New Roman" w:eastAsia="Times New Roman" w:hAnsi="Times New Roman" w:cs="Times New Roman"/>
                <w:sz w:val="24"/>
                <w:szCs w:val="24"/>
                <w:lang w:eastAsia="lv-LV"/>
              </w:rPr>
            </w:pPr>
          </w:p>
        </w:tc>
      </w:tr>
    </w:tbl>
    <w:p w:rsidR="00BA1E52" w:rsidRPr="00BA1E52" w:rsidP="00BA1E52">
      <w:pPr>
        <w:spacing w:after="0" w:line="240" w:lineRule="auto"/>
        <w:rPr>
          <w:rFonts w:ascii="Times New Roman" w:hAnsi="Times New Roman"/>
          <w:sz w:val="28"/>
        </w:rPr>
      </w:pPr>
    </w:p>
    <w:p w:rsidR="00BA1E52" w:rsidRPr="00764447" w:rsidP="00BA1E52">
      <w:pPr>
        <w:tabs>
          <w:tab w:val="left" w:pos="0"/>
        </w:tabs>
        <w:spacing w:after="0" w:line="240" w:lineRule="auto"/>
        <w:jc w:val="both"/>
        <w:rPr>
          <w:rFonts w:ascii="Times New Roman" w:eastAsia="Times New Roman" w:hAnsi="Times New Roman" w:cs="Times New Roman"/>
          <w:color w:val="000000"/>
          <w:sz w:val="20"/>
          <w:szCs w:val="20"/>
          <w:lang w:eastAsia="lv-LV"/>
        </w:rPr>
      </w:pPr>
      <w:bookmarkStart w:id="0" w:name="c"/>
      <w:bookmarkEnd w:id="0"/>
    </w:p>
    <w:p w:rsidR="00BA1E52" w:rsidRPr="00764447" w:rsidP="00BA1E52">
      <w:pPr>
        <w:tabs>
          <w:tab w:val="left" w:pos="0"/>
        </w:tabs>
        <w:spacing w:after="0" w:line="240" w:lineRule="auto"/>
        <w:jc w:val="both"/>
        <w:rPr>
          <w:rFonts w:ascii="Times New Roman" w:eastAsia="Times New Roman" w:hAnsi="Times New Roman" w:cs="Times New Roman"/>
          <w:color w:val="000000"/>
          <w:sz w:val="20"/>
          <w:szCs w:val="20"/>
          <w:lang w:eastAsia="lv-LV"/>
        </w:rPr>
      </w:pPr>
    </w:p>
    <w:p w:rsidR="00BA1E52" w:rsidRPr="00764447" w:rsidP="00BA1E52">
      <w:pPr>
        <w:tabs>
          <w:tab w:val="left" w:pos="0"/>
        </w:tabs>
        <w:spacing w:after="0" w:line="240" w:lineRule="auto"/>
        <w:jc w:val="both"/>
        <w:rPr>
          <w:rFonts w:ascii="Times New Roman" w:eastAsia="Times New Roman" w:hAnsi="Times New Roman" w:cs="Times New Roman"/>
          <w:color w:val="000000"/>
          <w:sz w:val="20"/>
          <w:szCs w:val="20"/>
          <w:lang w:eastAsia="lv-LV"/>
        </w:rPr>
      </w:pPr>
    </w:p>
    <w:p w:rsidR="00BA1E52" w:rsidRPr="00BA1E52" w:rsidP="00BA1E52">
      <w:pPr>
        <w:tabs>
          <w:tab w:val="left" w:pos="0"/>
        </w:tabs>
        <w:spacing w:after="0" w:line="240" w:lineRule="auto"/>
        <w:jc w:val="both"/>
        <w:rPr>
          <w:rFonts w:ascii="Times New Roman" w:eastAsia="Times New Roman" w:hAnsi="Times New Roman" w:cs="Times New Roman"/>
          <w:color w:val="000000"/>
          <w:sz w:val="20"/>
          <w:szCs w:val="20"/>
          <w:lang w:eastAsia="lv-LV"/>
        </w:rPr>
      </w:pPr>
      <w:r w:rsidRPr="00BA1E52">
        <w:rPr>
          <w:rFonts w:ascii="Times New Roman" w:eastAsia="Times New Roman" w:hAnsi="Times New Roman" w:cs="Times New Roman"/>
          <w:color w:val="000000"/>
          <w:sz w:val="20"/>
          <w:szCs w:val="20"/>
          <w:lang w:eastAsia="lv-LV"/>
        </w:rPr>
        <w:t xml:space="preserve">Sproģe </w:t>
      </w:r>
      <w:bookmarkStart w:id="1" w:name="_Hlk500319154"/>
      <w:r w:rsidRPr="00BA1E52">
        <w:rPr>
          <w:rFonts w:ascii="Times New Roman" w:eastAsia="Times New Roman" w:hAnsi="Times New Roman" w:cs="Times New Roman"/>
          <w:color w:val="000000"/>
          <w:sz w:val="20"/>
          <w:szCs w:val="20"/>
          <w:lang w:eastAsia="lv-LV"/>
        </w:rPr>
        <w:t>67013</w:t>
      </w:r>
      <w:bookmarkEnd w:id="1"/>
      <w:r w:rsidRPr="00BA1E52">
        <w:rPr>
          <w:rFonts w:ascii="Times New Roman" w:eastAsia="Times New Roman" w:hAnsi="Times New Roman" w:cs="Times New Roman"/>
          <w:color w:val="000000"/>
          <w:sz w:val="20"/>
          <w:szCs w:val="20"/>
          <w:lang w:eastAsia="lv-LV"/>
        </w:rPr>
        <w:t>024</w:t>
      </w:r>
    </w:p>
    <w:p w:rsidR="00BA1E52" w:rsidRPr="00BA1E52" w:rsidP="00BA1E52">
      <w:pPr>
        <w:tabs>
          <w:tab w:val="left" w:pos="0"/>
        </w:tabs>
        <w:spacing w:after="0" w:line="240" w:lineRule="auto"/>
        <w:jc w:val="both"/>
        <w:rPr>
          <w:rFonts w:ascii="Times New Roman" w:hAnsi="Times New Roman"/>
          <w:sz w:val="28"/>
        </w:rPr>
      </w:pPr>
      <w:r w:rsidRPr="00BA1E52">
        <w:rPr>
          <w:rFonts w:ascii="Times New Roman" w:eastAsia="Times New Roman" w:hAnsi="Times New Roman" w:cs="Times New Roman"/>
          <w:color w:val="000000"/>
          <w:sz w:val="20"/>
          <w:szCs w:val="20"/>
          <w:lang w:eastAsia="lv-LV"/>
        </w:rPr>
        <w:t>Zanda.Sproge@em.gov.lv</w:t>
      </w:r>
    </w:p>
    <w:p w:rsidR="00894C55" w:rsidRPr="00764447" w:rsidP="00BA1E52">
      <w:pPr>
        <w:tabs>
          <w:tab w:val="left" w:pos="6237"/>
        </w:tabs>
        <w:spacing w:after="0" w:line="240" w:lineRule="auto"/>
        <w:ind w:firstLine="720"/>
        <w:rPr>
          <w:rFonts w:ascii="Times New Roman" w:hAnsi="Times New Roman" w:cs="Times New Roman"/>
          <w:sz w:val="24"/>
          <w:szCs w:val="28"/>
        </w:rPr>
      </w:pPr>
    </w:p>
    <w:sectPr w:rsidSect="009A2654">
      <w:headerReference w:type="even" r:id="rId4"/>
      <w:headerReference w:type="default" r:id="rId5"/>
      <w:footerReference w:type="even"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E47" w:rsidP="00971E47">
    <w:pPr>
      <w:pStyle w:val="Footer"/>
      <w:rPr>
        <w:rFonts w:ascii="Times New Roman" w:hAnsi="Times New Roman" w:cs="Times New Roman"/>
        <w:sz w:val="20"/>
        <w:szCs w:val="20"/>
      </w:rPr>
    </w:pPr>
    <w:r>
      <w:rPr>
        <w:rFonts w:ascii="Times New Roman" w:hAnsi="Times New Roman" w:cs="Times New Roman"/>
        <w:sz w:val="20"/>
        <w:szCs w:val="20"/>
      </w:rPr>
      <w:t>MKlikanot_3</w:t>
    </w:r>
    <w:r w:rsidR="00CF3523">
      <w:rPr>
        <w:rFonts w:ascii="Times New Roman" w:hAnsi="Times New Roman" w:cs="Times New Roman"/>
        <w:sz w:val="20"/>
        <w:szCs w:val="20"/>
      </w:rPr>
      <w:t>1</w:t>
    </w:r>
    <w:r>
      <w:rPr>
        <w:rFonts w:ascii="Times New Roman" w:hAnsi="Times New Roman" w:cs="Times New Roman"/>
        <w:sz w:val="20"/>
        <w:szCs w:val="20"/>
      </w:rPr>
      <w:t>012018_Energetikas</w:t>
    </w:r>
  </w:p>
  <w:p w:rsidR="00894C55" w:rsidRPr="00971E47" w:rsidP="00971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pPr>
      <w:pStyle w:val="Footer"/>
      <w:rPr>
        <w:rFonts w:ascii="Times New Roman" w:hAnsi="Times New Roman" w:cs="Times New Roman"/>
        <w:sz w:val="20"/>
        <w:szCs w:val="20"/>
      </w:rPr>
    </w:pPr>
    <w:r>
      <w:rPr>
        <w:rFonts w:ascii="Times New Roman" w:hAnsi="Times New Roman" w:cs="Times New Roman"/>
        <w:sz w:val="20"/>
        <w:szCs w:val="20"/>
      </w:rPr>
      <w:t>MK</w:t>
    </w:r>
    <w:r w:rsidR="0093280C">
      <w:rPr>
        <w:rFonts w:ascii="Times New Roman" w:hAnsi="Times New Roman" w:cs="Times New Roman"/>
        <w:sz w:val="20"/>
        <w:szCs w:val="20"/>
      </w:rPr>
      <w:t>Anot</w:t>
    </w:r>
    <w:r>
      <w:rPr>
        <w:rFonts w:ascii="Times New Roman" w:hAnsi="Times New Roman" w:cs="Times New Roman"/>
        <w:sz w:val="20"/>
        <w:szCs w:val="20"/>
      </w:rPr>
      <w:t>_</w:t>
    </w:r>
    <w:r w:rsidR="0093280C">
      <w:rPr>
        <w:rFonts w:ascii="Times New Roman" w:hAnsi="Times New Roman" w:cs="Times New Roman"/>
        <w:sz w:val="20"/>
        <w:szCs w:val="20"/>
      </w:rPr>
      <w:t>09022018</w:t>
    </w:r>
    <w:r>
      <w:rPr>
        <w:rFonts w:ascii="Times New Roman" w:hAnsi="Times New Roman" w:cs="Times New Roman"/>
        <w:sz w:val="20"/>
        <w:szCs w:val="20"/>
      </w:rPr>
      <w:t>_</w:t>
    </w:r>
    <w:r w:rsidR="0093280C">
      <w:rPr>
        <w:rFonts w:ascii="Times New Roman" w:hAnsi="Times New Roman" w:cs="Times New Roman"/>
        <w:sz w:val="20"/>
        <w:szCs w:val="20"/>
      </w:rPr>
      <w:t>energetik</w:t>
    </w:r>
    <w:bookmarkStart w:id="2" w:name="_GoBack"/>
    <w:bookmarkEnd w:id="2"/>
  </w:p>
  <w:p w:rsidR="00971E47" w:rsidRPr="009A2654">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695382"/>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647E1">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C5A140F"/>
    <w:multiLevelType w:val="hybridMultilevel"/>
    <w:tmpl w:val="7C1A5E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2543"/>
    <w:rsid w:val="001647E1"/>
    <w:rsid w:val="00243426"/>
    <w:rsid w:val="002E1C05"/>
    <w:rsid w:val="00387426"/>
    <w:rsid w:val="003B0BF9"/>
    <w:rsid w:val="003E0791"/>
    <w:rsid w:val="003F28AC"/>
    <w:rsid w:val="004454FE"/>
    <w:rsid w:val="00456E40"/>
    <w:rsid w:val="00471F27"/>
    <w:rsid w:val="004F3E62"/>
    <w:rsid w:val="0050178F"/>
    <w:rsid w:val="00504570"/>
    <w:rsid w:val="005C7033"/>
    <w:rsid w:val="00655F2C"/>
    <w:rsid w:val="006705C1"/>
    <w:rsid w:val="006E1081"/>
    <w:rsid w:val="00720585"/>
    <w:rsid w:val="00722B7D"/>
    <w:rsid w:val="00742243"/>
    <w:rsid w:val="00764447"/>
    <w:rsid w:val="00773AF6"/>
    <w:rsid w:val="00795F71"/>
    <w:rsid w:val="007A4337"/>
    <w:rsid w:val="007E2A7D"/>
    <w:rsid w:val="007E5F7A"/>
    <w:rsid w:val="007E73AB"/>
    <w:rsid w:val="00815752"/>
    <w:rsid w:val="00816C11"/>
    <w:rsid w:val="00894C55"/>
    <w:rsid w:val="008E6041"/>
    <w:rsid w:val="0093280C"/>
    <w:rsid w:val="00932B56"/>
    <w:rsid w:val="00971E47"/>
    <w:rsid w:val="009A2654"/>
    <w:rsid w:val="009B36A8"/>
    <w:rsid w:val="00A10FC3"/>
    <w:rsid w:val="00A6073E"/>
    <w:rsid w:val="00AE5567"/>
    <w:rsid w:val="00AF1239"/>
    <w:rsid w:val="00B16480"/>
    <w:rsid w:val="00B2165C"/>
    <w:rsid w:val="00B36334"/>
    <w:rsid w:val="00BA1E52"/>
    <w:rsid w:val="00BA20AA"/>
    <w:rsid w:val="00BD4425"/>
    <w:rsid w:val="00C25B49"/>
    <w:rsid w:val="00C4490C"/>
    <w:rsid w:val="00CC0D2D"/>
    <w:rsid w:val="00CE5657"/>
    <w:rsid w:val="00CF3523"/>
    <w:rsid w:val="00D133F8"/>
    <w:rsid w:val="00D14A3E"/>
    <w:rsid w:val="00D53E5A"/>
    <w:rsid w:val="00E3716B"/>
    <w:rsid w:val="00E5323B"/>
    <w:rsid w:val="00E8749E"/>
    <w:rsid w:val="00E90C01"/>
    <w:rsid w:val="00EA486E"/>
    <w:rsid w:val="00F23F47"/>
    <w:rsid w:val="00F57B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04B67F8-2CA5-40D6-9A16-60FE19D7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D0B1411E4B941058C021C10033BC0A2"/>
        <w:category>
          <w:name w:val="General"/>
          <w:gallery w:val="placeholder"/>
        </w:category>
        <w:types>
          <w:type w:val="bbPlcHdr"/>
        </w:types>
        <w:behaviors>
          <w:behavior w:val="content"/>
        </w:behaviors>
        <w:guid w:val="{ED8CF896-985F-4F87-94DD-955D7F0164AB}"/>
      </w:docPartPr>
      <w:docPartBody>
        <w:p w:rsidR="006705C1" w:rsidP="00504570">
          <w:pPr>
            <w:pStyle w:val="AD0B1411E4B941058C021C10033BC0A2"/>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04570"/>
    <w:rsid w:val="00523A63"/>
    <w:rsid w:val="006705C1"/>
    <w:rsid w:val="008B623B"/>
    <w:rsid w:val="008D39C9"/>
    <w:rsid w:val="009C1B4C"/>
    <w:rsid w:val="00AD4A2F"/>
    <w:rsid w:val="00B3767C"/>
    <w:rsid w:val="00C00671"/>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570"/>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AD0B1411E4B941058C021C10033BC0A2">
    <w:name w:val="AD0B1411E4B941058C021C10033BC0A2"/>
    <w:rsid w:val="0050457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1576</Words>
  <Characters>12550</Characters>
  <Application>Microsoft Office Word</Application>
  <DocSecurity>0</DocSecurity>
  <Lines>1045</Lines>
  <Paragraphs>543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Zanda Sproģe</cp:lastModifiedBy>
  <cp:revision>2</cp:revision>
  <cp:lastPrinted>2018-01-30T13:39:00Z</cp:lastPrinted>
  <dcterms:created xsi:type="dcterms:W3CDTF">2018-02-09T14:17:00Z</dcterms:created>
  <dcterms:modified xsi:type="dcterms:W3CDTF">2018-02-09T14:17:00Z</dcterms:modified>
</cp:coreProperties>
</file>