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604F1" w:rsidRPr="00870FD9" w:rsidP="007604F1">
      <w:pPr>
        <w:suppressAutoHyphens w:val="0"/>
        <w:spacing w:after="160" w:line="256" w:lineRule="auto"/>
        <w:jc w:val="right"/>
        <w:rPr>
          <w:i/>
          <w:color w:val="000000" w:themeColor="text1"/>
          <w:sz w:val="28"/>
          <w:szCs w:val="28"/>
        </w:rPr>
      </w:pPr>
      <w:r w:rsidRPr="00870FD9">
        <w:rPr>
          <w:i/>
          <w:color w:val="000000" w:themeColor="text1"/>
          <w:sz w:val="28"/>
          <w:szCs w:val="28"/>
        </w:rPr>
        <w:t>Projekts</w:t>
      </w:r>
    </w:p>
    <w:p w:rsidR="007604F1" w:rsidRPr="00870FD9" w:rsidP="007604F1">
      <w:pPr>
        <w:suppressAutoHyphens w:val="0"/>
        <w:spacing w:after="160" w:line="256" w:lineRule="auto"/>
        <w:jc w:val="right"/>
        <w:rPr>
          <w:i/>
          <w:color w:val="000000" w:themeColor="text1"/>
          <w:sz w:val="28"/>
          <w:szCs w:val="28"/>
        </w:rPr>
      </w:pPr>
      <w:r w:rsidRPr="00870FD9">
        <w:rPr>
          <w:i/>
          <w:color w:val="000000" w:themeColor="text1"/>
          <w:sz w:val="28"/>
          <w:szCs w:val="28"/>
        </w:rPr>
        <w:t xml:space="preserve">(Ministru kabineta </w:t>
      </w:r>
    </w:p>
    <w:p w:rsidR="007604F1" w:rsidRPr="00870FD9" w:rsidP="007604F1">
      <w:pPr>
        <w:suppressAutoHyphens w:val="0"/>
        <w:spacing w:after="160" w:line="256" w:lineRule="auto"/>
        <w:jc w:val="right"/>
        <w:rPr>
          <w:i/>
          <w:color w:val="000000" w:themeColor="text1"/>
          <w:sz w:val="28"/>
          <w:szCs w:val="28"/>
        </w:rPr>
      </w:pPr>
      <w:r w:rsidRPr="00870FD9">
        <w:rPr>
          <w:i/>
          <w:color w:val="000000" w:themeColor="text1"/>
          <w:sz w:val="28"/>
          <w:szCs w:val="28"/>
        </w:rPr>
        <w:t>201</w:t>
      </w:r>
      <w:r w:rsidR="00AC5C78">
        <w:rPr>
          <w:i/>
          <w:color w:val="000000" w:themeColor="text1"/>
          <w:sz w:val="28"/>
          <w:szCs w:val="28"/>
        </w:rPr>
        <w:t>_</w:t>
      </w:r>
      <w:r w:rsidRPr="00870FD9">
        <w:rPr>
          <w:i/>
          <w:color w:val="000000" w:themeColor="text1"/>
          <w:sz w:val="28"/>
          <w:szCs w:val="28"/>
        </w:rPr>
        <w:t>.gada __.</w:t>
      </w:r>
      <w:r w:rsidRPr="00870FD9" w:rsidR="003A7C5C">
        <w:rPr>
          <w:i/>
          <w:color w:val="000000" w:themeColor="text1"/>
          <w:sz w:val="28"/>
          <w:szCs w:val="28"/>
        </w:rPr>
        <w:t>______</w:t>
      </w:r>
      <w:r w:rsidRPr="00870FD9">
        <w:rPr>
          <w:i/>
          <w:color w:val="000000" w:themeColor="text1"/>
          <w:sz w:val="28"/>
          <w:szCs w:val="28"/>
        </w:rPr>
        <w:t xml:space="preserve"> rīkojums nr.____)</w:t>
      </w:r>
    </w:p>
    <w:p w:rsidR="007604F1" w:rsidRPr="00870FD9" w:rsidP="007604F1">
      <w:pPr>
        <w:suppressAutoHyphens w:val="0"/>
        <w:spacing w:after="160" w:line="256" w:lineRule="auto"/>
        <w:rPr>
          <w:b/>
          <w:color w:val="000000" w:themeColor="text1"/>
          <w:sz w:val="28"/>
          <w:szCs w:val="28"/>
        </w:rPr>
      </w:pPr>
    </w:p>
    <w:p w:rsidR="007604F1" w:rsidRPr="00870FD9" w:rsidP="007604F1">
      <w:pPr>
        <w:suppressAutoHyphens w:val="0"/>
        <w:spacing w:after="160" w:line="256" w:lineRule="auto"/>
        <w:rPr>
          <w:b/>
          <w:color w:val="000000" w:themeColor="text1"/>
          <w:sz w:val="28"/>
          <w:szCs w:val="28"/>
        </w:rPr>
      </w:pPr>
    </w:p>
    <w:p w:rsidR="007604F1" w:rsidRPr="00870FD9" w:rsidP="007604F1">
      <w:pPr>
        <w:suppressAutoHyphens w:val="0"/>
        <w:spacing w:after="160" w:line="256" w:lineRule="auto"/>
        <w:rPr>
          <w:b/>
          <w:color w:val="000000" w:themeColor="text1"/>
          <w:sz w:val="28"/>
          <w:szCs w:val="28"/>
        </w:rPr>
      </w:pPr>
    </w:p>
    <w:p w:rsidR="007604F1" w:rsidRPr="00870FD9" w:rsidP="007604F1">
      <w:pPr>
        <w:suppressAutoHyphens w:val="0"/>
        <w:spacing w:after="160" w:line="256" w:lineRule="auto"/>
        <w:rPr>
          <w:b/>
          <w:color w:val="000000" w:themeColor="text1"/>
          <w:sz w:val="28"/>
          <w:szCs w:val="28"/>
        </w:rPr>
      </w:pPr>
    </w:p>
    <w:p w:rsidR="007604F1" w:rsidRPr="00870FD9" w:rsidP="007604F1">
      <w:pPr>
        <w:suppressAutoHyphens w:val="0"/>
        <w:spacing w:after="160" w:line="256" w:lineRule="auto"/>
        <w:jc w:val="center"/>
        <w:rPr>
          <w:b/>
          <w:color w:val="000000" w:themeColor="text1"/>
          <w:sz w:val="28"/>
          <w:szCs w:val="28"/>
        </w:rPr>
      </w:pPr>
      <w:r w:rsidRPr="00870FD9">
        <w:rPr>
          <w:b/>
          <w:color w:val="000000" w:themeColor="text1"/>
          <w:sz w:val="28"/>
          <w:szCs w:val="28"/>
        </w:rPr>
        <w:t>Konceptuālais ziņojums</w:t>
      </w:r>
    </w:p>
    <w:p w:rsidR="007604F1" w:rsidRPr="00870FD9" w:rsidP="007604F1">
      <w:pPr>
        <w:suppressAutoHyphens w:val="0"/>
        <w:spacing w:after="160" w:line="256" w:lineRule="auto"/>
        <w:jc w:val="center"/>
        <w:rPr>
          <w:b/>
          <w:color w:val="000000" w:themeColor="text1"/>
          <w:sz w:val="28"/>
          <w:szCs w:val="28"/>
        </w:rPr>
      </w:pPr>
      <w:r w:rsidRPr="00870FD9">
        <w:rPr>
          <w:b/>
          <w:color w:val="000000" w:themeColor="text1"/>
          <w:sz w:val="28"/>
          <w:szCs w:val="28"/>
        </w:rPr>
        <w:t>“Par drošības rezervju pakalpojum</w:t>
      </w:r>
      <w:r w:rsidRPr="00870FD9" w:rsidR="0018703F">
        <w:rPr>
          <w:b/>
          <w:color w:val="000000" w:themeColor="text1"/>
          <w:sz w:val="28"/>
          <w:szCs w:val="28"/>
        </w:rPr>
        <w:t>a</w:t>
      </w:r>
      <w:r w:rsidRPr="00870FD9">
        <w:rPr>
          <w:b/>
          <w:color w:val="000000" w:themeColor="text1"/>
          <w:sz w:val="28"/>
          <w:szCs w:val="28"/>
        </w:rPr>
        <w:t xml:space="preserve"> valsts naftas produktu drošības rezervju izveidei pilnveidošanu”</w:t>
      </w:r>
    </w:p>
    <w:p w:rsidR="007604F1" w:rsidRPr="00870FD9" w:rsidP="007604F1">
      <w:pPr>
        <w:suppressAutoHyphens w:val="0"/>
        <w:spacing w:after="160" w:line="256" w:lineRule="auto"/>
        <w:rPr>
          <w:b/>
          <w:color w:val="000000" w:themeColor="text1"/>
          <w:szCs w:val="28"/>
        </w:rPr>
      </w:pPr>
      <w:r w:rsidRPr="00870FD9">
        <w:rPr>
          <w:b/>
          <w:color w:val="000000" w:themeColor="text1"/>
          <w:szCs w:val="28"/>
        </w:rPr>
        <w:br w:type="page"/>
      </w:r>
    </w:p>
    <w:sdt>
      <w:sdtPr>
        <w:rPr>
          <w:rFonts w:ascii="Times New Roman" w:eastAsia="Times New Roman" w:hAnsi="Times New Roman" w:cs="Times New Roman"/>
          <w:color w:val="auto"/>
          <w:sz w:val="22"/>
          <w:szCs w:val="20"/>
          <w:lang w:val="lv-LV"/>
        </w:rPr>
        <w:id w:val="1138809483"/>
        <w:docPartObj>
          <w:docPartGallery w:val="Table of Contents"/>
          <w:docPartUnique/>
        </w:docPartObj>
      </w:sdtPr>
      <w:sdtEndPr>
        <w:rPr>
          <w:b/>
          <w:bCs/>
          <w:noProof/>
        </w:rPr>
      </w:sdtEndPr>
      <w:sdtContent>
        <w:p w:rsidR="0033657C" w:rsidRPr="00870FD9">
          <w:pPr>
            <w:pStyle w:val="TOCHeading"/>
            <w:rPr>
              <w:rFonts w:ascii="Times New Roman" w:hAnsi="Times New Roman" w:cs="Times New Roman"/>
              <w:b/>
              <w:color w:val="000000" w:themeColor="text1"/>
              <w:sz w:val="24"/>
              <w:szCs w:val="28"/>
            </w:rPr>
          </w:pPr>
          <w:r w:rsidRPr="00870FD9">
            <w:rPr>
              <w:rFonts w:ascii="Times New Roman" w:hAnsi="Times New Roman" w:cs="Times New Roman"/>
              <w:b/>
              <w:color w:val="000000" w:themeColor="text1"/>
              <w:sz w:val="24"/>
              <w:szCs w:val="28"/>
            </w:rPr>
            <w:t>Saturs</w:t>
          </w:r>
        </w:p>
        <w:p w:rsidR="0033657C" w:rsidRPr="00870FD9" w:rsidP="0033657C">
          <w:pPr>
            <w:rPr>
              <w:sz w:val="22"/>
              <w:lang w:val="en-US"/>
            </w:rPr>
          </w:pPr>
        </w:p>
        <w:p>
          <w:pPr>
            <w:pStyle w:val="TOC1"/>
            <w:tabs>
              <w:tab w:val="right" w:leader="dot" w:pos="9061"/>
            </w:tabs>
            <w:rPr>
              <w:rFonts w:asciiTheme="minorHAnsi" w:hAnsiTheme="minorHAnsi"/>
              <w:noProof/>
              <w:sz w:val="22"/>
            </w:rPr>
          </w:pPr>
          <w:r w:rsidRPr="00870FD9">
            <w:rPr>
              <w:color w:val="000000" w:themeColor="text1"/>
              <w:szCs w:val="28"/>
            </w:rPr>
            <w:fldChar w:fldCharType="begin"/>
          </w:r>
          <w:r w:rsidRPr="00870FD9">
            <w:rPr>
              <w:color w:val="000000" w:themeColor="text1"/>
              <w:szCs w:val="28"/>
            </w:rPr>
            <w:instrText xml:space="preserve"> TOC \o "1-3" \h \z \u </w:instrText>
          </w:r>
          <w:r w:rsidRPr="00870FD9">
            <w:rPr>
              <w:color w:val="000000" w:themeColor="text1"/>
              <w:szCs w:val="28"/>
            </w:rPr>
            <w:fldChar w:fldCharType="separate"/>
          </w:r>
          <w:r>
            <w:fldChar w:fldCharType="begin"/>
          </w:r>
          <w:r>
            <w:instrText xml:space="preserve"> HYPERLINK \l "_Toc256000010" </w:instrText>
          </w:r>
          <w:r>
            <w:fldChar w:fldCharType="separate"/>
          </w:r>
          <w:r w:rsidRPr="00870FD9">
            <w:rPr>
              <w:rStyle w:val="Hyperlink"/>
            </w:rPr>
            <w:t>1.</w:t>
          </w:r>
          <w:r w:rsidRPr="00870FD9" w:rsidR="0033657C">
            <w:rPr>
              <w:rStyle w:val="Hyperlink"/>
            </w:rPr>
            <w:t xml:space="preserve"> </w:t>
          </w:r>
          <w:r w:rsidRPr="00870FD9">
            <w:rPr>
              <w:rStyle w:val="Hyperlink"/>
            </w:rPr>
            <w:t>Konceptuālā ziņojuma kopsavilkums</w:t>
          </w:r>
          <w:r>
            <w:tab/>
          </w:r>
          <w:r>
            <w:fldChar w:fldCharType="begin"/>
          </w:r>
          <w:r>
            <w:instrText xml:space="preserve"> PAGEREF _Toc256000010 \h </w:instrText>
          </w:r>
          <w:r>
            <w:fldChar w:fldCharType="separate"/>
          </w:r>
          <w:r>
            <w:t>3</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"_Toc256000011" </w:instrText>
          </w:r>
          <w:r>
            <w:fldChar w:fldCharType="separate"/>
          </w:r>
          <w:r w:rsidRPr="00870FD9">
            <w:rPr>
              <w:rStyle w:val="Hyperlink"/>
            </w:rPr>
            <w:t>2.</w:t>
          </w:r>
          <w:r w:rsidRPr="00870FD9" w:rsidR="0033657C">
            <w:rPr>
              <w:rStyle w:val="Hyperlink"/>
            </w:rPr>
            <w:t xml:space="preserve"> </w:t>
          </w:r>
          <w:r w:rsidRPr="00870FD9">
            <w:rPr>
              <w:rStyle w:val="Hyperlink"/>
            </w:rPr>
            <w:t>Pašreizējās situācijas apraksts</w:t>
          </w:r>
          <w:r>
            <w:tab/>
          </w:r>
          <w:r>
            <w:fldChar w:fldCharType="begin"/>
          </w:r>
          <w:r>
            <w:instrText xml:space="preserve"> PAGEREF _Toc256000011 \h </w:instrText>
          </w:r>
          <w:r>
            <w:fldChar w:fldCharType="separate"/>
          </w:r>
          <w:r>
            <w:t>4</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"_Toc256000012" </w:instrText>
          </w:r>
          <w:r>
            <w:fldChar w:fldCharType="separate"/>
          </w:r>
          <w:r>
            <w:rPr>
              <w:rStyle w:val="Hyperlink"/>
              <w:rFonts w:ascii="Times New Roman" w:hAnsi="Times New Roman"/>
            </w:rPr>
            <w:t>2.1.</w:t>
          </w:r>
          <w:r>
            <w:rPr>
              <w:rFonts w:asciiTheme="minorHAnsi" w:hAnsiTheme="minorHAnsi"/>
              <w:noProof/>
              <w:sz w:val="22"/>
            </w:rPr>
            <w:tab/>
          </w:r>
          <w:r w:rsidRPr="00870FD9">
            <w:rPr>
              <w:rStyle w:val="Hyperlink"/>
              <w:rFonts w:ascii="Times New Roman" w:hAnsi="Times New Roman"/>
            </w:rPr>
            <w:t>Naftas produktu rezervju izveides nepieciešamības pamatojums</w:t>
          </w:r>
          <w:r>
            <w:tab/>
          </w:r>
          <w:r>
            <w:fldChar w:fldCharType="begin"/>
          </w:r>
          <w:r>
            <w:instrText xml:space="preserve"> PAGEREF _Toc256000012 \h </w:instrText>
          </w:r>
          <w:r>
            <w:fldChar w:fldCharType="separate"/>
          </w:r>
          <w:r>
            <w:t>4</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"_Toc256000013" </w:instrText>
          </w:r>
          <w:r>
            <w:fldChar w:fldCharType="separate"/>
          </w:r>
          <w:r>
            <w:rPr>
              <w:rStyle w:val="Hyperlink"/>
              <w:rFonts w:ascii="Times New Roman" w:hAnsi="Times New Roman"/>
            </w:rPr>
            <w:t>2.2.</w:t>
          </w:r>
          <w:r>
            <w:rPr>
              <w:rFonts w:asciiTheme="minorHAnsi" w:hAnsiTheme="minorHAnsi"/>
              <w:noProof/>
              <w:sz w:val="22"/>
            </w:rPr>
            <w:tab/>
          </w:r>
          <w:r w:rsidRPr="00870FD9">
            <w:rPr>
              <w:rStyle w:val="Hyperlink"/>
              <w:rFonts w:ascii="Times New Roman" w:hAnsi="Times New Roman"/>
            </w:rPr>
            <w:t>ES</w:t>
          </w:r>
          <w:r w:rsidRPr="00870FD9" w:rsidR="007604F1">
            <w:rPr>
              <w:rStyle w:val="Hyperlink"/>
              <w:rFonts w:ascii="Times New Roman" w:hAnsi="Times New Roman"/>
            </w:rPr>
            <w:t xml:space="preserve"> un Latvijas tiesiskais regulējums</w:t>
          </w:r>
          <w:r w:rsidRPr="00870FD9" w:rsidR="0018703F">
            <w:rPr>
              <w:rStyle w:val="Hyperlink"/>
              <w:rFonts w:ascii="Times New Roman" w:hAnsi="Times New Roman"/>
            </w:rPr>
            <w:t>.</w:t>
          </w:r>
          <w:r>
            <w:tab/>
          </w:r>
          <w:r>
            <w:fldChar w:fldCharType="begin"/>
          </w:r>
          <w:r>
            <w:instrText xml:space="preserve"> PAGEREF _Toc256000013 \h </w:instrText>
          </w:r>
          <w:r>
            <w:fldChar w:fldCharType="separate"/>
          </w:r>
          <w:r>
            <w:t>4</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"_Toc256000014" </w:instrText>
          </w:r>
          <w:r>
            <w:fldChar w:fldCharType="separate"/>
          </w:r>
          <w:r>
            <w:rPr>
              <w:rStyle w:val="Hyperlink"/>
              <w:rFonts w:ascii="Times New Roman" w:hAnsi="Times New Roman"/>
            </w:rPr>
            <w:t>2.3.</w:t>
          </w:r>
          <w:r>
            <w:rPr>
              <w:rFonts w:asciiTheme="minorHAnsi" w:hAnsiTheme="minorHAnsi"/>
              <w:noProof/>
              <w:sz w:val="22"/>
            </w:rPr>
            <w:tab/>
          </w:r>
          <w:r w:rsidRPr="00870FD9">
            <w:rPr>
              <w:rStyle w:val="Hyperlink"/>
              <w:rFonts w:ascii="Times New Roman" w:hAnsi="Times New Roman"/>
            </w:rPr>
            <w:t>Citu ES dalībvalstu naftas rezervju izveides modeļi</w:t>
          </w:r>
          <w:r w:rsidRPr="00870FD9" w:rsidR="00412332">
            <w:rPr>
              <w:rStyle w:val="Hyperlink"/>
              <w:rFonts w:ascii="Times New Roman" w:hAnsi="Times New Roman"/>
            </w:rPr>
            <w:t>.</w:t>
          </w:r>
          <w:r>
            <w:tab/>
          </w:r>
          <w:r>
            <w:fldChar w:fldCharType="begin"/>
          </w:r>
          <w:r>
            <w:instrText xml:space="preserve"> PAGEREF _Toc256000014 \h </w:instrText>
          </w:r>
          <w:r>
            <w:fldChar w:fldCharType="separate"/>
          </w:r>
          <w:r>
            <w:t>5</w:t>
          </w:r>
          <w:r>
            <w:fldChar w:fldCharType="end"/>
          </w:r>
          <w:r>
            <w:fldChar w:fldCharType="end"/>
          </w:r>
        </w:p>
        <w:p>
          <w:pPr>
            <w:pStyle w:val="TOC2"/>
            <w:tabs>
              <w:tab w:val="left" w:pos="880"/>
              <w:tab w:val="right" w:leader="dot" w:pos="9061"/>
            </w:tabs>
            <w:rPr>
              <w:rFonts w:asciiTheme="minorHAnsi" w:hAnsiTheme="minorHAnsi"/>
              <w:noProof/>
              <w:sz w:val="22"/>
            </w:rPr>
          </w:pPr>
          <w:r>
            <w:fldChar w:fldCharType="begin"/>
          </w:r>
          <w:r>
            <w:instrText xml:space="preserve"> HYPERLINK \l "_Toc256000015" </w:instrText>
          </w:r>
          <w:r>
            <w:fldChar w:fldCharType="separate"/>
          </w:r>
          <w:r>
            <w:rPr>
              <w:rStyle w:val="Hyperlink"/>
              <w:rFonts w:ascii="Times New Roman" w:hAnsi="Times New Roman"/>
            </w:rPr>
            <w:t>2.4.</w:t>
          </w:r>
          <w:r>
            <w:rPr>
              <w:rFonts w:asciiTheme="minorHAnsi" w:hAnsiTheme="minorHAnsi"/>
              <w:noProof/>
              <w:sz w:val="22"/>
            </w:rPr>
            <w:tab/>
          </w:r>
          <w:r w:rsidRPr="00870FD9">
            <w:rPr>
              <w:rStyle w:val="Hyperlink"/>
              <w:rFonts w:ascii="Times New Roman" w:hAnsi="Times New Roman"/>
            </w:rPr>
            <w:t>Latvijas valsts naftas produktu drošības rezervju izveides modelis</w:t>
          </w:r>
          <w:r>
            <w:tab/>
          </w:r>
          <w:r>
            <w:fldChar w:fldCharType="begin"/>
          </w:r>
          <w:r>
            <w:instrText xml:space="preserve"> PAGEREF _Toc256000015 \h </w:instrText>
          </w:r>
          <w:r>
            <w:fldChar w:fldCharType="separate"/>
          </w:r>
          <w:r>
            <w:t>7</w:t>
          </w:r>
          <w:r>
            <w:fldChar w:fldCharType="end"/>
          </w:r>
          <w:r>
            <w:fldChar w:fldCharType="end"/>
          </w:r>
        </w:p>
        <w:p>
          <w:pPr>
            <w:pStyle w:val="TOC2"/>
            <w:tabs>
              <w:tab w:val="right" w:leader="dot" w:pos="9061"/>
            </w:tabs>
            <w:rPr>
              <w:rFonts w:asciiTheme="minorHAnsi" w:hAnsiTheme="minorHAnsi"/>
              <w:noProof/>
              <w:sz w:val="22"/>
            </w:rPr>
          </w:pPr>
          <w:r>
            <w:fldChar w:fldCharType="begin"/>
          </w:r>
          <w:r>
            <w:instrText xml:space="preserve"> HYPERLINK \l "_Toc256000016" </w:instrText>
          </w:r>
          <w:r>
            <w:fldChar w:fldCharType="separate"/>
          </w:r>
          <w:r w:rsidRPr="00870FD9">
            <w:rPr>
              <w:rStyle w:val="Hyperlink"/>
            </w:rPr>
            <w:t>2.5. Identificētās problēmas</w:t>
          </w:r>
          <w:r>
            <w:tab/>
          </w:r>
          <w:r>
            <w:fldChar w:fldCharType="begin"/>
          </w:r>
          <w:r>
            <w:instrText xml:space="preserve"> PAGEREF _Toc256000016 \h </w:instrText>
          </w:r>
          <w:r>
            <w:fldChar w:fldCharType="separate"/>
          </w:r>
          <w:r>
            <w:t>11</w:t>
          </w:r>
          <w:r>
            <w:fldChar w:fldCharType="end"/>
          </w:r>
          <w:r>
            <w:fldChar w:fldCharType="end"/>
          </w:r>
        </w:p>
        <w:p>
          <w:pPr>
            <w:pStyle w:val="TOC1"/>
            <w:tabs>
              <w:tab w:val="left" w:pos="440"/>
              <w:tab w:val="right" w:leader="dot" w:pos="9061"/>
            </w:tabs>
            <w:rPr>
              <w:rFonts w:asciiTheme="minorHAnsi" w:hAnsiTheme="minorHAnsi"/>
              <w:noProof/>
              <w:sz w:val="22"/>
            </w:rPr>
          </w:pPr>
          <w:r>
            <w:fldChar w:fldCharType="begin"/>
          </w:r>
          <w:r>
            <w:instrText xml:space="preserve"> HYPERLINK \l "_Toc256000017" </w:instrText>
          </w:r>
          <w:r>
            <w:fldChar w:fldCharType="separate"/>
          </w:r>
          <w:r>
            <w:rPr>
              <w:rStyle w:val="Hyperlink"/>
              <w:rFonts w:ascii="Times New Roman" w:hAnsi="Times New Roman"/>
            </w:rPr>
            <w:t>3.</w:t>
          </w:r>
          <w:r>
            <w:rPr>
              <w:rFonts w:asciiTheme="minorHAnsi" w:hAnsiTheme="minorHAnsi"/>
              <w:noProof/>
              <w:sz w:val="22"/>
            </w:rPr>
            <w:tab/>
          </w:r>
          <w:r w:rsidRPr="00870FD9">
            <w:rPr>
              <w:rStyle w:val="Hyperlink"/>
              <w:rFonts w:ascii="Times New Roman" w:hAnsi="Times New Roman"/>
            </w:rPr>
            <w:t>Risinājumi</w:t>
          </w:r>
          <w:r>
            <w:tab/>
          </w:r>
          <w:r>
            <w:fldChar w:fldCharType="begin"/>
          </w:r>
          <w:r>
            <w:instrText xml:space="preserve"> PAGEREF _Toc256000017 \h </w:instrText>
          </w:r>
          <w:r>
            <w:fldChar w:fldCharType="separate"/>
          </w:r>
          <w:r>
            <w:t>12</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"_Toc256000018" </w:instrText>
          </w:r>
          <w:r>
            <w:fldChar w:fldCharType="separate"/>
          </w:r>
          <w:r w:rsidRPr="00870FD9">
            <w:rPr>
              <w:rStyle w:val="Hyperlink"/>
            </w:rPr>
            <w:t>4.</w:t>
          </w:r>
          <w:r w:rsidRPr="00870FD9" w:rsidR="0033657C">
            <w:rPr>
              <w:rStyle w:val="Hyperlink"/>
            </w:rPr>
            <w:t xml:space="preserve"> </w:t>
          </w:r>
          <w:r w:rsidRPr="00870FD9">
            <w:rPr>
              <w:rStyle w:val="Hyperlink"/>
            </w:rPr>
            <w:t>Ietekme uz problēmas risināšanu</w:t>
          </w:r>
          <w:r>
            <w:tab/>
          </w:r>
          <w:r>
            <w:fldChar w:fldCharType="begin"/>
          </w:r>
          <w:r>
            <w:instrText xml:space="preserve"> PAGEREF _Toc256000018 \h </w:instrText>
          </w:r>
          <w:r>
            <w:fldChar w:fldCharType="separate"/>
          </w:r>
          <w:r>
            <w:t>15</w:t>
          </w:r>
          <w:r>
            <w:fldChar w:fldCharType="end"/>
          </w:r>
          <w:r>
            <w:fldChar w:fldCharType="end"/>
          </w:r>
        </w:p>
        <w:p>
          <w:pPr>
            <w:pStyle w:val="TOC1"/>
            <w:tabs>
              <w:tab w:val="right" w:leader="dot" w:pos="9061"/>
            </w:tabs>
            <w:rPr>
              <w:rFonts w:asciiTheme="minorHAnsi" w:hAnsiTheme="minorHAnsi"/>
              <w:noProof/>
              <w:sz w:val="22"/>
            </w:rPr>
          </w:pPr>
          <w:r>
            <w:fldChar w:fldCharType="begin"/>
          </w:r>
          <w:r>
            <w:instrText xml:space="preserve"> HYPERLINK \l "_Toc256000019" </w:instrText>
          </w:r>
          <w:r>
            <w:fldChar w:fldCharType="separate"/>
          </w:r>
          <w:r w:rsidRPr="00870FD9">
            <w:rPr>
              <w:rStyle w:val="Hyperlink"/>
            </w:rPr>
            <w:t>5.</w:t>
          </w:r>
          <w:r w:rsidRPr="00870FD9" w:rsidR="0033657C">
            <w:rPr>
              <w:rStyle w:val="Hyperlink"/>
            </w:rPr>
            <w:t xml:space="preserve"> </w:t>
          </w:r>
          <w:r w:rsidRPr="00870FD9">
            <w:rPr>
              <w:rStyle w:val="Hyperlink"/>
            </w:rPr>
            <w:t>Ietekme uz valsts budžetu</w:t>
          </w:r>
          <w:r>
            <w:tab/>
          </w:r>
          <w:r>
            <w:fldChar w:fldCharType="begin"/>
          </w:r>
          <w:r>
            <w:instrText xml:space="preserve"> PAGEREF _Toc256000019 \h </w:instrText>
          </w:r>
          <w:r>
            <w:fldChar w:fldCharType="separate"/>
          </w:r>
          <w:r>
            <w:t>15</w:t>
          </w:r>
          <w:r>
            <w:fldChar w:fldCharType="end"/>
          </w:r>
          <w:r>
            <w:fldChar w:fldCharType="end"/>
          </w:r>
        </w:p>
        <w:p w:rsidRPr="00870FD9">
          <w:pPr>
            <w:rPr>
              <w:b/>
              <w:bCs/>
              <w:noProof/>
              <w:color w:val="000000" w:themeColor="text1"/>
              <w:szCs w:val="28"/>
            </w:rPr>
          </w:pPr>
          <w:r w:rsidRPr="00870FD9">
            <w:rPr>
              <w:b/>
              <w:bCs/>
              <w:noProof/>
              <w:color w:val="000000" w:themeColor="text1"/>
              <w:szCs w:val="28"/>
            </w:rPr>
            <w:fldChar w:fldCharType="end"/>
          </w:r>
        </w:p>
      </w:sdtContent>
    </w:sdt>
    <w:p w:rsidR="007604F1" w:rsidRPr="00870FD9" w:rsidP="007604F1">
      <w:pPr>
        <w:suppressAutoHyphens w:val="0"/>
        <w:spacing w:after="160" w:line="256" w:lineRule="auto"/>
        <w:rPr>
          <w:b/>
          <w:color w:val="000000" w:themeColor="text1"/>
          <w:szCs w:val="28"/>
        </w:rPr>
      </w:pPr>
      <w:r w:rsidRPr="00870FD9">
        <w:rPr>
          <w:b/>
          <w:color w:val="000000" w:themeColor="text1"/>
          <w:szCs w:val="28"/>
        </w:rPr>
        <w:br w:type="page"/>
      </w:r>
    </w:p>
    <w:p w:rsidR="007604F1" w:rsidRPr="00870FD9" w:rsidP="0033657C">
      <w:pPr>
        <w:pStyle w:val="Heading1"/>
        <w:rPr>
          <w:b w:val="0"/>
          <w:color w:val="000000" w:themeColor="text1"/>
          <w:sz w:val="24"/>
          <w:szCs w:val="28"/>
        </w:rPr>
      </w:pPr>
      <w:bookmarkStart w:id="0" w:name="_Toc499712138"/>
      <w:bookmarkStart w:id="1" w:name="_Toc256000000"/>
      <w:bookmarkStart w:id="2" w:name="_Toc256000010"/>
      <w:r w:rsidRPr="00870FD9">
        <w:rPr>
          <w:color w:val="000000" w:themeColor="text1"/>
          <w:sz w:val="24"/>
          <w:szCs w:val="28"/>
        </w:rPr>
        <w:t>1.</w:t>
      </w:r>
      <w:r w:rsidRPr="00870FD9" w:rsidR="0033657C">
        <w:rPr>
          <w:b w:val="0"/>
          <w:color w:val="000000" w:themeColor="text1"/>
          <w:sz w:val="24"/>
          <w:szCs w:val="28"/>
        </w:rPr>
        <w:t xml:space="preserve"> </w:t>
      </w:r>
      <w:r w:rsidRPr="00870FD9">
        <w:rPr>
          <w:color w:val="000000" w:themeColor="text1"/>
          <w:sz w:val="24"/>
          <w:szCs w:val="28"/>
        </w:rPr>
        <w:t>Konceptuālā ziņojuma kopsavilkums</w:t>
      </w:r>
      <w:bookmarkEnd w:id="2"/>
      <w:bookmarkEnd w:id="1"/>
      <w:bookmarkStart w:id="3" w:name="_Toc312415169"/>
      <w:bookmarkEnd w:id="0"/>
    </w:p>
    <w:p w:rsidR="007604F1" w:rsidRPr="00870FD9" w:rsidP="007604F1">
      <w:pPr>
        <w:suppressAutoHyphens w:val="0"/>
        <w:spacing w:after="160" w:line="256" w:lineRule="auto"/>
        <w:jc w:val="both"/>
        <w:rPr>
          <w:color w:val="000000" w:themeColor="text1"/>
          <w:szCs w:val="28"/>
        </w:rPr>
      </w:pPr>
      <w:r w:rsidRPr="00870FD9">
        <w:rPr>
          <w:color w:val="000000" w:themeColor="text1"/>
          <w:szCs w:val="28"/>
        </w:rPr>
        <w:t>Lai uzlabotu drošības rezervju pakalpojuma valsts naftas produktu drošības rezervju (turpmāk –</w:t>
      </w:r>
      <w:r w:rsidRPr="00870FD9" w:rsidR="0079217B">
        <w:rPr>
          <w:color w:val="000000" w:themeColor="text1"/>
          <w:szCs w:val="28"/>
        </w:rPr>
        <w:t xml:space="preserve"> </w:t>
      </w:r>
      <w:r w:rsidRPr="00870FD9">
        <w:rPr>
          <w:color w:val="000000" w:themeColor="text1"/>
          <w:szCs w:val="28"/>
        </w:rPr>
        <w:t>drošības rezervju) izveides sistēmu, Ekonomikas ministrija sagatavojusi Konceptuālo ziņojumu “Par drošības rezervju pakalpojum</w:t>
      </w:r>
      <w:r w:rsidRPr="00870FD9" w:rsidR="0018703F">
        <w:rPr>
          <w:color w:val="000000" w:themeColor="text1"/>
          <w:szCs w:val="28"/>
        </w:rPr>
        <w:t>a</w:t>
      </w:r>
      <w:r w:rsidRPr="00870FD9">
        <w:rPr>
          <w:color w:val="000000" w:themeColor="text1"/>
          <w:szCs w:val="28"/>
        </w:rPr>
        <w:t xml:space="preserve"> valsts naftas produktu drošības rezervju izveidei pilnveidošanu” (turpmāk </w:t>
      </w:r>
      <w:r w:rsidRPr="00870FD9" w:rsidR="00412332">
        <w:rPr>
          <w:color w:val="000000" w:themeColor="text1"/>
          <w:szCs w:val="28"/>
        </w:rPr>
        <w:t xml:space="preserve">– </w:t>
      </w:r>
      <w:r w:rsidRPr="00870FD9">
        <w:rPr>
          <w:color w:val="000000" w:themeColor="text1"/>
          <w:szCs w:val="28"/>
        </w:rPr>
        <w:t>Ziņojums). Ziņojumā aplūkotas būtiskākās problēmas, k</w:t>
      </w:r>
      <w:r w:rsidRPr="00870FD9" w:rsidR="00DC18DC">
        <w:rPr>
          <w:color w:val="000000" w:themeColor="text1"/>
          <w:szCs w:val="28"/>
        </w:rPr>
        <w:t>uras šo gadu laikā ir aktualizējušās un</w:t>
      </w:r>
      <w:r w:rsidRPr="00870FD9">
        <w:rPr>
          <w:color w:val="000000" w:themeColor="text1"/>
          <w:szCs w:val="28"/>
        </w:rPr>
        <w:t xml:space="preserve"> pamato nepieciešamību pilnveidot pašlaik piemērojamo drošības rezervju pakalpojuma nodrošināšan</w:t>
      </w:r>
      <w:r w:rsidRPr="00870FD9" w:rsidR="0018703F">
        <w:rPr>
          <w:color w:val="000000" w:themeColor="text1"/>
          <w:szCs w:val="28"/>
        </w:rPr>
        <w:t>u</w:t>
      </w:r>
      <w:r w:rsidRPr="00870FD9">
        <w:rPr>
          <w:color w:val="000000" w:themeColor="text1"/>
          <w:szCs w:val="28"/>
        </w:rPr>
        <w:t xml:space="preserve"> valsts naftas produktu drošības rezervju izveidei saskaņā ar Ministru kabineta 2010.gada 23.martā pieņemto koncepciju „Valsts naftas produktu rezervju izveides koncepcija”</w:t>
      </w:r>
      <w:r>
        <w:rPr>
          <w:rStyle w:val="FootnoteReference"/>
          <w:color w:val="000000" w:themeColor="text1"/>
          <w:szCs w:val="28"/>
        </w:rPr>
        <w:footnoteReference w:id="2"/>
      </w:r>
      <w:r w:rsidRPr="00870FD9">
        <w:rPr>
          <w:color w:val="000000" w:themeColor="text1"/>
          <w:szCs w:val="28"/>
        </w:rPr>
        <w:t xml:space="preserve"> (Ministru kabineta 2010.gada 29. marta rīkojums Nr. 179)</w:t>
      </w:r>
      <w:r w:rsidRPr="00870FD9" w:rsidR="00E12047">
        <w:rPr>
          <w:color w:val="000000" w:themeColor="text1"/>
          <w:szCs w:val="28"/>
        </w:rPr>
        <w:t xml:space="preserve"> (turpmāk – 2010.gada 23.marta Koncepcija)</w:t>
      </w:r>
      <w:r w:rsidRPr="00870FD9">
        <w:rPr>
          <w:color w:val="000000" w:themeColor="text1"/>
          <w:szCs w:val="28"/>
        </w:rPr>
        <w:t>.</w:t>
      </w:r>
    </w:p>
    <w:p w:rsidR="007604F1" w:rsidRPr="00870FD9" w:rsidP="007604F1">
      <w:pPr>
        <w:suppressAutoHyphens w:val="0"/>
        <w:spacing w:after="160" w:line="256" w:lineRule="auto"/>
        <w:jc w:val="both"/>
        <w:rPr>
          <w:color w:val="000000" w:themeColor="text1"/>
          <w:szCs w:val="28"/>
        </w:rPr>
      </w:pPr>
      <w:r w:rsidRPr="00870FD9">
        <w:rPr>
          <w:bCs/>
          <w:color w:val="000000" w:themeColor="text1"/>
          <w:szCs w:val="28"/>
        </w:rPr>
        <w:t xml:space="preserve">Drošības rezerves Latvijā </w:t>
      </w:r>
      <w:r w:rsidRPr="00870FD9" w:rsidR="0079217B">
        <w:rPr>
          <w:bCs/>
          <w:color w:val="000000" w:themeColor="text1"/>
          <w:szCs w:val="28"/>
        </w:rPr>
        <w:t xml:space="preserve">tiek </w:t>
      </w:r>
      <w:r w:rsidRPr="00870FD9">
        <w:rPr>
          <w:bCs/>
          <w:color w:val="000000" w:themeColor="text1"/>
          <w:szCs w:val="28"/>
        </w:rPr>
        <w:t>veidotas atbilstoši Padomes 2009. gada 14. septembra Direktīvas 2009/119/EK ar ko dalībvalstīm uzliek pienākumu uzturēt jēlnaftas un/vai naftas produktu obligātās rezerves</w:t>
      </w:r>
      <w:r>
        <w:rPr>
          <w:rStyle w:val="FootnoteReference"/>
          <w:bCs/>
          <w:color w:val="000000" w:themeColor="text1"/>
          <w:szCs w:val="28"/>
        </w:rPr>
        <w:footnoteReference w:id="3"/>
      </w:r>
      <w:r w:rsidRPr="00870FD9">
        <w:rPr>
          <w:bCs/>
          <w:color w:val="000000" w:themeColor="text1"/>
          <w:szCs w:val="28"/>
        </w:rPr>
        <w:t xml:space="preserve"> </w:t>
      </w:r>
      <w:r w:rsidRPr="00870FD9" w:rsidR="0018703F">
        <w:rPr>
          <w:bCs/>
          <w:color w:val="000000" w:themeColor="text1"/>
          <w:szCs w:val="28"/>
        </w:rPr>
        <w:t xml:space="preserve">(turpmāk – Direktīva 2009/119/EK) </w:t>
      </w:r>
      <w:r w:rsidRPr="00870FD9">
        <w:rPr>
          <w:bCs/>
          <w:color w:val="000000" w:themeColor="text1"/>
          <w:szCs w:val="28"/>
        </w:rPr>
        <w:t>prasībām</w:t>
      </w:r>
      <w:r w:rsidRPr="00870FD9" w:rsidR="00A0451D">
        <w:rPr>
          <w:bCs/>
          <w:color w:val="000000" w:themeColor="text1"/>
          <w:szCs w:val="28"/>
        </w:rPr>
        <w:t xml:space="preserve">, kura Latvijas Republikas </w:t>
      </w:r>
      <w:r w:rsidRPr="00870FD9" w:rsidR="00E12047">
        <w:rPr>
          <w:bCs/>
          <w:color w:val="000000" w:themeColor="text1"/>
          <w:szCs w:val="28"/>
        </w:rPr>
        <w:t>normatīvajos aktos</w:t>
      </w:r>
      <w:r w:rsidRPr="00870FD9" w:rsidR="00A0451D">
        <w:rPr>
          <w:bCs/>
          <w:color w:val="000000" w:themeColor="text1"/>
          <w:szCs w:val="28"/>
        </w:rPr>
        <w:t xml:space="preserve"> ir pārņemta ar Enerģētikas likuma 72.pant</w:t>
      </w:r>
      <w:r w:rsidRPr="00870FD9" w:rsidR="006D0DD5">
        <w:rPr>
          <w:bCs/>
          <w:color w:val="000000" w:themeColor="text1"/>
          <w:szCs w:val="28"/>
        </w:rPr>
        <w:t>u</w:t>
      </w:r>
      <w:r w:rsidRPr="00870FD9">
        <w:rPr>
          <w:color w:val="000000" w:themeColor="text1"/>
          <w:szCs w:val="28"/>
        </w:rPr>
        <w:t xml:space="preserve">. Ņemot vērā </w:t>
      </w:r>
      <w:r w:rsidRPr="00870FD9" w:rsidR="00D274E9">
        <w:rPr>
          <w:color w:val="000000" w:themeColor="text1"/>
          <w:szCs w:val="28"/>
        </w:rPr>
        <w:t xml:space="preserve">konkursa </w:t>
      </w:r>
      <w:r w:rsidRPr="00870FD9" w:rsidR="00D274E9">
        <w:rPr>
          <w:bCs/>
          <w:color w:val="000000" w:themeColor="text1"/>
          <w:szCs w:val="28"/>
        </w:rPr>
        <w:t>par valsts naftas produktu drošības rezervju uzglabāšanas pakalpojumu sniegšanu</w:t>
      </w:r>
      <w:r w:rsidRPr="00870FD9" w:rsidR="00D274E9">
        <w:rPr>
          <w:color w:val="000000" w:themeColor="text1"/>
          <w:szCs w:val="28"/>
        </w:rPr>
        <w:t xml:space="preserve"> </w:t>
      </w:r>
      <w:r w:rsidRPr="00870FD9">
        <w:rPr>
          <w:color w:val="000000" w:themeColor="text1"/>
          <w:szCs w:val="28"/>
        </w:rPr>
        <w:t xml:space="preserve"> mērķi – degvielas pieejamība ārkārtas situācijās, nav pieļaujama situācija, ka konkursa administratīvo procedūru rezultātā valstij nav pieejamas drošības rezerves, kā arī pastāv nepieciešamība atsevišķos gadījumos ierobežot konkursa dalībnieku loku. Līdz ar to Publisko iepirkumu likuma (turpmāk </w:t>
      </w:r>
      <w:r w:rsidRPr="00870FD9" w:rsidR="0079217B">
        <w:rPr>
          <w:color w:val="000000" w:themeColor="text1"/>
          <w:szCs w:val="28"/>
        </w:rPr>
        <w:t xml:space="preserve">– </w:t>
      </w:r>
      <w:r w:rsidRPr="00870FD9">
        <w:rPr>
          <w:color w:val="000000" w:themeColor="text1"/>
          <w:szCs w:val="28"/>
        </w:rPr>
        <w:t xml:space="preserve">PIL) attiecināšana uz šo konkursu un ar to saistītais administratīvais slogs potenciāli rada būtisku risku valsts energoapgādes drošības nodrošināšanai. </w:t>
      </w:r>
    </w:p>
    <w:p w:rsidR="007604F1" w:rsidRPr="00870FD9" w:rsidP="007604F1">
      <w:pPr>
        <w:suppressAutoHyphens w:val="0"/>
        <w:spacing w:after="160" w:line="256" w:lineRule="auto"/>
        <w:jc w:val="both"/>
        <w:rPr>
          <w:color w:val="000000" w:themeColor="text1"/>
          <w:szCs w:val="28"/>
        </w:rPr>
      </w:pPr>
      <w:r w:rsidRPr="00870FD9">
        <w:rPr>
          <w:color w:val="000000" w:themeColor="text1"/>
          <w:szCs w:val="28"/>
        </w:rPr>
        <w:t>Ziņojumā piedāvāti šādi risinājum</w:t>
      </w:r>
      <w:r w:rsidRPr="00870FD9" w:rsidR="0018703F">
        <w:rPr>
          <w:color w:val="000000" w:themeColor="text1"/>
          <w:szCs w:val="28"/>
        </w:rPr>
        <w:t>a</w:t>
      </w:r>
      <w:r w:rsidRPr="00870FD9">
        <w:rPr>
          <w:color w:val="000000" w:themeColor="text1"/>
          <w:szCs w:val="28"/>
        </w:rPr>
        <w:t xml:space="preserve"> varianti: </w:t>
      </w:r>
    </w:p>
    <w:p w:rsidR="007604F1" w:rsidRPr="00870FD9" w:rsidP="007604F1">
      <w:pPr>
        <w:spacing w:before="120" w:after="120"/>
        <w:jc w:val="both"/>
        <w:rPr>
          <w:b/>
          <w:color w:val="000000" w:themeColor="text1"/>
          <w:szCs w:val="28"/>
          <w:lang w:eastAsia="lv-LV"/>
        </w:rPr>
      </w:pPr>
      <w:r w:rsidRPr="00870FD9">
        <w:rPr>
          <w:b/>
          <w:color w:val="000000" w:themeColor="text1"/>
          <w:szCs w:val="28"/>
        </w:rPr>
        <w:t xml:space="preserve">1.variants: Konkursa procedūra var būt organizēta, piemērojot </w:t>
      </w:r>
      <w:r w:rsidRPr="00870FD9">
        <w:rPr>
          <w:b/>
          <w:color w:val="000000" w:themeColor="text1"/>
          <w:szCs w:val="28"/>
          <w:lang w:eastAsia="lv-LV"/>
        </w:rPr>
        <w:t>Aizsardzības un drošības jomas iepirkumu likumu.</w:t>
      </w:r>
    </w:p>
    <w:p w:rsidR="007604F1" w:rsidRPr="00870FD9" w:rsidP="007604F1">
      <w:pPr>
        <w:spacing w:before="120" w:after="120"/>
        <w:jc w:val="both"/>
        <w:rPr>
          <w:color w:val="000000" w:themeColor="text1"/>
          <w:szCs w:val="28"/>
          <w:lang w:eastAsia="lv-LV"/>
        </w:rPr>
      </w:pPr>
      <w:r w:rsidRPr="00870FD9">
        <w:rPr>
          <w:color w:val="000000" w:themeColor="text1"/>
          <w:szCs w:val="28"/>
          <w:lang w:eastAsia="lv-LV"/>
        </w:rPr>
        <w:t>Šajā gadījumā ir iespējama slēgta konkursa izsludināšana, t.i. iepirkuma procedūra, kurā visi ieinteresētie piegādātāji var pieprasīt tiesības piedalīties, bet piedāvājumus ir tiesīgi iesniegt tikai tie kandidāti, kurus pasūtītājs uzaicina.</w:t>
      </w:r>
    </w:p>
    <w:p w:rsidR="007604F1" w:rsidRPr="00870FD9" w:rsidP="007604F1">
      <w:pPr>
        <w:spacing w:before="120" w:after="120"/>
        <w:jc w:val="both"/>
        <w:rPr>
          <w:color w:val="000000" w:themeColor="text1"/>
          <w:szCs w:val="28"/>
        </w:rPr>
      </w:pPr>
      <w:r w:rsidRPr="00870FD9">
        <w:rPr>
          <w:color w:val="000000" w:themeColor="text1"/>
          <w:szCs w:val="28"/>
          <w:lang w:eastAsia="lv-LV"/>
        </w:rPr>
        <w:t xml:space="preserve">Secīgi, būtu nepieciešami arī grozījumi </w:t>
      </w:r>
      <w:r w:rsidRPr="00870FD9">
        <w:rPr>
          <w:color w:val="000000" w:themeColor="text1"/>
          <w:szCs w:val="28"/>
        </w:rPr>
        <w:t>Ministru kabineta</w:t>
      </w:r>
      <w:r w:rsidRPr="00870FD9" w:rsidR="009202D0">
        <w:rPr>
          <w:color w:val="000000" w:themeColor="text1"/>
          <w:szCs w:val="28"/>
        </w:rPr>
        <w:t xml:space="preserve"> 2011.gada 12.aprīļa</w:t>
      </w:r>
      <w:r w:rsidRPr="00870FD9">
        <w:rPr>
          <w:color w:val="000000" w:themeColor="text1"/>
          <w:szCs w:val="28"/>
        </w:rPr>
        <w:t xml:space="preserve"> noteikumos Nr.286 “Kārtība, kādā komersanti nodrošina un sniedz drošības rezervju pakalpojumu valsts naftas produktu drošības rezervju izveidei noteiktā apjomā”</w:t>
      </w:r>
      <w:r w:rsidRPr="00870FD9" w:rsidR="0018703F">
        <w:rPr>
          <w:color w:val="000000" w:themeColor="text1"/>
          <w:szCs w:val="28"/>
        </w:rPr>
        <w:t xml:space="preserve"> (turpmāk – MK noteikumi Nr. 286) </w:t>
      </w:r>
      <w:r w:rsidRPr="00870FD9">
        <w:rPr>
          <w:color w:val="000000" w:themeColor="text1"/>
          <w:szCs w:val="28"/>
        </w:rPr>
        <w:t xml:space="preserve">, svītrojot </w:t>
      </w:r>
      <w:r w:rsidRPr="00870FD9" w:rsidR="00D83FE5">
        <w:rPr>
          <w:color w:val="000000" w:themeColor="text1"/>
          <w:szCs w:val="28"/>
        </w:rPr>
        <w:t>2.</w:t>
      </w:r>
      <w:r w:rsidRPr="00870FD9" w:rsidR="00D83FE5">
        <w:rPr>
          <w:color w:val="000000" w:themeColor="text1"/>
          <w:szCs w:val="28"/>
          <w:vertAlign w:val="superscript"/>
        </w:rPr>
        <w:t>5</w:t>
      </w:r>
      <w:r w:rsidRPr="00870FD9" w:rsidR="00D83FE5">
        <w:rPr>
          <w:color w:val="000000" w:themeColor="text1"/>
          <w:szCs w:val="28"/>
        </w:rPr>
        <w:t xml:space="preserve">, 5., 7., 10., 11., 12., 19. un 20.punktā </w:t>
      </w:r>
      <w:r w:rsidRPr="00870FD9">
        <w:rPr>
          <w:color w:val="000000" w:themeColor="text1"/>
          <w:szCs w:val="28"/>
        </w:rPr>
        <w:t>vārdu “atklātais”.</w:t>
      </w:r>
    </w:p>
    <w:p w:rsidR="007604F1" w:rsidRPr="00870FD9" w:rsidP="007604F1">
      <w:pPr>
        <w:suppressAutoHyphens w:val="0"/>
        <w:spacing w:after="160" w:line="256" w:lineRule="auto"/>
        <w:jc w:val="both"/>
        <w:rPr>
          <w:color w:val="000000" w:themeColor="text1"/>
          <w:szCs w:val="28"/>
        </w:rPr>
      </w:pPr>
      <w:r w:rsidRPr="00870FD9">
        <w:rPr>
          <w:color w:val="000000" w:themeColor="text1"/>
          <w:szCs w:val="28"/>
        </w:rPr>
        <w:t xml:space="preserve"> (turpmāk – 1.variants); </w:t>
      </w:r>
    </w:p>
    <w:p w:rsidR="007604F1" w:rsidRPr="00870FD9" w:rsidP="007604F1">
      <w:pPr>
        <w:spacing w:before="120" w:after="120"/>
        <w:jc w:val="both"/>
        <w:rPr>
          <w:color w:val="000000" w:themeColor="text1"/>
          <w:szCs w:val="28"/>
        </w:rPr>
      </w:pPr>
      <w:r w:rsidRPr="00870FD9">
        <w:rPr>
          <w:b/>
          <w:color w:val="000000" w:themeColor="text1"/>
          <w:szCs w:val="28"/>
        </w:rPr>
        <w:t xml:space="preserve">2.variants: </w:t>
      </w:r>
      <w:r w:rsidRPr="00870FD9">
        <w:rPr>
          <w:b/>
          <w:bCs/>
          <w:color w:val="000000" w:themeColor="text1"/>
          <w:szCs w:val="28"/>
        </w:rPr>
        <w:t xml:space="preserve">Turpināt nodrošināt drošības rezervju pakalpojumu </w:t>
      </w:r>
      <w:r w:rsidRPr="00870FD9">
        <w:rPr>
          <w:b/>
          <w:color w:val="000000" w:themeColor="text1"/>
          <w:szCs w:val="28"/>
        </w:rPr>
        <w:t xml:space="preserve">saskaņā ar PIL, veicot </w:t>
      </w:r>
      <w:r w:rsidRPr="00870FD9">
        <w:rPr>
          <w:b/>
          <w:bCs/>
          <w:color w:val="000000" w:themeColor="text1"/>
          <w:szCs w:val="28"/>
        </w:rPr>
        <w:t xml:space="preserve">2018.gada naftas rezervju konkursa nolikuma precizēšanu atbilstoši aktuālajai PIL redakcijai, </w:t>
      </w:r>
      <w:r w:rsidRPr="00870FD9">
        <w:rPr>
          <w:bCs/>
          <w:color w:val="000000" w:themeColor="text1"/>
          <w:szCs w:val="28"/>
        </w:rPr>
        <w:t xml:space="preserve">kā arī paredzot atkāpes no PIL attiecībā uz </w:t>
      </w:r>
      <w:r w:rsidRPr="00870FD9">
        <w:rPr>
          <w:color w:val="000000" w:themeColor="text1"/>
          <w:szCs w:val="28"/>
        </w:rPr>
        <w:t xml:space="preserve">42. </w:t>
      </w:r>
      <w:r w:rsidRPr="00870FD9" w:rsidR="000F18BF">
        <w:rPr>
          <w:color w:val="000000" w:themeColor="text1"/>
          <w:szCs w:val="28"/>
        </w:rPr>
        <w:t xml:space="preserve">pantā minēto </w:t>
      </w:r>
      <w:r w:rsidRPr="00870FD9">
        <w:rPr>
          <w:color w:val="000000" w:themeColor="text1"/>
          <w:szCs w:val="28"/>
        </w:rPr>
        <w:t>kandidātu un pretendentu izslēgšanas noteikumu procedūru piemērošanu saistībā ar pieprasāmo informāciju ārzemju pretendentiem drošības rezervju izveidei. (turpmāk – 2.variants).</w:t>
      </w:r>
    </w:p>
    <w:p w:rsidR="008E3A5E" w:rsidRPr="00870FD9" w:rsidP="006021B4">
      <w:pPr>
        <w:spacing w:before="120" w:after="120"/>
        <w:jc w:val="both"/>
        <w:rPr>
          <w:bCs/>
          <w:color w:val="000000" w:themeColor="text1"/>
          <w:szCs w:val="28"/>
        </w:rPr>
      </w:pPr>
    </w:p>
    <w:p w:rsidR="006021B4" w:rsidRPr="00870FD9" w:rsidP="006021B4">
      <w:pPr>
        <w:spacing w:before="120" w:after="120"/>
        <w:jc w:val="both"/>
        <w:rPr>
          <w:color w:val="000000" w:themeColor="text1"/>
          <w:szCs w:val="28"/>
        </w:rPr>
      </w:pPr>
      <w:r w:rsidRPr="00870FD9">
        <w:rPr>
          <w:b/>
          <w:bCs/>
          <w:color w:val="000000" w:themeColor="text1"/>
          <w:szCs w:val="28"/>
        </w:rPr>
        <w:t>3.variants: I</w:t>
      </w:r>
      <w:r w:rsidRPr="00870FD9">
        <w:rPr>
          <w:b/>
          <w:bCs/>
          <w:color w:val="000000" w:themeColor="text1"/>
          <w:szCs w:val="28"/>
        </w:rPr>
        <w:t>egādā</w:t>
      </w:r>
      <w:r w:rsidRPr="00870FD9">
        <w:rPr>
          <w:b/>
          <w:bCs/>
          <w:color w:val="000000" w:themeColor="text1"/>
          <w:szCs w:val="28"/>
        </w:rPr>
        <w:t>ties</w:t>
      </w:r>
      <w:r w:rsidRPr="00870FD9">
        <w:rPr>
          <w:b/>
          <w:bCs/>
          <w:color w:val="000000" w:themeColor="text1"/>
          <w:szCs w:val="28"/>
        </w:rPr>
        <w:t xml:space="preserve"> naftas produktus valsts īpašumā un uzglabā</w:t>
      </w:r>
      <w:r w:rsidRPr="00870FD9">
        <w:rPr>
          <w:b/>
          <w:bCs/>
          <w:color w:val="000000" w:themeColor="text1"/>
          <w:szCs w:val="28"/>
        </w:rPr>
        <w:t>t</w:t>
      </w:r>
      <w:r w:rsidRPr="00870FD9">
        <w:rPr>
          <w:b/>
          <w:bCs/>
          <w:color w:val="000000" w:themeColor="text1"/>
          <w:szCs w:val="28"/>
        </w:rPr>
        <w:t xml:space="preserve"> to</w:t>
      </w:r>
      <w:r w:rsidRPr="00870FD9">
        <w:rPr>
          <w:b/>
          <w:bCs/>
          <w:color w:val="000000" w:themeColor="text1"/>
          <w:szCs w:val="28"/>
        </w:rPr>
        <w:t>s</w:t>
      </w:r>
      <w:r w:rsidRPr="00870FD9">
        <w:rPr>
          <w:b/>
          <w:bCs/>
          <w:color w:val="000000" w:themeColor="text1"/>
          <w:szCs w:val="28"/>
        </w:rPr>
        <w:t xml:space="preserve"> kā naftas rezerves</w:t>
      </w:r>
      <w:r w:rsidRPr="00870FD9">
        <w:rPr>
          <w:b/>
          <w:bCs/>
          <w:color w:val="000000" w:themeColor="text1"/>
          <w:szCs w:val="28"/>
        </w:rPr>
        <w:t>,</w:t>
      </w:r>
      <w:r w:rsidRPr="00870FD9">
        <w:rPr>
          <w:b/>
          <w:bCs/>
          <w:color w:val="000000" w:themeColor="text1"/>
          <w:szCs w:val="28"/>
        </w:rPr>
        <w:t xml:space="preserve"> pakāpeniski pār</w:t>
      </w:r>
      <w:r w:rsidRPr="00870FD9">
        <w:rPr>
          <w:b/>
          <w:bCs/>
          <w:color w:val="000000" w:themeColor="text1"/>
          <w:szCs w:val="28"/>
        </w:rPr>
        <w:t>ejot</w:t>
      </w:r>
      <w:r w:rsidRPr="00870FD9">
        <w:rPr>
          <w:b/>
          <w:bCs/>
          <w:color w:val="000000" w:themeColor="text1"/>
          <w:szCs w:val="28"/>
        </w:rPr>
        <w:t xml:space="preserve"> uz aģentūr</w:t>
      </w:r>
      <w:r w:rsidRPr="00870FD9">
        <w:rPr>
          <w:b/>
          <w:bCs/>
          <w:color w:val="000000" w:themeColor="text1"/>
          <w:szCs w:val="28"/>
        </w:rPr>
        <w:t>as</w:t>
      </w:r>
      <w:r w:rsidRPr="00870FD9">
        <w:rPr>
          <w:b/>
          <w:bCs/>
          <w:color w:val="000000" w:themeColor="text1"/>
          <w:szCs w:val="28"/>
        </w:rPr>
        <w:t xml:space="preserve"> modeli</w:t>
      </w:r>
      <w:r w:rsidRPr="00870FD9" w:rsidR="00E12047">
        <w:rPr>
          <w:b/>
          <w:bCs/>
          <w:color w:val="000000" w:themeColor="text1"/>
          <w:szCs w:val="28"/>
        </w:rPr>
        <w:t xml:space="preserve"> </w:t>
      </w:r>
      <w:r w:rsidRPr="00870FD9" w:rsidR="00E12047">
        <w:rPr>
          <w:bCs/>
          <w:color w:val="000000" w:themeColor="text1"/>
          <w:szCs w:val="28"/>
        </w:rPr>
        <w:t>(turpmāk – 3.variants)</w:t>
      </w:r>
      <w:r w:rsidRPr="00870FD9">
        <w:rPr>
          <w:bCs/>
          <w:color w:val="000000" w:themeColor="text1"/>
          <w:szCs w:val="28"/>
        </w:rPr>
        <w:t xml:space="preserve">. </w:t>
      </w:r>
    </w:p>
    <w:p w:rsidR="006021B4" w:rsidRPr="00870FD9" w:rsidP="007604F1">
      <w:pPr>
        <w:spacing w:before="120" w:after="120"/>
        <w:jc w:val="both"/>
        <w:rPr>
          <w:b/>
          <w:bCs/>
          <w:color w:val="000000" w:themeColor="text1"/>
          <w:szCs w:val="28"/>
        </w:rPr>
      </w:pPr>
    </w:p>
    <w:p w:rsidR="007604F1" w:rsidRPr="00870FD9" w:rsidP="007604F1">
      <w:pPr>
        <w:suppressAutoHyphens w:val="0"/>
        <w:spacing w:after="160" w:line="256" w:lineRule="auto"/>
        <w:jc w:val="both"/>
        <w:rPr>
          <w:b/>
          <w:color w:val="000000" w:themeColor="text1"/>
          <w:szCs w:val="28"/>
        </w:rPr>
      </w:pPr>
      <w:r w:rsidRPr="00870FD9">
        <w:rPr>
          <w:color w:val="000000" w:themeColor="text1"/>
          <w:szCs w:val="28"/>
        </w:rPr>
        <w:t xml:space="preserve">Ziņojuma mērķis ir piedāvāt risinājumu drošības rezervju nodrošināšanai, atbilstoši paredzētajam mērķim. </w:t>
      </w:r>
      <w:r w:rsidRPr="00870FD9">
        <w:rPr>
          <w:b/>
          <w:color w:val="000000" w:themeColor="text1"/>
          <w:szCs w:val="28"/>
        </w:rPr>
        <w:t xml:space="preserve">Kā atbilstošākais risinājums konstatēto </w:t>
      </w:r>
      <w:r w:rsidRPr="00870FD9">
        <w:rPr>
          <w:b/>
          <w:color w:val="000000" w:themeColor="text1"/>
          <w:szCs w:val="28"/>
        </w:rPr>
        <w:t>problēmjautājumu</w:t>
      </w:r>
      <w:r w:rsidRPr="00870FD9">
        <w:rPr>
          <w:b/>
          <w:color w:val="000000" w:themeColor="text1"/>
          <w:szCs w:val="28"/>
        </w:rPr>
        <w:t xml:space="preserve"> risināšanai iespējami īsākajā termiņā ir izvēlēts 1.variants.</w:t>
      </w:r>
      <w:r w:rsidRPr="00870FD9" w:rsidR="008E3A5E">
        <w:rPr>
          <w:b/>
          <w:color w:val="000000" w:themeColor="text1"/>
          <w:szCs w:val="28"/>
        </w:rPr>
        <w:t xml:space="preserve"> Taču ilgtermiņa risinājums būtu naftas produktu rezervju izveide un uzglabāšana, kas nodota valsts izveidotai aģentūrai</w:t>
      </w:r>
      <w:r w:rsidRPr="00870FD9" w:rsidR="00E12047">
        <w:rPr>
          <w:b/>
          <w:color w:val="000000" w:themeColor="text1"/>
          <w:szCs w:val="28"/>
        </w:rPr>
        <w:t xml:space="preserve"> (3.variants)</w:t>
      </w:r>
      <w:r w:rsidRPr="00870FD9" w:rsidR="008E3A5E">
        <w:rPr>
          <w:b/>
          <w:color w:val="000000" w:themeColor="text1"/>
          <w:szCs w:val="28"/>
        </w:rPr>
        <w:t>.</w:t>
      </w:r>
    </w:p>
    <w:p w:rsidR="007604F1" w:rsidRPr="00870FD9" w:rsidP="007604F1">
      <w:pPr>
        <w:suppressAutoHyphens w:val="0"/>
        <w:spacing w:after="160" w:line="256" w:lineRule="auto"/>
        <w:jc w:val="both"/>
        <w:rPr>
          <w:color w:val="000000" w:themeColor="text1"/>
          <w:szCs w:val="28"/>
        </w:rPr>
      </w:pPr>
    </w:p>
    <w:p w:rsidR="007604F1" w:rsidRPr="00870FD9" w:rsidP="0033657C">
      <w:pPr>
        <w:pStyle w:val="Heading1"/>
        <w:rPr>
          <w:b w:val="0"/>
          <w:color w:val="000000" w:themeColor="text1"/>
          <w:sz w:val="24"/>
          <w:szCs w:val="28"/>
        </w:rPr>
      </w:pPr>
      <w:bookmarkStart w:id="4" w:name="_Toc499712139"/>
      <w:bookmarkStart w:id="5" w:name="_Toc256000001"/>
      <w:bookmarkStart w:id="6" w:name="_Toc256000011"/>
      <w:r w:rsidRPr="00870FD9">
        <w:rPr>
          <w:color w:val="000000" w:themeColor="text1"/>
          <w:sz w:val="24"/>
          <w:szCs w:val="28"/>
        </w:rPr>
        <w:t>2.</w:t>
      </w:r>
      <w:r w:rsidRPr="00870FD9" w:rsidR="0033657C">
        <w:rPr>
          <w:b w:val="0"/>
          <w:color w:val="000000" w:themeColor="text1"/>
          <w:sz w:val="24"/>
          <w:szCs w:val="28"/>
        </w:rPr>
        <w:t xml:space="preserve"> </w:t>
      </w:r>
      <w:r w:rsidRPr="00870FD9">
        <w:rPr>
          <w:color w:val="000000" w:themeColor="text1"/>
          <w:sz w:val="24"/>
          <w:szCs w:val="28"/>
        </w:rPr>
        <w:t>Pašreizējās situācijas apraksts</w:t>
      </w:r>
      <w:bookmarkEnd w:id="6"/>
      <w:bookmarkEnd w:id="5"/>
      <w:bookmarkEnd w:id="4"/>
    </w:p>
    <w:p w:rsidR="007604F1" w:rsidRPr="00870FD9" w:rsidP="0033657C">
      <w:pPr>
        <w:pStyle w:val="ListParagraph"/>
        <w:numPr>
          <w:ilvl w:val="1"/>
          <w:numId w:val="15"/>
        </w:numPr>
        <w:suppressAutoHyphens w:val="0"/>
        <w:spacing w:line="256" w:lineRule="auto"/>
        <w:outlineLvl w:val="1"/>
        <w:rPr>
          <w:rFonts w:ascii="Times New Roman" w:hAnsi="Times New Roman"/>
          <w:b/>
          <w:color w:val="000000" w:themeColor="text1"/>
          <w:sz w:val="24"/>
          <w:szCs w:val="28"/>
        </w:rPr>
      </w:pPr>
      <w:bookmarkStart w:id="7" w:name="_Toc499712140"/>
      <w:bookmarkStart w:id="8" w:name="_Toc256000002"/>
      <w:bookmarkStart w:id="9" w:name="_Toc256000012"/>
      <w:r w:rsidRPr="00870FD9">
        <w:rPr>
          <w:rFonts w:ascii="Times New Roman" w:hAnsi="Times New Roman"/>
          <w:b/>
          <w:color w:val="000000" w:themeColor="text1"/>
          <w:sz w:val="24"/>
          <w:szCs w:val="28"/>
        </w:rPr>
        <w:t>Naftas produktu rezervju izveides nepieciešamības pamatojums</w:t>
      </w:r>
      <w:bookmarkEnd w:id="9"/>
      <w:bookmarkEnd w:id="8"/>
      <w:bookmarkEnd w:id="3"/>
      <w:bookmarkEnd w:id="7"/>
    </w:p>
    <w:p w:rsidR="007604F1" w:rsidRPr="00870FD9" w:rsidP="007604F1">
      <w:pPr>
        <w:spacing w:before="120" w:after="120"/>
        <w:jc w:val="both"/>
        <w:rPr>
          <w:bCs/>
          <w:color w:val="000000" w:themeColor="text1"/>
          <w:szCs w:val="28"/>
        </w:rPr>
      </w:pPr>
      <w:r w:rsidRPr="00870FD9">
        <w:rPr>
          <w:bCs/>
          <w:color w:val="000000" w:themeColor="text1"/>
          <w:szCs w:val="28"/>
        </w:rPr>
        <w:t xml:space="preserve">Naftas rezerves izveides mērķis ir nodrošināt dažādu grupu enerģijas lietotājus ar naftas produktu apgādi izsludinātas valsts vai pašvaldību mēroga enerģētiskās krīzes laikā, </w:t>
      </w:r>
      <w:r w:rsidRPr="00870FD9">
        <w:rPr>
          <w:color w:val="000000" w:themeColor="text1"/>
          <w:szCs w:val="28"/>
        </w:rPr>
        <w:t xml:space="preserve">valsts apdraudējuma gadījumā, </w:t>
      </w:r>
      <w:r w:rsidRPr="00870FD9">
        <w:rPr>
          <w:bCs/>
          <w:color w:val="000000" w:themeColor="text1"/>
          <w:szCs w:val="28"/>
        </w:rPr>
        <w:t xml:space="preserve">kā arī lai koordinētu darbību veikšanu  Eiropas Savienības </w:t>
      </w:r>
      <w:r w:rsidRPr="00870FD9" w:rsidR="00412332">
        <w:rPr>
          <w:bCs/>
          <w:color w:val="000000" w:themeColor="text1"/>
          <w:szCs w:val="28"/>
        </w:rPr>
        <w:t xml:space="preserve">(turpmāk – ES) </w:t>
      </w:r>
      <w:r w:rsidRPr="00870FD9">
        <w:rPr>
          <w:bCs/>
          <w:color w:val="000000" w:themeColor="text1"/>
          <w:szCs w:val="28"/>
        </w:rPr>
        <w:t>ietvaros un pasaulē (Starptautiskās enerģētikas aģentūras mehānisms).</w:t>
      </w:r>
      <w:bookmarkStart w:id="10" w:name="_Toc312415170"/>
      <w:r w:rsidRPr="00870FD9">
        <w:rPr>
          <w:bCs/>
          <w:color w:val="000000" w:themeColor="text1"/>
          <w:szCs w:val="28"/>
        </w:rPr>
        <w:t xml:space="preserve"> </w:t>
      </w:r>
    </w:p>
    <w:p w:rsidR="007604F1" w:rsidRPr="00870FD9" w:rsidP="007604F1">
      <w:pPr>
        <w:spacing w:before="120" w:after="120"/>
        <w:jc w:val="both"/>
        <w:rPr>
          <w:bCs/>
          <w:color w:val="000000" w:themeColor="text1"/>
          <w:szCs w:val="28"/>
        </w:rPr>
      </w:pPr>
      <w:r w:rsidRPr="00870FD9">
        <w:rPr>
          <w:bCs/>
          <w:color w:val="000000" w:themeColor="text1"/>
          <w:szCs w:val="28"/>
        </w:rPr>
        <w:t xml:space="preserve">Latvijā naftas produktu rezervju pieejamība tiek nodrošināta, iepērkot naftas produktu glabāšanas pakalpojumu no komersantiem, </w:t>
      </w:r>
      <w:r w:rsidRPr="00870FD9">
        <w:rPr>
          <w:color w:val="000000" w:themeColor="text1"/>
          <w:szCs w:val="28"/>
        </w:rPr>
        <w:t>saskaņā ar 2010.gada 23.mart</w:t>
      </w:r>
      <w:r w:rsidRPr="00870FD9" w:rsidR="00E12047">
        <w:rPr>
          <w:color w:val="000000" w:themeColor="text1"/>
          <w:szCs w:val="28"/>
        </w:rPr>
        <w:t>a</w:t>
      </w:r>
      <w:r w:rsidRPr="00870FD9">
        <w:rPr>
          <w:color w:val="000000" w:themeColor="text1"/>
          <w:szCs w:val="28"/>
        </w:rPr>
        <w:t xml:space="preserve"> </w:t>
      </w:r>
      <w:r w:rsidRPr="00870FD9" w:rsidR="00E12047">
        <w:rPr>
          <w:color w:val="000000" w:themeColor="text1"/>
          <w:szCs w:val="28"/>
        </w:rPr>
        <w:t>K</w:t>
      </w:r>
      <w:r w:rsidRPr="00870FD9">
        <w:rPr>
          <w:color w:val="000000" w:themeColor="text1"/>
          <w:szCs w:val="28"/>
        </w:rPr>
        <w:t>oncepciju</w:t>
      </w:r>
      <w:r w:rsidRPr="00870FD9">
        <w:rPr>
          <w:bCs/>
          <w:color w:val="000000" w:themeColor="text1"/>
          <w:szCs w:val="28"/>
        </w:rPr>
        <w:t xml:space="preserve">. </w:t>
      </w:r>
    </w:p>
    <w:p w:rsidR="007604F1" w:rsidRPr="00870FD9" w:rsidP="0033657C">
      <w:pPr>
        <w:pStyle w:val="ListParagraph"/>
        <w:numPr>
          <w:ilvl w:val="1"/>
          <w:numId w:val="15"/>
        </w:numPr>
        <w:spacing w:before="120" w:after="120"/>
        <w:jc w:val="both"/>
        <w:outlineLvl w:val="1"/>
        <w:rPr>
          <w:rFonts w:ascii="Times New Roman" w:hAnsi="Times New Roman"/>
          <w:b/>
          <w:bCs/>
          <w:color w:val="000000" w:themeColor="text1"/>
          <w:sz w:val="24"/>
          <w:szCs w:val="28"/>
        </w:rPr>
      </w:pPr>
      <w:bookmarkStart w:id="11" w:name="_Toc499712141"/>
      <w:bookmarkStart w:id="12" w:name="_Toc256000003"/>
      <w:bookmarkStart w:id="13" w:name="_Toc256000013"/>
      <w:r w:rsidRPr="00870FD9">
        <w:rPr>
          <w:rFonts w:ascii="Times New Roman" w:hAnsi="Times New Roman"/>
          <w:b/>
          <w:color w:val="000000" w:themeColor="text1"/>
          <w:sz w:val="24"/>
          <w:szCs w:val="28"/>
        </w:rPr>
        <w:t>ES</w:t>
      </w:r>
      <w:r w:rsidRPr="00870FD9">
        <w:rPr>
          <w:rFonts w:ascii="Times New Roman" w:hAnsi="Times New Roman"/>
          <w:b/>
          <w:color w:val="000000" w:themeColor="text1"/>
          <w:sz w:val="24"/>
          <w:szCs w:val="28"/>
        </w:rPr>
        <w:t xml:space="preserve"> un Latvijas tiesiskais regulējums</w:t>
      </w:r>
      <w:bookmarkEnd w:id="10"/>
      <w:r w:rsidRPr="00870FD9" w:rsidR="0018703F">
        <w:rPr>
          <w:rFonts w:ascii="Times New Roman" w:hAnsi="Times New Roman"/>
          <w:b/>
          <w:color w:val="000000" w:themeColor="text1"/>
          <w:sz w:val="24"/>
          <w:szCs w:val="28"/>
        </w:rPr>
        <w:t>.</w:t>
      </w:r>
      <w:bookmarkEnd w:id="13"/>
      <w:bookmarkEnd w:id="12"/>
      <w:bookmarkEnd w:id="11"/>
    </w:p>
    <w:p w:rsidR="007604F1" w:rsidRPr="00870FD9" w:rsidP="007604F1">
      <w:pPr>
        <w:spacing w:before="120" w:after="60"/>
        <w:jc w:val="both"/>
        <w:rPr>
          <w:bCs/>
          <w:color w:val="000000" w:themeColor="text1"/>
          <w:szCs w:val="28"/>
        </w:rPr>
      </w:pPr>
      <w:r w:rsidRPr="00870FD9">
        <w:rPr>
          <w:bCs/>
          <w:color w:val="000000" w:themeColor="text1"/>
          <w:szCs w:val="28"/>
        </w:rPr>
        <w:t>Enerģētikas krīzes vadības mehānismu, t.sk.</w:t>
      </w:r>
      <w:r w:rsidRPr="00870FD9" w:rsidR="00E12047">
        <w:rPr>
          <w:bCs/>
          <w:color w:val="000000" w:themeColor="text1"/>
          <w:szCs w:val="28"/>
        </w:rPr>
        <w:t>,</w:t>
      </w:r>
      <w:r w:rsidRPr="00870FD9">
        <w:rPr>
          <w:bCs/>
          <w:color w:val="000000" w:themeColor="text1"/>
          <w:szCs w:val="28"/>
        </w:rPr>
        <w:t xml:space="preserve"> drošības rezervju izveides pienākumu, regulē Starptautiskās enerģētikas aģentūras 1974. gada Starptautiskās enerģijas programmas līgums.</w:t>
      </w:r>
    </w:p>
    <w:p w:rsidR="007604F1" w:rsidRPr="00870FD9" w:rsidP="007604F1">
      <w:pPr>
        <w:spacing w:before="120" w:after="60"/>
        <w:jc w:val="both"/>
        <w:rPr>
          <w:color w:val="000000" w:themeColor="text1"/>
          <w:szCs w:val="28"/>
        </w:rPr>
      </w:pPr>
      <w:r w:rsidRPr="00870FD9">
        <w:rPr>
          <w:bCs/>
          <w:color w:val="000000" w:themeColor="text1"/>
          <w:szCs w:val="28"/>
        </w:rPr>
        <w:t>Direktīva</w:t>
      </w:r>
      <w:r w:rsidRPr="00870FD9" w:rsidR="0018703F">
        <w:rPr>
          <w:bCs/>
          <w:color w:val="000000" w:themeColor="text1"/>
          <w:szCs w:val="28"/>
        </w:rPr>
        <w:t>s</w:t>
      </w:r>
      <w:r w:rsidRPr="00870FD9">
        <w:rPr>
          <w:bCs/>
          <w:color w:val="000000" w:themeColor="text1"/>
          <w:szCs w:val="28"/>
        </w:rPr>
        <w:t xml:space="preserve"> 2009/119/EK prasības uzliek par pienākumu katrai </w:t>
      </w:r>
      <w:r w:rsidRPr="00870FD9" w:rsidR="00412332">
        <w:rPr>
          <w:bCs/>
          <w:color w:val="000000" w:themeColor="text1"/>
          <w:szCs w:val="28"/>
        </w:rPr>
        <w:t>ES</w:t>
      </w:r>
      <w:r w:rsidRPr="00870FD9">
        <w:rPr>
          <w:bCs/>
          <w:color w:val="000000" w:themeColor="text1"/>
          <w:szCs w:val="28"/>
        </w:rPr>
        <w:t xml:space="preserve"> dalībvalstij nodrošināt naftas </w:t>
      </w:r>
      <w:r w:rsidRPr="00870FD9" w:rsidR="0018703F">
        <w:rPr>
          <w:bCs/>
          <w:color w:val="000000" w:themeColor="text1"/>
          <w:szCs w:val="28"/>
        </w:rPr>
        <w:t xml:space="preserve">krājumu apjomus, kas atbilst vismaz dienas vidējā tīrā importa daudzumiem  </w:t>
      </w:r>
      <w:r w:rsidRPr="00870FD9">
        <w:rPr>
          <w:bCs/>
          <w:color w:val="000000" w:themeColor="text1"/>
          <w:szCs w:val="28"/>
        </w:rPr>
        <w:t xml:space="preserve">90 </w:t>
      </w:r>
      <w:r w:rsidRPr="00870FD9" w:rsidR="0018703F">
        <w:rPr>
          <w:bCs/>
          <w:color w:val="000000" w:themeColor="text1"/>
          <w:szCs w:val="28"/>
        </w:rPr>
        <w:t xml:space="preserve">dienu laikā </w:t>
      </w:r>
      <w:r w:rsidRPr="00870FD9" w:rsidR="000F18BF">
        <w:rPr>
          <w:bCs/>
          <w:color w:val="000000" w:themeColor="text1"/>
          <w:szCs w:val="28"/>
        </w:rPr>
        <w:t>vai</w:t>
      </w:r>
      <w:r w:rsidRPr="00870FD9" w:rsidR="0018703F">
        <w:rPr>
          <w:bCs/>
          <w:color w:val="000000" w:themeColor="text1"/>
          <w:szCs w:val="28"/>
        </w:rPr>
        <w:t xml:space="preserve"> arī dienas vidējam iekšzemes patēriņam 61 dienai atkarībā no tā, kurš no abiem daudzumiem ir lielāks</w:t>
      </w:r>
      <w:r w:rsidRPr="00870FD9">
        <w:rPr>
          <w:bCs/>
          <w:color w:val="000000" w:themeColor="text1"/>
          <w:szCs w:val="28"/>
        </w:rPr>
        <w:t>, kā arī nosaka rīcību obligāto rezervju izmantošanai nopietnu apgādes traucējumu gadījumā.</w:t>
      </w:r>
      <w:r w:rsidRPr="00870FD9" w:rsidR="00412332">
        <w:rPr>
          <w:bCs/>
          <w:color w:val="000000" w:themeColor="text1"/>
          <w:szCs w:val="28"/>
        </w:rPr>
        <w:t xml:space="preserve"> Tā kā Latvija ir naftas produktu importētāja valsts, tad drošības rezervju apjomam tiek piemērotas 90 dienas.</w:t>
      </w:r>
    </w:p>
    <w:p w:rsidR="007604F1" w:rsidRPr="00870FD9" w:rsidP="007604F1">
      <w:pPr>
        <w:spacing w:before="120" w:after="60"/>
        <w:jc w:val="both"/>
        <w:rPr>
          <w:bCs/>
          <w:color w:val="000000" w:themeColor="text1"/>
          <w:szCs w:val="28"/>
        </w:rPr>
      </w:pPr>
      <w:r w:rsidRPr="00870FD9">
        <w:rPr>
          <w:bCs/>
          <w:color w:val="000000" w:themeColor="text1"/>
          <w:szCs w:val="28"/>
        </w:rPr>
        <w:t xml:space="preserve">Enerģētikas likums pārņem Direktīvas 2009/119/EK prasības, nosakot deleģējumu Ministru kabinetam izdot tiesību aktus drošības rezervju izveidei, </w:t>
      </w:r>
      <w:r w:rsidRPr="00870FD9" w:rsidR="000F18BF">
        <w:rPr>
          <w:bCs/>
          <w:color w:val="000000" w:themeColor="text1"/>
          <w:szCs w:val="28"/>
        </w:rPr>
        <w:t>rīkojot atklātus konkursus</w:t>
      </w:r>
      <w:r w:rsidRPr="00870FD9">
        <w:rPr>
          <w:bCs/>
          <w:color w:val="000000" w:themeColor="text1"/>
          <w:szCs w:val="28"/>
        </w:rPr>
        <w:t>.</w:t>
      </w:r>
    </w:p>
    <w:p w:rsidR="007604F1" w:rsidRPr="00870FD9" w:rsidP="007604F1">
      <w:pPr>
        <w:spacing w:before="120" w:after="60"/>
        <w:jc w:val="both"/>
        <w:rPr>
          <w:bCs/>
          <w:color w:val="000000" w:themeColor="text1"/>
          <w:szCs w:val="28"/>
        </w:rPr>
      </w:pPr>
      <w:r w:rsidRPr="00870FD9">
        <w:rPr>
          <w:bCs/>
          <w:color w:val="000000" w:themeColor="text1"/>
          <w:szCs w:val="28"/>
        </w:rPr>
        <w:t xml:space="preserve">Likums „Par nodokļiem un nodevām” nosaka, ka par Enerģētikas likumā minēto drošības rezervju uzturēšanu maksājama valsts nodeva. </w:t>
      </w:r>
    </w:p>
    <w:p w:rsidR="007604F1" w:rsidRPr="00870FD9" w:rsidP="007604F1">
      <w:pPr>
        <w:spacing w:before="120" w:after="60"/>
        <w:jc w:val="both"/>
        <w:rPr>
          <w:bCs/>
          <w:color w:val="000000" w:themeColor="text1"/>
          <w:szCs w:val="28"/>
        </w:rPr>
      </w:pPr>
      <w:r w:rsidRPr="00870FD9">
        <w:rPr>
          <w:bCs/>
          <w:color w:val="000000" w:themeColor="text1"/>
          <w:szCs w:val="28"/>
        </w:rPr>
        <w:t>MK</w:t>
      </w:r>
      <w:r w:rsidRPr="00870FD9">
        <w:rPr>
          <w:bCs/>
          <w:color w:val="000000" w:themeColor="text1"/>
          <w:szCs w:val="28"/>
        </w:rPr>
        <w:t xml:space="preserve"> noteikum</w:t>
      </w:r>
      <w:r w:rsidRPr="00870FD9">
        <w:rPr>
          <w:bCs/>
          <w:color w:val="000000" w:themeColor="text1"/>
          <w:szCs w:val="28"/>
        </w:rPr>
        <w:t>u</w:t>
      </w:r>
      <w:r w:rsidRPr="00870FD9">
        <w:rPr>
          <w:bCs/>
          <w:color w:val="000000" w:themeColor="text1"/>
          <w:szCs w:val="28"/>
        </w:rPr>
        <w:t xml:space="preserve"> Nr.286 nosaka kārtību, kādā komersanti nodrošina un sniedz drošības rezervju pakalpojumu (naftas produktu uzglabāšanas pakalpojums).</w:t>
      </w:r>
    </w:p>
    <w:p w:rsidR="007604F1" w:rsidRPr="00870FD9" w:rsidP="007604F1">
      <w:pPr>
        <w:spacing w:before="120" w:after="60"/>
        <w:jc w:val="both"/>
        <w:rPr>
          <w:color w:val="000000" w:themeColor="text1"/>
          <w:szCs w:val="28"/>
        </w:rPr>
      </w:pPr>
      <w:r w:rsidRPr="00870FD9">
        <w:rPr>
          <w:bCs/>
          <w:color w:val="000000" w:themeColor="text1"/>
          <w:szCs w:val="28"/>
        </w:rPr>
        <w:t xml:space="preserve">Ministru kabineta 2011.gada 14.jūnija noteikumi Nr.450 „Noteikumi par valsts naftas produktu rezervju apmēru, apmēru, kādā maksājama valsts nodeva par drošības rezervju uzturēšanu, kā arī tās aprēķināšanas, maksāšanas un administrēšanas kārtību” nosaka valsts nodevas likmi par drošības rezervju uzturēšanu, valsts nodevas maksāšanas kārtību un kārtību, kādā valsts nodeva tiek administrēta </w:t>
      </w:r>
      <w:r w:rsidRPr="00870FD9">
        <w:rPr>
          <w:color w:val="000000" w:themeColor="text1"/>
          <w:kern w:val="3"/>
          <w:szCs w:val="28"/>
          <w:lang w:eastAsia="lv-LV"/>
        </w:rPr>
        <w:t>(turpmāk – Noteikumi Nr.450)</w:t>
      </w:r>
      <w:r w:rsidRPr="00870FD9">
        <w:rPr>
          <w:bCs/>
          <w:color w:val="000000" w:themeColor="text1"/>
          <w:szCs w:val="28"/>
        </w:rPr>
        <w:t>.</w:t>
      </w:r>
    </w:p>
    <w:p w:rsidR="007604F1" w:rsidRPr="00870FD9" w:rsidP="007604F1">
      <w:pPr>
        <w:spacing w:before="120" w:after="60"/>
        <w:jc w:val="both"/>
        <w:rPr>
          <w:bCs/>
          <w:color w:val="000000" w:themeColor="text1"/>
          <w:szCs w:val="28"/>
        </w:rPr>
      </w:pPr>
      <w:r w:rsidRPr="00870FD9">
        <w:rPr>
          <w:bCs/>
          <w:color w:val="000000" w:themeColor="text1"/>
          <w:szCs w:val="28"/>
        </w:rPr>
        <w:t>Ministru kabineta 2011.gada 19.aprīļa noteikumi Nr.312 „Enerģijas lietotāju apgādes un kurināmā pārdošanas kārtība izsludinātas enerģētiskās krīzes laikā un valsts apdraudējuma gadījumā” nosaka kārtību, kādā tiek izmantotas naftas produktu drošības rezerves izsludinātas enerģētiskās krīzes laikā un valsts apdraudējuma gadījumā.</w:t>
      </w:r>
    </w:p>
    <w:p w:rsidR="007604F1" w:rsidRPr="00870FD9" w:rsidP="007604F1">
      <w:pPr>
        <w:spacing w:before="120" w:after="60"/>
        <w:jc w:val="both"/>
        <w:rPr>
          <w:bCs/>
          <w:color w:val="000000" w:themeColor="text1"/>
          <w:szCs w:val="28"/>
        </w:rPr>
      </w:pPr>
      <w:r w:rsidRPr="00870FD9">
        <w:rPr>
          <w:bCs/>
          <w:color w:val="000000" w:themeColor="text1"/>
          <w:szCs w:val="28"/>
        </w:rPr>
        <w:t>Ministru kabineta 2002.gada 29.janvāra noteikumi Nr.40 „Valsts enerģētiskās krīzes centra nolikums” nosaka Valsts enerģētiskās krīzes centra (turpmāk – centrs) darbības kārtību un kompetenci. Centrs ir koordinējoša un konsultatīva valsts institūcija, un tās uzdevums ir izsludinātas valsts enerģētiskās krīzes laikā vadīt krīzes novēršanas un krīzes izraisīto seku likvidēšanas pasākumus.</w:t>
      </w:r>
    </w:p>
    <w:p w:rsidR="007604F1" w:rsidRPr="00870FD9" w:rsidP="0033657C">
      <w:pPr>
        <w:pStyle w:val="ListParagraph"/>
        <w:numPr>
          <w:ilvl w:val="1"/>
          <w:numId w:val="14"/>
        </w:numPr>
        <w:spacing w:before="480" w:after="120"/>
        <w:jc w:val="both"/>
        <w:textAlignment w:val="auto"/>
        <w:outlineLvl w:val="1"/>
        <w:rPr>
          <w:rFonts w:ascii="Times New Roman" w:hAnsi="Times New Roman"/>
          <w:b/>
          <w:bCs/>
          <w:color w:val="000000" w:themeColor="text1"/>
          <w:sz w:val="24"/>
          <w:szCs w:val="28"/>
        </w:rPr>
      </w:pPr>
      <w:bookmarkStart w:id="14" w:name="_Toc499712142"/>
      <w:bookmarkStart w:id="15" w:name="_Toc256000004"/>
      <w:bookmarkStart w:id="16" w:name="_Toc256000014"/>
      <w:r w:rsidRPr="00870FD9">
        <w:rPr>
          <w:rFonts w:ascii="Times New Roman" w:hAnsi="Times New Roman"/>
          <w:b/>
          <w:bCs/>
          <w:color w:val="000000" w:themeColor="text1"/>
          <w:sz w:val="24"/>
          <w:szCs w:val="28"/>
        </w:rPr>
        <w:t>Citu ES dalībvalstu naftas rezervju izveides modeļi</w:t>
      </w:r>
      <w:r w:rsidRPr="00870FD9" w:rsidR="00412332">
        <w:rPr>
          <w:rFonts w:ascii="Times New Roman" w:hAnsi="Times New Roman"/>
          <w:b/>
          <w:bCs/>
          <w:color w:val="000000" w:themeColor="text1"/>
          <w:sz w:val="24"/>
          <w:szCs w:val="28"/>
        </w:rPr>
        <w:t>.</w:t>
      </w:r>
      <w:bookmarkEnd w:id="16"/>
      <w:bookmarkEnd w:id="15"/>
      <w:bookmarkEnd w:id="14"/>
    </w:p>
    <w:p w:rsidR="007604F1" w:rsidRPr="00870FD9" w:rsidP="007604F1">
      <w:pPr>
        <w:spacing w:before="120" w:after="120"/>
        <w:jc w:val="both"/>
        <w:rPr>
          <w:color w:val="000000" w:themeColor="text1"/>
          <w:szCs w:val="28"/>
        </w:rPr>
      </w:pPr>
      <w:r w:rsidRPr="00870FD9">
        <w:rPr>
          <w:bCs/>
          <w:color w:val="000000" w:themeColor="text1"/>
          <w:szCs w:val="28"/>
        </w:rPr>
        <w:t>Jau kopš 60-to gadu beigām ES dalībvalstis apzinās nepieciešamību novērst potenciālos naftas piegāžu ierobežojumus un Padomes 19</w:t>
      </w:r>
      <w:r w:rsidRPr="00870FD9" w:rsidR="008D739A">
        <w:rPr>
          <w:bCs/>
          <w:color w:val="000000" w:themeColor="text1"/>
          <w:szCs w:val="28"/>
        </w:rPr>
        <w:t>6</w:t>
      </w:r>
      <w:r w:rsidRPr="00870FD9">
        <w:rPr>
          <w:bCs/>
          <w:color w:val="000000" w:themeColor="text1"/>
          <w:szCs w:val="28"/>
        </w:rPr>
        <w:t xml:space="preserve">8. gada </w:t>
      </w:r>
      <w:r w:rsidRPr="00870FD9" w:rsidR="008D739A">
        <w:rPr>
          <w:bCs/>
          <w:color w:val="000000" w:themeColor="text1"/>
          <w:szCs w:val="28"/>
        </w:rPr>
        <w:t xml:space="preserve">20. decembra </w:t>
      </w:r>
      <w:r w:rsidRPr="00870FD9">
        <w:rPr>
          <w:bCs/>
          <w:color w:val="000000" w:themeColor="text1"/>
          <w:szCs w:val="28"/>
        </w:rPr>
        <w:t>Direktīva 68/414/EEK</w:t>
      </w:r>
      <w:r w:rsidRPr="00870FD9" w:rsidR="008D739A">
        <w:rPr>
          <w:bCs/>
          <w:color w:val="000000" w:themeColor="text1"/>
          <w:szCs w:val="28"/>
        </w:rPr>
        <w:t xml:space="preserve"> </w:t>
      </w:r>
      <w:r w:rsidRPr="00870FD9" w:rsidR="008D739A">
        <w:rPr>
          <w:rStyle w:val="Strong"/>
          <w:rFonts w:ascii="Lucida Sans Unicode" w:hAnsi="Lucida Sans Unicode" w:cs="Lucida Sans Unicode"/>
          <w:color w:val="000000" w:themeColor="text1"/>
          <w:sz w:val="18"/>
          <w:szCs w:val="19"/>
          <w:bdr w:val="none" w:sz="0" w:space="0" w:color="auto" w:frame="1"/>
          <w:shd w:val="clear" w:color="auto" w:fill="FFFFFF"/>
        </w:rPr>
        <w:t> </w:t>
      </w:r>
      <w:r w:rsidRPr="00870FD9" w:rsidR="008D739A">
        <w:rPr>
          <w:color w:val="000000" w:themeColor="text1"/>
          <w:szCs w:val="28"/>
        </w:rPr>
        <w:t>ar ko EEK dalībvalstīm uzliek pienākumu uzturēt jēlnaftas un/vai naftas produktu obligātas rezerves</w:t>
      </w:r>
      <w:r>
        <w:rPr>
          <w:rStyle w:val="FootnoteReference"/>
          <w:color w:val="000000" w:themeColor="text1"/>
          <w:szCs w:val="28"/>
        </w:rPr>
        <w:footnoteReference w:id="4"/>
      </w:r>
      <w:r w:rsidRPr="00870FD9">
        <w:rPr>
          <w:bCs/>
          <w:color w:val="000000" w:themeColor="text1"/>
          <w:szCs w:val="28"/>
        </w:rPr>
        <w:t xml:space="preserve"> noteica dalībvalstu pienākumus izveidot un uzturēt stratēģiskās naftas rezerves. Vēlāk Padomes 1972. gada </w:t>
      </w:r>
      <w:r w:rsidRPr="00870FD9" w:rsidR="008D739A">
        <w:rPr>
          <w:bCs/>
          <w:color w:val="000000" w:themeColor="text1"/>
          <w:szCs w:val="28"/>
        </w:rPr>
        <w:t>14. decembra D</w:t>
      </w:r>
      <w:r w:rsidRPr="00870FD9">
        <w:rPr>
          <w:bCs/>
          <w:color w:val="000000" w:themeColor="text1"/>
          <w:szCs w:val="28"/>
        </w:rPr>
        <w:t>irektīva 72/425/EEK</w:t>
      </w:r>
      <w:r w:rsidRPr="00870FD9" w:rsidR="008D739A">
        <w:rPr>
          <w:bCs/>
          <w:color w:val="000000" w:themeColor="text1"/>
          <w:szCs w:val="28"/>
        </w:rPr>
        <w:t xml:space="preserve">, </w:t>
      </w:r>
      <w:r w:rsidRPr="00870FD9" w:rsidR="008D739A">
        <w:rPr>
          <w:color w:val="000000" w:themeColor="text1"/>
          <w:szCs w:val="28"/>
        </w:rPr>
        <w:t>ar kuru groza Direktīvu 68/414/EEK, ar ko uzliek EEK dalībvalstīm par pienākumu glabāt jēlnaftas un/vai naftas produktu minimālus uzkrājumus</w:t>
      </w:r>
      <w:r>
        <w:rPr>
          <w:rStyle w:val="FootnoteReference"/>
          <w:color w:val="000000" w:themeColor="text1"/>
          <w:szCs w:val="28"/>
        </w:rPr>
        <w:footnoteReference w:id="5"/>
      </w:r>
      <w:r w:rsidRPr="00870FD9">
        <w:rPr>
          <w:bCs/>
          <w:color w:val="000000" w:themeColor="text1"/>
          <w:szCs w:val="28"/>
        </w:rPr>
        <w:t xml:space="preserve"> palielināja pienākumu uzturēt naftas rezerves no iepriekš noteiktā 65 dienu patēriņa līmeņa līdz apjomam, kas ir ekvivalents vismaz 90 dienu patēriņam. Ar </w:t>
      </w:r>
      <w:r w:rsidRPr="00870FD9" w:rsidR="008D739A">
        <w:rPr>
          <w:bCs/>
          <w:color w:val="000000" w:themeColor="text1"/>
          <w:szCs w:val="28"/>
        </w:rPr>
        <w:t xml:space="preserve">Padomes 1998. gada 14. decembra </w:t>
      </w:r>
      <w:r w:rsidRPr="00870FD9">
        <w:rPr>
          <w:bCs/>
          <w:color w:val="000000" w:themeColor="text1"/>
          <w:szCs w:val="28"/>
        </w:rPr>
        <w:t>Direktīvu 98/93/EK</w:t>
      </w:r>
      <w:r w:rsidRPr="00870FD9" w:rsidR="008D739A">
        <w:rPr>
          <w:bCs/>
          <w:color w:val="000000" w:themeColor="text1"/>
          <w:szCs w:val="28"/>
        </w:rPr>
        <w:t xml:space="preserve">, </w:t>
      </w:r>
      <w:r w:rsidRPr="00870FD9" w:rsidR="008D739A">
        <w:rPr>
          <w:color w:val="000000" w:themeColor="text1"/>
          <w:szCs w:val="28"/>
        </w:rPr>
        <w:t>ar kuru groza Direktīvu 68/414/EEK, ar ko uzliek EEK dalībvalstīm par pienākumu glabāt jēlnaftas un/vai naftas produktu minimālus uzkrājumus</w:t>
      </w:r>
      <w:r>
        <w:rPr>
          <w:rStyle w:val="FootnoteReference"/>
          <w:color w:val="000000" w:themeColor="text1"/>
          <w:szCs w:val="28"/>
        </w:rPr>
        <w:footnoteReference w:id="6"/>
      </w:r>
      <w:r w:rsidRPr="00870FD9">
        <w:rPr>
          <w:bCs/>
          <w:color w:val="000000" w:themeColor="text1"/>
          <w:szCs w:val="28"/>
        </w:rPr>
        <w:t xml:space="preserve"> tika pastiprināti iepriekšējo direktīvu nosacījumi (izņemot dienu skaitu), savukārt, konsolidācijas nolūkos šīs direktīvas tika aizstātas ar </w:t>
      </w:r>
      <w:r w:rsidRPr="00870FD9" w:rsidR="008D739A">
        <w:rPr>
          <w:bCs/>
          <w:color w:val="000000" w:themeColor="text1"/>
          <w:szCs w:val="28"/>
        </w:rPr>
        <w:t xml:space="preserve">Padomes 2006. gada 24. jūlija </w:t>
      </w:r>
      <w:r w:rsidRPr="00870FD9">
        <w:rPr>
          <w:bCs/>
          <w:color w:val="000000" w:themeColor="text1"/>
          <w:szCs w:val="28"/>
        </w:rPr>
        <w:t>Direktīvu 2006/67/EK</w:t>
      </w:r>
      <w:r w:rsidRPr="00870FD9" w:rsidR="008D739A">
        <w:rPr>
          <w:bCs/>
          <w:color w:val="000000" w:themeColor="text1"/>
          <w:szCs w:val="28"/>
        </w:rPr>
        <w:t xml:space="preserve">, </w:t>
      </w:r>
      <w:r w:rsidRPr="00870FD9" w:rsidR="008D739A">
        <w:rPr>
          <w:color w:val="000000" w:themeColor="text1"/>
          <w:szCs w:val="28"/>
        </w:rPr>
        <w:t>ar ko dalībvalstīm uzliek pienākumu uzturēt jēlnaftas un/vai naftas produktu obligātas rezerves</w:t>
      </w:r>
      <w:r>
        <w:rPr>
          <w:rStyle w:val="FootnoteReference"/>
          <w:color w:val="000000" w:themeColor="text1"/>
          <w:szCs w:val="28"/>
        </w:rPr>
        <w:footnoteReference w:id="7"/>
      </w:r>
      <w:r w:rsidRPr="00870FD9" w:rsidR="00E12047">
        <w:rPr>
          <w:color w:val="000000" w:themeColor="text1"/>
          <w:szCs w:val="28"/>
        </w:rPr>
        <w:t xml:space="preserve"> (turpmāk – Direktīva </w:t>
      </w:r>
      <w:r w:rsidRPr="00870FD9" w:rsidR="00E12047">
        <w:rPr>
          <w:bCs/>
          <w:color w:val="000000" w:themeColor="text1"/>
          <w:szCs w:val="28"/>
        </w:rPr>
        <w:t>2006/67/EK)</w:t>
      </w:r>
      <w:r w:rsidRPr="00870FD9">
        <w:rPr>
          <w:bCs/>
          <w:color w:val="000000" w:themeColor="text1"/>
          <w:szCs w:val="28"/>
        </w:rPr>
        <w:t>. No 2013.gada 1.janvāra spēkā ir Direktīva 2009/119/EK.</w:t>
      </w:r>
      <w:r w:rsidRPr="00870FD9">
        <w:rPr>
          <w:color w:val="000000" w:themeColor="text1"/>
          <w:szCs w:val="28"/>
        </w:rPr>
        <w:t xml:space="preserve"> </w:t>
      </w:r>
      <w:r w:rsidRPr="00870FD9">
        <w:rPr>
          <w:bCs/>
          <w:color w:val="000000" w:themeColor="text1"/>
          <w:szCs w:val="28"/>
        </w:rPr>
        <w:t>Direktīvas 2009/119/EK 3.pants nosaka, ka dalībvalstis Kopienas teritorijā pastāvīgi uztur naftas krājumu apjomu, kas atbilst vismaz dienas vidējā tīrā importa daudzumiem 90 dienām vai arī dienas vidējam iekšzemes patēriņam 61 dienai atkarībā no tā, kurš no abiem daudzumiem ir lielāks.</w:t>
      </w:r>
    </w:p>
    <w:p w:rsidR="007604F1" w:rsidRPr="00870FD9" w:rsidP="007604F1">
      <w:pPr>
        <w:spacing w:before="120" w:after="120"/>
        <w:jc w:val="both"/>
        <w:rPr>
          <w:bCs/>
          <w:color w:val="000000" w:themeColor="text1"/>
          <w:szCs w:val="28"/>
        </w:rPr>
      </w:pPr>
      <w:r w:rsidRPr="00870FD9">
        <w:rPr>
          <w:bCs/>
          <w:color w:val="000000" w:themeColor="text1"/>
          <w:szCs w:val="28"/>
        </w:rPr>
        <w:t>Eiropas Komisija</w:t>
      </w:r>
      <w:r w:rsidRPr="00870FD9" w:rsidR="0051581B">
        <w:rPr>
          <w:bCs/>
          <w:color w:val="000000" w:themeColor="text1"/>
          <w:szCs w:val="28"/>
        </w:rPr>
        <w:t>s</w:t>
      </w:r>
      <w:r w:rsidRPr="00870FD9">
        <w:rPr>
          <w:bCs/>
          <w:color w:val="000000" w:themeColor="text1"/>
          <w:szCs w:val="28"/>
        </w:rPr>
        <w:t xml:space="preserve"> </w:t>
      </w:r>
      <w:r w:rsidRPr="00870FD9" w:rsidR="00D85448">
        <w:rPr>
          <w:bCs/>
          <w:color w:val="000000" w:themeColor="text1"/>
          <w:szCs w:val="28"/>
        </w:rPr>
        <w:t xml:space="preserve">2009.gada 26.februāra </w:t>
      </w:r>
      <w:r w:rsidRPr="00870FD9" w:rsidR="00836893">
        <w:rPr>
          <w:bCs/>
          <w:color w:val="000000" w:themeColor="text1"/>
          <w:szCs w:val="28"/>
        </w:rPr>
        <w:t xml:space="preserve"> p</w:t>
      </w:r>
      <w:r w:rsidRPr="00870FD9" w:rsidR="00D85448">
        <w:rPr>
          <w:bCs/>
          <w:color w:val="000000" w:themeColor="text1"/>
          <w:szCs w:val="28"/>
        </w:rPr>
        <w:t>riekšlikums</w:t>
      </w:r>
      <w:r w:rsidRPr="00870FD9" w:rsidR="00C45198">
        <w:rPr>
          <w:bCs/>
          <w:color w:val="000000" w:themeColor="text1"/>
          <w:szCs w:val="28"/>
        </w:rPr>
        <w:t xml:space="preserve"> Padomes Direktīv</w:t>
      </w:r>
      <w:r w:rsidRPr="00870FD9" w:rsidR="00836893">
        <w:rPr>
          <w:bCs/>
          <w:color w:val="000000" w:themeColor="text1"/>
          <w:szCs w:val="28"/>
        </w:rPr>
        <w:t>ai,</w:t>
      </w:r>
      <w:r w:rsidRPr="00870FD9" w:rsidR="00C45198">
        <w:rPr>
          <w:bCs/>
          <w:color w:val="000000" w:themeColor="text1"/>
          <w:szCs w:val="28"/>
        </w:rPr>
        <w:t xml:space="preserve"> </w:t>
      </w:r>
      <w:r w:rsidRPr="00870FD9" w:rsidR="00D85448">
        <w:rPr>
          <w:bCs/>
          <w:color w:val="000000" w:themeColor="text1"/>
          <w:szCs w:val="28"/>
        </w:rPr>
        <w:t xml:space="preserve"> </w:t>
      </w:r>
      <w:r w:rsidRPr="00870FD9" w:rsidR="00C45198">
        <w:rPr>
          <w:bCs/>
          <w:color w:val="000000" w:themeColor="text1"/>
          <w:szCs w:val="28"/>
        </w:rPr>
        <w:t>ar ko dalībvalstīm uzliek pienākumu uzturēt jēlnaftas un/vai naftas produktu obligātās rezerves”</w:t>
      </w:r>
      <w:r w:rsidRPr="00870FD9">
        <w:rPr>
          <w:bCs/>
          <w:color w:val="000000" w:themeColor="text1"/>
          <w:szCs w:val="28"/>
        </w:rPr>
        <w:t xml:space="preserve"> (COM (2008) 775</w:t>
      </w:r>
      <w:r w:rsidRPr="00870FD9" w:rsidR="00D85448">
        <w:rPr>
          <w:bCs/>
          <w:color w:val="000000" w:themeColor="text1"/>
          <w:szCs w:val="28"/>
        </w:rPr>
        <w:t>/2</w:t>
      </w:r>
      <w:r w:rsidRPr="00870FD9">
        <w:rPr>
          <w:bCs/>
          <w:color w:val="000000" w:themeColor="text1"/>
          <w:szCs w:val="28"/>
        </w:rPr>
        <w:t>)</w:t>
      </w:r>
      <w:r>
        <w:rPr>
          <w:rStyle w:val="FootnoteReference"/>
          <w:bCs/>
          <w:color w:val="000000" w:themeColor="text1"/>
          <w:szCs w:val="28"/>
        </w:rPr>
        <w:footnoteReference w:id="8"/>
      </w:r>
      <w:r w:rsidRPr="00870FD9" w:rsidR="001C5DA6">
        <w:rPr>
          <w:bCs/>
          <w:color w:val="000000" w:themeColor="text1"/>
          <w:szCs w:val="28"/>
        </w:rPr>
        <w:t xml:space="preserve"> </w:t>
      </w:r>
      <w:r w:rsidRPr="00870FD9">
        <w:rPr>
          <w:bCs/>
          <w:color w:val="000000" w:themeColor="text1"/>
          <w:szCs w:val="28"/>
        </w:rPr>
        <w:t>(turpmāk – COM ziņojums) par ES dalībvalstu praksi obligāto naftas rezervju izveidē norāda, ka ES telpā pastāv atšķirīgi naftas rezervju izveides modeļi, tomēr uzskatāmi izdalāms princips, ka valsts obligātās naftas rezerves izveides pienākums tiek deleģēts atsevišķām struktūrām, pārsvarā aģentūrām, kas pašas (</w:t>
      </w:r>
      <w:r w:rsidRPr="00870FD9" w:rsidR="00E12047">
        <w:rPr>
          <w:bCs/>
          <w:color w:val="000000" w:themeColor="text1"/>
          <w:szCs w:val="28"/>
        </w:rPr>
        <w:t>piemēram,</w:t>
      </w:r>
      <w:r w:rsidRPr="00870FD9">
        <w:rPr>
          <w:bCs/>
          <w:color w:val="000000" w:themeColor="text1"/>
          <w:szCs w:val="28"/>
        </w:rPr>
        <w:t xml:space="preserve"> </w:t>
      </w:r>
      <w:r w:rsidRPr="00870FD9" w:rsidR="001A36AA">
        <w:rPr>
          <w:bCs/>
          <w:color w:val="000000" w:themeColor="text1"/>
          <w:szCs w:val="28"/>
        </w:rPr>
        <w:t xml:space="preserve">Igaunijas naftas krājumu aģentūra </w:t>
      </w:r>
      <w:r w:rsidRPr="00870FD9">
        <w:rPr>
          <w:bCs/>
          <w:color w:val="000000" w:themeColor="text1"/>
          <w:szCs w:val="28"/>
        </w:rPr>
        <w:t>OSPA</w:t>
      </w:r>
      <w:r>
        <w:rPr>
          <w:rStyle w:val="FootnoteReference"/>
          <w:bCs/>
          <w:color w:val="000000" w:themeColor="text1"/>
          <w:szCs w:val="28"/>
        </w:rPr>
        <w:footnoteReference w:id="9"/>
      </w:r>
      <w:r w:rsidRPr="00870FD9" w:rsidR="001A36AA">
        <w:rPr>
          <w:bCs/>
          <w:color w:val="000000" w:themeColor="text1"/>
          <w:szCs w:val="28"/>
        </w:rPr>
        <w:t xml:space="preserve"> </w:t>
      </w:r>
      <w:r w:rsidRPr="00870FD9">
        <w:rPr>
          <w:bCs/>
          <w:color w:val="000000" w:themeColor="text1"/>
          <w:szCs w:val="28"/>
        </w:rPr>
        <w:t xml:space="preserve">, </w:t>
      </w:r>
      <w:r w:rsidRPr="00870FD9" w:rsidR="00121023">
        <w:rPr>
          <w:bCs/>
          <w:color w:val="000000" w:themeColor="text1"/>
          <w:szCs w:val="28"/>
        </w:rPr>
        <w:t xml:space="preserve">Starptautiskā enerģētikas aģentūra </w:t>
      </w:r>
      <w:r w:rsidRPr="00870FD9">
        <w:rPr>
          <w:bCs/>
          <w:color w:val="000000" w:themeColor="text1"/>
          <w:szCs w:val="28"/>
        </w:rPr>
        <w:t>NESA</w:t>
      </w:r>
      <w:r>
        <w:rPr>
          <w:rStyle w:val="FootnoteReference"/>
          <w:bCs/>
          <w:color w:val="000000" w:themeColor="text1"/>
          <w:szCs w:val="28"/>
        </w:rPr>
        <w:footnoteReference w:id="10"/>
      </w:r>
      <w:r w:rsidRPr="00870FD9">
        <w:rPr>
          <w:bCs/>
          <w:color w:val="000000" w:themeColor="text1"/>
          <w:szCs w:val="28"/>
        </w:rPr>
        <w:t xml:space="preserve"> Somijā</w:t>
      </w:r>
      <w:r w:rsidRPr="00870FD9" w:rsidR="00121023">
        <w:rPr>
          <w:bCs/>
          <w:color w:val="000000" w:themeColor="text1"/>
          <w:szCs w:val="28"/>
        </w:rPr>
        <w:t>,</w:t>
      </w:r>
      <w:r w:rsidRPr="00870FD9">
        <w:rPr>
          <w:bCs/>
          <w:color w:val="000000" w:themeColor="text1"/>
          <w:szCs w:val="28"/>
        </w:rPr>
        <w:t xml:space="preserve"> u.c.) darbojas uz komercdarbības principiem, pērk</w:t>
      </w:r>
      <w:r w:rsidRPr="00870FD9" w:rsidR="00866A34">
        <w:rPr>
          <w:bCs/>
          <w:color w:val="000000" w:themeColor="text1"/>
          <w:szCs w:val="28"/>
        </w:rPr>
        <w:t xml:space="preserve"> un</w:t>
      </w:r>
      <w:r w:rsidRPr="00870FD9">
        <w:rPr>
          <w:bCs/>
          <w:color w:val="000000" w:themeColor="text1"/>
          <w:szCs w:val="28"/>
        </w:rPr>
        <w:t xml:space="preserve"> pārdod</w:t>
      </w:r>
      <w:r w:rsidRPr="00870FD9" w:rsidR="0079217B">
        <w:rPr>
          <w:bCs/>
          <w:color w:val="000000" w:themeColor="text1"/>
          <w:szCs w:val="28"/>
        </w:rPr>
        <w:t xml:space="preserve"> </w:t>
      </w:r>
      <w:r w:rsidRPr="00870FD9" w:rsidR="00121023">
        <w:rPr>
          <w:bCs/>
          <w:color w:val="000000" w:themeColor="text1"/>
          <w:szCs w:val="28"/>
        </w:rPr>
        <w:t>naftas produktus biržā</w:t>
      </w:r>
      <w:r w:rsidRPr="00870FD9" w:rsidR="00866A34">
        <w:rPr>
          <w:bCs/>
          <w:color w:val="000000" w:themeColor="text1"/>
          <w:szCs w:val="28"/>
        </w:rPr>
        <w:t>, kā arī veic darījumus</w:t>
      </w:r>
      <w:r w:rsidRPr="00870FD9">
        <w:rPr>
          <w:bCs/>
          <w:color w:val="000000" w:themeColor="text1"/>
          <w:szCs w:val="28"/>
        </w:rPr>
        <w:t xml:space="preserve"> </w:t>
      </w:r>
      <w:r w:rsidRPr="00870FD9" w:rsidR="00121023">
        <w:rPr>
          <w:bCs/>
          <w:color w:val="000000" w:themeColor="text1"/>
          <w:szCs w:val="28"/>
        </w:rPr>
        <w:t xml:space="preserve">naftas produktu </w:t>
      </w:r>
      <w:r w:rsidRPr="00870FD9" w:rsidR="009151CB">
        <w:rPr>
          <w:bCs/>
          <w:color w:val="000000" w:themeColor="text1"/>
          <w:szCs w:val="28"/>
        </w:rPr>
        <w:t>cen</w:t>
      </w:r>
      <w:r w:rsidRPr="00870FD9" w:rsidR="00121023">
        <w:rPr>
          <w:bCs/>
          <w:color w:val="000000" w:themeColor="text1"/>
          <w:szCs w:val="28"/>
        </w:rPr>
        <w:t>u</w:t>
      </w:r>
      <w:r w:rsidRPr="00870FD9" w:rsidR="009151CB">
        <w:rPr>
          <w:bCs/>
          <w:color w:val="000000" w:themeColor="text1"/>
          <w:szCs w:val="28"/>
        </w:rPr>
        <w:t xml:space="preserve"> </w:t>
      </w:r>
      <w:r w:rsidRPr="00870FD9" w:rsidR="00454F12">
        <w:rPr>
          <w:bCs/>
          <w:color w:val="000000" w:themeColor="text1"/>
          <w:szCs w:val="28"/>
        </w:rPr>
        <w:t xml:space="preserve">izmaiņu </w:t>
      </w:r>
      <w:r w:rsidRPr="00870FD9" w:rsidR="009151CB">
        <w:rPr>
          <w:bCs/>
          <w:color w:val="000000" w:themeColor="text1"/>
          <w:szCs w:val="28"/>
        </w:rPr>
        <w:t>riska apdrošināšana</w:t>
      </w:r>
      <w:r w:rsidRPr="00870FD9" w:rsidR="00866A34">
        <w:rPr>
          <w:bCs/>
          <w:color w:val="000000" w:themeColor="text1"/>
          <w:szCs w:val="28"/>
        </w:rPr>
        <w:t>i</w:t>
      </w:r>
      <w:r w:rsidRPr="00870FD9" w:rsidR="009151CB">
        <w:rPr>
          <w:bCs/>
          <w:color w:val="000000" w:themeColor="text1"/>
          <w:szCs w:val="28"/>
        </w:rPr>
        <w:t xml:space="preserve"> (</w:t>
      </w:r>
      <w:r w:rsidRPr="00870FD9">
        <w:rPr>
          <w:bCs/>
          <w:color w:val="000000" w:themeColor="text1"/>
          <w:szCs w:val="28"/>
        </w:rPr>
        <w:t>hedžē</w:t>
      </w:r>
      <w:r w:rsidRPr="00870FD9" w:rsidR="009151CB">
        <w:rPr>
          <w:bCs/>
          <w:color w:val="000000" w:themeColor="text1"/>
          <w:szCs w:val="28"/>
        </w:rPr>
        <w:t>šana</w:t>
      </w:r>
      <w:r w:rsidRPr="00870FD9" w:rsidR="009151CB">
        <w:rPr>
          <w:bCs/>
          <w:color w:val="000000" w:themeColor="text1"/>
          <w:szCs w:val="28"/>
        </w:rPr>
        <w:t>)</w:t>
      </w:r>
      <w:r w:rsidRPr="00870FD9">
        <w:rPr>
          <w:bCs/>
          <w:color w:val="000000" w:themeColor="text1"/>
          <w:szCs w:val="28"/>
        </w:rPr>
        <w:t xml:space="preserve"> biržā.</w:t>
      </w:r>
    </w:p>
    <w:p w:rsidR="007604F1" w:rsidRPr="00870FD9" w:rsidP="007604F1">
      <w:pPr>
        <w:spacing w:before="120" w:after="120"/>
        <w:jc w:val="both"/>
        <w:rPr>
          <w:color w:val="000000" w:themeColor="text1"/>
          <w:szCs w:val="28"/>
        </w:rPr>
      </w:pPr>
      <w:r w:rsidRPr="00870FD9">
        <w:rPr>
          <w:bCs/>
          <w:color w:val="000000" w:themeColor="text1"/>
          <w:szCs w:val="28"/>
        </w:rPr>
        <w:t>COM ziņojumā Eiropas Komisija norāda, ka labākais risinājums ir veidot centralizētu naftas rezerves izveides modeli</w:t>
      </w:r>
      <w:r w:rsidRPr="00870FD9" w:rsidR="00121023">
        <w:rPr>
          <w:bCs/>
          <w:color w:val="000000" w:themeColor="text1"/>
          <w:szCs w:val="28"/>
        </w:rPr>
        <w:t xml:space="preserve"> – centrālo krājumu uzturēšanas struktūru (turpmāk – CKUS)</w:t>
      </w:r>
      <w:r w:rsidRPr="00870FD9">
        <w:rPr>
          <w:bCs/>
          <w:color w:val="000000" w:themeColor="text1"/>
          <w:szCs w:val="28"/>
        </w:rPr>
        <w:t xml:space="preserve">. Šajā modelī obligāts priekšnosacījums ir valsts budžeta līdzekļu piešķiršana naftas produktu iegādei valsts īpašumā. </w:t>
      </w:r>
    </w:p>
    <w:p w:rsidR="007604F1" w:rsidRPr="00870FD9" w:rsidP="007604F1">
      <w:pPr>
        <w:spacing w:before="120" w:after="120"/>
        <w:jc w:val="both"/>
        <w:rPr>
          <w:bCs/>
          <w:color w:val="000000" w:themeColor="text1"/>
          <w:szCs w:val="28"/>
        </w:rPr>
      </w:pPr>
      <w:r w:rsidRPr="00870FD9">
        <w:rPr>
          <w:bCs/>
          <w:color w:val="000000" w:themeColor="text1"/>
          <w:szCs w:val="28"/>
        </w:rPr>
        <w:t>Š</w:t>
      </w:r>
      <w:r w:rsidRPr="00870FD9">
        <w:rPr>
          <w:bCs/>
          <w:color w:val="000000" w:themeColor="text1"/>
          <w:szCs w:val="28"/>
        </w:rPr>
        <w:t>āds naftas rezerves izveides modelis vairumā dalībvalstu nebūtu iespējams bez valsts sākotnējas iesaistes, tas ir, Igaunijā</w:t>
      </w:r>
      <w:r w:rsidRPr="00870FD9" w:rsidR="00C81280">
        <w:rPr>
          <w:bCs/>
          <w:color w:val="000000" w:themeColor="text1"/>
          <w:szCs w:val="28"/>
        </w:rPr>
        <w:t xml:space="preserve"> no 2005.gada</w:t>
      </w:r>
      <w:r w:rsidRPr="00870FD9">
        <w:rPr>
          <w:bCs/>
          <w:color w:val="000000" w:themeColor="text1"/>
          <w:szCs w:val="28"/>
        </w:rPr>
        <w:t xml:space="preserve"> 10 gadu laika periodā tika piešķirti valsts budžeta līdzekļi aptuveni 128 milj. EUR apmērā naftas produktu iegādei, nodrošinot, ka naftas produkti ir valsts īpašums.</w:t>
      </w:r>
    </w:p>
    <w:p w:rsidR="007604F1" w:rsidRPr="00870FD9" w:rsidP="007604F1">
      <w:pPr>
        <w:spacing w:before="360" w:after="120"/>
        <w:jc w:val="both"/>
        <w:rPr>
          <w:b/>
          <w:bCs/>
          <w:color w:val="000000" w:themeColor="text1"/>
          <w:szCs w:val="28"/>
        </w:rPr>
      </w:pPr>
      <w:r w:rsidRPr="00870FD9">
        <w:rPr>
          <w:b/>
          <w:bCs/>
          <w:color w:val="000000" w:themeColor="text1"/>
          <w:szCs w:val="28"/>
        </w:rPr>
        <w:t xml:space="preserve">Igaunija – OSPA aģentūra </w:t>
      </w:r>
    </w:p>
    <w:p w:rsidR="007604F1" w:rsidRPr="00870FD9" w:rsidP="007604F1">
      <w:pPr>
        <w:autoSpaceDE w:val="0"/>
        <w:spacing w:before="120" w:after="120"/>
        <w:jc w:val="both"/>
        <w:rPr>
          <w:color w:val="000000" w:themeColor="text1"/>
          <w:kern w:val="3"/>
          <w:szCs w:val="28"/>
          <w:lang w:eastAsia="lv-LV"/>
        </w:rPr>
      </w:pPr>
      <w:r w:rsidRPr="00870FD9">
        <w:rPr>
          <w:color w:val="000000" w:themeColor="text1"/>
          <w:kern w:val="3"/>
          <w:szCs w:val="28"/>
          <w:lang w:eastAsia="lv-LV"/>
        </w:rPr>
        <w:t xml:space="preserve">Igaunijas naftas rezervju aģentūras (OSPA) darbība ir balstīta uz šādiem principiem:  </w:t>
      </w:r>
    </w:p>
    <w:p w:rsidR="007604F1" w:rsidRPr="00870FD9" w:rsidP="007604F1">
      <w:pPr>
        <w:numPr>
          <w:ilvl w:val="0"/>
          <w:numId w:val="2"/>
        </w:numPr>
        <w:autoSpaceDE w:val="0"/>
        <w:ind w:left="284" w:hanging="284"/>
        <w:jc w:val="both"/>
        <w:textAlignment w:val="auto"/>
        <w:rPr>
          <w:color w:val="000000" w:themeColor="text1"/>
          <w:szCs w:val="28"/>
        </w:rPr>
      </w:pPr>
      <w:r w:rsidRPr="00870FD9">
        <w:rPr>
          <w:color w:val="000000" w:themeColor="text1"/>
          <w:kern w:val="3"/>
          <w:szCs w:val="28"/>
          <w:lang w:eastAsia="lv-LV"/>
        </w:rPr>
        <w:t>Naftas rezerves uzglabāšana 61 dienām ar naftas produktu pirkšanu;</w:t>
      </w:r>
    </w:p>
    <w:p w:rsidR="007604F1" w:rsidRPr="00870FD9" w:rsidP="007604F1">
      <w:pPr>
        <w:numPr>
          <w:ilvl w:val="0"/>
          <w:numId w:val="2"/>
        </w:numPr>
        <w:autoSpaceDE w:val="0"/>
        <w:ind w:left="284" w:hanging="284"/>
        <w:jc w:val="both"/>
        <w:textAlignment w:val="auto"/>
        <w:rPr>
          <w:color w:val="000000" w:themeColor="text1"/>
          <w:kern w:val="3"/>
          <w:szCs w:val="28"/>
          <w:lang w:eastAsia="lv-LV"/>
        </w:rPr>
      </w:pPr>
      <w:r w:rsidRPr="00870FD9">
        <w:rPr>
          <w:color w:val="000000" w:themeColor="text1"/>
          <w:kern w:val="3"/>
          <w:szCs w:val="28"/>
          <w:lang w:eastAsia="lv-LV"/>
        </w:rPr>
        <w:t xml:space="preserve">Kopējā summa, ko Igaunijas valsts </w:t>
      </w:r>
      <w:r w:rsidRPr="00870FD9" w:rsidR="00866A34">
        <w:rPr>
          <w:color w:val="000000" w:themeColor="text1"/>
          <w:kern w:val="3"/>
          <w:szCs w:val="28"/>
          <w:lang w:eastAsia="lv-LV"/>
        </w:rPr>
        <w:t xml:space="preserve">līdz 2017.gadam </w:t>
      </w:r>
      <w:r w:rsidRPr="00870FD9">
        <w:rPr>
          <w:color w:val="000000" w:themeColor="text1"/>
          <w:kern w:val="3"/>
          <w:szCs w:val="28"/>
          <w:lang w:eastAsia="lv-LV"/>
        </w:rPr>
        <w:t xml:space="preserve">ieguldījusi OSPA aktīvos pārsniedz 142 milj. EUR. </w:t>
      </w:r>
    </w:p>
    <w:p w:rsidR="007604F1" w:rsidRPr="00870FD9" w:rsidP="007604F1">
      <w:pPr>
        <w:numPr>
          <w:ilvl w:val="0"/>
          <w:numId w:val="2"/>
        </w:numPr>
        <w:autoSpaceDE w:val="0"/>
        <w:ind w:left="284" w:hanging="284"/>
        <w:jc w:val="both"/>
        <w:textAlignment w:val="auto"/>
        <w:rPr>
          <w:color w:val="000000" w:themeColor="text1"/>
          <w:kern w:val="3"/>
          <w:szCs w:val="28"/>
          <w:lang w:eastAsia="lv-LV"/>
        </w:rPr>
      </w:pPr>
      <w:r w:rsidRPr="00870FD9">
        <w:rPr>
          <w:color w:val="000000" w:themeColor="text1"/>
          <w:kern w:val="3"/>
          <w:szCs w:val="28"/>
          <w:lang w:eastAsia="lv-LV"/>
        </w:rPr>
        <w:t>Uzglabātajam produktam jāatbilst EN 228</w:t>
      </w:r>
      <w:r>
        <w:rPr>
          <w:rStyle w:val="FootnoteReference"/>
          <w:color w:val="000000" w:themeColor="text1"/>
          <w:kern w:val="3"/>
          <w:szCs w:val="28"/>
          <w:lang w:eastAsia="lv-LV"/>
        </w:rPr>
        <w:footnoteReference w:id="11"/>
      </w:r>
      <w:r w:rsidRPr="00870FD9">
        <w:rPr>
          <w:color w:val="000000" w:themeColor="text1"/>
          <w:kern w:val="3"/>
          <w:szCs w:val="28"/>
          <w:lang w:eastAsia="lv-LV"/>
        </w:rPr>
        <w:t xml:space="preserve"> standarta prasībām;</w:t>
      </w:r>
    </w:p>
    <w:p w:rsidR="007604F1" w:rsidRPr="00870FD9" w:rsidP="007604F1">
      <w:pPr>
        <w:numPr>
          <w:ilvl w:val="0"/>
          <w:numId w:val="2"/>
        </w:numPr>
        <w:autoSpaceDE w:val="0"/>
        <w:ind w:left="284" w:hanging="284"/>
        <w:jc w:val="both"/>
        <w:textAlignment w:val="auto"/>
        <w:rPr>
          <w:color w:val="000000" w:themeColor="text1"/>
          <w:kern w:val="3"/>
          <w:szCs w:val="28"/>
          <w:lang w:eastAsia="lv-LV"/>
        </w:rPr>
      </w:pPr>
      <w:r w:rsidRPr="00870FD9">
        <w:rPr>
          <w:color w:val="000000" w:themeColor="text1"/>
          <w:kern w:val="3"/>
          <w:szCs w:val="28"/>
          <w:lang w:eastAsia="lv-LV"/>
        </w:rPr>
        <w:t xml:space="preserve">OSPA darbojas kā </w:t>
      </w:r>
      <w:r w:rsidRPr="00870FD9" w:rsidR="006E1109">
        <w:rPr>
          <w:color w:val="000000" w:themeColor="text1"/>
          <w:kern w:val="3"/>
          <w:szCs w:val="28"/>
          <w:lang w:eastAsia="lv-LV"/>
        </w:rPr>
        <w:t>VAS</w:t>
      </w:r>
      <w:r w:rsidRPr="00870FD9">
        <w:rPr>
          <w:color w:val="000000" w:themeColor="text1"/>
          <w:kern w:val="3"/>
          <w:szCs w:val="28"/>
          <w:lang w:eastAsia="lv-LV"/>
        </w:rPr>
        <w:t xml:space="preserve"> vai </w:t>
      </w:r>
      <w:r w:rsidRPr="00870FD9" w:rsidR="006E1109">
        <w:rPr>
          <w:color w:val="000000" w:themeColor="text1"/>
          <w:kern w:val="3"/>
          <w:szCs w:val="28"/>
          <w:lang w:eastAsia="lv-LV"/>
        </w:rPr>
        <w:t>VSIA</w:t>
      </w:r>
      <w:r w:rsidRPr="00870FD9">
        <w:rPr>
          <w:color w:val="000000" w:themeColor="text1"/>
          <w:kern w:val="3"/>
          <w:szCs w:val="28"/>
          <w:lang w:eastAsia="lv-LV"/>
        </w:rPr>
        <w:t xml:space="preserve"> (padome, valde). Padomē darbojas gan valsts, gan komersantu pārstāvji;</w:t>
      </w:r>
    </w:p>
    <w:p w:rsidR="007604F1" w:rsidRPr="00870FD9" w:rsidP="007604F1">
      <w:pPr>
        <w:numPr>
          <w:ilvl w:val="0"/>
          <w:numId w:val="2"/>
        </w:numPr>
        <w:autoSpaceDE w:val="0"/>
        <w:ind w:left="284" w:hanging="284"/>
        <w:jc w:val="both"/>
        <w:textAlignment w:val="auto"/>
        <w:rPr>
          <w:color w:val="000000" w:themeColor="text1"/>
          <w:kern w:val="3"/>
          <w:szCs w:val="28"/>
          <w:lang w:eastAsia="lv-LV"/>
        </w:rPr>
      </w:pPr>
      <w:r w:rsidRPr="00870FD9">
        <w:rPr>
          <w:color w:val="000000" w:themeColor="text1"/>
          <w:kern w:val="3"/>
          <w:szCs w:val="28"/>
          <w:lang w:eastAsia="lv-LV"/>
        </w:rPr>
        <w:t>OSPA darbība nepakļaujas publisko iepirkumu regulējumam, ir atsevišķs speciāls likums, iespējas brīdi operēt ar ikmēneša krājumiem, atkarībā no tirgus situācijas;</w:t>
      </w:r>
    </w:p>
    <w:p w:rsidR="007604F1" w:rsidRPr="00870FD9" w:rsidP="007604F1">
      <w:pPr>
        <w:numPr>
          <w:ilvl w:val="0"/>
          <w:numId w:val="2"/>
        </w:numPr>
        <w:autoSpaceDE w:val="0"/>
        <w:ind w:left="284" w:hanging="284"/>
        <w:jc w:val="both"/>
        <w:textAlignment w:val="auto"/>
        <w:rPr>
          <w:color w:val="000000" w:themeColor="text1"/>
          <w:kern w:val="3"/>
          <w:szCs w:val="28"/>
          <w:lang w:eastAsia="lv-LV"/>
        </w:rPr>
      </w:pPr>
      <w:r w:rsidRPr="00870FD9">
        <w:rPr>
          <w:color w:val="000000" w:themeColor="text1"/>
          <w:kern w:val="3"/>
          <w:szCs w:val="28"/>
          <w:lang w:eastAsia="lv-LV"/>
        </w:rPr>
        <w:t>Vidējā</w:t>
      </w:r>
      <w:r w:rsidRPr="00870FD9" w:rsidR="0051581B">
        <w:rPr>
          <w:color w:val="000000" w:themeColor="text1"/>
          <w:kern w:val="3"/>
          <w:szCs w:val="28"/>
          <w:lang w:eastAsia="lv-LV"/>
        </w:rPr>
        <w:t>s</w:t>
      </w:r>
      <w:r w:rsidRPr="00870FD9">
        <w:rPr>
          <w:color w:val="000000" w:themeColor="text1"/>
          <w:kern w:val="3"/>
          <w:szCs w:val="28"/>
          <w:lang w:eastAsia="lv-LV"/>
        </w:rPr>
        <w:t xml:space="preserve"> uzglabāšanas izmaksas OSPA daļēji finansē pati, uz gūtās peļņas rēķina; </w:t>
      </w:r>
    </w:p>
    <w:p w:rsidR="007604F1" w:rsidRPr="00870FD9" w:rsidP="007604F1">
      <w:pPr>
        <w:numPr>
          <w:ilvl w:val="0"/>
          <w:numId w:val="2"/>
        </w:numPr>
        <w:autoSpaceDE w:val="0"/>
        <w:ind w:left="284" w:hanging="284"/>
        <w:jc w:val="both"/>
        <w:textAlignment w:val="auto"/>
        <w:rPr>
          <w:color w:val="000000" w:themeColor="text1"/>
          <w:kern w:val="3"/>
          <w:szCs w:val="28"/>
          <w:lang w:eastAsia="lv-LV"/>
        </w:rPr>
      </w:pPr>
      <w:r w:rsidRPr="00870FD9">
        <w:rPr>
          <w:color w:val="000000" w:themeColor="text1"/>
          <w:kern w:val="3"/>
          <w:szCs w:val="28"/>
          <w:lang w:eastAsia="lv-LV"/>
        </w:rPr>
        <w:t xml:space="preserve">OSPA piedalās tirgū ar sev piederošiem naftas produktiem, </w:t>
      </w:r>
      <w:r w:rsidRPr="00870FD9" w:rsidR="001B3525">
        <w:rPr>
          <w:color w:val="000000" w:themeColor="text1"/>
          <w:kern w:val="3"/>
          <w:szCs w:val="28"/>
          <w:lang w:eastAsia="lv-LV"/>
        </w:rPr>
        <w:t>iepirkums</w:t>
      </w:r>
      <w:r w:rsidRPr="00870FD9">
        <w:rPr>
          <w:color w:val="000000" w:themeColor="text1"/>
          <w:kern w:val="3"/>
          <w:szCs w:val="28"/>
          <w:lang w:eastAsia="lv-LV"/>
        </w:rPr>
        <w:t xml:space="preserve"> tiek izsludināts tikai par uzglabāšan</w:t>
      </w:r>
      <w:r w:rsidRPr="00870FD9" w:rsidR="001B3525">
        <w:rPr>
          <w:color w:val="000000" w:themeColor="text1"/>
          <w:kern w:val="3"/>
          <w:szCs w:val="28"/>
          <w:lang w:eastAsia="lv-LV"/>
        </w:rPr>
        <w:t>as pakalpojumu</w:t>
      </w:r>
      <w:r w:rsidRPr="00870FD9">
        <w:rPr>
          <w:color w:val="000000" w:themeColor="text1"/>
          <w:kern w:val="3"/>
          <w:szCs w:val="28"/>
          <w:lang w:eastAsia="lv-LV"/>
        </w:rPr>
        <w:t>;</w:t>
      </w:r>
    </w:p>
    <w:p w:rsidR="007604F1" w:rsidRPr="00870FD9" w:rsidP="007604F1">
      <w:pPr>
        <w:numPr>
          <w:ilvl w:val="0"/>
          <w:numId w:val="2"/>
        </w:numPr>
        <w:autoSpaceDE w:val="0"/>
        <w:ind w:left="284" w:hanging="284"/>
        <w:jc w:val="both"/>
        <w:textAlignment w:val="auto"/>
        <w:rPr>
          <w:color w:val="000000" w:themeColor="text1"/>
          <w:kern w:val="3"/>
          <w:szCs w:val="28"/>
          <w:lang w:eastAsia="lv-LV"/>
        </w:rPr>
      </w:pPr>
      <w:r w:rsidRPr="00870FD9">
        <w:rPr>
          <w:color w:val="000000" w:themeColor="text1"/>
          <w:kern w:val="3"/>
          <w:szCs w:val="28"/>
          <w:lang w:eastAsia="lv-LV"/>
        </w:rPr>
        <w:t xml:space="preserve">Pretendenti konkursā piedāvā tikai uzglabāšanas pakalpojuma cenu, neiecenojot naftas produktu pirkšanu. </w:t>
      </w:r>
    </w:p>
    <w:p w:rsidR="007604F1" w:rsidRPr="00870FD9" w:rsidP="007604F1">
      <w:pPr>
        <w:numPr>
          <w:ilvl w:val="0"/>
          <w:numId w:val="2"/>
        </w:numPr>
        <w:autoSpaceDE w:val="0"/>
        <w:ind w:left="284" w:hanging="284"/>
        <w:jc w:val="both"/>
        <w:textAlignment w:val="auto"/>
        <w:rPr>
          <w:color w:val="000000" w:themeColor="text1"/>
          <w:kern w:val="3"/>
          <w:szCs w:val="28"/>
          <w:lang w:eastAsia="lv-LV"/>
        </w:rPr>
      </w:pPr>
      <w:r w:rsidRPr="00870FD9">
        <w:rPr>
          <w:color w:val="000000" w:themeColor="text1"/>
          <w:kern w:val="3"/>
          <w:szCs w:val="28"/>
          <w:lang w:eastAsia="lv-LV"/>
        </w:rPr>
        <w:t>Aģentūra pati uzņemas risku par naftas produktu cenu svārstībām, tajā skaitā peļņu no cenu pieauguma, jo iegādes brīdī cenas produktiem bijušas 780-859 USD par tonnu, līdz ar to notiek aktīva valstij piederošo resursu apsaimniekošana.</w:t>
      </w:r>
    </w:p>
    <w:p w:rsidR="00C81280" w:rsidRPr="00870FD9" w:rsidP="007604F1">
      <w:pPr>
        <w:spacing w:before="360"/>
        <w:rPr>
          <w:color w:val="000000" w:themeColor="text1"/>
          <w:kern w:val="3"/>
          <w:szCs w:val="28"/>
          <w:lang w:eastAsia="lv-LV"/>
        </w:rPr>
      </w:pPr>
      <w:r w:rsidRPr="00870FD9">
        <w:rPr>
          <w:color w:val="000000" w:themeColor="text1"/>
          <w:kern w:val="3"/>
          <w:szCs w:val="28"/>
          <w:lang w:eastAsia="lv-LV"/>
        </w:rPr>
        <w:t>Valsts nodevas likmes tiek mainītas katru gadu, likmes apmērs tiek pārrēķināts,  jo uzglabāšanas izmaksas OSPA daļēji atgūst pārdodot naftas produktus.</w:t>
      </w:r>
    </w:p>
    <w:p w:rsidR="007604F1" w:rsidRPr="00870FD9" w:rsidP="007604F1">
      <w:pPr>
        <w:spacing w:before="360"/>
        <w:rPr>
          <w:b/>
          <w:bCs/>
          <w:color w:val="000000" w:themeColor="text1"/>
          <w:szCs w:val="28"/>
        </w:rPr>
      </w:pPr>
      <w:r w:rsidRPr="00870FD9">
        <w:rPr>
          <w:b/>
          <w:bCs/>
          <w:color w:val="000000" w:themeColor="text1"/>
          <w:szCs w:val="28"/>
        </w:rPr>
        <w:t xml:space="preserve">Lietuva – </w:t>
      </w:r>
      <w:r w:rsidRPr="00870FD9" w:rsidR="00C81280">
        <w:rPr>
          <w:b/>
          <w:bCs/>
          <w:color w:val="000000" w:themeColor="text1"/>
          <w:szCs w:val="28"/>
        </w:rPr>
        <w:t xml:space="preserve">Lietuvas naftas produktu </w:t>
      </w:r>
      <w:r w:rsidRPr="00870FD9">
        <w:rPr>
          <w:b/>
          <w:bCs/>
          <w:color w:val="000000" w:themeColor="text1"/>
          <w:szCs w:val="28"/>
        </w:rPr>
        <w:t>aģentūra</w:t>
      </w:r>
      <w:r>
        <w:rPr>
          <w:rStyle w:val="FootnoteReference"/>
          <w:b/>
          <w:bCs/>
          <w:color w:val="000000" w:themeColor="text1"/>
          <w:szCs w:val="28"/>
        </w:rPr>
        <w:footnoteReference w:id="12"/>
      </w:r>
      <w:r w:rsidRPr="00870FD9">
        <w:rPr>
          <w:b/>
          <w:bCs/>
          <w:color w:val="000000" w:themeColor="text1"/>
          <w:szCs w:val="28"/>
        </w:rPr>
        <w:t xml:space="preserve"> </w:t>
      </w:r>
    </w:p>
    <w:p w:rsidR="007604F1" w:rsidRPr="00870FD9" w:rsidP="007604F1">
      <w:pPr>
        <w:autoSpaceDE w:val="0"/>
        <w:jc w:val="both"/>
        <w:rPr>
          <w:color w:val="000000" w:themeColor="text1"/>
          <w:kern w:val="3"/>
          <w:szCs w:val="28"/>
          <w:lang w:eastAsia="lv-LV"/>
        </w:rPr>
      </w:pPr>
      <w:r w:rsidRPr="00870FD9">
        <w:rPr>
          <w:color w:val="000000" w:themeColor="text1"/>
          <w:kern w:val="3"/>
          <w:szCs w:val="28"/>
          <w:lang w:eastAsia="lv-LV"/>
        </w:rPr>
        <w:t>Lietuvas naftas rezervju aģentūras darbība ir balstīta uz šādiem principiem:</w:t>
      </w:r>
    </w:p>
    <w:p w:rsidR="007604F1" w:rsidRPr="00870FD9" w:rsidP="007604F1">
      <w:pPr>
        <w:numPr>
          <w:ilvl w:val="0"/>
          <w:numId w:val="3"/>
        </w:numPr>
        <w:tabs>
          <w:tab w:val="left" w:pos="426"/>
        </w:tabs>
        <w:autoSpaceDE w:val="0"/>
        <w:ind w:left="0" w:firstLine="0"/>
        <w:jc w:val="both"/>
        <w:textAlignment w:val="auto"/>
        <w:rPr>
          <w:color w:val="000000" w:themeColor="text1"/>
          <w:kern w:val="3"/>
          <w:szCs w:val="28"/>
          <w:lang w:eastAsia="lv-LV"/>
        </w:rPr>
      </w:pPr>
      <w:r w:rsidRPr="00870FD9">
        <w:rPr>
          <w:color w:val="000000" w:themeColor="text1"/>
          <w:kern w:val="3"/>
          <w:szCs w:val="28"/>
          <w:lang w:eastAsia="lv-LV"/>
        </w:rPr>
        <w:t>Dalītas atbildības modelis naftas rezervju izveidē;</w:t>
      </w:r>
    </w:p>
    <w:p w:rsidR="007604F1" w:rsidRPr="00870FD9" w:rsidP="007604F1">
      <w:pPr>
        <w:numPr>
          <w:ilvl w:val="0"/>
          <w:numId w:val="3"/>
        </w:numPr>
        <w:tabs>
          <w:tab w:val="left" w:pos="426"/>
        </w:tabs>
        <w:autoSpaceDE w:val="0"/>
        <w:ind w:left="0" w:firstLine="0"/>
        <w:jc w:val="both"/>
        <w:textAlignment w:val="auto"/>
        <w:rPr>
          <w:color w:val="000000" w:themeColor="text1"/>
          <w:kern w:val="3"/>
          <w:szCs w:val="28"/>
          <w:lang w:eastAsia="lv-LV"/>
        </w:rPr>
      </w:pPr>
      <w:r w:rsidRPr="00870FD9">
        <w:rPr>
          <w:color w:val="000000" w:themeColor="text1"/>
          <w:kern w:val="3"/>
          <w:szCs w:val="28"/>
          <w:lang w:eastAsia="lv-LV"/>
        </w:rPr>
        <w:t>Atsevišķs speciāls likums, kas nosaka šīs prasības;</w:t>
      </w:r>
    </w:p>
    <w:p w:rsidR="007604F1" w:rsidRPr="00870FD9" w:rsidP="007604F1">
      <w:pPr>
        <w:numPr>
          <w:ilvl w:val="0"/>
          <w:numId w:val="3"/>
        </w:numPr>
        <w:tabs>
          <w:tab w:val="left" w:pos="426"/>
        </w:tabs>
        <w:autoSpaceDE w:val="0"/>
        <w:ind w:left="0" w:firstLine="0"/>
        <w:jc w:val="both"/>
        <w:textAlignment w:val="auto"/>
        <w:rPr>
          <w:color w:val="000000" w:themeColor="text1"/>
          <w:kern w:val="3"/>
          <w:szCs w:val="28"/>
          <w:lang w:eastAsia="lv-LV"/>
        </w:rPr>
      </w:pPr>
      <w:r w:rsidRPr="00870FD9">
        <w:rPr>
          <w:color w:val="000000" w:themeColor="text1"/>
          <w:kern w:val="3"/>
          <w:szCs w:val="28"/>
          <w:lang w:eastAsia="lv-LV"/>
        </w:rPr>
        <w:t>Administrē L</w:t>
      </w:r>
      <w:r w:rsidRPr="00870FD9" w:rsidR="00C81280">
        <w:rPr>
          <w:color w:val="000000" w:themeColor="text1"/>
          <w:kern w:val="3"/>
          <w:szCs w:val="28"/>
          <w:lang w:eastAsia="lv-LV"/>
        </w:rPr>
        <w:t>ietuvas</w:t>
      </w:r>
      <w:r w:rsidRPr="00870FD9">
        <w:rPr>
          <w:color w:val="000000" w:themeColor="text1"/>
          <w:kern w:val="3"/>
          <w:szCs w:val="28"/>
          <w:lang w:eastAsia="lv-LV"/>
        </w:rPr>
        <w:t xml:space="preserve"> naftas produktu aģentūra;</w:t>
      </w:r>
    </w:p>
    <w:p w:rsidR="007604F1" w:rsidRPr="00870FD9" w:rsidP="007604F1">
      <w:pPr>
        <w:numPr>
          <w:ilvl w:val="0"/>
          <w:numId w:val="4"/>
        </w:numPr>
        <w:tabs>
          <w:tab w:val="left" w:pos="426"/>
        </w:tabs>
        <w:autoSpaceDE w:val="0"/>
        <w:jc w:val="both"/>
        <w:textAlignment w:val="auto"/>
        <w:rPr>
          <w:color w:val="000000" w:themeColor="text1"/>
          <w:szCs w:val="28"/>
        </w:rPr>
      </w:pPr>
      <w:r w:rsidRPr="00870FD9">
        <w:rPr>
          <w:bCs/>
          <w:color w:val="000000" w:themeColor="text1"/>
          <w:kern w:val="3"/>
          <w:szCs w:val="28"/>
          <w:lang w:eastAsia="lv-LV"/>
        </w:rPr>
        <w:t xml:space="preserve">   30 dienas valsts daļa</w:t>
      </w:r>
      <w:r w:rsidRPr="00870FD9" w:rsidR="00C81280">
        <w:rPr>
          <w:bCs/>
          <w:color w:val="000000" w:themeColor="text1"/>
          <w:kern w:val="3"/>
          <w:szCs w:val="28"/>
          <w:lang w:eastAsia="lv-LV"/>
        </w:rPr>
        <w:t xml:space="preserve"> – </w:t>
      </w:r>
      <w:r w:rsidRPr="00870FD9" w:rsidR="00A0451D">
        <w:rPr>
          <w:bCs/>
          <w:color w:val="000000" w:themeColor="text1"/>
          <w:kern w:val="3"/>
          <w:szCs w:val="28"/>
          <w:lang w:eastAsia="lv-LV"/>
        </w:rPr>
        <w:t>valsts uzglabā naftas produktu apjomu saskaņā ar Direktīvas 2009/119/EK 3.panta nosacījumu atbilstoši 30 dienām</w:t>
      </w:r>
      <w:r w:rsidRPr="00870FD9" w:rsidR="00C81280">
        <w:rPr>
          <w:bCs/>
          <w:color w:val="000000" w:themeColor="text1"/>
          <w:kern w:val="3"/>
          <w:szCs w:val="28"/>
          <w:lang w:eastAsia="lv-LV"/>
        </w:rPr>
        <w:t>.</w:t>
      </w:r>
      <w:r w:rsidRPr="00870FD9">
        <w:rPr>
          <w:color w:val="000000" w:themeColor="text1"/>
          <w:kern w:val="3"/>
          <w:szCs w:val="28"/>
          <w:lang w:eastAsia="lv-LV"/>
        </w:rPr>
        <w:t xml:space="preserve"> </w:t>
      </w:r>
      <w:r w:rsidRPr="00870FD9" w:rsidR="00C81280">
        <w:rPr>
          <w:color w:val="000000" w:themeColor="text1"/>
          <w:kern w:val="3"/>
          <w:szCs w:val="28"/>
          <w:lang w:eastAsia="lv-LV"/>
        </w:rPr>
        <w:t>V</w:t>
      </w:r>
      <w:r w:rsidRPr="00870FD9">
        <w:rPr>
          <w:color w:val="000000" w:themeColor="text1"/>
          <w:kern w:val="3"/>
          <w:szCs w:val="28"/>
          <w:lang w:eastAsia="lv-LV"/>
        </w:rPr>
        <w:t xml:space="preserve">alsts katru gadu pērk </w:t>
      </w:r>
      <w:r w:rsidRPr="00870FD9" w:rsidR="00C81280">
        <w:rPr>
          <w:color w:val="000000" w:themeColor="text1"/>
          <w:kern w:val="3"/>
          <w:szCs w:val="28"/>
          <w:lang w:eastAsia="lv-LV"/>
        </w:rPr>
        <w:t xml:space="preserve">vai pārdod </w:t>
      </w:r>
      <w:r w:rsidRPr="00870FD9">
        <w:rPr>
          <w:color w:val="000000" w:themeColor="text1"/>
          <w:kern w:val="3"/>
          <w:szCs w:val="28"/>
          <w:lang w:eastAsia="lv-LV"/>
        </w:rPr>
        <w:t>savā īpašumā naftas produktu</w:t>
      </w:r>
      <w:r w:rsidRPr="00870FD9" w:rsidR="00C81280">
        <w:rPr>
          <w:color w:val="000000" w:themeColor="text1"/>
          <w:kern w:val="3"/>
          <w:szCs w:val="28"/>
          <w:lang w:eastAsia="lv-LV"/>
        </w:rPr>
        <w:t xml:space="preserve"> apjomu</w:t>
      </w:r>
      <w:r w:rsidRPr="00870FD9">
        <w:rPr>
          <w:color w:val="000000" w:themeColor="text1"/>
          <w:kern w:val="3"/>
          <w:szCs w:val="28"/>
          <w:lang w:eastAsia="lv-LV"/>
        </w:rPr>
        <w:t>, uzglabā</w:t>
      </w:r>
      <w:r w:rsidRPr="00870FD9" w:rsidR="00C81280">
        <w:rPr>
          <w:color w:val="000000" w:themeColor="text1"/>
          <w:kern w:val="3"/>
          <w:szCs w:val="28"/>
          <w:lang w:eastAsia="lv-LV"/>
        </w:rPr>
        <w:t xml:space="preserve"> šo apjomu</w:t>
      </w:r>
      <w:r w:rsidRPr="00870FD9">
        <w:rPr>
          <w:color w:val="000000" w:themeColor="text1"/>
          <w:kern w:val="3"/>
          <w:szCs w:val="28"/>
          <w:lang w:eastAsia="lv-LV"/>
        </w:rPr>
        <w:t>, finansē</w:t>
      </w:r>
      <w:r w:rsidRPr="00870FD9" w:rsidR="00C81280">
        <w:rPr>
          <w:color w:val="000000" w:themeColor="text1"/>
          <w:kern w:val="3"/>
          <w:szCs w:val="28"/>
          <w:lang w:eastAsia="lv-LV"/>
        </w:rPr>
        <w:t>jot</w:t>
      </w:r>
      <w:r w:rsidRPr="00870FD9">
        <w:rPr>
          <w:color w:val="000000" w:themeColor="text1"/>
          <w:kern w:val="3"/>
          <w:szCs w:val="28"/>
          <w:lang w:eastAsia="lv-LV"/>
        </w:rPr>
        <w:t xml:space="preserve"> šo funkciju no valsts budžeta;</w:t>
      </w:r>
    </w:p>
    <w:p w:rsidR="007604F1" w:rsidRPr="00870FD9" w:rsidP="007604F1">
      <w:pPr>
        <w:numPr>
          <w:ilvl w:val="0"/>
          <w:numId w:val="4"/>
        </w:numPr>
        <w:tabs>
          <w:tab w:val="left" w:pos="426"/>
        </w:tabs>
        <w:jc w:val="both"/>
        <w:textAlignment w:val="auto"/>
        <w:rPr>
          <w:color w:val="000000" w:themeColor="text1"/>
          <w:szCs w:val="28"/>
        </w:rPr>
      </w:pPr>
      <w:r w:rsidRPr="00870FD9">
        <w:rPr>
          <w:bCs/>
          <w:color w:val="000000" w:themeColor="text1"/>
          <w:kern w:val="3"/>
          <w:szCs w:val="28"/>
          <w:lang w:eastAsia="lv-LV"/>
        </w:rPr>
        <w:t xml:space="preserve">  60 dienas komersantu daļu</w:t>
      </w:r>
      <w:r w:rsidRPr="00870FD9" w:rsidR="00A0451D">
        <w:rPr>
          <w:bCs/>
          <w:color w:val="000000" w:themeColor="text1"/>
          <w:kern w:val="3"/>
          <w:szCs w:val="28"/>
          <w:lang w:eastAsia="lv-LV"/>
        </w:rPr>
        <w:t xml:space="preserve"> – komersanti uzglabā naftas produktu apjomu saskaņā ar Direktīvas 2009/119/EK 3.panta nosacījumu atbilstoši 60 dienām</w:t>
      </w:r>
      <w:r w:rsidRPr="00870FD9" w:rsidR="00A0451D">
        <w:rPr>
          <w:color w:val="000000" w:themeColor="text1"/>
          <w:kern w:val="3"/>
          <w:szCs w:val="28"/>
          <w:lang w:eastAsia="lv-LV"/>
        </w:rPr>
        <w:t>.</w:t>
      </w:r>
      <w:r w:rsidRPr="00870FD9">
        <w:rPr>
          <w:color w:val="000000" w:themeColor="text1"/>
          <w:kern w:val="3"/>
          <w:szCs w:val="28"/>
          <w:lang w:eastAsia="lv-LV"/>
        </w:rPr>
        <w:t xml:space="preserve"> </w:t>
      </w:r>
      <w:r w:rsidRPr="00870FD9" w:rsidR="00A0451D">
        <w:rPr>
          <w:color w:val="000000" w:themeColor="text1"/>
          <w:kern w:val="3"/>
          <w:szCs w:val="28"/>
          <w:lang w:eastAsia="lv-LV"/>
        </w:rPr>
        <w:t>K</w:t>
      </w:r>
      <w:r w:rsidRPr="00870FD9">
        <w:rPr>
          <w:color w:val="000000" w:themeColor="text1"/>
          <w:kern w:val="3"/>
          <w:szCs w:val="28"/>
          <w:lang w:eastAsia="lv-LV"/>
        </w:rPr>
        <w:t>omersantiem uzlikts obligāts pienākums pašiem veidot un uzglabāt naftas rezerves. Latvijā analogs princips bija</w:t>
      </w:r>
      <w:r w:rsidRPr="00870FD9" w:rsidR="00A0451D">
        <w:rPr>
          <w:color w:val="000000" w:themeColor="text1"/>
          <w:kern w:val="3"/>
          <w:szCs w:val="28"/>
          <w:lang w:eastAsia="lv-LV"/>
        </w:rPr>
        <w:t xml:space="preserve"> spēk</w:t>
      </w:r>
      <w:r w:rsidRPr="00870FD9" w:rsidR="001B3525">
        <w:rPr>
          <w:color w:val="000000" w:themeColor="text1"/>
          <w:kern w:val="3"/>
          <w:szCs w:val="28"/>
          <w:lang w:eastAsia="lv-LV"/>
        </w:rPr>
        <w:t>u</w:t>
      </w:r>
      <w:r w:rsidRPr="00870FD9" w:rsidR="00A0451D">
        <w:rPr>
          <w:color w:val="000000" w:themeColor="text1"/>
          <w:kern w:val="3"/>
          <w:szCs w:val="28"/>
          <w:lang w:eastAsia="lv-LV"/>
        </w:rPr>
        <w:t xml:space="preserve"> zaudējušos</w:t>
      </w:r>
      <w:r w:rsidRPr="00870FD9">
        <w:rPr>
          <w:color w:val="000000" w:themeColor="text1"/>
          <w:kern w:val="3"/>
          <w:szCs w:val="28"/>
          <w:lang w:eastAsia="lv-LV"/>
        </w:rPr>
        <w:t xml:space="preserve"> Ministru kabineta 2006.gada 27.jūnija noteikum</w:t>
      </w:r>
      <w:r w:rsidRPr="00870FD9" w:rsidR="00A0451D">
        <w:rPr>
          <w:color w:val="000000" w:themeColor="text1"/>
          <w:kern w:val="3"/>
          <w:szCs w:val="28"/>
          <w:lang w:eastAsia="lv-LV"/>
        </w:rPr>
        <w:t>u</w:t>
      </w:r>
      <w:r w:rsidRPr="00870FD9">
        <w:rPr>
          <w:color w:val="000000" w:themeColor="text1"/>
          <w:kern w:val="3"/>
          <w:szCs w:val="28"/>
          <w:lang w:eastAsia="lv-LV"/>
        </w:rPr>
        <w:t xml:space="preserve"> Nr.541 „Naftas produktu rezerves izveidošanas un uzglabāšanas kārtība”</w:t>
      </w:r>
      <w:r w:rsidRPr="00870FD9" w:rsidR="00A0451D">
        <w:rPr>
          <w:color w:val="000000" w:themeColor="text1"/>
          <w:kern w:val="3"/>
          <w:szCs w:val="28"/>
          <w:lang w:eastAsia="lv-LV"/>
        </w:rPr>
        <w:t>3., 4., 16. un 17.punktā minētajos nosacījumos</w:t>
      </w:r>
      <w:r w:rsidRPr="00870FD9">
        <w:rPr>
          <w:color w:val="000000" w:themeColor="text1"/>
          <w:kern w:val="3"/>
          <w:szCs w:val="28"/>
          <w:lang w:eastAsia="lv-LV"/>
        </w:rPr>
        <w:t>.</w:t>
      </w:r>
    </w:p>
    <w:p w:rsidR="007604F1" w:rsidRPr="00870FD9" w:rsidP="007604F1">
      <w:pPr>
        <w:numPr>
          <w:ilvl w:val="0"/>
          <w:numId w:val="4"/>
        </w:numPr>
        <w:tabs>
          <w:tab w:val="left" w:pos="426"/>
        </w:tabs>
        <w:jc w:val="both"/>
        <w:textAlignment w:val="auto"/>
        <w:rPr>
          <w:color w:val="000000" w:themeColor="text1"/>
          <w:szCs w:val="28"/>
        </w:rPr>
      </w:pPr>
      <w:r w:rsidRPr="00870FD9">
        <w:rPr>
          <w:bCs/>
          <w:color w:val="000000" w:themeColor="text1"/>
          <w:kern w:val="3"/>
          <w:szCs w:val="28"/>
          <w:lang w:eastAsia="lv-LV"/>
        </w:rPr>
        <w:t xml:space="preserve">No 2018.gada tiek plānota </w:t>
      </w:r>
      <w:r w:rsidRPr="00870FD9" w:rsidR="00A0451D">
        <w:rPr>
          <w:bCs/>
          <w:color w:val="000000" w:themeColor="text1"/>
          <w:szCs w:val="28"/>
        </w:rPr>
        <w:t>Lietuvas n</w:t>
      </w:r>
      <w:r w:rsidRPr="00870FD9">
        <w:rPr>
          <w:bCs/>
          <w:color w:val="000000" w:themeColor="text1"/>
          <w:szCs w:val="28"/>
        </w:rPr>
        <w:t xml:space="preserve">aftas </w:t>
      </w:r>
      <w:r w:rsidRPr="00870FD9" w:rsidR="00A0451D">
        <w:rPr>
          <w:bCs/>
          <w:color w:val="000000" w:themeColor="text1"/>
          <w:szCs w:val="28"/>
        </w:rPr>
        <w:t xml:space="preserve">produktu </w:t>
      </w:r>
      <w:r w:rsidRPr="00870FD9">
        <w:rPr>
          <w:bCs/>
          <w:color w:val="000000" w:themeColor="text1"/>
          <w:szCs w:val="28"/>
        </w:rPr>
        <w:t>aģentūras</w:t>
      </w:r>
      <w:r w:rsidRPr="00870FD9">
        <w:rPr>
          <w:bCs/>
          <w:color w:val="000000" w:themeColor="text1"/>
          <w:kern w:val="3"/>
          <w:szCs w:val="28"/>
          <w:lang w:eastAsia="lv-LV"/>
        </w:rPr>
        <w:t xml:space="preserve"> reorganizācija, izveidojot Enerģētikas aģentūru.</w:t>
      </w:r>
    </w:p>
    <w:p w:rsidR="007604F1" w:rsidRPr="00870FD9" w:rsidP="007604F1">
      <w:pPr>
        <w:spacing w:before="360" w:after="120"/>
        <w:rPr>
          <w:b/>
          <w:bCs/>
          <w:color w:val="000000" w:themeColor="text1"/>
          <w:szCs w:val="28"/>
        </w:rPr>
      </w:pPr>
      <w:r w:rsidRPr="00870FD9">
        <w:rPr>
          <w:b/>
          <w:bCs/>
          <w:color w:val="000000" w:themeColor="text1"/>
          <w:szCs w:val="28"/>
        </w:rPr>
        <w:t>Somija</w:t>
      </w:r>
      <w:r w:rsidRPr="00870FD9" w:rsidR="00A0451D">
        <w:rPr>
          <w:b/>
          <w:bCs/>
          <w:color w:val="000000" w:themeColor="text1"/>
          <w:szCs w:val="28"/>
        </w:rPr>
        <w:t xml:space="preserve"> – NESA aģentūra</w:t>
      </w:r>
      <w:r>
        <w:rPr>
          <w:rStyle w:val="FootnoteReference"/>
          <w:b/>
          <w:bCs/>
          <w:color w:val="000000" w:themeColor="text1"/>
          <w:szCs w:val="28"/>
        </w:rPr>
        <w:footnoteReference w:id="13"/>
      </w:r>
    </w:p>
    <w:p w:rsidR="007604F1" w:rsidRPr="00870FD9" w:rsidP="007604F1">
      <w:pPr>
        <w:spacing w:before="120" w:after="120"/>
        <w:jc w:val="both"/>
        <w:rPr>
          <w:bCs/>
          <w:color w:val="000000" w:themeColor="text1"/>
          <w:szCs w:val="28"/>
        </w:rPr>
      </w:pPr>
      <w:r w:rsidRPr="00870FD9">
        <w:rPr>
          <w:bCs/>
          <w:color w:val="000000" w:themeColor="text1"/>
          <w:szCs w:val="28"/>
        </w:rPr>
        <w:t xml:space="preserve">Somijā </w:t>
      </w:r>
      <w:r w:rsidRPr="00870FD9" w:rsidR="00A0451D">
        <w:rPr>
          <w:bCs/>
          <w:color w:val="000000" w:themeColor="text1"/>
          <w:szCs w:val="28"/>
        </w:rPr>
        <w:t xml:space="preserve">naftas produktu </w:t>
      </w:r>
      <w:r w:rsidRPr="00870FD9">
        <w:rPr>
          <w:bCs/>
          <w:color w:val="000000" w:themeColor="text1"/>
          <w:szCs w:val="28"/>
        </w:rPr>
        <w:t xml:space="preserve">rezerves uztur gan valsts aģentūra, gan komersanti. Valsts rezervju aģentūra NESA </w:t>
      </w:r>
      <w:r w:rsidRPr="00870FD9" w:rsidR="00944221">
        <w:rPr>
          <w:bCs/>
          <w:color w:val="000000" w:themeColor="text1"/>
          <w:szCs w:val="28"/>
        </w:rPr>
        <w:t xml:space="preserve">(National </w:t>
      </w:r>
      <w:r w:rsidRPr="00870FD9" w:rsidR="00944221">
        <w:rPr>
          <w:bCs/>
          <w:color w:val="000000" w:themeColor="text1"/>
          <w:szCs w:val="28"/>
        </w:rPr>
        <w:t>Emergency</w:t>
      </w:r>
      <w:r w:rsidRPr="00870FD9" w:rsidR="00944221">
        <w:rPr>
          <w:bCs/>
          <w:color w:val="000000" w:themeColor="text1"/>
          <w:szCs w:val="28"/>
        </w:rPr>
        <w:t xml:space="preserve"> </w:t>
      </w:r>
      <w:r w:rsidRPr="00870FD9" w:rsidR="00944221">
        <w:rPr>
          <w:bCs/>
          <w:color w:val="000000" w:themeColor="text1"/>
          <w:szCs w:val="28"/>
        </w:rPr>
        <w:t>supply</w:t>
      </w:r>
      <w:r w:rsidRPr="00870FD9" w:rsidR="00944221">
        <w:rPr>
          <w:bCs/>
          <w:color w:val="000000" w:themeColor="text1"/>
          <w:szCs w:val="28"/>
        </w:rPr>
        <w:t xml:space="preserve"> </w:t>
      </w:r>
      <w:r w:rsidRPr="00870FD9" w:rsidR="00944221">
        <w:rPr>
          <w:bCs/>
          <w:color w:val="000000" w:themeColor="text1"/>
          <w:szCs w:val="28"/>
        </w:rPr>
        <w:t>agency</w:t>
      </w:r>
      <w:r w:rsidRPr="00870FD9" w:rsidR="00944221">
        <w:rPr>
          <w:bCs/>
          <w:color w:val="000000" w:themeColor="text1"/>
          <w:szCs w:val="28"/>
        </w:rPr>
        <w:t xml:space="preserve">) </w:t>
      </w:r>
      <w:r w:rsidRPr="00870FD9">
        <w:rPr>
          <w:bCs/>
          <w:color w:val="000000" w:themeColor="text1"/>
          <w:szCs w:val="28"/>
        </w:rPr>
        <w:t xml:space="preserve">savu darbību </w:t>
      </w:r>
      <w:r w:rsidRPr="00870FD9" w:rsidR="00A0451D">
        <w:rPr>
          <w:bCs/>
          <w:color w:val="000000" w:themeColor="text1"/>
          <w:szCs w:val="28"/>
        </w:rPr>
        <w:t xml:space="preserve">uzsāka </w:t>
      </w:r>
      <w:r w:rsidRPr="00870FD9">
        <w:rPr>
          <w:bCs/>
          <w:color w:val="000000" w:themeColor="text1"/>
          <w:szCs w:val="28"/>
        </w:rPr>
        <w:t>1993. gadā un atbild par valsti</w:t>
      </w:r>
      <w:r w:rsidRPr="00870FD9" w:rsidR="00432C09">
        <w:rPr>
          <w:bCs/>
          <w:color w:val="000000" w:themeColor="text1"/>
          <w:szCs w:val="28"/>
        </w:rPr>
        <w:t>j</w:t>
      </w:r>
      <w:r w:rsidRPr="00870FD9">
        <w:rPr>
          <w:bCs/>
          <w:color w:val="000000" w:themeColor="text1"/>
          <w:szCs w:val="28"/>
        </w:rPr>
        <w:t xml:space="preserve"> piederošajām naftas rezervēm. Saskaņā ar valsts noteikto minimālās rezerves apjomu, NESA ir jānodrošina, ka kopējais aģentūras un komersantu uzglabātais apjoms </w:t>
      </w:r>
      <w:r w:rsidRPr="00870FD9" w:rsidR="00A0451D">
        <w:rPr>
          <w:bCs/>
          <w:color w:val="000000" w:themeColor="text1"/>
          <w:szCs w:val="28"/>
        </w:rPr>
        <w:t xml:space="preserve">kopā atbilst valsts </w:t>
      </w:r>
      <w:r w:rsidRPr="00870FD9">
        <w:rPr>
          <w:bCs/>
          <w:color w:val="000000" w:themeColor="text1"/>
          <w:szCs w:val="28"/>
        </w:rPr>
        <w:t>5 mēnešu patēriņa</w:t>
      </w:r>
      <w:r w:rsidRPr="00870FD9" w:rsidR="00A0451D">
        <w:rPr>
          <w:bCs/>
          <w:color w:val="000000" w:themeColor="text1"/>
          <w:szCs w:val="28"/>
        </w:rPr>
        <w:t>m</w:t>
      </w:r>
      <w:r w:rsidRPr="00870FD9">
        <w:rPr>
          <w:bCs/>
          <w:color w:val="000000" w:themeColor="text1"/>
          <w:szCs w:val="28"/>
        </w:rPr>
        <w:t>.</w:t>
      </w:r>
    </w:p>
    <w:p w:rsidR="007604F1" w:rsidRPr="00870FD9" w:rsidP="007604F1">
      <w:pPr>
        <w:spacing w:before="120" w:after="120"/>
        <w:jc w:val="both"/>
        <w:rPr>
          <w:bCs/>
          <w:color w:val="000000" w:themeColor="text1"/>
          <w:szCs w:val="28"/>
        </w:rPr>
      </w:pPr>
      <w:r w:rsidRPr="00870FD9">
        <w:rPr>
          <w:bCs/>
          <w:color w:val="000000" w:themeColor="text1"/>
          <w:szCs w:val="28"/>
        </w:rPr>
        <w:t xml:space="preserve">Attiecībā uz komersantu uzglabājamām rezervēm, to veidošanas pienākums ir noteikts naftas importētājiem. Papildus tam, vairākām komersantu nozarēm ir pienākums nodrošināt rezerves </w:t>
      </w:r>
      <w:r w:rsidRPr="00870FD9">
        <w:rPr>
          <w:bCs/>
          <w:color w:val="000000" w:themeColor="text1"/>
          <w:szCs w:val="28"/>
        </w:rPr>
        <w:t>kas ir ekvivalentas divu mēnešu pārdošanas apjomam. Šis pienākums attiecas uz visiem komersantiem kuru aviācijas degvielas importa apjoms pārsniedz 5000</w:t>
      </w:r>
      <w:r w:rsidRPr="00870FD9" w:rsidR="00432C09">
        <w:rPr>
          <w:bCs/>
          <w:color w:val="000000" w:themeColor="text1"/>
          <w:szCs w:val="28"/>
        </w:rPr>
        <w:t xml:space="preserve"> </w:t>
      </w:r>
      <w:r w:rsidRPr="00870FD9">
        <w:rPr>
          <w:bCs/>
          <w:color w:val="000000" w:themeColor="text1"/>
          <w:szCs w:val="28"/>
        </w:rPr>
        <w:t>t</w:t>
      </w:r>
      <w:r w:rsidRPr="00870FD9" w:rsidR="00432C09">
        <w:rPr>
          <w:bCs/>
          <w:color w:val="000000" w:themeColor="text1"/>
          <w:szCs w:val="28"/>
        </w:rPr>
        <w:t>onnas</w:t>
      </w:r>
      <w:r w:rsidRPr="00870FD9">
        <w:rPr>
          <w:bCs/>
          <w:color w:val="000000" w:themeColor="text1"/>
          <w:szCs w:val="28"/>
        </w:rPr>
        <w:t xml:space="preserve"> gadā, benzīna un dīzeļdegvielas importa apjoms 10000</w:t>
      </w:r>
      <w:r w:rsidRPr="00870FD9" w:rsidR="00432C09">
        <w:rPr>
          <w:bCs/>
          <w:color w:val="000000" w:themeColor="text1"/>
          <w:szCs w:val="28"/>
        </w:rPr>
        <w:t xml:space="preserve"> </w:t>
      </w:r>
      <w:r w:rsidRPr="00870FD9">
        <w:rPr>
          <w:bCs/>
          <w:color w:val="000000" w:themeColor="text1"/>
          <w:szCs w:val="28"/>
        </w:rPr>
        <w:t>t</w:t>
      </w:r>
      <w:r w:rsidRPr="00870FD9" w:rsidR="00432C09">
        <w:rPr>
          <w:bCs/>
          <w:color w:val="000000" w:themeColor="text1"/>
          <w:szCs w:val="28"/>
        </w:rPr>
        <w:t>onnas</w:t>
      </w:r>
      <w:r w:rsidRPr="00870FD9">
        <w:rPr>
          <w:bCs/>
          <w:color w:val="000000" w:themeColor="text1"/>
          <w:szCs w:val="28"/>
        </w:rPr>
        <w:t xml:space="preserve"> gadā un naftas apjoms 20000</w:t>
      </w:r>
      <w:r w:rsidRPr="00870FD9" w:rsidR="00432C09">
        <w:rPr>
          <w:bCs/>
          <w:color w:val="000000" w:themeColor="text1"/>
          <w:szCs w:val="28"/>
        </w:rPr>
        <w:t xml:space="preserve"> </w:t>
      </w:r>
      <w:r w:rsidRPr="00870FD9">
        <w:rPr>
          <w:bCs/>
          <w:color w:val="000000" w:themeColor="text1"/>
          <w:szCs w:val="28"/>
        </w:rPr>
        <w:t>t</w:t>
      </w:r>
      <w:r w:rsidRPr="00870FD9" w:rsidR="00432C09">
        <w:rPr>
          <w:bCs/>
          <w:color w:val="000000" w:themeColor="text1"/>
          <w:szCs w:val="28"/>
        </w:rPr>
        <w:t>onnas</w:t>
      </w:r>
      <w:r w:rsidRPr="00870FD9">
        <w:rPr>
          <w:bCs/>
          <w:color w:val="000000" w:themeColor="text1"/>
          <w:szCs w:val="28"/>
        </w:rPr>
        <w:t xml:space="preserve"> gadā.</w:t>
      </w:r>
    </w:p>
    <w:p w:rsidR="007604F1" w:rsidRPr="00870FD9" w:rsidP="007604F1">
      <w:pPr>
        <w:spacing w:before="120" w:after="120"/>
        <w:jc w:val="both"/>
        <w:rPr>
          <w:bCs/>
          <w:color w:val="000000" w:themeColor="text1"/>
          <w:szCs w:val="28"/>
        </w:rPr>
      </w:pPr>
      <w:r w:rsidRPr="00870FD9">
        <w:rPr>
          <w:bCs/>
          <w:color w:val="000000" w:themeColor="text1"/>
          <w:szCs w:val="28"/>
        </w:rPr>
        <w:t>Jēlnaftas importētājiem ir pienākums uzturēt drošības rezerves, taču tiem ir tiesības iegūt atļauju no NESA, lai šīs rezerves aizvietotu ar naftas produktiem, nepārsniedzot 50% no kopējā apjoma. Līdzīgi arī naftas produktu importētāji var aizvietot uzglabājamos apjomus ar cita veida naftas produktiem, taču to aizvietošana ar jēlnaftu nav atļauta.</w:t>
      </w:r>
    </w:p>
    <w:p w:rsidR="007604F1" w:rsidRPr="00870FD9" w:rsidP="007604F1">
      <w:pPr>
        <w:spacing w:before="120" w:after="120"/>
        <w:jc w:val="both"/>
        <w:rPr>
          <w:bCs/>
          <w:color w:val="000000" w:themeColor="text1"/>
          <w:szCs w:val="28"/>
        </w:rPr>
      </w:pPr>
      <w:r w:rsidRPr="00870FD9">
        <w:rPr>
          <w:bCs/>
          <w:color w:val="000000" w:themeColor="text1"/>
          <w:szCs w:val="28"/>
        </w:rPr>
        <w:t>Gan NESA uzturētās valsts rezerves, gan komersantu rezerves ir izvietotas jūras krastā ar tālākā transporta iespējām pa jūru, dzelzceļu un autoceļiem. NESA uzturētās valsts rezerves nav atļauts izvietot ārpus Somijas, savukārt līdz pat 30% no komersantu uzturētajām rezervēm ir atļauts uzturēt citās valstīs, taču tikai Baltijas jūras reģionā, ar nosacījumu, ka ir noslēgts atbilstošs starpvaldību līgums. Šobrīd Somija ir noslēgusi starpvaldību līgumus ar Zviedriju, Igauniju un Latviju.</w:t>
      </w:r>
    </w:p>
    <w:p w:rsidR="007604F1" w:rsidRPr="00870FD9" w:rsidP="007604F1">
      <w:pPr>
        <w:spacing w:before="360" w:after="120"/>
        <w:jc w:val="both"/>
        <w:rPr>
          <w:b/>
          <w:bCs/>
          <w:color w:val="000000" w:themeColor="text1"/>
          <w:szCs w:val="28"/>
        </w:rPr>
      </w:pPr>
      <w:r w:rsidRPr="00870FD9">
        <w:rPr>
          <w:b/>
          <w:bCs/>
          <w:color w:val="000000" w:themeColor="text1"/>
          <w:szCs w:val="28"/>
        </w:rPr>
        <w:t>Dānija – Dānijas naftas rezervju asociācija (FDO)</w:t>
      </w:r>
      <w:r>
        <w:rPr>
          <w:rStyle w:val="FootnoteReference"/>
          <w:b/>
          <w:bCs/>
          <w:color w:val="000000" w:themeColor="text1"/>
          <w:szCs w:val="28"/>
        </w:rPr>
        <w:footnoteReference w:id="14"/>
      </w:r>
      <w:r w:rsidRPr="00870FD9">
        <w:rPr>
          <w:b/>
          <w:bCs/>
          <w:color w:val="000000" w:themeColor="text1"/>
          <w:szCs w:val="28"/>
        </w:rPr>
        <w:t xml:space="preserve"> </w:t>
      </w:r>
    </w:p>
    <w:p w:rsidR="007604F1" w:rsidRPr="00870FD9" w:rsidP="007604F1">
      <w:pPr>
        <w:tabs>
          <w:tab w:val="left" w:pos="426"/>
        </w:tabs>
        <w:rPr>
          <w:color w:val="000000" w:themeColor="text1"/>
          <w:szCs w:val="28"/>
        </w:rPr>
      </w:pPr>
      <w:r w:rsidRPr="00870FD9">
        <w:rPr>
          <w:color w:val="000000" w:themeColor="text1"/>
          <w:kern w:val="3"/>
          <w:szCs w:val="28"/>
          <w:lang w:eastAsia="lv-LV"/>
        </w:rPr>
        <w:t>Dānijā naftas rezervju aģentūras darbība ir balstīta uz šādiem principiem:</w:t>
      </w:r>
    </w:p>
    <w:p w:rsidR="007604F1" w:rsidRPr="00870FD9" w:rsidP="007604F1">
      <w:pPr>
        <w:numPr>
          <w:ilvl w:val="0"/>
          <w:numId w:val="5"/>
        </w:numPr>
        <w:tabs>
          <w:tab w:val="left" w:pos="426"/>
          <w:tab w:val="left" w:pos="1440"/>
        </w:tabs>
        <w:textAlignment w:val="auto"/>
        <w:rPr>
          <w:bCs/>
          <w:color w:val="000000" w:themeColor="text1"/>
          <w:szCs w:val="28"/>
        </w:rPr>
      </w:pPr>
      <w:r w:rsidRPr="00870FD9">
        <w:rPr>
          <w:bCs/>
          <w:color w:val="000000" w:themeColor="text1"/>
          <w:szCs w:val="28"/>
        </w:rPr>
        <w:t xml:space="preserve"> Komersanti veido 90 dienas rezerves;</w:t>
      </w:r>
    </w:p>
    <w:p w:rsidR="007604F1" w:rsidRPr="00870FD9" w:rsidP="007604F1">
      <w:pPr>
        <w:numPr>
          <w:ilvl w:val="0"/>
          <w:numId w:val="5"/>
        </w:numPr>
        <w:tabs>
          <w:tab w:val="left" w:pos="426"/>
          <w:tab w:val="left" w:pos="1440"/>
        </w:tabs>
        <w:textAlignment w:val="auto"/>
        <w:rPr>
          <w:color w:val="000000" w:themeColor="text1"/>
          <w:szCs w:val="28"/>
        </w:rPr>
      </w:pPr>
      <w:r w:rsidRPr="00870FD9">
        <w:rPr>
          <w:bCs/>
          <w:color w:val="000000" w:themeColor="text1"/>
          <w:szCs w:val="28"/>
        </w:rPr>
        <w:t xml:space="preserve"> CKUS funkcijas pilda </w:t>
      </w:r>
      <w:r w:rsidRPr="00870FD9">
        <w:rPr>
          <w:bCs/>
          <w:color w:val="000000" w:themeColor="text1"/>
          <w:szCs w:val="28"/>
          <w:lang w:val="en-US"/>
        </w:rPr>
        <w:t>Danish Emergency Oil Stocks Association</w:t>
      </w:r>
      <w:r w:rsidRPr="00870FD9">
        <w:rPr>
          <w:bCs/>
          <w:color w:val="000000" w:themeColor="text1"/>
          <w:szCs w:val="28"/>
        </w:rPr>
        <w:t xml:space="preserve"> (</w:t>
      </w:r>
      <w:r w:rsidRPr="00870FD9">
        <w:rPr>
          <w:bCs/>
          <w:color w:val="000000" w:themeColor="text1"/>
          <w:szCs w:val="28"/>
        </w:rPr>
        <w:t>saīs</w:t>
      </w:r>
      <w:r w:rsidRPr="00870FD9">
        <w:rPr>
          <w:bCs/>
          <w:color w:val="000000" w:themeColor="text1"/>
          <w:szCs w:val="28"/>
        </w:rPr>
        <w:t>. FDO);</w:t>
      </w:r>
    </w:p>
    <w:p w:rsidR="007604F1" w:rsidRPr="00870FD9" w:rsidP="007604F1">
      <w:pPr>
        <w:numPr>
          <w:ilvl w:val="0"/>
          <w:numId w:val="5"/>
        </w:numPr>
        <w:tabs>
          <w:tab w:val="left" w:pos="426"/>
          <w:tab w:val="left" w:pos="1440"/>
        </w:tabs>
        <w:textAlignment w:val="auto"/>
        <w:rPr>
          <w:bCs/>
          <w:color w:val="000000" w:themeColor="text1"/>
          <w:szCs w:val="28"/>
        </w:rPr>
      </w:pPr>
      <w:r w:rsidRPr="00870FD9">
        <w:rPr>
          <w:bCs/>
          <w:color w:val="000000" w:themeColor="text1"/>
          <w:szCs w:val="28"/>
        </w:rPr>
        <w:t xml:space="preserve"> FDO apvieno komersantus;</w:t>
      </w:r>
    </w:p>
    <w:p w:rsidR="007604F1" w:rsidRPr="00870FD9" w:rsidP="007604F1">
      <w:pPr>
        <w:numPr>
          <w:ilvl w:val="0"/>
          <w:numId w:val="5"/>
        </w:numPr>
        <w:tabs>
          <w:tab w:val="left" w:pos="426"/>
          <w:tab w:val="left" w:pos="1440"/>
        </w:tabs>
        <w:jc w:val="both"/>
        <w:textAlignment w:val="auto"/>
        <w:rPr>
          <w:bCs/>
          <w:color w:val="000000" w:themeColor="text1"/>
          <w:szCs w:val="28"/>
        </w:rPr>
      </w:pPr>
      <w:r w:rsidRPr="00870FD9">
        <w:rPr>
          <w:bCs/>
          <w:color w:val="000000" w:themeColor="text1"/>
          <w:szCs w:val="28"/>
        </w:rPr>
        <w:t xml:space="preserve"> Komersanti sniedz ikmēneša informāciju </w:t>
      </w:r>
      <w:r w:rsidRPr="00870FD9" w:rsidR="001B3525">
        <w:rPr>
          <w:bCs/>
          <w:color w:val="000000" w:themeColor="text1"/>
          <w:szCs w:val="28"/>
        </w:rPr>
        <w:t xml:space="preserve">FDO, kas, savukārt, </w:t>
      </w:r>
      <w:r w:rsidRPr="00870FD9" w:rsidR="000C5AB7">
        <w:rPr>
          <w:bCs/>
          <w:color w:val="000000" w:themeColor="text1"/>
          <w:szCs w:val="28"/>
        </w:rPr>
        <w:t xml:space="preserve">apkopo saņemto informāciju un </w:t>
      </w:r>
      <w:r w:rsidRPr="00870FD9">
        <w:rPr>
          <w:bCs/>
          <w:color w:val="000000" w:themeColor="text1"/>
          <w:szCs w:val="28"/>
        </w:rPr>
        <w:t xml:space="preserve">tālāk </w:t>
      </w:r>
      <w:r w:rsidRPr="00870FD9" w:rsidR="000C5AB7">
        <w:rPr>
          <w:bCs/>
          <w:color w:val="000000" w:themeColor="text1"/>
          <w:szCs w:val="28"/>
        </w:rPr>
        <w:t xml:space="preserve">to </w:t>
      </w:r>
      <w:r w:rsidRPr="00870FD9" w:rsidR="000C5AB7">
        <w:rPr>
          <w:bCs/>
          <w:color w:val="000000" w:themeColor="text1"/>
          <w:szCs w:val="28"/>
        </w:rPr>
        <w:t>nosūta</w:t>
      </w:r>
      <w:r w:rsidRPr="00870FD9" w:rsidR="000C5AB7">
        <w:rPr>
          <w:bCs/>
          <w:color w:val="000000" w:themeColor="text1"/>
          <w:szCs w:val="28"/>
        </w:rPr>
        <w:t xml:space="preserve"> </w:t>
      </w:r>
      <w:r w:rsidRPr="00870FD9">
        <w:rPr>
          <w:bCs/>
          <w:color w:val="000000" w:themeColor="text1"/>
          <w:szCs w:val="28"/>
        </w:rPr>
        <w:t>Dānijas Ekonomikas ministrijai;</w:t>
      </w:r>
    </w:p>
    <w:p w:rsidR="007604F1" w:rsidRPr="00870FD9" w:rsidP="007604F1">
      <w:pPr>
        <w:numPr>
          <w:ilvl w:val="0"/>
          <w:numId w:val="5"/>
        </w:numPr>
        <w:tabs>
          <w:tab w:val="left" w:pos="426"/>
          <w:tab w:val="left" w:pos="1440"/>
        </w:tabs>
        <w:textAlignment w:val="auto"/>
        <w:rPr>
          <w:bCs/>
          <w:color w:val="000000" w:themeColor="text1"/>
          <w:szCs w:val="28"/>
        </w:rPr>
      </w:pPr>
      <w:r w:rsidRPr="00870FD9">
        <w:rPr>
          <w:bCs/>
          <w:color w:val="000000" w:themeColor="text1"/>
          <w:szCs w:val="28"/>
        </w:rPr>
        <w:t>Naftas produktu</w:t>
      </w:r>
      <w:r w:rsidRPr="00870FD9" w:rsidR="00046E7E">
        <w:rPr>
          <w:bCs/>
          <w:color w:val="000000" w:themeColor="text1"/>
          <w:szCs w:val="28"/>
        </w:rPr>
        <w:t xml:space="preserve"> </w:t>
      </w:r>
      <w:r w:rsidRPr="00870FD9">
        <w:rPr>
          <w:bCs/>
          <w:color w:val="000000" w:themeColor="text1"/>
          <w:szCs w:val="28"/>
        </w:rPr>
        <w:t>r</w:t>
      </w:r>
      <w:r w:rsidRPr="00870FD9">
        <w:rPr>
          <w:bCs/>
          <w:color w:val="000000" w:themeColor="text1"/>
          <w:szCs w:val="28"/>
        </w:rPr>
        <w:t xml:space="preserve">ezerves </w:t>
      </w:r>
      <w:r w:rsidRPr="00870FD9">
        <w:rPr>
          <w:bCs/>
          <w:color w:val="000000" w:themeColor="text1"/>
          <w:szCs w:val="28"/>
        </w:rPr>
        <w:t xml:space="preserve">tiek </w:t>
      </w:r>
      <w:r w:rsidRPr="00870FD9">
        <w:rPr>
          <w:bCs/>
          <w:color w:val="000000" w:themeColor="text1"/>
          <w:szCs w:val="28"/>
        </w:rPr>
        <w:t>glabā</w:t>
      </w:r>
      <w:r w:rsidRPr="00870FD9">
        <w:rPr>
          <w:bCs/>
          <w:color w:val="000000" w:themeColor="text1"/>
          <w:szCs w:val="28"/>
        </w:rPr>
        <w:t>t</w:t>
      </w:r>
      <w:r w:rsidRPr="00870FD9">
        <w:rPr>
          <w:bCs/>
          <w:color w:val="000000" w:themeColor="text1"/>
          <w:szCs w:val="28"/>
        </w:rPr>
        <w:t>as “biļetes” veidā;</w:t>
      </w:r>
    </w:p>
    <w:p w:rsidR="007604F1" w:rsidRPr="00870FD9" w:rsidP="007604F1">
      <w:pPr>
        <w:numPr>
          <w:ilvl w:val="0"/>
          <w:numId w:val="5"/>
        </w:numPr>
        <w:tabs>
          <w:tab w:val="left" w:pos="426"/>
        </w:tabs>
        <w:jc w:val="both"/>
        <w:textAlignment w:val="auto"/>
        <w:rPr>
          <w:bCs/>
          <w:color w:val="000000" w:themeColor="text1"/>
          <w:szCs w:val="28"/>
        </w:rPr>
      </w:pPr>
      <w:r w:rsidRPr="00870FD9">
        <w:rPr>
          <w:bCs/>
          <w:color w:val="000000" w:themeColor="text1"/>
          <w:szCs w:val="28"/>
        </w:rPr>
        <w:t xml:space="preserve"> Tā kā </w:t>
      </w:r>
      <w:r w:rsidRPr="00870FD9" w:rsidR="000C5AB7">
        <w:rPr>
          <w:bCs/>
          <w:color w:val="000000" w:themeColor="text1"/>
          <w:szCs w:val="28"/>
        </w:rPr>
        <w:t xml:space="preserve">Dānijā </w:t>
      </w:r>
      <w:r w:rsidRPr="00870FD9">
        <w:rPr>
          <w:bCs/>
          <w:color w:val="000000" w:themeColor="text1"/>
          <w:szCs w:val="28"/>
        </w:rPr>
        <w:t xml:space="preserve">ir </w:t>
      </w:r>
      <w:r w:rsidRPr="00870FD9" w:rsidR="000C5AB7">
        <w:rPr>
          <w:bCs/>
          <w:color w:val="000000" w:themeColor="text1"/>
          <w:szCs w:val="28"/>
        </w:rPr>
        <w:t xml:space="preserve">vairākas </w:t>
      </w:r>
      <w:r w:rsidRPr="00870FD9">
        <w:rPr>
          <w:bCs/>
          <w:color w:val="000000" w:themeColor="text1"/>
          <w:szCs w:val="28"/>
        </w:rPr>
        <w:t>naftas pārstrādes rūpnīcas, 60% naftas rezerves tiek glabātas starpproduktu veidā, 40% naftas rezerves tiek glabātas produkta veidā.</w:t>
      </w:r>
    </w:p>
    <w:p w:rsidR="007604F1" w:rsidRPr="00870FD9" w:rsidP="007604F1">
      <w:pPr>
        <w:spacing w:before="120" w:after="120"/>
        <w:jc w:val="both"/>
        <w:rPr>
          <w:color w:val="000000" w:themeColor="text1"/>
          <w:szCs w:val="28"/>
        </w:rPr>
      </w:pPr>
      <w:r w:rsidRPr="00870FD9">
        <w:rPr>
          <w:bCs/>
          <w:color w:val="000000" w:themeColor="text1"/>
          <w:szCs w:val="28"/>
        </w:rPr>
        <w:t>Liela daļa ES dalībvalstu</w:t>
      </w:r>
      <w:r w:rsidRPr="00870FD9" w:rsidR="00046E7E">
        <w:rPr>
          <w:bCs/>
          <w:color w:val="000000" w:themeColor="text1"/>
          <w:szCs w:val="28"/>
        </w:rPr>
        <w:t>, kas</w:t>
      </w:r>
      <w:r w:rsidRPr="00870FD9">
        <w:rPr>
          <w:bCs/>
          <w:color w:val="000000" w:themeColor="text1"/>
          <w:szCs w:val="28"/>
        </w:rPr>
        <w:t xml:space="preserve"> iegādājas naftas produktus valsts īpašumā un uzglabā to</w:t>
      </w:r>
      <w:r w:rsidRPr="00870FD9" w:rsidR="00046E7E">
        <w:rPr>
          <w:bCs/>
          <w:color w:val="000000" w:themeColor="text1"/>
          <w:szCs w:val="28"/>
        </w:rPr>
        <w:t xml:space="preserve">s kā naftas rezerves, </w:t>
      </w:r>
      <w:r w:rsidRPr="00870FD9">
        <w:rPr>
          <w:bCs/>
          <w:color w:val="000000" w:themeColor="text1"/>
          <w:szCs w:val="28"/>
        </w:rPr>
        <w:t>pakāpeniski ir pārgājušas uz aģentūru modeli. Latvijai šobrīd nav paredzēts finansējums valsts budžetā naftas produktu iegādei valsts īpašumā</w:t>
      </w:r>
      <w:r w:rsidRPr="00870FD9" w:rsidR="000C5AB7">
        <w:rPr>
          <w:bCs/>
          <w:color w:val="000000" w:themeColor="text1"/>
          <w:szCs w:val="28"/>
        </w:rPr>
        <w:t>, kā arī šobrīd nav paredzēts finansējums valsts budžetā</w:t>
      </w:r>
      <w:r w:rsidRPr="00870FD9">
        <w:rPr>
          <w:bCs/>
          <w:color w:val="000000" w:themeColor="text1"/>
          <w:szCs w:val="28"/>
        </w:rPr>
        <w:t xml:space="preserve"> attiecīg</w:t>
      </w:r>
      <w:r w:rsidRPr="00870FD9" w:rsidR="000C5AB7">
        <w:rPr>
          <w:bCs/>
          <w:color w:val="000000" w:themeColor="text1"/>
          <w:szCs w:val="28"/>
        </w:rPr>
        <w:t>a</w:t>
      </w:r>
      <w:r w:rsidRPr="00870FD9">
        <w:rPr>
          <w:bCs/>
          <w:color w:val="000000" w:themeColor="text1"/>
          <w:szCs w:val="28"/>
        </w:rPr>
        <w:t>s aģentū</w:t>
      </w:r>
      <w:r w:rsidRPr="00870FD9" w:rsidR="000C5AB7">
        <w:rPr>
          <w:bCs/>
          <w:color w:val="000000" w:themeColor="text1"/>
          <w:szCs w:val="28"/>
        </w:rPr>
        <w:t>r</w:t>
      </w:r>
      <w:r w:rsidRPr="00870FD9">
        <w:rPr>
          <w:bCs/>
          <w:color w:val="000000" w:themeColor="text1"/>
          <w:szCs w:val="28"/>
        </w:rPr>
        <w:t xml:space="preserve">as izveidei. </w:t>
      </w:r>
    </w:p>
    <w:p w:rsidR="007604F1" w:rsidRPr="00870FD9" w:rsidP="007604F1">
      <w:pPr>
        <w:tabs>
          <w:tab w:val="left" w:pos="426"/>
        </w:tabs>
        <w:spacing w:before="120" w:after="120"/>
        <w:jc w:val="both"/>
        <w:textAlignment w:val="auto"/>
        <w:rPr>
          <w:bCs/>
          <w:color w:val="000000" w:themeColor="text1"/>
          <w:szCs w:val="28"/>
        </w:rPr>
      </w:pPr>
    </w:p>
    <w:p w:rsidR="007604F1" w:rsidRPr="00870FD9" w:rsidP="0033657C">
      <w:pPr>
        <w:pStyle w:val="ListParagraph"/>
        <w:numPr>
          <w:ilvl w:val="1"/>
          <w:numId w:val="14"/>
        </w:numPr>
        <w:outlineLvl w:val="1"/>
        <w:rPr>
          <w:rFonts w:ascii="Times New Roman" w:hAnsi="Times New Roman"/>
          <w:b/>
          <w:bCs/>
          <w:color w:val="000000" w:themeColor="text1"/>
          <w:sz w:val="24"/>
          <w:szCs w:val="28"/>
        </w:rPr>
      </w:pPr>
      <w:bookmarkStart w:id="17" w:name="_Toc499712143"/>
      <w:bookmarkStart w:id="18" w:name="_Toc256000005"/>
      <w:bookmarkStart w:id="19" w:name="_Toc256000015"/>
      <w:r w:rsidRPr="00870FD9">
        <w:rPr>
          <w:rFonts w:ascii="Times New Roman" w:hAnsi="Times New Roman"/>
          <w:b/>
          <w:bCs/>
          <w:color w:val="000000" w:themeColor="text1"/>
          <w:sz w:val="24"/>
          <w:szCs w:val="28"/>
        </w:rPr>
        <w:t>Latvijas valsts naftas produktu drošības rezervju izveides modelis</w:t>
      </w:r>
      <w:bookmarkEnd w:id="19"/>
      <w:bookmarkEnd w:id="18"/>
      <w:bookmarkEnd w:id="17"/>
    </w:p>
    <w:p w:rsidR="007604F1" w:rsidRPr="00870FD9" w:rsidP="007604F1">
      <w:pPr>
        <w:spacing w:before="120" w:after="120"/>
        <w:jc w:val="both"/>
        <w:rPr>
          <w:bCs/>
          <w:color w:val="000000" w:themeColor="text1"/>
          <w:szCs w:val="28"/>
        </w:rPr>
      </w:pPr>
      <w:r w:rsidRPr="00870FD9">
        <w:rPr>
          <w:bCs/>
          <w:color w:val="000000" w:themeColor="text1"/>
          <w:szCs w:val="28"/>
        </w:rPr>
        <w:t xml:space="preserve">Latvija, iestājoties ES 2004.gada 1.maijā, apņēmās līdz 2009.gada 31.decembrim izpildīt </w:t>
      </w:r>
      <w:r w:rsidRPr="00870FD9" w:rsidR="0043468B">
        <w:rPr>
          <w:bCs/>
          <w:color w:val="000000" w:themeColor="text1"/>
          <w:szCs w:val="28"/>
        </w:rPr>
        <w:t xml:space="preserve">ES </w:t>
      </w:r>
      <w:r w:rsidRPr="00870FD9">
        <w:rPr>
          <w:bCs/>
          <w:color w:val="000000" w:themeColor="text1"/>
          <w:szCs w:val="28"/>
        </w:rPr>
        <w:t>prasību par obligāto naftas rezervju izveidi 90 dienu apjomā.</w:t>
      </w:r>
    </w:p>
    <w:p w:rsidR="004533F5" w:rsidRPr="00870FD9" w:rsidP="007604F1">
      <w:pPr>
        <w:spacing w:before="120" w:after="120"/>
        <w:jc w:val="both"/>
        <w:rPr>
          <w:bCs/>
          <w:color w:val="000000" w:themeColor="text1"/>
          <w:szCs w:val="28"/>
        </w:rPr>
      </w:pPr>
      <w:r w:rsidRPr="00870FD9">
        <w:rPr>
          <w:bCs/>
          <w:color w:val="000000" w:themeColor="text1"/>
          <w:szCs w:val="28"/>
        </w:rPr>
        <w:t xml:space="preserve">Laika posmā līdz 2009.gada 31.decembrim Latvijā obligātās naftas rezerves 36 dienām uzglabāja komersanti (komersantu daļa), 4 dienām Latvijas valsts (valsts daļa). Pēc </w:t>
      </w:r>
      <w:r w:rsidRPr="00870FD9" w:rsidR="0043468B">
        <w:rPr>
          <w:bCs/>
          <w:color w:val="000000" w:themeColor="text1"/>
          <w:szCs w:val="28"/>
        </w:rPr>
        <w:t>ES</w:t>
      </w:r>
      <w:r w:rsidRPr="00870FD9">
        <w:rPr>
          <w:bCs/>
          <w:color w:val="000000" w:themeColor="text1"/>
          <w:szCs w:val="28"/>
        </w:rPr>
        <w:t xml:space="preserve"> noteiktā pārejas perioda </w:t>
      </w:r>
      <w:r w:rsidRPr="00870FD9" w:rsidR="0043468B">
        <w:rPr>
          <w:bCs/>
          <w:color w:val="000000" w:themeColor="text1"/>
          <w:szCs w:val="28"/>
        </w:rPr>
        <w:t xml:space="preserve">Latvijai </w:t>
      </w:r>
      <w:r w:rsidRPr="00870FD9">
        <w:rPr>
          <w:bCs/>
          <w:color w:val="000000" w:themeColor="text1"/>
          <w:szCs w:val="28"/>
        </w:rPr>
        <w:t xml:space="preserve">nebija izveidotas </w:t>
      </w:r>
      <w:r w:rsidRPr="00870FD9" w:rsidR="0043468B">
        <w:rPr>
          <w:bCs/>
          <w:color w:val="000000" w:themeColor="text1"/>
          <w:szCs w:val="28"/>
        </w:rPr>
        <w:t xml:space="preserve">naftas produktu drošības rezerves </w:t>
      </w:r>
      <w:r w:rsidRPr="00870FD9" w:rsidR="00046E7E">
        <w:rPr>
          <w:bCs/>
          <w:color w:val="000000" w:themeColor="text1"/>
          <w:szCs w:val="28"/>
        </w:rPr>
        <w:t xml:space="preserve">atlikušajām </w:t>
      </w:r>
      <w:r w:rsidRPr="00870FD9">
        <w:rPr>
          <w:bCs/>
          <w:color w:val="000000" w:themeColor="text1"/>
          <w:szCs w:val="28"/>
        </w:rPr>
        <w:t>50 dien</w:t>
      </w:r>
      <w:r w:rsidRPr="00870FD9" w:rsidR="0043468B">
        <w:rPr>
          <w:bCs/>
          <w:color w:val="000000" w:themeColor="text1"/>
          <w:szCs w:val="28"/>
        </w:rPr>
        <w:t>ām</w:t>
      </w:r>
      <w:r w:rsidRPr="00870FD9" w:rsidR="00866A34">
        <w:rPr>
          <w:bCs/>
          <w:color w:val="000000" w:themeColor="text1"/>
          <w:szCs w:val="28"/>
        </w:rPr>
        <w:t xml:space="preserve">, jo </w:t>
      </w:r>
      <w:r w:rsidRPr="00870FD9">
        <w:rPr>
          <w:bCs/>
          <w:color w:val="000000" w:themeColor="text1"/>
          <w:szCs w:val="28"/>
        </w:rPr>
        <w:t xml:space="preserve">Valsts daļa bija izveidota 4 dienām gan benzīnam, gan dīzeļdegvielai 54 dienu valsts daļas vietā. </w:t>
      </w:r>
      <w:r w:rsidRPr="00870FD9" w:rsidR="00AA7240">
        <w:rPr>
          <w:bCs/>
          <w:color w:val="000000" w:themeColor="text1"/>
          <w:szCs w:val="28"/>
        </w:rPr>
        <w:t>2010.gada k</w:t>
      </w:r>
      <w:r w:rsidRPr="00870FD9">
        <w:rPr>
          <w:bCs/>
          <w:color w:val="000000" w:themeColor="text1"/>
          <w:szCs w:val="28"/>
        </w:rPr>
        <w:t>oncepcija paredzēja, ka degvielas iegādei 54 dienu rezerves valsts daļas nodrošināšanai būtu nepieciešami 100 milj. LVL valsts budžeta finansējums un 10 milj.</w:t>
      </w:r>
      <w:r w:rsidRPr="00870FD9" w:rsidR="00046E7E">
        <w:rPr>
          <w:bCs/>
          <w:color w:val="000000" w:themeColor="text1"/>
          <w:szCs w:val="28"/>
        </w:rPr>
        <w:t xml:space="preserve"> </w:t>
      </w:r>
      <w:r w:rsidRPr="00870FD9">
        <w:rPr>
          <w:bCs/>
          <w:color w:val="000000" w:themeColor="text1"/>
          <w:szCs w:val="28"/>
        </w:rPr>
        <w:t>LVL valsts budžeta finansējums katru gadu uzglabāšanas pakalpojuma pirkšanai. Finansējums 2010.gadā naftas produktu rezervju valsts daļas izveidei nebija paredzēts</w:t>
      </w:r>
      <w:r w:rsidRPr="00870FD9">
        <w:rPr>
          <w:bCs/>
          <w:color w:val="000000" w:themeColor="text1"/>
          <w:szCs w:val="28"/>
        </w:rPr>
        <w:t>.</w:t>
      </w:r>
    </w:p>
    <w:p w:rsidR="00BA7EDE" w:rsidRPr="00870FD9" w:rsidP="007604F1">
      <w:pPr>
        <w:spacing w:before="120" w:after="120"/>
        <w:jc w:val="both"/>
        <w:rPr>
          <w:color w:val="000000" w:themeColor="text1"/>
        </w:rPr>
      </w:pPr>
      <w:r w:rsidRPr="00870FD9">
        <w:rPr>
          <w:bCs/>
          <w:color w:val="000000" w:themeColor="text1"/>
          <w:szCs w:val="28"/>
        </w:rPr>
        <w:t>Savukārt</w:t>
      </w:r>
      <w:r w:rsidRPr="00870FD9" w:rsidR="004533F5">
        <w:rPr>
          <w:bCs/>
          <w:color w:val="000000" w:themeColor="text1"/>
          <w:szCs w:val="28"/>
        </w:rPr>
        <w:t xml:space="preserve"> k</w:t>
      </w:r>
      <w:r w:rsidRPr="00870FD9" w:rsidR="004533F5">
        <w:rPr>
          <w:color w:val="000000" w:themeColor="text1"/>
        </w:rPr>
        <w:t xml:space="preserve">omersantiem, </w:t>
      </w:r>
      <w:r w:rsidRPr="00870FD9" w:rsidR="004533F5">
        <w:rPr>
          <w:bCs/>
          <w:color w:val="000000" w:themeColor="text1"/>
          <w:szCs w:val="28"/>
        </w:rPr>
        <w:t xml:space="preserve">kas darbojas Latvijas naftas produktu tirgū un kuru pienākums būtu izveidot un uzturēt naftas produktu rezerves </w:t>
      </w:r>
      <w:r w:rsidRPr="00870FD9">
        <w:rPr>
          <w:bCs/>
          <w:color w:val="000000" w:themeColor="text1"/>
          <w:szCs w:val="28"/>
        </w:rPr>
        <w:t xml:space="preserve">36 dienām </w:t>
      </w:r>
      <w:r w:rsidRPr="00870FD9" w:rsidR="004533F5">
        <w:rPr>
          <w:bCs/>
          <w:color w:val="000000" w:themeColor="text1"/>
          <w:szCs w:val="28"/>
        </w:rPr>
        <w:t>nāktos izm</w:t>
      </w:r>
      <w:r w:rsidRPr="00870FD9" w:rsidR="004533F5">
        <w:rPr>
          <w:color w:val="000000" w:themeColor="text1"/>
        </w:rPr>
        <w:t xml:space="preserve">antot papildus </w:t>
      </w:r>
      <w:r w:rsidRPr="00870FD9" w:rsidR="004533F5">
        <w:rPr>
          <w:color w:val="000000" w:themeColor="text1"/>
        </w:rPr>
        <w:t>finansu</w:t>
      </w:r>
      <w:r w:rsidRPr="00870FD9" w:rsidR="004533F5">
        <w:rPr>
          <w:color w:val="000000" w:themeColor="text1"/>
        </w:rPr>
        <w:t xml:space="preserve"> līdzekļus, lai izveidotu naftas rezerves un segtu šīs izmaksas</w:t>
      </w:r>
      <w:r w:rsidRPr="00870FD9">
        <w:rPr>
          <w:color w:val="000000" w:themeColor="text1"/>
        </w:rPr>
        <w:t>,</w:t>
      </w:r>
      <w:r w:rsidRPr="00870FD9" w:rsidR="004533F5">
        <w:rPr>
          <w:color w:val="000000" w:themeColor="text1"/>
        </w:rPr>
        <w:t xml:space="preserve"> palielinot cenu gala patērētājam</w:t>
      </w:r>
      <w:r w:rsidRPr="00870FD9">
        <w:rPr>
          <w:color w:val="000000" w:themeColor="text1"/>
        </w:rPr>
        <w:t>.</w:t>
      </w:r>
    </w:p>
    <w:p w:rsidR="007604F1" w:rsidRPr="00870FD9" w:rsidP="007604F1">
      <w:pPr>
        <w:spacing w:before="120" w:after="120"/>
        <w:jc w:val="both"/>
        <w:rPr>
          <w:bCs/>
          <w:color w:val="000000" w:themeColor="text1"/>
          <w:szCs w:val="28"/>
        </w:rPr>
      </w:pPr>
      <w:r w:rsidRPr="00870FD9">
        <w:rPr>
          <w:color w:val="000000" w:themeColor="text1"/>
        </w:rPr>
        <w:t>Izvērtējot visus sagaidāmos riskus un finanšu ieguldījumus,</w:t>
      </w:r>
      <w:r w:rsidRPr="00870FD9">
        <w:rPr>
          <w:bCs/>
          <w:color w:val="000000" w:themeColor="text1"/>
          <w:szCs w:val="28"/>
        </w:rPr>
        <w:t xml:space="preserve"> tika secināts, ka 2006.gada koncepcija nav ilgtspējīga.</w:t>
      </w:r>
    </w:p>
    <w:p w:rsidR="007604F1" w:rsidRPr="00870FD9" w:rsidP="007604F1">
      <w:pPr>
        <w:spacing w:before="120" w:after="120"/>
        <w:jc w:val="both"/>
        <w:rPr>
          <w:bCs/>
          <w:color w:val="000000" w:themeColor="text1"/>
          <w:szCs w:val="28"/>
        </w:rPr>
      </w:pPr>
      <w:r w:rsidRPr="00870FD9">
        <w:rPr>
          <w:bCs/>
          <w:color w:val="000000" w:themeColor="text1"/>
          <w:szCs w:val="28"/>
        </w:rPr>
        <w:t xml:space="preserve">2010.gada 23.marta Ministru kabineta sēdē tika apstiprināta Valsts naftas produktu rezervju izveides koncepcija (prot.15., 48§), kuras mērķis bija izveidot valsts naftas produktu rezerves 90 patēriņu dienu apjomā, pamatojoties uz </w:t>
      </w:r>
      <w:r w:rsidRPr="00870FD9" w:rsidR="00046E7E">
        <w:rPr>
          <w:bCs/>
          <w:color w:val="000000" w:themeColor="text1"/>
          <w:szCs w:val="28"/>
        </w:rPr>
        <w:t>Direktīvas 2006/67/EK</w:t>
      </w:r>
      <w:r w:rsidRPr="00870FD9">
        <w:rPr>
          <w:bCs/>
          <w:color w:val="000000" w:themeColor="text1"/>
          <w:szCs w:val="28"/>
        </w:rPr>
        <w:t xml:space="preserve"> nosacījumiem – uzglabājamo naftas produktu drošības rezervju apjoms, kas atbilst 90 dienām dienas vidējam iekšzemes patēriņam iepriekšējā kalendārajā gadā, tikai trim galvenajiem naftas produktiem – benzīnam, dīzeļdegvielai un degvieleļļai. Naftas produktu drošības rezervju apjoms tika rēķināts, izmantojot Valsts ieņēmumu dienesta datus.</w:t>
      </w:r>
    </w:p>
    <w:p w:rsidR="007604F1" w:rsidRPr="00870FD9" w:rsidP="007604F1">
      <w:pPr>
        <w:spacing w:before="120" w:after="120"/>
        <w:jc w:val="both"/>
        <w:rPr>
          <w:bCs/>
          <w:color w:val="000000" w:themeColor="text1"/>
          <w:szCs w:val="28"/>
        </w:rPr>
      </w:pPr>
      <w:r w:rsidRPr="00870FD9">
        <w:rPr>
          <w:bCs/>
          <w:color w:val="000000" w:themeColor="text1"/>
          <w:szCs w:val="28"/>
        </w:rPr>
        <w:t>Ar 2013.gada 1.janvāri valsts naftas produktu rezerves tiek veidotas pamatojoties uz Direktīvas 2009/119/EK nosacījumiem</w:t>
      </w:r>
      <w:r w:rsidRPr="00870FD9" w:rsidR="00046E7E">
        <w:rPr>
          <w:bCs/>
          <w:color w:val="000000" w:themeColor="text1"/>
          <w:szCs w:val="28"/>
        </w:rPr>
        <w:t xml:space="preserve"> – drošības rezervju apjomam Latvijā piemērojot 90 dienas</w:t>
      </w:r>
      <w:r w:rsidRPr="00870FD9">
        <w:rPr>
          <w:bCs/>
          <w:color w:val="000000" w:themeColor="text1"/>
          <w:szCs w:val="28"/>
        </w:rPr>
        <w:t xml:space="preserve">. Naftas produktu drošības rezervju apjoms tiek rēķināts, izmantojot Centrālās statistikas pārvaldes datus. Rezultātā palielinājās aprēķinos iekļaujamo naftas produktu skaits no trim – benzīns, dīzeļdegviela un mazuts līdz 12 naftas produktiem – benzīns, reaktīvā degviela, petroleja, dīzeļdegviela, mazuts, sašķidrinātā naftas gāze, parafīna sveķi, bitumens, </w:t>
      </w:r>
      <w:r w:rsidRPr="00870FD9">
        <w:rPr>
          <w:bCs/>
          <w:color w:val="000000" w:themeColor="text1"/>
          <w:szCs w:val="28"/>
        </w:rPr>
        <w:t>lakbenzīns</w:t>
      </w:r>
      <w:r w:rsidRPr="00870FD9">
        <w:rPr>
          <w:bCs/>
          <w:color w:val="000000" w:themeColor="text1"/>
          <w:szCs w:val="28"/>
        </w:rPr>
        <w:t>, degakmens eļļa, smērvielas un atstrādātās eļļas.</w:t>
      </w:r>
    </w:p>
    <w:p w:rsidR="007604F1" w:rsidRPr="00870FD9" w:rsidP="007604F1">
      <w:pPr>
        <w:autoSpaceDE w:val="0"/>
        <w:spacing w:before="120" w:after="120"/>
        <w:jc w:val="both"/>
        <w:textAlignment w:val="auto"/>
        <w:rPr>
          <w:color w:val="000000" w:themeColor="text1"/>
          <w:szCs w:val="28"/>
        </w:rPr>
      </w:pPr>
      <w:r w:rsidRPr="00870FD9">
        <w:rPr>
          <w:bCs/>
          <w:color w:val="000000" w:themeColor="text1"/>
          <w:kern w:val="3"/>
          <w:szCs w:val="28"/>
          <w:lang w:eastAsia="lv-LV"/>
        </w:rPr>
        <w:t xml:space="preserve">2010.gada </w:t>
      </w:r>
      <w:r w:rsidRPr="00870FD9">
        <w:rPr>
          <w:bCs/>
          <w:color w:val="000000" w:themeColor="text1"/>
          <w:szCs w:val="28"/>
        </w:rPr>
        <w:t xml:space="preserve">Valsts naftas produktu rezervju izveides </w:t>
      </w:r>
      <w:r w:rsidRPr="00870FD9">
        <w:rPr>
          <w:bCs/>
          <w:color w:val="000000" w:themeColor="text1"/>
          <w:kern w:val="3"/>
          <w:szCs w:val="28"/>
          <w:lang w:eastAsia="lv-LV"/>
        </w:rPr>
        <w:t>modelis paredz, ka:</w:t>
      </w:r>
    </w:p>
    <w:p w:rsidR="007604F1" w:rsidRPr="00870FD9" w:rsidP="007604F1">
      <w:pPr>
        <w:numPr>
          <w:ilvl w:val="0"/>
          <w:numId w:val="6"/>
        </w:numPr>
        <w:autoSpaceDE w:val="0"/>
        <w:spacing w:before="120" w:after="120"/>
        <w:ind w:left="426" w:hanging="426"/>
        <w:jc w:val="both"/>
        <w:textAlignment w:val="auto"/>
        <w:rPr>
          <w:color w:val="000000" w:themeColor="text1"/>
          <w:szCs w:val="28"/>
        </w:rPr>
      </w:pPr>
      <w:r w:rsidRPr="00870FD9">
        <w:rPr>
          <w:color w:val="000000" w:themeColor="text1"/>
          <w:kern w:val="3"/>
          <w:szCs w:val="28"/>
          <w:lang w:eastAsia="lv-LV"/>
        </w:rPr>
        <w:t>90 dienu naftas rezervju izveide tiek nodrošināta izsludinot atklātus konkursus p</w:t>
      </w:r>
      <w:r w:rsidRPr="00870FD9">
        <w:rPr>
          <w:color w:val="000000" w:themeColor="text1"/>
          <w:szCs w:val="28"/>
          <w:lang w:eastAsia="lv-LV"/>
        </w:rPr>
        <w:t xml:space="preserve">amatojoties uz Enerģētikas likuma 72. panta otrajā daļā noteikto, t.i., Ekonomikas ministrija katru gadu līdz 1.jūnijam izsludina atklātu konkursu par drošības rezervju pakalpojumu sniegšanu. </w:t>
      </w:r>
    </w:p>
    <w:p w:rsidR="007604F1" w:rsidRPr="00870FD9" w:rsidP="007604F1">
      <w:pPr>
        <w:numPr>
          <w:ilvl w:val="0"/>
          <w:numId w:val="6"/>
        </w:numPr>
        <w:autoSpaceDE w:val="0"/>
        <w:spacing w:before="120" w:after="120"/>
        <w:ind w:left="426" w:hanging="426"/>
        <w:jc w:val="both"/>
        <w:textAlignment w:val="auto"/>
        <w:rPr>
          <w:color w:val="000000" w:themeColor="text1"/>
          <w:szCs w:val="28"/>
        </w:rPr>
      </w:pPr>
      <w:r w:rsidRPr="00870FD9">
        <w:rPr>
          <w:color w:val="000000" w:themeColor="text1"/>
          <w:kern w:val="3"/>
          <w:szCs w:val="28"/>
          <w:lang w:eastAsia="lv-LV"/>
        </w:rPr>
        <w:t>Valsts pērk tikai uzglabāšanas pakalpojumu bez naftas produktu pirkšanas;</w:t>
      </w:r>
    </w:p>
    <w:p w:rsidR="007604F1" w:rsidRPr="00870FD9" w:rsidP="007604F1">
      <w:pPr>
        <w:numPr>
          <w:ilvl w:val="0"/>
          <w:numId w:val="6"/>
        </w:numPr>
        <w:autoSpaceDE w:val="0"/>
        <w:spacing w:before="120" w:after="120"/>
        <w:jc w:val="both"/>
        <w:textAlignment w:val="auto"/>
        <w:rPr>
          <w:color w:val="000000" w:themeColor="text1"/>
          <w:szCs w:val="28"/>
        </w:rPr>
      </w:pPr>
      <w:r w:rsidRPr="00870FD9">
        <w:rPr>
          <w:color w:val="000000" w:themeColor="text1"/>
          <w:kern w:val="3"/>
          <w:szCs w:val="28"/>
          <w:lang w:eastAsia="lv-LV"/>
        </w:rPr>
        <w:t>Enerģētikas likuma 72.</w:t>
      </w:r>
      <w:r w:rsidRPr="00870FD9">
        <w:rPr>
          <w:color w:val="000000" w:themeColor="text1"/>
          <w:kern w:val="3"/>
          <w:szCs w:val="28"/>
          <w:vertAlign w:val="superscript"/>
          <w:lang w:eastAsia="lv-LV"/>
        </w:rPr>
        <w:t xml:space="preserve">3 </w:t>
      </w:r>
      <w:r w:rsidRPr="00870FD9">
        <w:rPr>
          <w:color w:val="000000" w:themeColor="text1"/>
          <w:kern w:val="3"/>
          <w:szCs w:val="28"/>
          <w:lang w:eastAsia="lv-LV"/>
        </w:rPr>
        <w:t>pants nosaka, ka par šā likuma 72.</w:t>
      </w:r>
      <w:r w:rsidRPr="00870FD9" w:rsidR="0043468B">
        <w:rPr>
          <w:color w:val="000000" w:themeColor="text1"/>
          <w:kern w:val="3"/>
          <w:szCs w:val="28"/>
          <w:lang w:eastAsia="lv-LV"/>
        </w:rPr>
        <w:t xml:space="preserve"> </w:t>
      </w:r>
      <w:r w:rsidRPr="00870FD9">
        <w:rPr>
          <w:color w:val="000000" w:themeColor="text1"/>
          <w:kern w:val="3"/>
          <w:szCs w:val="28"/>
          <w:lang w:eastAsia="lv-LV"/>
        </w:rPr>
        <w:t>pantā noteikto drošības rezervju uzturēšana maksājama valsts nodeva.</w:t>
      </w:r>
    </w:p>
    <w:p w:rsidR="007604F1" w:rsidRPr="00870FD9" w:rsidP="007604F1">
      <w:pPr>
        <w:numPr>
          <w:ilvl w:val="0"/>
          <w:numId w:val="6"/>
        </w:numPr>
        <w:autoSpaceDE w:val="0"/>
        <w:spacing w:before="120" w:after="120"/>
        <w:jc w:val="both"/>
        <w:textAlignment w:val="auto"/>
        <w:rPr>
          <w:color w:val="000000" w:themeColor="text1"/>
          <w:kern w:val="3"/>
          <w:szCs w:val="28"/>
          <w:lang w:eastAsia="lv-LV"/>
        </w:rPr>
      </w:pPr>
      <w:r w:rsidRPr="00870FD9">
        <w:rPr>
          <w:color w:val="000000" w:themeColor="text1"/>
          <w:kern w:val="3"/>
          <w:szCs w:val="28"/>
          <w:lang w:eastAsia="lv-LV"/>
        </w:rPr>
        <w:t>Likums „Par nodokļiem un nodevām” 11.panta otrās daļas 109.punkts paredz valsts nodevu par Enerģētikas likumā noteikto drošības rezervju uzturēšanu.</w:t>
      </w:r>
    </w:p>
    <w:p w:rsidR="007604F1" w:rsidRPr="00870FD9" w:rsidP="007604F1">
      <w:pPr>
        <w:numPr>
          <w:ilvl w:val="0"/>
          <w:numId w:val="6"/>
        </w:numPr>
        <w:autoSpaceDE w:val="0"/>
        <w:spacing w:before="120" w:after="120"/>
        <w:jc w:val="both"/>
        <w:textAlignment w:val="auto"/>
        <w:rPr>
          <w:color w:val="000000" w:themeColor="text1"/>
          <w:kern w:val="3"/>
          <w:szCs w:val="28"/>
          <w:lang w:eastAsia="lv-LV"/>
        </w:rPr>
      </w:pPr>
      <w:r w:rsidRPr="00870FD9">
        <w:rPr>
          <w:color w:val="000000" w:themeColor="text1"/>
          <w:kern w:val="3"/>
          <w:szCs w:val="28"/>
          <w:lang w:eastAsia="lv-LV"/>
        </w:rPr>
        <w:t>Valsts nodevas likmes apmērs, pamatojoties uz Enerģētikas likuma 72.</w:t>
      </w:r>
      <w:r w:rsidRPr="00870FD9" w:rsidR="0043468B">
        <w:rPr>
          <w:color w:val="000000" w:themeColor="text1"/>
          <w:kern w:val="3"/>
          <w:szCs w:val="28"/>
          <w:lang w:eastAsia="lv-LV"/>
        </w:rPr>
        <w:t xml:space="preserve"> </w:t>
      </w:r>
      <w:r w:rsidRPr="00870FD9">
        <w:rPr>
          <w:color w:val="000000" w:themeColor="text1"/>
          <w:kern w:val="3"/>
          <w:szCs w:val="28"/>
          <w:lang w:eastAsia="lv-LV"/>
        </w:rPr>
        <w:t xml:space="preserve">panta nosacījumiem, tiek noteikts </w:t>
      </w:r>
      <w:r w:rsidRPr="00870FD9" w:rsidR="00046E7E">
        <w:rPr>
          <w:color w:val="000000" w:themeColor="text1"/>
          <w:kern w:val="3"/>
          <w:szCs w:val="28"/>
          <w:lang w:eastAsia="lv-LV"/>
        </w:rPr>
        <w:t>N</w:t>
      </w:r>
      <w:r w:rsidRPr="00870FD9">
        <w:rPr>
          <w:color w:val="000000" w:themeColor="text1"/>
          <w:kern w:val="3"/>
          <w:szCs w:val="28"/>
          <w:lang w:eastAsia="lv-LV"/>
        </w:rPr>
        <w:t xml:space="preserve">oteikumu Nr. 450 5.punktā. To maksā komersanti, kas saņēmuši speciālu atļauju (licenci) apstiprinātā akcīzes preču noliktavas turētāja darbībai, komersanti, kas saņēmuši speciālu atļauju (licenci) reģistrēta saņēmēja darbībai, komersanti, kas saņēmuši speciālu atļauju (licenci) naftas produktu vairumtirdzniecībai, komersanti, kas saņēmuši speciālu atļauju (licenci) naftas produktu mazumtirdzniecībai. Citi komersanti maksā Valsts nodevu par naftas produktu apjomu, kuru tie Latvijas Republikā savam patēriņam ieved no Eiropas Savienības dalībvalsts vai trešās valsts. Valsts naftas produktu rezervju apmēru, kā arī valsts nodevas apmēru un tās aprēķināšanas, maksāšanas un administrēšanas kārtību nosaka </w:t>
      </w:r>
      <w:r w:rsidRPr="00870FD9" w:rsidR="00046E7E">
        <w:rPr>
          <w:color w:val="000000" w:themeColor="text1"/>
          <w:kern w:val="3"/>
          <w:szCs w:val="28"/>
          <w:lang w:eastAsia="lv-LV"/>
        </w:rPr>
        <w:t>Noteikumi Nr.450</w:t>
      </w:r>
      <w:r w:rsidRPr="00870FD9">
        <w:rPr>
          <w:color w:val="000000" w:themeColor="text1"/>
          <w:kern w:val="3"/>
          <w:szCs w:val="28"/>
          <w:lang w:eastAsia="lv-LV"/>
        </w:rPr>
        <w:t>. Saskaņā ar Ekonomikas ministrijas rīcībā esošo informāciju</w:t>
      </w:r>
      <w:r w:rsidRPr="00870FD9" w:rsidR="00093420">
        <w:rPr>
          <w:color w:val="000000" w:themeColor="text1"/>
          <w:kern w:val="3"/>
          <w:szCs w:val="28"/>
          <w:lang w:eastAsia="lv-LV"/>
        </w:rPr>
        <w:t xml:space="preserve"> uz 2017.gada 21.novembri</w:t>
      </w:r>
      <w:r w:rsidRPr="00870FD9">
        <w:rPr>
          <w:color w:val="000000" w:themeColor="text1"/>
          <w:kern w:val="3"/>
          <w:szCs w:val="28"/>
          <w:lang w:eastAsia="lv-LV"/>
        </w:rPr>
        <w:t xml:space="preserve">, šādi komersanti ir 65. Šiem komersantiem ir dažāda veida speciālās atļaujas (licences) darbībām ar naftas produktiem. </w:t>
      </w:r>
    </w:p>
    <w:p w:rsidR="007604F1" w:rsidRPr="00870FD9" w:rsidP="007604F1">
      <w:pPr>
        <w:numPr>
          <w:ilvl w:val="0"/>
          <w:numId w:val="6"/>
        </w:numPr>
        <w:autoSpaceDE w:val="0"/>
        <w:spacing w:before="120" w:after="120"/>
        <w:jc w:val="both"/>
        <w:textAlignment w:val="auto"/>
        <w:rPr>
          <w:color w:val="000000" w:themeColor="text1"/>
          <w:kern w:val="3"/>
          <w:szCs w:val="28"/>
          <w:lang w:eastAsia="lv-LV"/>
        </w:rPr>
      </w:pPr>
      <w:r w:rsidRPr="00870FD9">
        <w:rPr>
          <w:color w:val="000000" w:themeColor="text1"/>
          <w:kern w:val="3"/>
          <w:szCs w:val="28"/>
          <w:lang w:eastAsia="lv-LV"/>
        </w:rPr>
        <w:t>Valsts nodeva veidojas no konkursa</w:t>
      </w:r>
      <w:r w:rsidRPr="00870FD9" w:rsidR="004458EA">
        <w:rPr>
          <w:color w:val="000000" w:themeColor="text1"/>
          <w:kern w:val="3"/>
          <w:szCs w:val="28"/>
          <w:lang w:eastAsia="lv-LV"/>
        </w:rPr>
        <w:t xml:space="preserve"> </w:t>
      </w:r>
      <w:r w:rsidRPr="00870FD9">
        <w:rPr>
          <w:color w:val="000000" w:themeColor="text1"/>
          <w:kern w:val="3"/>
          <w:szCs w:val="28"/>
          <w:lang w:eastAsia="lv-LV"/>
        </w:rPr>
        <w:t xml:space="preserve">par naftas produktu drošības rezervju uzglabāšanas pakalpojumu sniegšanas rezultāta. Noslēdzoties konkursam, tiek mainīta valsts nodevas likme. </w:t>
      </w:r>
      <w:r w:rsidRPr="00870FD9">
        <w:rPr>
          <w:color w:val="000000" w:themeColor="text1"/>
          <w:kern w:val="3"/>
          <w:szCs w:val="28"/>
          <w:lang w:eastAsia="lv-LV"/>
        </w:rPr>
        <w:t>Valsts nodevai ir neitrāla ietekme uz valsts budžetu. Ekonomikas ministrija CKUS funkciju izpildei nepieciešamos izdevumus sedz no valsts nodevas ieņēmumiem, kas saņemti par drošības rezervju uzturēšanu;</w:t>
      </w:r>
    </w:p>
    <w:p w:rsidR="007604F1" w:rsidRPr="00870FD9" w:rsidP="007604F1">
      <w:pPr>
        <w:numPr>
          <w:ilvl w:val="0"/>
          <w:numId w:val="6"/>
        </w:numPr>
        <w:autoSpaceDE w:val="0"/>
        <w:spacing w:before="120" w:after="120"/>
        <w:jc w:val="both"/>
        <w:textAlignment w:val="auto"/>
        <w:rPr>
          <w:color w:val="000000" w:themeColor="text1"/>
          <w:szCs w:val="28"/>
        </w:rPr>
      </w:pPr>
      <w:r w:rsidRPr="00870FD9">
        <w:rPr>
          <w:color w:val="000000" w:themeColor="text1"/>
          <w:kern w:val="3"/>
          <w:szCs w:val="28"/>
          <w:lang w:eastAsia="lv-LV"/>
        </w:rPr>
        <w:t>Komersanti uzglabā sev piederošus naftas produktus kā valsts naftas produktu drošības rezerves nolīgtajā apjomā</w:t>
      </w:r>
      <w:r w:rsidRPr="00870FD9" w:rsidR="004458EA">
        <w:rPr>
          <w:color w:val="000000" w:themeColor="text1"/>
          <w:kern w:val="3"/>
          <w:szCs w:val="28"/>
          <w:lang w:eastAsia="lv-LV"/>
        </w:rPr>
        <w:t xml:space="preserve"> un noteiktajā termiņā</w:t>
      </w:r>
      <w:r w:rsidRPr="00870FD9">
        <w:rPr>
          <w:color w:val="000000" w:themeColor="text1"/>
          <w:kern w:val="3"/>
          <w:szCs w:val="28"/>
          <w:lang w:eastAsia="lv-LV"/>
        </w:rPr>
        <w:t>;</w:t>
      </w:r>
    </w:p>
    <w:p w:rsidR="007604F1" w:rsidRPr="00870FD9" w:rsidP="007604F1">
      <w:pPr>
        <w:numPr>
          <w:ilvl w:val="0"/>
          <w:numId w:val="6"/>
        </w:numPr>
        <w:autoSpaceDE w:val="0"/>
        <w:spacing w:before="120" w:after="120"/>
        <w:ind w:left="142" w:hanging="142"/>
        <w:jc w:val="both"/>
        <w:textAlignment w:val="auto"/>
        <w:rPr>
          <w:color w:val="000000" w:themeColor="text1"/>
          <w:kern w:val="3"/>
          <w:szCs w:val="28"/>
          <w:lang w:eastAsia="lv-LV"/>
        </w:rPr>
      </w:pPr>
      <w:r w:rsidRPr="00870FD9">
        <w:rPr>
          <w:color w:val="000000" w:themeColor="text1"/>
          <w:kern w:val="3"/>
          <w:szCs w:val="28"/>
          <w:lang w:eastAsia="lv-LV"/>
        </w:rPr>
        <w:t xml:space="preserve">EM pilda CKUS funkcijas </w:t>
      </w:r>
      <w:r w:rsidRPr="00870FD9" w:rsidR="004458EA">
        <w:rPr>
          <w:color w:val="000000" w:themeColor="text1"/>
          <w:kern w:val="3"/>
          <w:szCs w:val="28"/>
          <w:lang w:eastAsia="lv-LV"/>
        </w:rPr>
        <w:t xml:space="preserve">– </w:t>
      </w:r>
      <w:r w:rsidRPr="00870FD9">
        <w:rPr>
          <w:color w:val="000000" w:themeColor="text1"/>
          <w:kern w:val="3"/>
          <w:szCs w:val="28"/>
          <w:lang w:eastAsia="lv-LV"/>
        </w:rPr>
        <w:t xml:space="preserve"> 1) iegādājas drošības rezervju nodrošināšanas pakalpojumu, 2) administrē drošības rezerves, 3) administrē valsts nodevu par drošības rezervēm.</w:t>
      </w:r>
    </w:p>
    <w:p w:rsidR="007604F1" w:rsidRPr="00870FD9" w:rsidP="00D4472D">
      <w:pPr>
        <w:suppressAutoHyphens w:val="0"/>
        <w:spacing w:after="160" w:line="256" w:lineRule="auto"/>
        <w:jc w:val="right"/>
        <w:rPr>
          <w:b/>
          <w:color w:val="000000" w:themeColor="text1"/>
          <w:szCs w:val="28"/>
          <w:lang w:eastAsia="lv-LV"/>
        </w:rPr>
      </w:pPr>
      <w:r w:rsidRPr="00870FD9">
        <w:rPr>
          <w:b/>
          <w:color w:val="000000" w:themeColor="text1"/>
          <w:szCs w:val="28"/>
          <w:lang w:eastAsia="lv-LV"/>
        </w:rPr>
        <w:t>1.tabula</w:t>
      </w:r>
    </w:p>
    <w:p w:rsidR="007604F1" w:rsidRPr="00870FD9" w:rsidP="007604F1">
      <w:pPr>
        <w:spacing w:before="60" w:after="60"/>
        <w:jc w:val="right"/>
        <w:rPr>
          <w:b/>
          <w:color w:val="000000" w:themeColor="text1"/>
          <w:szCs w:val="28"/>
          <w:lang w:eastAsia="lv-LV"/>
        </w:rPr>
      </w:pPr>
      <w:r w:rsidRPr="00870FD9">
        <w:rPr>
          <w:b/>
          <w:color w:val="000000" w:themeColor="text1"/>
          <w:szCs w:val="28"/>
          <w:lang w:eastAsia="lv-LV"/>
        </w:rPr>
        <w:t>CKUS administrētās drošības rezervju līgumu summas</w:t>
      </w:r>
    </w:p>
    <w:tbl>
      <w:tblPr>
        <w:tblW w:w="4950" w:type="pct"/>
        <w:tblInd w:w="118" w:type="dxa"/>
        <w:tblLayout w:type="fixed"/>
        <w:tblCellMar>
          <w:left w:w="10" w:type="dxa"/>
          <w:right w:w="10" w:type="dxa"/>
        </w:tblCellMar>
        <w:tblLook w:val="0000"/>
      </w:tblPr>
      <w:tblGrid>
        <w:gridCol w:w="1874"/>
        <w:gridCol w:w="3718"/>
        <w:gridCol w:w="3378"/>
      </w:tblGrid>
      <w:tr w:rsidTr="0043468B">
        <w:tblPrEx>
          <w:tblW w:w="4950" w:type="pct"/>
          <w:tblInd w:w="118" w:type="dxa"/>
          <w:tblLayout w:type="fixed"/>
          <w:tblCellMar>
            <w:left w:w="10" w:type="dxa"/>
            <w:right w:w="10" w:type="dxa"/>
          </w:tblCellMar>
          <w:tblLook w:val="0000"/>
        </w:tblPrEx>
        <w:trPr>
          <w:trHeight w:val="352"/>
        </w:trPr>
        <w:tc>
          <w:tcPr>
            <w:tcW w:w="1874" w:type="dxa"/>
            <w:vMerge w:val="restart"/>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both"/>
              <w:rPr>
                <w:b/>
                <w:iCs/>
                <w:color w:val="000000" w:themeColor="text1"/>
                <w:szCs w:val="28"/>
                <w:lang w:eastAsia="lv-LV"/>
              </w:rPr>
            </w:pPr>
            <w:r w:rsidRPr="00870FD9">
              <w:rPr>
                <w:b/>
                <w:iCs/>
                <w:color w:val="000000" w:themeColor="text1"/>
                <w:szCs w:val="28"/>
                <w:lang w:eastAsia="lv-LV"/>
              </w:rPr>
              <w:t>Gads</w:t>
            </w:r>
          </w:p>
        </w:tc>
        <w:tc>
          <w:tcPr>
            <w:tcW w:w="3718" w:type="dxa"/>
            <w:vMerge w:val="restart"/>
            <w:tcBorders>
              <w:top w:val="single" w:sz="4" w:space="0" w:color="000000"/>
              <w:bottom w:val="single" w:sz="8" w:space="0" w:color="000000"/>
            </w:tcBorders>
            <w:shd w:val="clear" w:color="auto" w:fill="auto"/>
            <w:tcMar>
              <w:top w:w="0" w:type="dxa"/>
              <w:left w:w="108" w:type="dxa"/>
              <w:bottom w:w="0" w:type="dxa"/>
              <w:right w:w="108" w:type="dxa"/>
            </w:tcMar>
            <w:vAlign w:val="center"/>
          </w:tcPr>
          <w:p w:rsidR="007604F1" w:rsidRPr="00870FD9" w:rsidP="0043468B">
            <w:pPr>
              <w:jc w:val="both"/>
              <w:rPr>
                <w:b/>
                <w:iCs/>
                <w:color w:val="000000" w:themeColor="text1"/>
                <w:szCs w:val="28"/>
                <w:lang w:eastAsia="lv-LV"/>
              </w:rPr>
            </w:pPr>
            <w:r w:rsidRPr="00870FD9">
              <w:rPr>
                <w:b/>
                <w:iCs/>
                <w:color w:val="000000" w:themeColor="text1"/>
                <w:szCs w:val="28"/>
                <w:lang w:eastAsia="lv-LV"/>
              </w:rPr>
              <w:t>Naftas produktu drošības rezervju apjoms /tonnas/</w:t>
            </w:r>
          </w:p>
        </w:tc>
        <w:tc>
          <w:tcPr>
            <w:tcW w:w="3378" w:type="dxa"/>
            <w:vMerge w:val="restart"/>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604F1" w:rsidRPr="00870FD9" w:rsidP="0043468B">
            <w:pPr>
              <w:jc w:val="both"/>
              <w:rPr>
                <w:b/>
                <w:iCs/>
                <w:color w:val="000000" w:themeColor="text1"/>
                <w:szCs w:val="28"/>
                <w:lang w:eastAsia="lv-LV"/>
              </w:rPr>
            </w:pPr>
            <w:r w:rsidRPr="00870FD9">
              <w:rPr>
                <w:b/>
                <w:iCs/>
                <w:color w:val="000000" w:themeColor="text1"/>
                <w:szCs w:val="28"/>
                <w:lang w:eastAsia="lv-LV"/>
              </w:rPr>
              <w:t>Uzglabāšanas pakalpojuma summa bez PVN /EUR/</w:t>
            </w:r>
          </w:p>
        </w:tc>
      </w:tr>
      <w:tr w:rsidTr="0043468B">
        <w:tblPrEx>
          <w:tblW w:w="4950" w:type="pct"/>
          <w:tblInd w:w="118" w:type="dxa"/>
          <w:tblLayout w:type="fixed"/>
          <w:tblCellMar>
            <w:left w:w="10" w:type="dxa"/>
            <w:right w:w="10" w:type="dxa"/>
          </w:tblCellMar>
          <w:tblLook w:val="0000"/>
        </w:tblPrEx>
        <w:trPr>
          <w:trHeight w:val="458"/>
        </w:trPr>
        <w:tc>
          <w:tcPr>
            <w:tcW w:w="1874" w:type="dxa"/>
            <w:vMerge/>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both"/>
              <w:rPr>
                <w:iCs/>
                <w:color w:val="000000" w:themeColor="text1"/>
                <w:szCs w:val="28"/>
                <w:lang w:eastAsia="lv-LV"/>
              </w:rPr>
            </w:pPr>
          </w:p>
        </w:tc>
        <w:tc>
          <w:tcPr>
            <w:tcW w:w="3718" w:type="dxa"/>
            <w:vMerge/>
            <w:tcBorders>
              <w:top w:val="single" w:sz="4" w:space="0" w:color="000000"/>
              <w:bottom w:val="single" w:sz="8" w:space="0" w:color="000000"/>
            </w:tcBorders>
            <w:shd w:val="clear" w:color="auto" w:fill="auto"/>
            <w:tcMar>
              <w:top w:w="0" w:type="dxa"/>
              <w:left w:w="108" w:type="dxa"/>
              <w:bottom w:w="0" w:type="dxa"/>
              <w:right w:w="108" w:type="dxa"/>
            </w:tcMar>
            <w:vAlign w:val="center"/>
          </w:tcPr>
          <w:p w:rsidR="007604F1" w:rsidRPr="00870FD9" w:rsidP="0043468B">
            <w:pPr>
              <w:jc w:val="both"/>
              <w:rPr>
                <w:iCs/>
                <w:color w:val="000000" w:themeColor="text1"/>
                <w:szCs w:val="28"/>
                <w:lang w:eastAsia="lv-LV"/>
              </w:rPr>
            </w:pPr>
          </w:p>
        </w:tc>
        <w:tc>
          <w:tcPr>
            <w:tcW w:w="3378" w:type="dxa"/>
            <w:vMerge/>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7604F1" w:rsidRPr="00870FD9" w:rsidP="0043468B">
            <w:pPr>
              <w:jc w:val="both"/>
              <w:rPr>
                <w:iCs/>
                <w:color w:val="000000" w:themeColor="text1"/>
                <w:szCs w:val="28"/>
                <w:lang w:eastAsia="lv-LV"/>
              </w:rPr>
            </w:pPr>
          </w:p>
        </w:tc>
      </w:tr>
      <w:tr w:rsidTr="0043468B">
        <w:tblPrEx>
          <w:tblW w:w="4950" w:type="pct"/>
          <w:tblInd w:w="118" w:type="dxa"/>
          <w:tblLayout w:type="fixed"/>
          <w:tblCellMar>
            <w:left w:w="10" w:type="dxa"/>
            <w:right w:w="10" w:type="dxa"/>
          </w:tblCellMar>
          <w:tblLook w:val="0000"/>
        </w:tblPrEx>
        <w:trPr>
          <w:trHeight w:val="352"/>
        </w:trPr>
        <w:tc>
          <w:tcPr>
            <w:tcW w:w="1874" w:type="dxa"/>
            <w:vMerge w:val="restart"/>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2011-2012*</w:t>
            </w:r>
          </w:p>
        </w:tc>
        <w:tc>
          <w:tcPr>
            <w:tcW w:w="3718" w:type="dxa"/>
            <w:vMerge w:val="restart"/>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023A8E">
            <w:pPr>
              <w:jc w:val="center"/>
              <w:rPr>
                <w:color w:val="000000" w:themeColor="text1"/>
                <w:szCs w:val="28"/>
                <w:lang w:eastAsia="lv-LV"/>
              </w:rPr>
            </w:pPr>
            <w:r w:rsidRPr="00870FD9">
              <w:rPr>
                <w:color w:val="000000" w:themeColor="text1"/>
                <w:szCs w:val="28"/>
                <w:lang w:eastAsia="lv-LV"/>
              </w:rPr>
              <w:t>247 767</w:t>
            </w:r>
          </w:p>
        </w:tc>
        <w:tc>
          <w:tcPr>
            <w:tcW w:w="3378"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 xml:space="preserve"> €     19 879 624 </w:t>
            </w:r>
          </w:p>
        </w:tc>
      </w:tr>
      <w:tr w:rsidTr="0043468B">
        <w:tblPrEx>
          <w:tblW w:w="4950" w:type="pct"/>
          <w:tblInd w:w="118" w:type="dxa"/>
          <w:tblLayout w:type="fixed"/>
          <w:tblCellMar>
            <w:left w:w="10" w:type="dxa"/>
            <w:right w:w="10" w:type="dxa"/>
          </w:tblCellMar>
          <w:tblLook w:val="0000"/>
        </w:tblPrEx>
        <w:trPr>
          <w:trHeight w:val="458"/>
        </w:trPr>
        <w:tc>
          <w:tcPr>
            <w:tcW w:w="1874" w:type="dxa"/>
            <w:vMerge/>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p>
        </w:tc>
        <w:tc>
          <w:tcPr>
            <w:tcW w:w="3718" w:type="dxa"/>
            <w:vMerge/>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023A8E">
            <w:pPr>
              <w:jc w:val="center"/>
              <w:rPr>
                <w:color w:val="000000" w:themeColor="text1"/>
                <w:szCs w:val="28"/>
                <w:lang w:eastAsia="lv-LV"/>
              </w:rPr>
            </w:pPr>
          </w:p>
        </w:tc>
        <w:tc>
          <w:tcPr>
            <w:tcW w:w="3378"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p>
        </w:tc>
      </w:tr>
      <w:tr w:rsidTr="0043468B">
        <w:tblPrEx>
          <w:tblW w:w="4950" w:type="pct"/>
          <w:tblInd w:w="118" w:type="dxa"/>
          <w:tblLayout w:type="fixed"/>
          <w:tblCellMar>
            <w:left w:w="10" w:type="dxa"/>
            <w:right w:w="10" w:type="dxa"/>
          </w:tblCellMar>
          <w:tblLook w:val="0000"/>
        </w:tblPrEx>
        <w:trPr>
          <w:trHeight w:val="300"/>
        </w:trPr>
        <w:tc>
          <w:tcPr>
            <w:tcW w:w="1874" w:type="dxa"/>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2012-2013*</w:t>
            </w:r>
          </w:p>
        </w:tc>
        <w:tc>
          <w:tcPr>
            <w:tcW w:w="37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023A8E">
            <w:pPr>
              <w:jc w:val="center"/>
              <w:rPr>
                <w:color w:val="000000" w:themeColor="text1"/>
                <w:szCs w:val="28"/>
                <w:lang w:eastAsia="lv-LV"/>
              </w:rPr>
            </w:pPr>
            <w:r w:rsidRPr="00870FD9">
              <w:rPr>
                <w:color w:val="000000" w:themeColor="text1"/>
                <w:szCs w:val="28"/>
                <w:lang w:eastAsia="lv-LV"/>
              </w:rPr>
              <w:t>230 820</w:t>
            </w:r>
          </w:p>
        </w:tc>
        <w:tc>
          <w:tcPr>
            <w:tcW w:w="337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 xml:space="preserve"> €     21 657 702 </w:t>
            </w:r>
          </w:p>
        </w:tc>
      </w:tr>
      <w:tr w:rsidTr="0043468B">
        <w:tblPrEx>
          <w:tblW w:w="4950" w:type="pct"/>
          <w:tblInd w:w="118" w:type="dxa"/>
          <w:tblLayout w:type="fixed"/>
          <w:tblCellMar>
            <w:left w:w="10" w:type="dxa"/>
            <w:right w:w="10" w:type="dxa"/>
          </w:tblCellMar>
          <w:tblLook w:val="0000"/>
        </w:tblPrEx>
        <w:trPr>
          <w:trHeight w:val="300"/>
        </w:trPr>
        <w:tc>
          <w:tcPr>
            <w:tcW w:w="1874" w:type="dxa"/>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2013-2014**</w:t>
            </w:r>
          </w:p>
        </w:tc>
        <w:tc>
          <w:tcPr>
            <w:tcW w:w="37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023A8E">
            <w:pPr>
              <w:jc w:val="center"/>
              <w:rPr>
                <w:color w:val="000000" w:themeColor="text1"/>
                <w:szCs w:val="28"/>
                <w:lang w:eastAsia="lv-LV"/>
              </w:rPr>
            </w:pPr>
            <w:r w:rsidRPr="00870FD9">
              <w:rPr>
                <w:color w:val="000000" w:themeColor="text1"/>
                <w:szCs w:val="28"/>
                <w:lang w:eastAsia="lv-LV"/>
              </w:rPr>
              <w:t>315 990</w:t>
            </w:r>
          </w:p>
        </w:tc>
        <w:tc>
          <w:tcPr>
            <w:tcW w:w="337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 xml:space="preserve"> €     28 751 921 </w:t>
            </w:r>
          </w:p>
        </w:tc>
      </w:tr>
      <w:tr w:rsidTr="0043468B">
        <w:tblPrEx>
          <w:tblW w:w="4950" w:type="pct"/>
          <w:tblInd w:w="118" w:type="dxa"/>
          <w:tblLayout w:type="fixed"/>
          <w:tblCellMar>
            <w:left w:w="10" w:type="dxa"/>
            <w:right w:w="10" w:type="dxa"/>
          </w:tblCellMar>
          <w:tblLook w:val="0000"/>
        </w:tblPrEx>
        <w:trPr>
          <w:trHeight w:val="300"/>
        </w:trPr>
        <w:tc>
          <w:tcPr>
            <w:tcW w:w="1874" w:type="dxa"/>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2014-2015**</w:t>
            </w:r>
          </w:p>
        </w:tc>
        <w:tc>
          <w:tcPr>
            <w:tcW w:w="37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023A8E">
            <w:pPr>
              <w:jc w:val="center"/>
              <w:rPr>
                <w:color w:val="000000" w:themeColor="text1"/>
                <w:szCs w:val="28"/>
                <w:lang w:eastAsia="lv-LV"/>
              </w:rPr>
            </w:pPr>
            <w:r w:rsidRPr="00870FD9">
              <w:rPr>
                <w:color w:val="000000" w:themeColor="text1"/>
                <w:szCs w:val="28"/>
                <w:lang w:eastAsia="lv-LV"/>
              </w:rPr>
              <w:t>327 644</w:t>
            </w:r>
          </w:p>
        </w:tc>
        <w:tc>
          <w:tcPr>
            <w:tcW w:w="337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 xml:space="preserve"> €     18 595 585 </w:t>
            </w:r>
          </w:p>
        </w:tc>
      </w:tr>
      <w:tr w:rsidTr="0043468B">
        <w:tblPrEx>
          <w:tblW w:w="4950" w:type="pct"/>
          <w:tblInd w:w="118" w:type="dxa"/>
          <w:tblLayout w:type="fixed"/>
          <w:tblCellMar>
            <w:left w:w="10" w:type="dxa"/>
            <w:right w:w="10" w:type="dxa"/>
          </w:tblCellMar>
          <w:tblLook w:val="0000"/>
        </w:tblPrEx>
        <w:trPr>
          <w:trHeight w:val="300"/>
        </w:trPr>
        <w:tc>
          <w:tcPr>
            <w:tcW w:w="1874" w:type="dxa"/>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2015-2016**</w:t>
            </w:r>
          </w:p>
        </w:tc>
        <w:tc>
          <w:tcPr>
            <w:tcW w:w="37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023A8E">
            <w:pPr>
              <w:jc w:val="center"/>
              <w:rPr>
                <w:color w:val="000000" w:themeColor="text1"/>
                <w:szCs w:val="28"/>
                <w:lang w:eastAsia="lv-LV"/>
              </w:rPr>
            </w:pPr>
            <w:r w:rsidRPr="00870FD9">
              <w:rPr>
                <w:color w:val="000000" w:themeColor="text1"/>
                <w:szCs w:val="28"/>
                <w:lang w:eastAsia="lv-LV"/>
              </w:rPr>
              <w:t>328 374</w:t>
            </w:r>
          </w:p>
        </w:tc>
        <w:tc>
          <w:tcPr>
            <w:tcW w:w="337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 xml:space="preserve"> €     12 580 882 </w:t>
            </w:r>
          </w:p>
        </w:tc>
      </w:tr>
      <w:tr w:rsidTr="0043468B">
        <w:tblPrEx>
          <w:tblW w:w="4950" w:type="pct"/>
          <w:tblInd w:w="118" w:type="dxa"/>
          <w:tblLayout w:type="fixed"/>
          <w:tblCellMar>
            <w:left w:w="10" w:type="dxa"/>
            <w:right w:w="10" w:type="dxa"/>
          </w:tblCellMar>
          <w:tblLook w:val="0000"/>
        </w:tblPrEx>
        <w:trPr>
          <w:trHeight w:val="315"/>
        </w:trPr>
        <w:tc>
          <w:tcPr>
            <w:tcW w:w="1874" w:type="dxa"/>
            <w:tcBorders>
              <w:top w:val="single" w:sz="4" w:space="0" w:color="000000"/>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2016-2017***</w:t>
            </w:r>
          </w:p>
        </w:tc>
        <w:tc>
          <w:tcPr>
            <w:tcW w:w="37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023A8E">
            <w:pPr>
              <w:jc w:val="center"/>
              <w:rPr>
                <w:color w:val="000000" w:themeColor="text1"/>
                <w:szCs w:val="28"/>
                <w:lang w:eastAsia="lv-LV"/>
              </w:rPr>
            </w:pPr>
            <w:r w:rsidRPr="00870FD9">
              <w:rPr>
                <w:color w:val="000000" w:themeColor="text1"/>
                <w:szCs w:val="28"/>
                <w:lang w:eastAsia="lv-LV"/>
              </w:rPr>
              <w:t>345 638</w:t>
            </w:r>
          </w:p>
        </w:tc>
        <w:tc>
          <w:tcPr>
            <w:tcW w:w="337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both"/>
              <w:rPr>
                <w:color w:val="000000" w:themeColor="text1"/>
                <w:szCs w:val="28"/>
                <w:lang w:eastAsia="lv-LV"/>
              </w:rPr>
            </w:pPr>
            <w:r w:rsidRPr="00870FD9">
              <w:rPr>
                <w:color w:val="000000" w:themeColor="text1"/>
                <w:szCs w:val="28"/>
                <w:lang w:eastAsia="lv-LV"/>
              </w:rPr>
              <w:t xml:space="preserve"> €     11 159 876 </w:t>
            </w:r>
          </w:p>
        </w:tc>
      </w:tr>
    </w:tbl>
    <w:p w:rsidR="007604F1" w:rsidRPr="00870FD9" w:rsidP="007604F1">
      <w:pPr>
        <w:ind w:left="720" w:hanging="862"/>
        <w:jc w:val="both"/>
        <w:rPr>
          <w:color w:val="000000" w:themeColor="text1"/>
          <w:sz w:val="20"/>
          <w:szCs w:val="22"/>
          <w:lang w:eastAsia="lv-LV"/>
        </w:rPr>
      </w:pPr>
      <w:r w:rsidRPr="00870FD9">
        <w:rPr>
          <w:color w:val="000000" w:themeColor="text1"/>
          <w:szCs w:val="28"/>
          <w:lang w:eastAsia="lv-LV"/>
        </w:rPr>
        <w:t xml:space="preserve">* </w:t>
      </w:r>
      <w:r w:rsidRPr="00870FD9">
        <w:rPr>
          <w:color w:val="000000" w:themeColor="text1"/>
          <w:sz w:val="20"/>
          <w:szCs w:val="22"/>
          <w:lang w:eastAsia="lv-LV"/>
        </w:rPr>
        <w:t>saskaņā ar Direktīvas 2006/67/EK nosacījumiem;</w:t>
      </w:r>
    </w:p>
    <w:p w:rsidR="007604F1" w:rsidRPr="00870FD9" w:rsidP="007604F1">
      <w:pPr>
        <w:ind w:left="720" w:hanging="862"/>
        <w:jc w:val="both"/>
        <w:rPr>
          <w:color w:val="000000" w:themeColor="text1"/>
          <w:sz w:val="20"/>
          <w:szCs w:val="22"/>
          <w:lang w:eastAsia="lv-LV"/>
        </w:rPr>
      </w:pPr>
      <w:r w:rsidRPr="00870FD9">
        <w:rPr>
          <w:color w:val="000000" w:themeColor="text1"/>
          <w:sz w:val="20"/>
          <w:szCs w:val="22"/>
          <w:lang w:eastAsia="lv-LV"/>
        </w:rPr>
        <w:t>**saskaņā ar Direktīvas 2009/119/EK nosacījumiem;</w:t>
      </w:r>
    </w:p>
    <w:p w:rsidR="00046E7E" w:rsidRPr="00870FD9" w:rsidP="007604F1">
      <w:pPr>
        <w:ind w:left="720" w:hanging="862"/>
        <w:jc w:val="both"/>
        <w:rPr>
          <w:color w:val="000000" w:themeColor="text1"/>
          <w:sz w:val="20"/>
          <w:szCs w:val="22"/>
          <w:lang w:eastAsia="lv-LV"/>
        </w:rPr>
      </w:pPr>
      <w:r w:rsidRPr="00870FD9">
        <w:rPr>
          <w:color w:val="000000" w:themeColor="text1"/>
          <w:sz w:val="20"/>
          <w:szCs w:val="22"/>
          <w:lang w:eastAsia="lv-LV"/>
        </w:rPr>
        <w:t>2016-2017</w:t>
      </w:r>
    </w:p>
    <w:p w:rsidR="007604F1" w:rsidRPr="00870FD9" w:rsidP="007604F1">
      <w:pPr>
        <w:ind w:left="720" w:hanging="862"/>
        <w:jc w:val="both"/>
        <w:rPr>
          <w:color w:val="000000" w:themeColor="text1"/>
          <w:sz w:val="20"/>
          <w:szCs w:val="22"/>
          <w:lang w:eastAsia="lv-LV"/>
        </w:rPr>
      </w:pPr>
      <w:r w:rsidRPr="00870FD9">
        <w:rPr>
          <w:color w:val="000000" w:themeColor="text1"/>
          <w:sz w:val="20"/>
          <w:szCs w:val="22"/>
          <w:lang w:eastAsia="lv-LV"/>
        </w:rPr>
        <w:t>*** saskaņā ar Direktīvas 2009/119/EK nosacījumiem; pakalpojuma sniegšanas periods 11 mēneši un 14 dienas</w:t>
      </w:r>
    </w:p>
    <w:p w:rsidR="00BA7EDE" w:rsidRPr="00870FD9" w:rsidP="007604F1">
      <w:pPr>
        <w:ind w:left="720" w:hanging="862"/>
        <w:jc w:val="right"/>
        <w:rPr>
          <w:b/>
          <w:bCs/>
          <w:color w:val="000000" w:themeColor="text1"/>
          <w:szCs w:val="28"/>
        </w:rPr>
      </w:pPr>
    </w:p>
    <w:p w:rsidR="007604F1" w:rsidRPr="00870FD9" w:rsidP="007604F1">
      <w:pPr>
        <w:ind w:left="720" w:hanging="862"/>
        <w:jc w:val="right"/>
        <w:rPr>
          <w:b/>
          <w:bCs/>
          <w:color w:val="000000" w:themeColor="text1"/>
          <w:szCs w:val="28"/>
        </w:rPr>
      </w:pPr>
      <w:r w:rsidRPr="00870FD9">
        <w:rPr>
          <w:b/>
          <w:bCs/>
          <w:color w:val="000000" w:themeColor="text1"/>
          <w:szCs w:val="28"/>
        </w:rPr>
        <w:t xml:space="preserve">2.tabula. </w:t>
      </w:r>
    </w:p>
    <w:p w:rsidR="007604F1" w:rsidRPr="00870FD9" w:rsidP="00023A8E">
      <w:pPr>
        <w:ind w:left="720" w:hanging="862"/>
        <w:jc w:val="center"/>
        <w:rPr>
          <w:color w:val="000000" w:themeColor="text1"/>
          <w:szCs w:val="28"/>
        </w:rPr>
      </w:pPr>
      <w:r w:rsidRPr="00870FD9">
        <w:rPr>
          <w:b/>
          <w:color w:val="000000" w:themeColor="text1"/>
          <w:kern w:val="3"/>
          <w:szCs w:val="28"/>
          <w:lang w:eastAsia="lv-LV"/>
        </w:rPr>
        <w:t>Administrētā  valsts nodeva</w:t>
      </w:r>
    </w:p>
    <w:tbl>
      <w:tblPr>
        <w:tblW w:w="5000" w:type="pct"/>
        <w:tblInd w:w="-45" w:type="dxa"/>
        <w:tblLayout w:type="fixed"/>
        <w:tblCellMar>
          <w:left w:w="10" w:type="dxa"/>
          <w:right w:w="10" w:type="dxa"/>
        </w:tblCellMar>
        <w:tblLook w:val="0000"/>
      </w:tblPr>
      <w:tblGrid>
        <w:gridCol w:w="40"/>
        <w:gridCol w:w="949"/>
        <w:gridCol w:w="288"/>
        <w:gridCol w:w="880"/>
        <w:gridCol w:w="1139"/>
        <w:gridCol w:w="703"/>
        <w:gridCol w:w="1276"/>
        <w:gridCol w:w="712"/>
        <w:gridCol w:w="564"/>
        <w:gridCol w:w="1276"/>
        <w:gridCol w:w="1133"/>
        <w:gridCol w:w="81"/>
      </w:tblGrid>
      <w:tr w:rsidTr="00997D94">
        <w:tblPrEx>
          <w:tblW w:w="5000" w:type="pct"/>
          <w:tblInd w:w="-45" w:type="dxa"/>
          <w:tblLayout w:type="fixed"/>
          <w:tblCellMar>
            <w:left w:w="10" w:type="dxa"/>
            <w:right w:w="10" w:type="dxa"/>
          </w:tblCellMar>
          <w:tblLook w:val="0000"/>
        </w:tblPrEx>
        <w:trPr>
          <w:trHeight w:val="1217"/>
        </w:trPr>
        <w:tc>
          <w:tcPr>
            <w:tcW w:w="989" w:type="dxa"/>
            <w:gridSpan w:val="2"/>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046E7E" w:rsidRPr="00870FD9" w:rsidP="0043468B">
            <w:pPr>
              <w:autoSpaceDE w:val="0"/>
              <w:jc w:val="center"/>
              <w:textAlignment w:val="auto"/>
              <w:rPr>
                <w:rFonts w:eastAsia="Calibri"/>
                <w:b/>
                <w:iCs/>
                <w:color w:val="000000" w:themeColor="text1"/>
                <w:sz w:val="22"/>
                <w:szCs w:val="24"/>
              </w:rPr>
            </w:pPr>
            <w:r w:rsidRPr="00870FD9">
              <w:rPr>
                <w:rFonts w:eastAsia="Calibri"/>
                <w:b/>
                <w:iCs/>
                <w:color w:val="000000" w:themeColor="text1"/>
                <w:sz w:val="22"/>
                <w:szCs w:val="24"/>
              </w:rPr>
              <w:t>Gads</w:t>
            </w:r>
          </w:p>
        </w:tc>
        <w:tc>
          <w:tcPr>
            <w:tcW w:w="1168" w:type="dxa"/>
            <w:gridSpan w:val="2"/>
            <w:tcBorders>
              <w:top w:val="single" w:sz="12" w:space="0" w:color="000000"/>
            </w:tcBorders>
            <w:shd w:val="clear" w:color="auto" w:fill="auto"/>
            <w:tcMar>
              <w:top w:w="0" w:type="dxa"/>
              <w:left w:w="108" w:type="dxa"/>
              <w:bottom w:w="0" w:type="dxa"/>
              <w:right w:w="108" w:type="dxa"/>
            </w:tcMar>
          </w:tcPr>
          <w:p w:rsidR="00046E7E" w:rsidRPr="00870FD9" w:rsidP="0043468B">
            <w:pPr>
              <w:autoSpaceDE w:val="0"/>
              <w:jc w:val="center"/>
              <w:textAlignment w:val="auto"/>
              <w:rPr>
                <w:rFonts w:eastAsia="Calibri"/>
                <w:b/>
                <w:iCs/>
                <w:color w:val="000000" w:themeColor="text1"/>
                <w:sz w:val="20"/>
                <w:szCs w:val="22"/>
              </w:rPr>
            </w:pPr>
            <w:r w:rsidRPr="00870FD9">
              <w:rPr>
                <w:rFonts w:eastAsia="Calibri"/>
                <w:b/>
                <w:iCs/>
                <w:color w:val="000000" w:themeColor="text1"/>
                <w:sz w:val="20"/>
                <w:szCs w:val="22"/>
              </w:rPr>
              <w:t>Naftas produktu drošības rezervju apjoms /tonnas/</w:t>
            </w:r>
          </w:p>
        </w:tc>
        <w:tc>
          <w:tcPr>
            <w:tcW w:w="1842" w:type="dxa"/>
            <w:gridSpan w:val="2"/>
            <w:tcBorders>
              <w:top w:val="single" w:sz="12" w:space="0" w:color="000000"/>
              <w:left w:val="single" w:sz="6" w:space="0" w:color="000000"/>
              <w:right w:val="single" w:sz="12" w:space="0" w:color="000000"/>
            </w:tcBorders>
            <w:shd w:val="clear" w:color="auto" w:fill="auto"/>
            <w:tcMar>
              <w:top w:w="0" w:type="dxa"/>
              <w:left w:w="108" w:type="dxa"/>
              <w:bottom w:w="0" w:type="dxa"/>
              <w:right w:w="108" w:type="dxa"/>
            </w:tcMar>
          </w:tcPr>
          <w:p w:rsidR="00046E7E" w:rsidRPr="00870FD9" w:rsidP="0043468B">
            <w:pPr>
              <w:autoSpaceDE w:val="0"/>
              <w:jc w:val="center"/>
              <w:textAlignment w:val="auto"/>
              <w:rPr>
                <w:rFonts w:eastAsia="Calibri"/>
                <w:b/>
                <w:iCs/>
                <w:color w:val="000000" w:themeColor="text1"/>
                <w:sz w:val="22"/>
                <w:szCs w:val="24"/>
              </w:rPr>
            </w:pPr>
            <w:r w:rsidRPr="00870FD9">
              <w:rPr>
                <w:rFonts w:eastAsia="Calibri"/>
                <w:b/>
                <w:iCs/>
                <w:color w:val="000000" w:themeColor="text1"/>
                <w:sz w:val="22"/>
                <w:szCs w:val="24"/>
              </w:rPr>
              <w:t>Uzglabāšanas pakalpojuma summa bez PVN /EUR/</w:t>
            </w:r>
          </w:p>
        </w:tc>
        <w:tc>
          <w:tcPr>
            <w:tcW w:w="5042"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046E7E" w:rsidRPr="00870FD9" w:rsidP="0043468B">
            <w:pPr>
              <w:autoSpaceDE w:val="0"/>
              <w:jc w:val="center"/>
              <w:textAlignment w:val="auto"/>
              <w:rPr>
                <w:rFonts w:eastAsia="Calibri"/>
                <w:b/>
                <w:bCs/>
                <w:iCs/>
                <w:color w:val="000000" w:themeColor="text1"/>
                <w:sz w:val="22"/>
                <w:szCs w:val="24"/>
              </w:rPr>
            </w:pPr>
          </w:p>
          <w:p w:rsidR="00046E7E" w:rsidRPr="00870FD9" w:rsidP="0043468B">
            <w:pPr>
              <w:autoSpaceDE w:val="0"/>
              <w:jc w:val="center"/>
              <w:textAlignment w:val="auto"/>
              <w:rPr>
                <w:rFonts w:eastAsia="Calibri"/>
                <w:b/>
                <w:bCs/>
                <w:iCs/>
                <w:color w:val="000000" w:themeColor="text1"/>
                <w:sz w:val="22"/>
                <w:szCs w:val="24"/>
              </w:rPr>
            </w:pPr>
          </w:p>
          <w:p w:rsidR="00046E7E" w:rsidRPr="00870FD9" w:rsidP="0043468B">
            <w:pPr>
              <w:autoSpaceDE w:val="0"/>
              <w:jc w:val="center"/>
              <w:textAlignment w:val="auto"/>
              <w:rPr>
                <w:rFonts w:eastAsia="Calibri"/>
                <w:b/>
                <w:bCs/>
                <w:iCs/>
                <w:color w:val="000000" w:themeColor="text1"/>
                <w:sz w:val="22"/>
                <w:szCs w:val="24"/>
              </w:rPr>
            </w:pPr>
            <w:r w:rsidRPr="00870FD9">
              <w:rPr>
                <w:rFonts w:eastAsia="Calibri"/>
                <w:b/>
                <w:bCs/>
                <w:iCs/>
                <w:color w:val="000000" w:themeColor="text1"/>
                <w:sz w:val="22"/>
                <w:szCs w:val="24"/>
              </w:rPr>
              <w:t>Valsts nodevas likmes pa gadiem</w:t>
            </w:r>
          </w:p>
        </w:tc>
      </w:tr>
      <w:tr w:rsidTr="00046E7E">
        <w:tblPrEx>
          <w:tblW w:w="5000" w:type="pct"/>
          <w:tblInd w:w="-45" w:type="dxa"/>
          <w:tblLayout w:type="fixed"/>
          <w:tblCellMar>
            <w:left w:w="10" w:type="dxa"/>
            <w:right w:w="10" w:type="dxa"/>
          </w:tblCellMar>
          <w:tblLook w:val="0000"/>
        </w:tblPrEx>
        <w:trPr>
          <w:trHeight w:val="1524"/>
        </w:trPr>
        <w:tc>
          <w:tcPr>
            <w:tcW w:w="989" w:type="dxa"/>
            <w:gridSpan w:val="2"/>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b/>
                <w:iCs/>
                <w:color w:val="000000" w:themeColor="text1"/>
                <w:sz w:val="22"/>
                <w:szCs w:val="24"/>
              </w:rPr>
            </w:pPr>
          </w:p>
        </w:tc>
        <w:tc>
          <w:tcPr>
            <w:tcW w:w="1168" w:type="dxa"/>
            <w:gridSpan w:val="2"/>
            <w:tcBorders>
              <w:bottom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b/>
                <w:iCs/>
                <w:color w:val="000000" w:themeColor="text1"/>
                <w:sz w:val="22"/>
                <w:szCs w:val="24"/>
              </w:rPr>
            </w:pPr>
          </w:p>
        </w:tc>
        <w:tc>
          <w:tcPr>
            <w:tcW w:w="1842" w:type="dxa"/>
            <w:gridSpan w:val="2"/>
            <w:tcBorders>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b/>
                <w:iCs/>
                <w:color w:val="000000" w:themeColor="text1"/>
                <w:sz w:val="22"/>
                <w:szCs w:val="24"/>
              </w:rPr>
            </w:pPr>
          </w:p>
        </w:tc>
        <w:tc>
          <w:tcPr>
            <w:tcW w:w="1276"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b/>
                <w:iCs/>
                <w:color w:val="000000" w:themeColor="text1"/>
                <w:sz w:val="22"/>
                <w:szCs w:val="24"/>
              </w:rPr>
            </w:pPr>
            <w:r w:rsidRPr="00870FD9">
              <w:rPr>
                <w:rFonts w:eastAsia="Calibri"/>
                <w:b/>
                <w:iCs/>
                <w:color w:val="000000" w:themeColor="text1"/>
                <w:sz w:val="22"/>
                <w:szCs w:val="24"/>
              </w:rPr>
              <w:t>I kategorija - benzīns, aviācijas degviela</w:t>
            </w:r>
          </w:p>
        </w:tc>
        <w:tc>
          <w:tcPr>
            <w:tcW w:w="1276" w:type="dxa"/>
            <w:gridSpan w:val="2"/>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b/>
                <w:iCs/>
                <w:color w:val="000000" w:themeColor="text1"/>
                <w:sz w:val="22"/>
                <w:szCs w:val="24"/>
              </w:rPr>
            </w:pPr>
            <w:r w:rsidRPr="00870FD9">
              <w:rPr>
                <w:rFonts w:eastAsia="Calibri"/>
                <w:b/>
                <w:iCs/>
                <w:color w:val="000000" w:themeColor="text1"/>
                <w:sz w:val="22"/>
                <w:szCs w:val="24"/>
              </w:rPr>
              <w:t>I kategorija - sašķidrinātā naftas gāze</w:t>
            </w: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b/>
                <w:iCs/>
                <w:color w:val="000000" w:themeColor="text1"/>
                <w:sz w:val="22"/>
                <w:szCs w:val="24"/>
              </w:rPr>
            </w:pPr>
            <w:r w:rsidRPr="00870FD9">
              <w:rPr>
                <w:rFonts w:eastAsia="Calibri"/>
                <w:b/>
                <w:iCs/>
                <w:color w:val="000000" w:themeColor="text1"/>
                <w:sz w:val="22"/>
                <w:szCs w:val="24"/>
              </w:rPr>
              <w:t>II kategorija - dīzeļdegviela</w:t>
            </w:r>
          </w:p>
        </w:tc>
        <w:tc>
          <w:tcPr>
            <w:tcW w:w="1214" w:type="dxa"/>
            <w:gridSpan w:val="2"/>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b/>
                <w:iCs/>
                <w:color w:val="000000" w:themeColor="text1"/>
                <w:sz w:val="22"/>
                <w:szCs w:val="24"/>
              </w:rPr>
            </w:pPr>
            <w:r w:rsidRPr="00870FD9">
              <w:rPr>
                <w:rFonts w:eastAsia="Calibri"/>
                <w:b/>
                <w:iCs/>
                <w:color w:val="000000" w:themeColor="text1"/>
                <w:sz w:val="22"/>
                <w:szCs w:val="24"/>
              </w:rPr>
              <w:t>III kategorija - degvieleļļa</w:t>
            </w:r>
          </w:p>
        </w:tc>
      </w:tr>
      <w:tr w:rsidTr="00046E7E">
        <w:tblPrEx>
          <w:tblW w:w="5000" w:type="pct"/>
          <w:tblInd w:w="-45" w:type="dxa"/>
          <w:tblLayout w:type="fixed"/>
          <w:tblCellMar>
            <w:left w:w="10" w:type="dxa"/>
            <w:right w:w="10" w:type="dxa"/>
          </w:tblCellMar>
          <w:tblLook w:val="0000"/>
        </w:tblPrEx>
        <w:trPr>
          <w:trHeight w:val="290"/>
        </w:trPr>
        <w:tc>
          <w:tcPr>
            <w:tcW w:w="989" w:type="dxa"/>
            <w:gridSpan w:val="2"/>
            <w:tcBorders>
              <w:top w:val="single" w:sz="12" w:space="0" w:color="000000"/>
              <w:left w:val="single" w:sz="12"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2011-2012</w:t>
            </w:r>
          </w:p>
        </w:tc>
        <w:tc>
          <w:tcPr>
            <w:tcW w:w="1168" w:type="dxa"/>
            <w:gridSpan w:val="2"/>
            <w:tcBorders>
              <w:top w:val="single" w:sz="12" w:space="0" w:color="000000"/>
              <w:left w:val="single" w:sz="12"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247767</w:t>
            </w:r>
          </w:p>
        </w:tc>
        <w:tc>
          <w:tcPr>
            <w:tcW w:w="1842" w:type="dxa"/>
            <w:gridSpan w:val="2"/>
            <w:tcBorders>
              <w:top w:val="single" w:sz="12" w:space="0" w:color="000000"/>
              <w:lef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xml:space="preserve"> € 19 879 624 </w:t>
            </w:r>
          </w:p>
        </w:tc>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€ 0,00</w:t>
            </w:r>
          </w:p>
        </w:tc>
        <w:tc>
          <w:tcPr>
            <w:tcW w:w="1276"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p>
        </w:tc>
        <w:tc>
          <w:tcPr>
            <w:tcW w:w="127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€ 20,16</w:t>
            </w:r>
          </w:p>
        </w:tc>
        <w:tc>
          <w:tcPr>
            <w:tcW w:w="1214"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€ 34,52</w:t>
            </w:r>
          </w:p>
        </w:tc>
      </w:tr>
      <w:tr w:rsidTr="00046E7E">
        <w:tblPrEx>
          <w:tblW w:w="5000" w:type="pct"/>
          <w:tblInd w:w="-45" w:type="dxa"/>
          <w:tblLayout w:type="fixed"/>
          <w:tblCellMar>
            <w:left w:w="10" w:type="dxa"/>
            <w:right w:w="10" w:type="dxa"/>
          </w:tblCellMar>
          <w:tblLook w:val="0000"/>
        </w:tblPrEx>
        <w:trPr>
          <w:trHeight w:val="290"/>
        </w:trPr>
        <w:tc>
          <w:tcPr>
            <w:tcW w:w="989" w:type="dxa"/>
            <w:gridSpan w:val="2"/>
            <w:tcBorders>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p>
        </w:tc>
        <w:tc>
          <w:tcPr>
            <w:tcW w:w="1168" w:type="dxa"/>
            <w:gridSpan w:val="2"/>
            <w:tcBorders>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p>
        </w:tc>
        <w:tc>
          <w:tcPr>
            <w:tcW w:w="1842" w:type="dxa"/>
            <w:gridSpan w:val="2"/>
            <w:tcBorders>
              <w:left w:val="single" w:sz="6" w:space="0" w:color="000000"/>
              <w:bottom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p>
        </w:tc>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€ 24,23</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€ 17,29</w:t>
            </w:r>
          </w:p>
        </w:tc>
        <w:tc>
          <w:tcPr>
            <w:tcW w:w="121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€ 26,99</w:t>
            </w:r>
          </w:p>
        </w:tc>
      </w:tr>
      <w:tr w:rsidTr="00046E7E">
        <w:tblPrEx>
          <w:tblW w:w="5000" w:type="pct"/>
          <w:tblInd w:w="-45" w:type="dxa"/>
          <w:tblLayout w:type="fixed"/>
          <w:tblCellMar>
            <w:left w:w="10" w:type="dxa"/>
            <w:right w:w="10" w:type="dxa"/>
          </w:tblCellMar>
          <w:tblLook w:val="0000"/>
        </w:tblPrEx>
        <w:trPr>
          <w:trHeight w:val="290"/>
        </w:trPr>
        <w:tc>
          <w:tcPr>
            <w:tcW w:w="989"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2012-2013</w:t>
            </w:r>
          </w:p>
        </w:tc>
        <w:tc>
          <w:tcPr>
            <w:tcW w:w="116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230820</w:t>
            </w:r>
          </w:p>
        </w:tc>
        <w:tc>
          <w:tcPr>
            <w:tcW w:w="1842"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xml:space="preserve"> € 21 657 702 </w:t>
            </w:r>
          </w:p>
        </w:tc>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€ 26,10</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€ 22,75</w:t>
            </w:r>
          </w:p>
        </w:tc>
        <w:tc>
          <w:tcPr>
            <w:tcW w:w="121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p>
        </w:tc>
      </w:tr>
      <w:tr w:rsidTr="00046E7E">
        <w:tblPrEx>
          <w:tblW w:w="5000" w:type="pct"/>
          <w:tblInd w:w="-45" w:type="dxa"/>
          <w:tblLayout w:type="fixed"/>
          <w:tblCellMar>
            <w:left w:w="10" w:type="dxa"/>
            <w:right w:w="10" w:type="dxa"/>
          </w:tblCellMar>
          <w:tblLook w:val="0000"/>
        </w:tblPrEx>
        <w:trPr>
          <w:trHeight w:val="290"/>
        </w:trPr>
        <w:tc>
          <w:tcPr>
            <w:tcW w:w="989"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2013-2014</w:t>
            </w:r>
          </w:p>
        </w:tc>
        <w:tc>
          <w:tcPr>
            <w:tcW w:w="116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315990</w:t>
            </w:r>
          </w:p>
        </w:tc>
        <w:tc>
          <w:tcPr>
            <w:tcW w:w="1842"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xml:space="preserve"> € 28 751 921 </w:t>
            </w:r>
          </w:p>
        </w:tc>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€ 29,35</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€ 23,66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€ 21,54</w:t>
            </w:r>
          </w:p>
        </w:tc>
        <w:tc>
          <w:tcPr>
            <w:tcW w:w="121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p>
        </w:tc>
      </w:tr>
      <w:tr w:rsidTr="00046E7E">
        <w:tblPrEx>
          <w:tblW w:w="5000" w:type="pct"/>
          <w:tblInd w:w="-45" w:type="dxa"/>
          <w:tblLayout w:type="fixed"/>
          <w:tblCellMar>
            <w:left w:w="10" w:type="dxa"/>
            <w:right w:w="10" w:type="dxa"/>
          </w:tblCellMar>
          <w:tblLook w:val="0000"/>
        </w:tblPrEx>
        <w:trPr>
          <w:trHeight w:val="290"/>
        </w:trPr>
        <w:tc>
          <w:tcPr>
            <w:tcW w:w="989"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2014-2015</w:t>
            </w:r>
          </w:p>
        </w:tc>
        <w:tc>
          <w:tcPr>
            <w:tcW w:w="116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327644</w:t>
            </w:r>
          </w:p>
        </w:tc>
        <w:tc>
          <w:tcPr>
            <w:tcW w:w="1842"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xml:space="preserve"> €18 595 585 </w:t>
            </w:r>
          </w:p>
        </w:tc>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€ 15,67</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€ 15,67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€ 15,67</w:t>
            </w:r>
          </w:p>
        </w:tc>
        <w:tc>
          <w:tcPr>
            <w:tcW w:w="121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€ 15,67</w:t>
            </w:r>
          </w:p>
        </w:tc>
      </w:tr>
      <w:tr w:rsidTr="00046E7E">
        <w:tblPrEx>
          <w:tblW w:w="5000" w:type="pct"/>
          <w:tblInd w:w="-45" w:type="dxa"/>
          <w:tblLayout w:type="fixed"/>
          <w:tblCellMar>
            <w:left w:w="10" w:type="dxa"/>
            <w:right w:w="10" w:type="dxa"/>
          </w:tblCellMar>
          <w:tblLook w:val="0000"/>
        </w:tblPrEx>
        <w:trPr>
          <w:trHeight w:val="290"/>
        </w:trPr>
        <w:tc>
          <w:tcPr>
            <w:tcW w:w="989" w:type="dxa"/>
            <w:gridSpan w:val="2"/>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2015-2016</w:t>
            </w:r>
          </w:p>
        </w:tc>
        <w:tc>
          <w:tcPr>
            <w:tcW w:w="116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328374</w:t>
            </w:r>
          </w:p>
        </w:tc>
        <w:tc>
          <w:tcPr>
            <w:tcW w:w="1842"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xml:space="preserve"> € 12 580 882 </w:t>
            </w:r>
          </w:p>
        </w:tc>
        <w:tc>
          <w:tcPr>
            <w:tcW w:w="1276"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€ 11,36</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€ 11,36</w:t>
            </w:r>
          </w:p>
        </w:tc>
        <w:tc>
          <w:tcPr>
            <w:tcW w:w="1276" w:type="dxa"/>
            <w:tcBorders>
              <w:top w:val="single" w:sz="6" w:space="0" w:color="000000"/>
              <w:bottom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€ 11,36</w:t>
            </w:r>
          </w:p>
        </w:tc>
        <w:tc>
          <w:tcPr>
            <w:tcW w:w="121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€ 11,36</w:t>
            </w:r>
          </w:p>
        </w:tc>
      </w:tr>
      <w:tr w:rsidTr="00046E7E">
        <w:tblPrEx>
          <w:tblW w:w="5000" w:type="pct"/>
          <w:tblInd w:w="-45" w:type="dxa"/>
          <w:tblLayout w:type="fixed"/>
          <w:tblCellMar>
            <w:left w:w="10" w:type="dxa"/>
            <w:right w:w="10" w:type="dxa"/>
          </w:tblCellMar>
          <w:tblLook w:val="0000"/>
        </w:tblPrEx>
        <w:trPr>
          <w:trHeight w:val="305"/>
        </w:trPr>
        <w:tc>
          <w:tcPr>
            <w:tcW w:w="989" w:type="dxa"/>
            <w:gridSpan w:val="2"/>
            <w:tcBorders>
              <w:top w:val="single" w:sz="6"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2016-2017*</w:t>
            </w:r>
          </w:p>
        </w:tc>
        <w:tc>
          <w:tcPr>
            <w:tcW w:w="1168" w:type="dxa"/>
            <w:gridSpan w:val="2"/>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345638</w:t>
            </w:r>
          </w:p>
        </w:tc>
        <w:tc>
          <w:tcPr>
            <w:tcW w:w="1842" w:type="dxa"/>
            <w:gridSpan w:val="2"/>
            <w:tcBorders>
              <w:top w:val="single" w:sz="6" w:space="0" w:color="000000"/>
              <w:left w:val="single" w:sz="6" w:space="0" w:color="000000"/>
              <w:bottom w:val="single" w:sz="4"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xml:space="preserve"> €      11 159 876 </w:t>
            </w:r>
          </w:p>
        </w:tc>
        <w:tc>
          <w:tcPr>
            <w:tcW w:w="1276" w:type="dxa"/>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€ 9,60</w:t>
            </w:r>
          </w:p>
        </w:tc>
        <w:tc>
          <w:tcPr>
            <w:tcW w:w="1276"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€ 9,60</w:t>
            </w: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€ 9,60</w:t>
            </w:r>
          </w:p>
        </w:tc>
        <w:tc>
          <w:tcPr>
            <w:tcW w:w="1214"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rsidR="007604F1" w:rsidRPr="00870FD9" w:rsidP="0043468B">
            <w:pPr>
              <w:autoSpaceDE w:val="0"/>
              <w:jc w:val="center"/>
              <w:textAlignment w:val="auto"/>
              <w:rPr>
                <w:rFonts w:eastAsia="Calibri"/>
                <w:color w:val="000000" w:themeColor="text1"/>
                <w:sz w:val="22"/>
                <w:szCs w:val="24"/>
              </w:rPr>
            </w:pPr>
            <w:r w:rsidRPr="00870FD9">
              <w:rPr>
                <w:rFonts w:eastAsia="Calibri"/>
                <w:color w:val="000000" w:themeColor="text1"/>
                <w:sz w:val="22"/>
                <w:szCs w:val="24"/>
              </w:rPr>
              <w:t>€ 9,60</w:t>
            </w:r>
          </w:p>
        </w:tc>
      </w:tr>
      <w:tr w:rsidTr="00BA7EDE">
        <w:tblPrEx>
          <w:tblW w:w="5000" w:type="pct"/>
          <w:tblInd w:w="-45" w:type="dxa"/>
          <w:tblLayout w:type="fixed"/>
          <w:tblCellMar>
            <w:left w:w="10" w:type="dxa"/>
            <w:right w:w="10" w:type="dxa"/>
          </w:tblCellMar>
          <w:tblLook w:val="0000"/>
        </w:tblPrEx>
        <w:trPr>
          <w:trHeight w:val="290"/>
        </w:trPr>
        <w:tc>
          <w:tcPr>
            <w:tcW w:w="5275" w:type="dxa"/>
            <w:gridSpan w:val="7"/>
            <w:tcBorders>
              <w:top w:val="single" w:sz="4" w:space="0" w:color="000000"/>
            </w:tcBorders>
            <w:shd w:val="clear" w:color="auto" w:fill="auto"/>
            <w:tcMar>
              <w:top w:w="0" w:type="dxa"/>
              <w:left w:w="108" w:type="dxa"/>
              <w:bottom w:w="0" w:type="dxa"/>
              <w:right w:w="108" w:type="dxa"/>
            </w:tcMar>
          </w:tcPr>
          <w:p w:rsidR="007604F1" w:rsidRPr="00870FD9" w:rsidP="0043468B">
            <w:pPr>
              <w:autoSpaceDE w:val="0"/>
              <w:textAlignment w:val="auto"/>
              <w:rPr>
                <w:rFonts w:eastAsia="Calibri"/>
                <w:color w:val="000000" w:themeColor="text1"/>
                <w:sz w:val="22"/>
                <w:szCs w:val="24"/>
              </w:rPr>
            </w:pPr>
            <w:r w:rsidRPr="00870FD9">
              <w:rPr>
                <w:rFonts w:eastAsia="Calibri"/>
                <w:color w:val="000000" w:themeColor="text1"/>
                <w:sz w:val="22"/>
                <w:szCs w:val="24"/>
              </w:rPr>
              <w:t>* 2016/2017 - laika posms 11 mēneši un 14 dienas</w:t>
            </w:r>
          </w:p>
        </w:tc>
        <w:tc>
          <w:tcPr>
            <w:tcW w:w="1276" w:type="dxa"/>
            <w:gridSpan w:val="2"/>
            <w:tcBorders>
              <w:top w:val="single" w:sz="4" w:space="0" w:color="000000"/>
            </w:tcBorders>
            <w:shd w:val="clear" w:color="auto" w:fill="auto"/>
            <w:tcMar>
              <w:top w:w="0" w:type="dxa"/>
              <w:left w:w="108" w:type="dxa"/>
              <w:bottom w:w="0" w:type="dxa"/>
              <w:right w:w="108" w:type="dxa"/>
            </w:tcMar>
          </w:tcPr>
          <w:p w:rsidR="007604F1" w:rsidRPr="00870FD9" w:rsidP="0043468B">
            <w:pPr>
              <w:autoSpaceDE w:val="0"/>
              <w:textAlignment w:val="auto"/>
              <w:rPr>
                <w:rFonts w:eastAsia="Calibri"/>
                <w:color w:val="000000" w:themeColor="text1"/>
                <w:sz w:val="22"/>
                <w:szCs w:val="24"/>
              </w:rPr>
            </w:pPr>
          </w:p>
        </w:tc>
        <w:tc>
          <w:tcPr>
            <w:tcW w:w="1276" w:type="dxa"/>
            <w:tcBorders>
              <w:top w:val="single" w:sz="4" w:space="0" w:color="000000"/>
            </w:tcBorders>
            <w:shd w:val="clear" w:color="auto" w:fill="auto"/>
            <w:tcMar>
              <w:top w:w="0" w:type="dxa"/>
              <w:left w:w="108" w:type="dxa"/>
              <w:bottom w:w="0" w:type="dxa"/>
              <w:right w:w="108" w:type="dxa"/>
            </w:tcMar>
          </w:tcPr>
          <w:p w:rsidR="007604F1" w:rsidRPr="00870FD9" w:rsidP="0043468B">
            <w:pPr>
              <w:autoSpaceDE w:val="0"/>
              <w:textAlignment w:val="auto"/>
              <w:rPr>
                <w:rFonts w:eastAsia="Calibri"/>
                <w:color w:val="000000" w:themeColor="text1"/>
                <w:sz w:val="22"/>
                <w:szCs w:val="24"/>
              </w:rPr>
            </w:pPr>
          </w:p>
        </w:tc>
        <w:tc>
          <w:tcPr>
            <w:tcW w:w="1214" w:type="dxa"/>
            <w:gridSpan w:val="2"/>
            <w:tcBorders>
              <w:top w:val="single" w:sz="4" w:space="0" w:color="000000"/>
            </w:tcBorders>
            <w:shd w:val="clear" w:color="auto" w:fill="auto"/>
            <w:tcMar>
              <w:top w:w="0" w:type="dxa"/>
              <w:left w:w="108" w:type="dxa"/>
              <w:bottom w:w="0" w:type="dxa"/>
              <w:right w:w="108" w:type="dxa"/>
            </w:tcMar>
          </w:tcPr>
          <w:p w:rsidR="007604F1" w:rsidRPr="00870FD9" w:rsidP="0043468B">
            <w:pPr>
              <w:autoSpaceDE w:val="0"/>
              <w:textAlignment w:val="auto"/>
              <w:rPr>
                <w:rFonts w:eastAsia="Calibri"/>
                <w:color w:val="000000" w:themeColor="text1"/>
                <w:sz w:val="22"/>
                <w:szCs w:val="24"/>
              </w:rPr>
            </w:pPr>
          </w:p>
        </w:tc>
      </w:tr>
      <w:tr w:rsidTr="00BA7EDE">
        <w:tblPrEx>
          <w:tblW w:w="5000" w:type="pct"/>
          <w:tblInd w:w="-45" w:type="dxa"/>
          <w:tblLayout w:type="fixed"/>
          <w:tblCellMar>
            <w:left w:w="10" w:type="dxa"/>
            <w:right w:w="10" w:type="dxa"/>
          </w:tblCellMar>
          <w:tblLook w:val="0000"/>
        </w:tblPrEx>
        <w:trPr>
          <w:trHeight w:val="300"/>
        </w:trPr>
        <w:tc>
          <w:tcPr>
            <w:tcW w:w="40" w:type="dxa"/>
          </w:tcPr>
          <w:p w:rsidR="007604F1" w:rsidRPr="00870FD9" w:rsidP="0043468B">
            <w:pPr>
              <w:ind w:left="720" w:right="-105" w:hanging="862"/>
              <w:jc w:val="right"/>
              <w:rPr>
                <w:b/>
                <w:bCs/>
                <w:color w:val="000000" w:themeColor="text1"/>
                <w:sz w:val="22"/>
                <w:szCs w:val="24"/>
              </w:rPr>
            </w:pPr>
            <w:r w:rsidRPr="00870FD9">
              <w:rPr>
                <w:color w:val="000000" w:themeColor="text1"/>
                <w:sz w:val="22"/>
                <w:szCs w:val="24"/>
              </w:rPr>
              <w:br w:type="page"/>
            </w:r>
          </w:p>
        </w:tc>
        <w:tc>
          <w:tcPr>
            <w:tcW w:w="8920" w:type="dxa"/>
            <w:gridSpan w:val="10"/>
            <w:tcBorders>
              <w:bottom w:val="single" w:sz="4" w:space="0" w:color="000000"/>
            </w:tcBorders>
            <w:shd w:val="clear" w:color="auto" w:fill="auto"/>
            <w:noWrap/>
            <w:tcMar>
              <w:top w:w="0" w:type="dxa"/>
              <w:left w:w="108" w:type="dxa"/>
              <w:bottom w:w="0" w:type="dxa"/>
              <w:right w:w="108" w:type="dxa"/>
            </w:tcMar>
            <w:vAlign w:val="center"/>
          </w:tcPr>
          <w:p w:rsidR="007604F1" w:rsidRPr="00870FD9" w:rsidP="0043468B">
            <w:pPr>
              <w:ind w:left="720" w:right="-105" w:hanging="862"/>
              <w:jc w:val="right"/>
              <w:rPr>
                <w:b/>
                <w:bCs/>
                <w:color w:val="000000" w:themeColor="text1"/>
                <w:sz w:val="22"/>
                <w:szCs w:val="24"/>
              </w:rPr>
            </w:pPr>
            <w:r w:rsidRPr="00870FD9">
              <w:rPr>
                <w:b/>
                <w:bCs/>
                <w:color w:val="000000" w:themeColor="text1"/>
                <w:sz w:val="22"/>
                <w:szCs w:val="24"/>
              </w:rPr>
              <w:t xml:space="preserve">3.tabula. </w:t>
            </w:r>
          </w:p>
          <w:p w:rsidR="007604F1" w:rsidRPr="00870FD9" w:rsidP="0043468B">
            <w:pPr>
              <w:autoSpaceDE w:val="0"/>
              <w:ind w:right="-105"/>
              <w:jc w:val="right"/>
              <w:textAlignment w:val="auto"/>
              <w:rPr>
                <w:color w:val="000000" w:themeColor="text1"/>
                <w:sz w:val="22"/>
                <w:szCs w:val="24"/>
              </w:rPr>
            </w:pPr>
            <w:r w:rsidRPr="00870FD9">
              <w:rPr>
                <w:b/>
                <w:color w:val="000000" w:themeColor="text1"/>
                <w:kern w:val="3"/>
                <w:sz w:val="22"/>
                <w:szCs w:val="24"/>
                <w:lang w:eastAsia="lv-LV"/>
              </w:rPr>
              <w:t>Samaksātā un iekasētā valsts nodeva</w:t>
            </w:r>
          </w:p>
          <w:p w:rsidR="007604F1" w:rsidRPr="00870FD9" w:rsidP="0043468B">
            <w:pPr>
              <w:jc w:val="center"/>
              <w:textAlignment w:val="auto"/>
              <w:rPr>
                <w:b/>
                <w:iCs/>
                <w:color w:val="000000" w:themeColor="text1"/>
                <w:sz w:val="22"/>
                <w:szCs w:val="24"/>
                <w:lang w:eastAsia="lv-LV"/>
              </w:rPr>
            </w:pPr>
          </w:p>
        </w:tc>
        <w:tc>
          <w:tcPr>
            <w:tcW w:w="81" w:type="dxa"/>
          </w:tcPr>
          <w:p w:rsidR="007604F1" w:rsidRPr="00870FD9" w:rsidP="0043468B">
            <w:pPr>
              <w:jc w:val="center"/>
              <w:textAlignment w:val="auto"/>
              <w:rPr>
                <w:b/>
                <w:iCs/>
                <w:color w:val="000000" w:themeColor="text1"/>
                <w:sz w:val="22"/>
                <w:szCs w:val="24"/>
                <w:lang w:eastAsia="lv-LV"/>
              </w:rPr>
            </w:pPr>
          </w:p>
        </w:tc>
      </w:tr>
      <w:tr w:rsidTr="00BA7EDE">
        <w:tblPrEx>
          <w:tblW w:w="5000" w:type="pct"/>
          <w:tblInd w:w="-45" w:type="dxa"/>
          <w:tblLayout w:type="fixed"/>
          <w:tblCellMar>
            <w:left w:w="10" w:type="dxa"/>
            <w:right w:w="10" w:type="dxa"/>
          </w:tblCellMar>
          <w:tblLook w:val="0000"/>
        </w:tblPrEx>
        <w:trPr>
          <w:trHeight w:val="300"/>
        </w:trPr>
        <w:tc>
          <w:tcPr>
            <w:tcW w:w="40" w:type="dxa"/>
          </w:tcPr>
          <w:p w:rsidR="007604F1" w:rsidRPr="00870FD9" w:rsidP="0043468B">
            <w:pPr>
              <w:jc w:val="center"/>
              <w:textAlignment w:val="auto"/>
              <w:rPr>
                <w:b/>
                <w:iCs/>
                <w:color w:val="000000" w:themeColor="text1"/>
                <w:sz w:val="22"/>
                <w:szCs w:val="24"/>
                <w:lang w:eastAsia="lv-LV"/>
              </w:rPr>
            </w:pPr>
          </w:p>
        </w:tc>
        <w:tc>
          <w:tcPr>
            <w:tcW w:w="1237" w:type="dxa"/>
            <w:gridSpan w:val="2"/>
            <w:vMerge w:val="restart"/>
            <w:tcBorders>
              <w:top w:val="single" w:sz="4"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b/>
                <w:iCs/>
                <w:color w:val="000000" w:themeColor="text1"/>
                <w:sz w:val="22"/>
                <w:szCs w:val="24"/>
                <w:lang w:eastAsia="lv-LV"/>
              </w:rPr>
            </w:pPr>
            <w:r w:rsidRPr="00870FD9">
              <w:rPr>
                <w:b/>
                <w:iCs/>
                <w:color w:val="000000" w:themeColor="text1"/>
                <w:sz w:val="22"/>
                <w:szCs w:val="24"/>
                <w:lang w:eastAsia="lv-LV"/>
              </w:rPr>
              <w:t>Gads</w:t>
            </w:r>
          </w:p>
        </w:tc>
        <w:tc>
          <w:tcPr>
            <w:tcW w:w="2019" w:type="dxa"/>
            <w:gridSpan w:val="2"/>
            <w:vMerge w:val="restart"/>
            <w:tcBorders>
              <w:top w:val="single" w:sz="4" w:space="0" w:color="000000"/>
              <w:bottom w:val="single" w:sz="8" w:space="0" w:color="000000"/>
            </w:tcBorders>
            <w:shd w:val="clear" w:color="auto" w:fill="auto"/>
            <w:tcMar>
              <w:top w:w="0" w:type="dxa"/>
              <w:left w:w="108" w:type="dxa"/>
              <w:bottom w:w="0" w:type="dxa"/>
              <w:right w:w="108" w:type="dxa"/>
            </w:tcMar>
            <w:vAlign w:val="center"/>
          </w:tcPr>
          <w:p w:rsidR="007604F1" w:rsidRPr="00870FD9" w:rsidP="0043468B">
            <w:pPr>
              <w:jc w:val="center"/>
              <w:textAlignment w:val="auto"/>
              <w:rPr>
                <w:b/>
                <w:iCs/>
                <w:color w:val="000000" w:themeColor="text1"/>
                <w:sz w:val="22"/>
                <w:szCs w:val="24"/>
                <w:lang w:eastAsia="lv-LV"/>
              </w:rPr>
            </w:pPr>
            <w:r w:rsidRPr="00870FD9">
              <w:rPr>
                <w:b/>
                <w:iCs/>
                <w:color w:val="000000" w:themeColor="text1"/>
                <w:sz w:val="22"/>
                <w:szCs w:val="24"/>
                <w:lang w:eastAsia="lv-LV"/>
              </w:rPr>
              <w:t>Naftas produktu drošības rezervju apjoms /tonnas/</w:t>
            </w:r>
          </w:p>
        </w:tc>
        <w:tc>
          <w:tcPr>
            <w:tcW w:w="2691" w:type="dxa"/>
            <w:gridSpan w:val="3"/>
            <w:vMerge w:val="restart"/>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04F1" w:rsidRPr="00870FD9" w:rsidP="0043468B">
            <w:pPr>
              <w:jc w:val="center"/>
              <w:textAlignment w:val="auto"/>
              <w:rPr>
                <w:b/>
                <w:iCs/>
                <w:color w:val="000000" w:themeColor="text1"/>
                <w:sz w:val="22"/>
                <w:szCs w:val="24"/>
                <w:lang w:eastAsia="lv-LV"/>
              </w:rPr>
            </w:pPr>
            <w:r w:rsidRPr="00870FD9">
              <w:rPr>
                <w:b/>
                <w:iCs/>
                <w:color w:val="000000" w:themeColor="text1"/>
                <w:sz w:val="22"/>
                <w:szCs w:val="24"/>
                <w:lang w:eastAsia="lv-LV"/>
              </w:rPr>
              <w:t>Uzglabāšanas pakalpojuma summa bez PVN /EUR/</w:t>
            </w:r>
          </w:p>
        </w:tc>
        <w:tc>
          <w:tcPr>
            <w:tcW w:w="2973" w:type="dxa"/>
            <w:gridSpan w:val="3"/>
            <w:vMerge w:val="restart"/>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04F1" w:rsidRPr="00870FD9" w:rsidP="0043468B">
            <w:pPr>
              <w:jc w:val="center"/>
              <w:textAlignment w:val="auto"/>
              <w:rPr>
                <w:b/>
                <w:iCs/>
                <w:color w:val="000000" w:themeColor="text1"/>
                <w:sz w:val="22"/>
                <w:szCs w:val="24"/>
                <w:lang w:eastAsia="lv-LV"/>
              </w:rPr>
            </w:pPr>
            <w:r w:rsidRPr="00870FD9">
              <w:rPr>
                <w:b/>
                <w:iCs/>
                <w:color w:val="000000" w:themeColor="text1"/>
                <w:sz w:val="22"/>
                <w:szCs w:val="24"/>
                <w:lang w:eastAsia="lv-LV"/>
              </w:rPr>
              <w:t xml:space="preserve">Valsts nodevas </w:t>
            </w:r>
            <w:r w:rsidRPr="00870FD9">
              <w:rPr>
                <w:b/>
                <w:iCs/>
                <w:color w:val="000000" w:themeColor="text1"/>
                <w:sz w:val="22"/>
                <w:szCs w:val="24"/>
                <w:lang w:eastAsia="lv-LV"/>
              </w:rPr>
              <w:t>iekasējamība</w:t>
            </w:r>
            <w:r w:rsidRPr="00870FD9">
              <w:rPr>
                <w:b/>
                <w:iCs/>
                <w:color w:val="000000" w:themeColor="text1"/>
                <w:sz w:val="22"/>
                <w:szCs w:val="24"/>
                <w:lang w:eastAsia="lv-LV"/>
              </w:rPr>
              <w:t xml:space="preserve"> bez PVN /EUR/</w:t>
            </w:r>
          </w:p>
        </w:tc>
        <w:tc>
          <w:tcPr>
            <w:tcW w:w="81" w:type="dxa"/>
          </w:tcPr>
          <w:p w:rsidR="007604F1" w:rsidRPr="00870FD9" w:rsidP="0043468B">
            <w:pPr>
              <w:jc w:val="center"/>
              <w:textAlignment w:val="auto"/>
              <w:rPr>
                <w:b/>
                <w:iCs/>
                <w:color w:val="000000" w:themeColor="text1"/>
                <w:sz w:val="22"/>
                <w:szCs w:val="24"/>
                <w:lang w:eastAsia="lv-LV"/>
              </w:rPr>
            </w:pPr>
          </w:p>
        </w:tc>
      </w:tr>
      <w:tr w:rsidTr="00BA7EDE">
        <w:tblPrEx>
          <w:tblW w:w="5000" w:type="pct"/>
          <w:tblInd w:w="-45" w:type="dxa"/>
          <w:tblLayout w:type="fixed"/>
          <w:tblCellMar>
            <w:left w:w="10" w:type="dxa"/>
            <w:right w:w="10" w:type="dxa"/>
          </w:tblCellMar>
          <w:tblLook w:val="0000"/>
        </w:tblPrEx>
        <w:trPr>
          <w:trHeight w:val="1635"/>
        </w:trPr>
        <w:tc>
          <w:tcPr>
            <w:tcW w:w="40" w:type="dxa"/>
          </w:tcPr>
          <w:p w:rsidR="007604F1" w:rsidRPr="00870FD9" w:rsidP="0043468B">
            <w:pPr>
              <w:textAlignment w:val="auto"/>
              <w:rPr>
                <w:i/>
                <w:iCs/>
                <w:color w:val="000000" w:themeColor="text1"/>
                <w:sz w:val="22"/>
                <w:szCs w:val="24"/>
                <w:lang w:eastAsia="lv-LV"/>
              </w:rPr>
            </w:pPr>
          </w:p>
        </w:tc>
        <w:tc>
          <w:tcPr>
            <w:tcW w:w="1237" w:type="dxa"/>
            <w:gridSpan w:val="2"/>
            <w:vMerge/>
            <w:tcBorders>
              <w:top w:val="single" w:sz="4"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textAlignment w:val="auto"/>
              <w:rPr>
                <w:i/>
                <w:iCs/>
                <w:color w:val="000000" w:themeColor="text1"/>
                <w:sz w:val="22"/>
                <w:szCs w:val="24"/>
                <w:lang w:eastAsia="lv-LV"/>
              </w:rPr>
            </w:pPr>
          </w:p>
        </w:tc>
        <w:tc>
          <w:tcPr>
            <w:tcW w:w="2019" w:type="dxa"/>
            <w:gridSpan w:val="2"/>
            <w:vMerge/>
            <w:tcBorders>
              <w:top w:val="single" w:sz="4" w:space="0" w:color="000000"/>
              <w:bottom w:val="single" w:sz="8" w:space="0" w:color="000000"/>
            </w:tcBorders>
            <w:shd w:val="clear" w:color="auto" w:fill="auto"/>
            <w:tcMar>
              <w:top w:w="0" w:type="dxa"/>
              <w:left w:w="108" w:type="dxa"/>
              <w:bottom w:w="0" w:type="dxa"/>
              <w:right w:w="108" w:type="dxa"/>
            </w:tcMar>
            <w:vAlign w:val="center"/>
          </w:tcPr>
          <w:p w:rsidR="007604F1" w:rsidRPr="00870FD9" w:rsidP="0043468B">
            <w:pPr>
              <w:textAlignment w:val="auto"/>
              <w:rPr>
                <w:i/>
                <w:iCs/>
                <w:color w:val="000000" w:themeColor="text1"/>
                <w:sz w:val="22"/>
                <w:szCs w:val="24"/>
                <w:lang w:eastAsia="lv-LV"/>
              </w:rPr>
            </w:pPr>
          </w:p>
        </w:tc>
        <w:tc>
          <w:tcPr>
            <w:tcW w:w="2691" w:type="dxa"/>
            <w:gridSpan w:val="3"/>
            <w:vMerge/>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04F1" w:rsidRPr="00870FD9" w:rsidP="0043468B">
            <w:pPr>
              <w:textAlignment w:val="auto"/>
              <w:rPr>
                <w:i/>
                <w:iCs/>
                <w:color w:val="000000" w:themeColor="text1"/>
                <w:sz w:val="22"/>
                <w:szCs w:val="24"/>
                <w:lang w:eastAsia="lv-LV"/>
              </w:rPr>
            </w:pPr>
          </w:p>
        </w:tc>
        <w:tc>
          <w:tcPr>
            <w:tcW w:w="2973" w:type="dxa"/>
            <w:gridSpan w:val="3"/>
            <w:vMerge/>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04F1" w:rsidRPr="00870FD9" w:rsidP="0043468B">
            <w:pPr>
              <w:textAlignment w:val="auto"/>
              <w:rPr>
                <w:i/>
                <w:iCs/>
                <w:color w:val="000000" w:themeColor="text1"/>
                <w:sz w:val="22"/>
                <w:szCs w:val="24"/>
                <w:lang w:eastAsia="lv-LV"/>
              </w:rPr>
            </w:pPr>
          </w:p>
        </w:tc>
        <w:tc>
          <w:tcPr>
            <w:tcW w:w="81" w:type="dxa"/>
          </w:tcPr>
          <w:p w:rsidR="007604F1" w:rsidRPr="00870FD9" w:rsidP="0043468B">
            <w:pPr>
              <w:textAlignment w:val="auto"/>
              <w:rPr>
                <w:i/>
                <w:iCs/>
                <w:color w:val="000000" w:themeColor="text1"/>
                <w:sz w:val="22"/>
                <w:szCs w:val="24"/>
                <w:lang w:eastAsia="lv-LV"/>
              </w:rPr>
            </w:pPr>
          </w:p>
        </w:tc>
      </w:tr>
      <w:tr w:rsidTr="00BA7EDE">
        <w:tblPrEx>
          <w:tblW w:w="5000" w:type="pct"/>
          <w:tblInd w:w="-45" w:type="dxa"/>
          <w:tblLayout w:type="fixed"/>
          <w:tblCellMar>
            <w:left w:w="10" w:type="dxa"/>
            <w:right w:w="10" w:type="dxa"/>
          </w:tblCellMar>
          <w:tblLook w:val="0000"/>
        </w:tblPrEx>
        <w:trPr>
          <w:trHeight w:val="300"/>
        </w:trPr>
        <w:tc>
          <w:tcPr>
            <w:tcW w:w="40" w:type="dxa"/>
          </w:tcPr>
          <w:p w:rsidR="007604F1" w:rsidRPr="00870FD9" w:rsidP="0043468B">
            <w:pPr>
              <w:jc w:val="center"/>
              <w:textAlignment w:val="auto"/>
              <w:rPr>
                <w:color w:val="000000" w:themeColor="text1"/>
                <w:sz w:val="22"/>
                <w:szCs w:val="24"/>
                <w:lang w:eastAsia="lv-LV"/>
              </w:rPr>
            </w:pPr>
          </w:p>
        </w:tc>
        <w:tc>
          <w:tcPr>
            <w:tcW w:w="1237" w:type="dxa"/>
            <w:gridSpan w:val="2"/>
            <w:vMerge w:val="restart"/>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2011-2012</w:t>
            </w:r>
          </w:p>
        </w:tc>
        <w:tc>
          <w:tcPr>
            <w:tcW w:w="2019" w:type="dxa"/>
            <w:gridSpan w:val="2"/>
            <w:vMerge w:val="restart"/>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247767</w:t>
            </w:r>
          </w:p>
        </w:tc>
        <w:tc>
          <w:tcPr>
            <w:tcW w:w="2691" w:type="dxa"/>
            <w:gridSpan w:val="3"/>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19 879 624 </w:t>
            </w:r>
          </w:p>
        </w:tc>
        <w:tc>
          <w:tcPr>
            <w:tcW w:w="2973" w:type="dxa"/>
            <w:gridSpan w:val="3"/>
            <w:vMerge w:val="restart"/>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16 428 458 </w:t>
            </w:r>
          </w:p>
        </w:tc>
        <w:tc>
          <w:tcPr>
            <w:tcW w:w="81" w:type="dxa"/>
          </w:tcPr>
          <w:p w:rsidR="007604F1" w:rsidRPr="00870FD9" w:rsidP="0043468B">
            <w:pPr>
              <w:jc w:val="center"/>
              <w:textAlignment w:val="auto"/>
              <w:rPr>
                <w:color w:val="000000" w:themeColor="text1"/>
                <w:sz w:val="22"/>
                <w:szCs w:val="24"/>
                <w:lang w:eastAsia="lv-LV"/>
              </w:rPr>
            </w:pPr>
          </w:p>
        </w:tc>
      </w:tr>
      <w:tr w:rsidTr="00BA7EDE">
        <w:tblPrEx>
          <w:tblW w:w="5000" w:type="pct"/>
          <w:tblInd w:w="-45" w:type="dxa"/>
          <w:tblLayout w:type="fixed"/>
          <w:tblCellMar>
            <w:left w:w="10" w:type="dxa"/>
            <w:right w:w="10" w:type="dxa"/>
          </w:tblCellMar>
          <w:tblLook w:val="0000"/>
        </w:tblPrEx>
        <w:trPr>
          <w:trHeight w:val="458"/>
        </w:trPr>
        <w:tc>
          <w:tcPr>
            <w:tcW w:w="40" w:type="dxa"/>
          </w:tcPr>
          <w:p w:rsidR="007604F1" w:rsidRPr="00870FD9" w:rsidP="0043468B">
            <w:pPr>
              <w:textAlignment w:val="auto"/>
              <w:rPr>
                <w:color w:val="000000" w:themeColor="text1"/>
                <w:sz w:val="22"/>
                <w:szCs w:val="24"/>
                <w:lang w:eastAsia="lv-LV"/>
              </w:rPr>
            </w:pPr>
          </w:p>
        </w:tc>
        <w:tc>
          <w:tcPr>
            <w:tcW w:w="1237" w:type="dxa"/>
            <w:gridSpan w:val="2"/>
            <w:vMerge/>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textAlignment w:val="auto"/>
              <w:rPr>
                <w:color w:val="000000" w:themeColor="text1"/>
                <w:sz w:val="22"/>
                <w:szCs w:val="24"/>
                <w:lang w:eastAsia="lv-LV"/>
              </w:rPr>
            </w:pPr>
          </w:p>
        </w:tc>
        <w:tc>
          <w:tcPr>
            <w:tcW w:w="2019" w:type="dxa"/>
            <w:gridSpan w:val="2"/>
            <w:vMerge/>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textAlignment w:val="auto"/>
              <w:rPr>
                <w:color w:val="000000" w:themeColor="text1"/>
                <w:sz w:val="22"/>
                <w:szCs w:val="24"/>
                <w:lang w:eastAsia="lv-LV"/>
              </w:rPr>
            </w:pPr>
          </w:p>
        </w:tc>
        <w:tc>
          <w:tcPr>
            <w:tcW w:w="2691" w:type="dxa"/>
            <w:gridSpan w:val="3"/>
            <w:vMerge/>
            <w:tcBorders>
              <w:left w:val="single" w:sz="4" w:space="0" w:color="000000"/>
              <w:bottom w:val="single" w:sz="4" w:space="0" w:color="000000"/>
            </w:tcBorders>
            <w:shd w:val="clear" w:color="auto" w:fill="auto"/>
            <w:noWrap/>
            <w:tcMar>
              <w:top w:w="0" w:type="dxa"/>
              <w:left w:w="108" w:type="dxa"/>
              <w:bottom w:w="0" w:type="dxa"/>
              <w:right w:w="108" w:type="dxa"/>
            </w:tcMar>
            <w:vAlign w:val="center"/>
          </w:tcPr>
          <w:p w:rsidR="007604F1" w:rsidRPr="00870FD9" w:rsidP="0043468B">
            <w:pPr>
              <w:textAlignment w:val="auto"/>
              <w:rPr>
                <w:color w:val="000000" w:themeColor="text1"/>
                <w:sz w:val="22"/>
                <w:szCs w:val="24"/>
                <w:lang w:eastAsia="lv-LV"/>
              </w:rPr>
            </w:pPr>
          </w:p>
        </w:tc>
        <w:tc>
          <w:tcPr>
            <w:tcW w:w="2973" w:type="dxa"/>
            <w:gridSpan w:val="3"/>
            <w:vMerge/>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textAlignment w:val="auto"/>
              <w:rPr>
                <w:color w:val="000000" w:themeColor="text1"/>
                <w:sz w:val="22"/>
                <w:szCs w:val="24"/>
                <w:lang w:eastAsia="lv-LV"/>
              </w:rPr>
            </w:pPr>
          </w:p>
        </w:tc>
        <w:tc>
          <w:tcPr>
            <w:tcW w:w="81" w:type="dxa"/>
          </w:tcPr>
          <w:p w:rsidR="007604F1" w:rsidRPr="00870FD9" w:rsidP="0043468B">
            <w:pPr>
              <w:textAlignment w:val="auto"/>
              <w:rPr>
                <w:color w:val="000000" w:themeColor="text1"/>
                <w:sz w:val="22"/>
                <w:szCs w:val="24"/>
                <w:lang w:eastAsia="lv-LV"/>
              </w:rPr>
            </w:pPr>
          </w:p>
        </w:tc>
      </w:tr>
      <w:tr w:rsidTr="00BA7EDE">
        <w:tblPrEx>
          <w:tblW w:w="5000" w:type="pct"/>
          <w:tblInd w:w="-45" w:type="dxa"/>
          <w:tblLayout w:type="fixed"/>
          <w:tblCellMar>
            <w:left w:w="10" w:type="dxa"/>
            <w:right w:w="10" w:type="dxa"/>
          </w:tblCellMar>
          <w:tblLook w:val="0000"/>
        </w:tblPrEx>
        <w:trPr>
          <w:trHeight w:val="300"/>
        </w:trPr>
        <w:tc>
          <w:tcPr>
            <w:tcW w:w="40" w:type="dxa"/>
          </w:tcPr>
          <w:p w:rsidR="007604F1" w:rsidRPr="00870FD9" w:rsidP="0043468B">
            <w:pPr>
              <w:jc w:val="center"/>
              <w:textAlignment w:val="auto"/>
              <w:rPr>
                <w:color w:val="000000" w:themeColor="text1"/>
                <w:sz w:val="22"/>
                <w:szCs w:val="24"/>
                <w:lang w:eastAsia="lv-LV"/>
              </w:rPr>
            </w:pPr>
          </w:p>
        </w:tc>
        <w:tc>
          <w:tcPr>
            <w:tcW w:w="1237" w:type="dxa"/>
            <w:gridSpan w:val="2"/>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2012-2013</w:t>
            </w:r>
          </w:p>
        </w:tc>
        <w:tc>
          <w:tcPr>
            <w:tcW w:w="201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230820</w:t>
            </w:r>
          </w:p>
        </w:tc>
        <w:tc>
          <w:tcPr>
            <w:tcW w:w="2691" w:type="dxa"/>
            <w:gridSpan w:val="3"/>
            <w:tcBorders>
              <w:bottom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21 657 702 </w:t>
            </w:r>
          </w:p>
        </w:tc>
        <w:tc>
          <w:tcPr>
            <w:tcW w:w="2973" w:type="dxa"/>
            <w:gridSpan w:val="3"/>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22 586 597 </w:t>
            </w:r>
          </w:p>
        </w:tc>
        <w:tc>
          <w:tcPr>
            <w:tcW w:w="81" w:type="dxa"/>
          </w:tcPr>
          <w:p w:rsidR="007604F1" w:rsidRPr="00870FD9" w:rsidP="0043468B">
            <w:pPr>
              <w:jc w:val="center"/>
              <w:textAlignment w:val="auto"/>
              <w:rPr>
                <w:color w:val="000000" w:themeColor="text1"/>
                <w:sz w:val="22"/>
                <w:szCs w:val="24"/>
                <w:lang w:eastAsia="lv-LV"/>
              </w:rPr>
            </w:pPr>
          </w:p>
        </w:tc>
      </w:tr>
      <w:tr w:rsidTr="00BA7EDE">
        <w:tblPrEx>
          <w:tblW w:w="5000" w:type="pct"/>
          <w:tblInd w:w="-45" w:type="dxa"/>
          <w:tblLayout w:type="fixed"/>
          <w:tblCellMar>
            <w:left w:w="10" w:type="dxa"/>
            <w:right w:w="10" w:type="dxa"/>
          </w:tblCellMar>
          <w:tblLook w:val="0000"/>
        </w:tblPrEx>
        <w:trPr>
          <w:trHeight w:val="300"/>
        </w:trPr>
        <w:tc>
          <w:tcPr>
            <w:tcW w:w="40" w:type="dxa"/>
          </w:tcPr>
          <w:p w:rsidR="007604F1" w:rsidRPr="00870FD9" w:rsidP="0043468B">
            <w:pPr>
              <w:jc w:val="center"/>
              <w:textAlignment w:val="auto"/>
              <w:rPr>
                <w:color w:val="000000" w:themeColor="text1"/>
                <w:sz w:val="22"/>
                <w:szCs w:val="24"/>
                <w:lang w:eastAsia="lv-LV"/>
              </w:rPr>
            </w:pPr>
          </w:p>
        </w:tc>
        <w:tc>
          <w:tcPr>
            <w:tcW w:w="1237" w:type="dxa"/>
            <w:gridSpan w:val="2"/>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2013-2014</w:t>
            </w:r>
          </w:p>
        </w:tc>
        <w:tc>
          <w:tcPr>
            <w:tcW w:w="201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315990</w:t>
            </w:r>
          </w:p>
        </w:tc>
        <w:tc>
          <w:tcPr>
            <w:tcW w:w="2691" w:type="dxa"/>
            <w:gridSpan w:val="3"/>
            <w:tcBorders>
              <w:bottom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28 751 921 </w:t>
            </w:r>
          </w:p>
        </w:tc>
        <w:tc>
          <w:tcPr>
            <w:tcW w:w="2973" w:type="dxa"/>
            <w:gridSpan w:val="3"/>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25 390 382 </w:t>
            </w:r>
          </w:p>
        </w:tc>
        <w:tc>
          <w:tcPr>
            <w:tcW w:w="81" w:type="dxa"/>
          </w:tcPr>
          <w:p w:rsidR="007604F1" w:rsidRPr="00870FD9" w:rsidP="0043468B">
            <w:pPr>
              <w:jc w:val="center"/>
              <w:textAlignment w:val="auto"/>
              <w:rPr>
                <w:color w:val="000000" w:themeColor="text1"/>
                <w:sz w:val="22"/>
                <w:szCs w:val="24"/>
                <w:lang w:eastAsia="lv-LV"/>
              </w:rPr>
            </w:pPr>
          </w:p>
        </w:tc>
      </w:tr>
      <w:tr w:rsidTr="00BA7EDE">
        <w:tblPrEx>
          <w:tblW w:w="5000" w:type="pct"/>
          <w:tblInd w:w="-45" w:type="dxa"/>
          <w:tblLayout w:type="fixed"/>
          <w:tblCellMar>
            <w:left w:w="10" w:type="dxa"/>
            <w:right w:w="10" w:type="dxa"/>
          </w:tblCellMar>
          <w:tblLook w:val="0000"/>
        </w:tblPrEx>
        <w:trPr>
          <w:trHeight w:val="300"/>
        </w:trPr>
        <w:tc>
          <w:tcPr>
            <w:tcW w:w="40" w:type="dxa"/>
          </w:tcPr>
          <w:p w:rsidR="007604F1" w:rsidRPr="00870FD9" w:rsidP="0043468B">
            <w:pPr>
              <w:jc w:val="center"/>
              <w:textAlignment w:val="auto"/>
              <w:rPr>
                <w:color w:val="000000" w:themeColor="text1"/>
                <w:sz w:val="22"/>
                <w:szCs w:val="24"/>
                <w:lang w:eastAsia="lv-LV"/>
              </w:rPr>
            </w:pPr>
          </w:p>
        </w:tc>
        <w:tc>
          <w:tcPr>
            <w:tcW w:w="1237" w:type="dxa"/>
            <w:gridSpan w:val="2"/>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2014-2015</w:t>
            </w:r>
          </w:p>
        </w:tc>
        <w:tc>
          <w:tcPr>
            <w:tcW w:w="201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327644</w:t>
            </w:r>
          </w:p>
        </w:tc>
        <w:tc>
          <w:tcPr>
            <w:tcW w:w="2691" w:type="dxa"/>
            <w:gridSpan w:val="3"/>
            <w:tcBorders>
              <w:bottom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18 595 585 </w:t>
            </w:r>
          </w:p>
        </w:tc>
        <w:tc>
          <w:tcPr>
            <w:tcW w:w="2973" w:type="dxa"/>
            <w:gridSpan w:val="3"/>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18 132 400 </w:t>
            </w:r>
          </w:p>
        </w:tc>
        <w:tc>
          <w:tcPr>
            <w:tcW w:w="81" w:type="dxa"/>
          </w:tcPr>
          <w:p w:rsidR="007604F1" w:rsidRPr="00870FD9" w:rsidP="0043468B">
            <w:pPr>
              <w:jc w:val="center"/>
              <w:textAlignment w:val="auto"/>
              <w:rPr>
                <w:color w:val="000000" w:themeColor="text1"/>
                <w:sz w:val="22"/>
                <w:szCs w:val="24"/>
                <w:lang w:eastAsia="lv-LV"/>
              </w:rPr>
            </w:pPr>
          </w:p>
        </w:tc>
      </w:tr>
      <w:tr w:rsidTr="00BA7EDE">
        <w:tblPrEx>
          <w:tblW w:w="5000" w:type="pct"/>
          <w:tblInd w:w="-45" w:type="dxa"/>
          <w:tblLayout w:type="fixed"/>
          <w:tblCellMar>
            <w:left w:w="10" w:type="dxa"/>
            <w:right w:w="10" w:type="dxa"/>
          </w:tblCellMar>
          <w:tblLook w:val="0000"/>
        </w:tblPrEx>
        <w:trPr>
          <w:trHeight w:val="300"/>
        </w:trPr>
        <w:tc>
          <w:tcPr>
            <w:tcW w:w="40" w:type="dxa"/>
          </w:tcPr>
          <w:p w:rsidR="007604F1" w:rsidRPr="00870FD9" w:rsidP="0043468B">
            <w:pPr>
              <w:jc w:val="center"/>
              <w:textAlignment w:val="auto"/>
              <w:rPr>
                <w:color w:val="000000" w:themeColor="text1"/>
                <w:sz w:val="22"/>
                <w:szCs w:val="24"/>
                <w:lang w:eastAsia="lv-LV"/>
              </w:rPr>
            </w:pPr>
          </w:p>
        </w:tc>
        <w:tc>
          <w:tcPr>
            <w:tcW w:w="1237" w:type="dxa"/>
            <w:gridSpan w:val="2"/>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2015-2016</w:t>
            </w:r>
          </w:p>
        </w:tc>
        <w:tc>
          <w:tcPr>
            <w:tcW w:w="201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328374</w:t>
            </w:r>
          </w:p>
        </w:tc>
        <w:tc>
          <w:tcPr>
            <w:tcW w:w="2691" w:type="dxa"/>
            <w:gridSpan w:val="3"/>
            <w:tcBorders>
              <w:bottom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12 580 882 </w:t>
            </w:r>
          </w:p>
        </w:tc>
        <w:tc>
          <w:tcPr>
            <w:tcW w:w="2973" w:type="dxa"/>
            <w:gridSpan w:val="3"/>
            <w:tcBorders>
              <w:left w:val="single" w:sz="4"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13 948 541 </w:t>
            </w:r>
          </w:p>
        </w:tc>
        <w:tc>
          <w:tcPr>
            <w:tcW w:w="81" w:type="dxa"/>
          </w:tcPr>
          <w:p w:rsidR="007604F1" w:rsidRPr="00870FD9" w:rsidP="0043468B">
            <w:pPr>
              <w:jc w:val="center"/>
              <w:textAlignment w:val="auto"/>
              <w:rPr>
                <w:color w:val="000000" w:themeColor="text1"/>
                <w:sz w:val="22"/>
                <w:szCs w:val="24"/>
                <w:lang w:eastAsia="lv-LV"/>
              </w:rPr>
            </w:pPr>
          </w:p>
        </w:tc>
      </w:tr>
      <w:tr w:rsidTr="00BA7EDE">
        <w:tblPrEx>
          <w:tblW w:w="5000" w:type="pct"/>
          <w:tblInd w:w="-45" w:type="dxa"/>
          <w:tblLayout w:type="fixed"/>
          <w:tblCellMar>
            <w:left w:w="10" w:type="dxa"/>
            <w:right w:w="10" w:type="dxa"/>
          </w:tblCellMar>
          <w:tblLook w:val="0000"/>
        </w:tblPrEx>
        <w:trPr>
          <w:trHeight w:val="315"/>
        </w:trPr>
        <w:tc>
          <w:tcPr>
            <w:tcW w:w="40" w:type="dxa"/>
          </w:tcPr>
          <w:p w:rsidR="007604F1" w:rsidRPr="00870FD9" w:rsidP="0043468B">
            <w:pPr>
              <w:jc w:val="center"/>
              <w:textAlignment w:val="auto"/>
              <w:rPr>
                <w:color w:val="000000" w:themeColor="text1"/>
                <w:sz w:val="22"/>
                <w:szCs w:val="24"/>
                <w:lang w:eastAsia="lv-LV"/>
              </w:rPr>
            </w:pPr>
          </w:p>
        </w:tc>
        <w:tc>
          <w:tcPr>
            <w:tcW w:w="1237" w:type="dxa"/>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2016-2017*</w:t>
            </w:r>
          </w:p>
        </w:tc>
        <w:tc>
          <w:tcPr>
            <w:tcW w:w="2019" w:type="dxa"/>
            <w:gridSpan w:val="2"/>
            <w:tcBorders>
              <w:bottom w:val="single" w:sz="8" w:space="0" w:color="000000"/>
              <w:right w:val="single" w:sz="4"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345638</w:t>
            </w:r>
          </w:p>
        </w:tc>
        <w:tc>
          <w:tcPr>
            <w:tcW w:w="2691" w:type="dxa"/>
            <w:gridSpan w:val="3"/>
            <w:tcBorders>
              <w:bottom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11 159 876 </w:t>
            </w:r>
          </w:p>
        </w:tc>
        <w:tc>
          <w:tcPr>
            <w:tcW w:w="2973" w:type="dxa"/>
            <w:gridSpan w:val="3"/>
            <w:tcBorders>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7604F1" w:rsidRPr="00870FD9" w:rsidP="0043468B">
            <w:pPr>
              <w:jc w:val="center"/>
              <w:textAlignment w:val="auto"/>
              <w:rPr>
                <w:color w:val="000000" w:themeColor="text1"/>
                <w:sz w:val="22"/>
                <w:szCs w:val="24"/>
                <w:lang w:eastAsia="lv-LV"/>
              </w:rPr>
            </w:pPr>
            <w:r w:rsidRPr="00870FD9">
              <w:rPr>
                <w:color w:val="000000" w:themeColor="text1"/>
                <w:sz w:val="22"/>
                <w:szCs w:val="24"/>
                <w:lang w:eastAsia="lv-LV"/>
              </w:rPr>
              <w:t xml:space="preserve"> €      12 314 943 </w:t>
            </w:r>
          </w:p>
        </w:tc>
        <w:tc>
          <w:tcPr>
            <w:tcW w:w="81" w:type="dxa"/>
          </w:tcPr>
          <w:p w:rsidR="007604F1" w:rsidRPr="00870FD9" w:rsidP="0043468B">
            <w:pPr>
              <w:jc w:val="center"/>
              <w:textAlignment w:val="auto"/>
              <w:rPr>
                <w:color w:val="000000" w:themeColor="text1"/>
                <w:sz w:val="22"/>
                <w:szCs w:val="24"/>
                <w:lang w:eastAsia="lv-LV"/>
              </w:rPr>
            </w:pPr>
          </w:p>
        </w:tc>
      </w:tr>
    </w:tbl>
    <w:p w:rsidR="007604F1" w:rsidRPr="00870FD9" w:rsidP="007604F1">
      <w:pPr>
        <w:spacing w:before="480" w:after="120"/>
        <w:ind w:left="360"/>
        <w:jc w:val="both"/>
        <w:textAlignment w:val="auto"/>
        <w:rPr>
          <w:b/>
          <w:bCs/>
          <w:color w:val="000000" w:themeColor="text1"/>
          <w:szCs w:val="28"/>
        </w:rPr>
      </w:pPr>
      <w:r w:rsidRPr="00870FD9">
        <w:rPr>
          <w:b/>
          <w:bCs/>
          <w:color w:val="000000" w:themeColor="text1"/>
          <w:szCs w:val="28"/>
        </w:rPr>
        <w:t xml:space="preserve">Esošā modeļa uzglabāšanas cenas veidošanās princips </w:t>
      </w:r>
    </w:p>
    <w:p w:rsidR="007604F1" w:rsidRPr="00870FD9" w:rsidP="007604F1">
      <w:pPr>
        <w:spacing w:before="120" w:after="120"/>
        <w:jc w:val="both"/>
        <w:rPr>
          <w:bCs/>
          <w:color w:val="000000" w:themeColor="text1"/>
          <w:szCs w:val="28"/>
        </w:rPr>
      </w:pPr>
      <w:r w:rsidRPr="00870FD9">
        <w:rPr>
          <w:bCs/>
          <w:color w:val="000000" w:themeColor="text1"/>
          <w:szCs w:val="28"/>
        </w:rPr>
        <w:t xml:space="preserve">Esošajā naftas rezerves izveides modelī, kad valsts centralizēti pērk naftas produktu uzglabāšanu bez naftas produktu pirkšanas valsts īpašumā, komersanti – potenciālie uzglabātāji (katram komersantam individuāls gadījums atkarībā no tā vai komersants plāno pats iegādāties šos naftas produktus uzglabāšanai vai plāno uzglabāt </w:t>
      </w:r>
      <w:r w:rsidRPr="00870FD9" w:rsidR="006726F0">
        <w:rPr>
          <w:bCs/>
          <w:color w:val="000000" w:themeColor="text1"/>
          <w:szCs w:val="28"/>
        </w:rPr>
        <w:t xml:space="preserve">naftas produktu </w:t>
      </w:r>
      <w:r w:rsidRPr="00870FD9">
        <w:rPr>
          <w:bCs/>
          <w:color w:val="000000" w:themeColor="text1"/>
          <w:szCs w:val="28"/>
        </w:rPr>
        <w:t>atlikumus savā noliktavā) uzglabāšanas cenā ieceno šādas būtiskākās pozīcijas:</w:t>
      </w:r>
    </w:p>
    <w:p w:rsidR="007604F1" w:rsidRPr="00870FD9" w:rsidP="007604F1">
      <w:pPr>
        <w:numPr>
          <w:ilvl w:val="0"/>
          <w:numId w:val="7"/>
        </w:numPr>
        <w:spacing w:before="120" w:after="120"/>
        <w:ind w:left="0" w:firstLine="0"/>
        <w:jc w:val="both"/>
        <w:textAlignment w:val="auto"/>
        <w:rPr>
          <w:bCs/>
          <w:color w:val="000000" w:themeColor="text1"/>
          <w:szCs w:val="28"/>
        </w:rPr>
      </w:pPr>
      <w:r w:rsidRPr="00870FD9">
        <w:rPr>
          <w:bCs/>
          <w:color w:val="000000" w:themeColor="text1"/>
          <w:szCs w:val="28"/>
        </w:rPr>
        <w:t>Naftas cenas svārstības risks uzglabāšanas periodā (1 gads) – komersantu princips – uzglabāšanas cenā ierēķināt tādu riska pakāpi, lai pēc uzglabāšanas perioda beigām nerastos zaudējumi;</w:t>
      </w:r>
    </w:p>
    <w:p w:rsidR="007604F1" w:rsidRPr="00870FD9" w:rsidP="007604F1">
      <w:pPr>
        <w:numPr>
          <w:ilvl w:val="0"/>
          <w:numId w:val="7"/>
        </w:numPr>
        <w:spacing w:before="120" w:after="120"/>
        <w:ind w:left="0" w:firstLine="0"/>
        <w:jc w:val="both"/>
        <w:textAlignment w:val="auto"/>
        <w:rPr>
          <w:bCs/>
          <w:color w:val="000000" w:themeColor="text1"/>
          <w:szCs w:val="28"/>
        </w:rPr>
      </w:pPr>
      <w:r w:rsidRPr="00870FD9">
        <w:rPr>
          <w:bCs/>
          <w:color w:val="000000" w:themeColor="text1"/>
          <w:szCs w:val="28"/>
        </w:rPr>
        <w:t>Uzglabājamā produkta esošais statuss (vai ir jau komersanta īpašumā, vai komersants tikai plāno ņemt kredītu, pirkt un ievest, un glabāt);</w:t>
      </w:r>
    </w:p>
    <w:p w:rsidR="007604F1" w:rsidRPr="00870FD9" w:rsidP="007604F1">
      <w:pPr>
        <w:numPr>
          <w:ilvl w:val="0"/>
          <w:numId w:val="7"/>
        </w:numPr>
        <w:spacing w:before="120" w:after="120"/>
        <w:ind w:left="284" w:hanging="284"/>
        <w:jc w:val="both"/>
        <w:textAlignment w:val="auto"/>
        <w:rPr>
          <w:bCs/>
          <w:color w:val="000000" w:themeColor="text1"/>
          <w:szCs w:val="28"/>
        </w:rPr>
      </w:pPr>
      <w:r w:rsidRPr="00870FD9">
        <w:rPr>
          <w:bCs/>
          <w:color w:val="000000" w:themeColor="text1"/>
          <w:szCs w:val="28"/>
        </w:rPr>
        <w:t>Akcīzes nodrošinājums (apmērs noteikts normatīvajos aktos);</w:t>
      </w:r>
    </w:p>
    <w:p w:rsidR="007604F1" w:rsidRPr="00870FD9" w:rsidP="007604F1">
      <w:pPr>
        <w:numPr>
          <w:ilvl w:val="0"/>
          <w:numId w:val="7"/>
        </w:numPr>
        <w:spacing w:before="120" w:after="120"/>
        <w:ind w:left="0" w:firstLine="0"/>
        <w:jc w:val="both"/>
        <w:textAlignment w:val="auto"/>
        <w:rPr>
          <w:bCs/>
          <w:color w:val="000000" w:themeColor="text1"/>
          <w:szCs w:val="28"/>
        </w:rPr>
      </w:pPr>
      <w:r w:rsidRPr="00870FD9">
        <w:rPr>
          <w:bCs/>
          <w:color w:val="000000" w:themeColor="text1"/>
          <w:szCs w:val="28"/>
        </w:rPr>
        <w:t xml:space="preserve">Valūtu svārstības (darījumi ar naftas produktiem notiek </w:t>
      </w:r>
      <w:r w:rsidRPr="00870FD9" w:rsidR="006726F0">
        <w:rPr>
          <w:bCs/>
          <w:color w:val="000000" w:themeColor="text1"/>
          <w:szCs w:val="28"/>
        </w:rPr>
        <w:t>ASV dolāros</w:t>
      </w:r>
      <w:r w:rsidRPr="00870FD9">
        <w:rPr>
          <w:bCs/>
          <w:color w:val="000000" w:themeColor="text1"/>
          <w:szCs w:val="28"/>
        </w:rPr>
        <w:t>,</w:t>
      </w:r>
      <w:r w:rsidRPr="00870FD9" w:rsidR="006726F0">
        <w:rPr>
          <w:bCs/>
          <w:color w:val="000000" w:themeColor="text1"/>
          <w:szCs w:val="28"/>
        </w:rPr>
        <w:t xml:space="preserve"> Konkursā tiek uzrādītas uzglabāšanas pakalpojuma cenas </w:t>
      </w:r>
      <w:r w:rsidRPr="00870FD9" w:rsidR="006726F0">
        <w:rPr>
          <w:bCs/>
          <w:color w:val="000000" w:themeColor="text1"/>
          <w:szCs w:val="28"/>
        </w:rPr>
        <w:t>euro</w:t>
      </w:r>
      <w:r w:rsidRPr="00870FD9">
        <w:rPr>
          <w:bCs/>
          <w:color w:val="000000" w:themeColor="text1"/>
          <w:szCs w:val="28"/>
        </w:rPr>
        <w:t>);</w:t>
      </w:r>
    </w:p>
    <w:p w:rsidR="007604F1" w:rsidRPr="00870FD9" w:rsidP="007604F1">
      <w:pPr>
        <w:numPr>
          <w:ilvl w:val="0"/>
          <w:numId w:val="7"/>
        </w:numPr>
        <w:spacing w:before="120" w:after="120"/>
        <w:ind w:left="284" w:hanging="284"/>
        <w:jc w:val="both"/>
        <w:textAlignment w:val="auto"/>
        <w:rPr>
          <w:bCs/>
          <w:color w:val="000000" w:themeColor="text1"/>
          <w:szCs w:val="28"/>
        </w:rPr>
      </w:pPr>
      <w:r w:rsidRPr="00870FD9">
        <w:rPr>
          <w:bCs/>
          <w:color w:val="000000" w:themeColor="text1"/>
          <w:szCs w:val="28"/>
        </w:rPr>
        <w:t>Naftas produkta pirkšanas un pārdošanas cenas apdrošināšana (</w:t>
      </w:r>
      <w:r w:rsidRPr="00870FD9" w:rsidR="00432C09">
        <w:rPr>
          <w:bCs/>
          <w:color w:val="000000" w:themeColor="text1"/>
          <w:szCs w:val="28"/>
        </w:rPr>
        <w:t>hedžēšana</w:t>
      </w:r>
      <w:r w:rsidRPr="00870FD9">
        <w:rPr>
          <w:bCs/>
          <w:color w:val="000000" w:themeColor="text1"/>
          <w:szCs w:val="28"/>
        </w:rPr>
        <w:t>);</w:t>
      </w:r>
    </w:p>
    <w:p w:rsidR="007604F1" w:rsidRPr="00870FD9" w:rsidP="007604F1">
      <w:pPr>
        <w:numPr>
          <w:ilvl w:val="0"/>
          <w:numId w:val="7"/>
        </w:numPr>
        <w:tabs>
          <w:tab w:val="left" w:pos="284"/>
        </w:tabs>
        <w:spacing w:before="120" w:after="120"/>
        <w:ind w:left="0" w:firstLine="0"/>
        <w:jc w:val="both"/>
        <w:textAlignment w:val="auto"/>
        <w:rPr>
          <w:bCs/>
          <w:color w:val="000000" w:themeColor="text1"/>
          <w:szCs w:val="28"/>
        </w:rPr>
      </w:pPr>
      <w:r w:rsidRPr="00870FD9">
        <w:rPr>
          <w:bCs/>
          <w:color w:val="000000" w:themeColor="text1"/>
          <w:szCs w:val="28"/>
        </w:rPr>
        <w:t xml:space="preserve">Iesaistīto starpnieku skaits (bankas kredīts naftas produktu iegādei; nomas līgumi ar noliktavu, </w:t>
      </w:r>
      <w:r w:rsidRPr="00870FD9" w:rsidR="006726F0">
        <w:rPr>
          <w:bCs/>
          <w:color w:val="000000" w:themeColor="text1"/>
          <w:szCs w:val="28"/>
        </w:rPr>
        <w:t xml:space="preserve">vieta, </w:t>
      </w:r>
      <w:r w:rsidRPr="00870FD9">
        <w:rPr>
          <w:bCs/>
          <w:color w:val="000000" w:themeColor="text1"/>
          <w:szCs w:val="28"/>
        </w:rPr>
        <w:t>kur</w:t>
      </w:r>
      <w:r w:rsidRPr="00870FD9" w:rsidR="006726F0">
        <w:rPr>
          <w:bCs/>
          <w:color w:val="000000" w:themeColor="text1"/>
          <w:szCs w:val="28"/>
        </w:rPr>
        <w:t xml:space="preserve"> tiks</w:t>
      </w:r>
      <w:r w:rsidRPr="00870FD9">
        <w:rPr>
          <w:bCs/>
          <w:color w:val="000000" w:themeColor="text1"/>
          <w:szCs w:val="28"/>
        </w:rPr>
        <w:t xml:space="preserve"> </w:t>
      </w:r>
      <w:r w:rsidRPr="00870FD9" w:rsidR="006726F0">
        <w:rPr>
          <w:bCs/>
          <w:color w:val="000000" w:themeColor="text1"/>
          <w:szCs w:val="28"/>
        </w:rPr>
        <w:t>uz</w:t>
      </w:r>
      <w:r w:rsidRPr="00870FD9">
        <w:rPr>
          <w:bCs/>
          <w:color w:val="000000" w:themeColor="text1"/>
          <w:szCs w:val="28"/>
        </w:rPr>
        <w:t>glabā</w:t>
      </w:r>
      <w:r w:rsidRPr="00870FD9" w:rsidR="006726F0">
        <w:rPr>
          <w:bCs/>
          <w:color w:val="000000" w:themeColor="text1"/>
          <w:szCs w:val="28"/>
        </w:rPr>
        <w:t>ti naftas produkti</w:t>
      </w:r>
      <w:r w:rsidRPr="00870FD9">
        <w:rPr>
          <w:bCs/>
          <w:color w:val="000000" w:themeColor="text1"/>
          <w:szCs w:val="28"/>
        </w:rPr>
        <w:t>; nopirkto naftas produktu piegāde</w:t>
      </w:r>
      <w:r w:rsidRPr="00870FD9" w:rsidR="006726F0">
        <w:rPr>
          <w:bCs/>
          <w:color w:val="000000" w:themeColor="text1"/>
          <w:szCs w:val="28"/>
        </w:rPr>
        <w:t>,</w:t>
      </w:r>
      <w:r w:rsidRPr="00870FD9">
        <w:rPr>
          <w:bCs/>
          <w:color w:val="000000" w:themeColor="text1"/>
          <w:szCs w:val="28"/>
        </w:rPr>
        <w:t xml:space="preserve"> u.c.);</w:t>
      </w:r>
    </w:p>
    <w:p w:rsidR="007604F1" w:rsidRPr="00870FD9" w:rsidP="007604F1">
      <w:pPr>
        <w:numPr>
          <w:ilvl w:val="0"/>
          <w:numId w:val="7"/>
        </w:numPr>
        <w:spacing w:before="120" w:after="120"/>
        <w:ind w:left="284" w:hanging="284"/>
        <w:jc w:val="both"/>
        <w:textAlignment w:val="auto"/>
        <w:rPr>
          <w:bCs/>
          <w:color w:val="000000" w:themeColor="text1"/>
          <w:szCs w:val="28"/>
        </w:rPr>
      </w:pPr>
      <w:r w:rsidRPr="00870FD9">
        <w:rPr>
          <w:bCs/>
          <w:color w:val="000000" w:themeColor="text1"/>
          <w:szCs w:val="28"/>
        </w:rPr>
        <w:t>Administratīvās izmaksas;</w:t>
      </w:r>
    </w:p>
    <w:p w:rsidR="007604F1" w:rsidRPr="00870FD9" w:rsidP="007604F1">
      <w:pPr>
        <w:numPr>
          <w:ilvl w:val="0"/>
          <w:numId w:val="7"/>
        </w:numPr>
        <w:spacing w:before="120" w:after="120"/>
        <w:ind w:left="284" w:hanging="284"/>
        <w:jc w:val="both"/>
        <w:textAlignment w:val="auto"/>
        <w:rPr>
          <w:bCs/>
          <w:color w:val="000000" w:themeColor="text1"/>
          <w:szCs w:val="28"/>
        </w:rPr>
      </w:pPr>
      <w:r w:rsidRPr="00870FD9">
        <w:rPr>
          <w:bCs/>
          <w:color w:val="000000" w:themeColor="text1"/>
          <w:szCs w:val="28"/>
        </w:rPr>
        <w:t>Peļņa.</w:t>
      </w:r>
    </w:p>
    <w:p w:rsidR="007604F1" w:rsidRPr="00870FD9" w:rsidP="0033657C">
      <w:pPr>
        <w:pStyle w:val="Heading2"/>
        <w:rPr>
          <w:b/>
          <w:bCs/>
          <w:color w:val="000000" w:themeColor="text1"/>
          <w:sz w:val="24"/>
          <w:szCs w:val="28"/>
        </w:rPr>
      </w:pPr>
      <w:bookmarkStart w:id="20" w:name="_Toc499712144"/>
      <w:bookmarkStart w:id="21" w:name="_Toc256000006"/>
      <w:bookmarkStart w:id="22" w:name="_Toc256000016"/>
      <w:r w:rsidRPr="00870FD9">
        <w:rPr>
          <w:b/>
          <w:bCs/>
          <w:color w:val="000000" w:themeColor="text1"/>
          <w:sz w:val="24"/>
          <w:szCs w:val="28"/>
        </w:rPr>
        <w:t>2.5. Identificētās problēmas</w:t>
      </w:r>
      <w:bookmarkEnd w:id="22"/>
      <w:bookmarkEnd w:id="21"/>
      <w:bookmarkEnd w:id="20"/>
    </w:p>
    <w:p w:rsidR="007604F1" w:rsidRPr="00870FD9" w:rsidP="007604F1">
      <w:pPr>
        <w:spacing w:before="120"/>
        <w:jc w:val="both"/>
        <w:textAlignment w:val="auto"/>
        <w:rPr>
          <w:bCs/>
          <w:color w:val="000000" w:themeColor="text1"/>
          <w:szCs w:val="28"/>
        </w:rPr>
      </w:pPr>
      <w:r w:rsidRPr="00870FD9">
        <w:rPr>
          <w:bCs/>
          <w:color w:val="000000" w:themeColor="text1"/>
          <w:szCs w:val="28"/>
        </w:rPr>
        <w:t>Laika posmā no 2013. līdz 2017.gadam veikto drošības rezervju pakalpojuma sniegšanas iepirkumu pieredze liecina, ka pašlaik Publisko iepirkumu likuma (PIL) procedūru piemērošana rada šādus sarežģījumus:</w:t>
      </w:r>
    </w:p>
    <w:p w:rsidR="007604F1" w:rsidRPr="00870FD9" w:rsidP="007604F1">
      <w:pPr>
        <w:numPr>
          <w:ilvl w:val="0"/>
          <w:numId w:val="9"/>
        </w:numPr>
        <w:spacing w:before="120"/>
        <w:jc w:val="both"/>
        <w:textAlignment w:val="auto"/>
        <w:rPr>
          <w:bCs/>
          <w:color w:val="000000" w:themeColor="text1"/>
          <w:szCs w:val="28"/>
        </w:rPr>
      </w:pPr>
      <w:r w:rsidRPr="00870FD9">
        <w:rPr>
          <w:bCs/>
          <w:color w:val="000000" w:themeColor="text1"/>
          <w:szCs w:val="28"/>
        </w:rPr>
        <w:t>Pamatojoties uz PIL, pieteikumu iesniegšanas periods ir bijis garš (</w:t>
      </w:r>
      <w:r w:rsidRPr="00870FD9" w:rsidR="003F10CB">
        <w:rPr>
          <w:bCs/>
          <w:color w:val="000000" w:themeColor="text1"/>
          <w:szCs w:val="28"/>
        </w:rPr>
        <w:t xml:space="preserve">iepriekš spēkā esošajā PIL, kas zaudēja spēku 2017.gada 1.martā, </w:t>
      </w:r>
      <w:r w:rsidRPr="00870FD9">
        <w:rPr>
          <w:bCs/>
          <w:color w:val="000000" w:themeColor="text1"/>
          <w:szCs w:val="28"/>
        </w:rPr>
        <w:t xml:space="preserve">52 dienas, </w:t>
      </w:r>
      <w:r w:rsidRPr="00870FD9" w:rsidR="00093420">
        <w:rPr>
          <w:bCs/>
          <w:color w:val="000000" w:themeColor="text1"/>
          <w:szCs w:val="28"/>
        </w:rPr>
        <w:t xml:space="preserve">šobrīd </w:t>
      </w:r>
      <w:r w:rsidRPr="00870FD9">
        <w:rPr>
          <w:bCs/>
          <w:color w:val="000000" w:themeColor="text1"/>
          <w:szCs w:val="28"/>
        </w:rPr>
        <w:t xml:space="preserve">saīsināts uz 35 dienām) un līdz ar to nav iespējams operatīvi pieskaņoties </w:t>
      </w:r>
      <w:r w:rsidRPr="00870FD9" w:rsidR="00046E7E">
        <w:rPr>
          <w:bCs/>
          <w:color w:val="000000" w:themeColor="text1"/>
          <w:szCs w:val="28"/>
        </w:rPr>
        <w:t>procesiem pasaules naftas tirgū</w:t>
      </w:r>
      <w:r w:rsidRPr="00870FD9">
        <w:rPr>
          <w:bCs/>
          <w:color w:val="000000" w:themeColor="text1"/>
          <w:szCs w:val="28"/>
        </w:rPr>
        <w:t xml:space="preserve"> (iepirkumu uzsākt brīdī, kad sāk kristies naftas cenas), kas</w:t>
      </w:r>
      <w:r w:rsidRPr="00870FD9" w:rsidR="00046E7E">
        <w:rPr>
          <w:bCs/>
          <w:color w:val="000000" w:themeColor="text1"/>
          <w:szCs w:val="28"/>
        </w:rPr>
        <w:t>,</w:t>
      </w:r>
      <w:r w:rsidRPr="00870FD9">
        <w:rPr>
          <w:bCs/>
          <w:color w:val="000000" w:themeColor="text1"/>
          <w:szCs w:val="28"/>
        </w:rPr>
        <w:t xml:space="preserve"> iespējams</w:t>
      </w:r>
      <w:r w:rsidRPr="00870FD9" w:rsidR="00046E7E">
        <w:rPr>
          <w:bCs/>
          <w:color w:val="000000" w:themeColor="text1"/>
          <w:szCs w:val="28"/>
        </w:rPr>
        <w:t>,</w:t>
      </w:r>
      <w:r w:rsidRPr="00870FD9">
        <w:rPr>
          <w:bCs/>
          <w:color w:val="000000" w:themeColor="text1"/>
          <w:szCs w:val="28"/>
        </w:rPr>
        <w:t xml:space="preserve"> sadārdzina pieteikumos uzrādītās pakalpojuma izmaksas. Pieteikumu iesniegšanas un vērtēšanas periodā naftas produktu cenas parasti piedzīvo vairākus kāpumus un kritumus. Tādēļ, lai maksimāli izvairītos no cenu riskiem, komersanti piedāvā augstākas cenas, kas faktiskajā iepirkuma veikšanas brīdī ievērojami pārsniedz reālo tirgus cenu;</w:t>
      </w:r>
    </w:p>
    <w:p w:rsidR="007604F1" w:rsidRPr="00870FD9" w:rsidP="007604F1">
      <w:pPr>
        <w:numPr>
          <w:ilvl w:val="0"/>
          <w:numId w:val="9"/>
        </w:numPr>
        <w:spacing w:before="120"/>
        <w:jc w:val="both"/>
        <w:textAlignment w:val="auto"/>
        <w:rPr>
          <w:color w:val="000000" w:themeColor="text1"/>
          <w:szCs w:val="28"/>
        </w:rPr>
      </w:pPr>
      <w:r w:rsidRPr="00870FD9">
        <w:rPr>
          <w:bCs/>
          <w:color w:val="000000" w:themeColor="text1"/>
          <w:szCs w:val="28"/>
        </w:rPr>
        <w:t>veicot iepirkumu PIL noteiktajā kārtībā, iepirkuma procedūra var aizņemt no trīs līdz pat astoņiem mēnešiem un vairāk (2017.gada naftas rezervju konkurs</w:t>
      </w:r>
      <w:r w:rsidRPr="00870FD9" w:rsidR="00046E7E">
        <w:rPr>
          <w:bCs/>
          <w:color w:val="000000" w:themeColor="text1"/>
          <w:szCs w:val="28"/>
        </w:rPr>
        <w:t>s</w:t>
      </w:r>
      <w:r w:rsidRPr="00870FD9">
        <w:rPr>
          <w:bCs/>
          <w:color w:val="000000" w:themeColor="text1"/>
          <w:szCs w:val="28"/>
        </w:rPr>
        <w:t xml:space="preserve"> tika uzsākts 2017.gada 3.februārī un uz 2017.gada </w:t>
      </w:r>
      <w:r w:rsidRPr="00870FD9" w:rsidR="000C711E">
        <w:rPr>
          <w:bCs/>
          <w:color w:val="000000" w:themeColor="text1"/>
          <w:szCs w:val="28"/>
        </w:rPr>
        <w:t>28</w:t>
      </w:r>
      <w:r w:rsidRPr="00870FD9" w:rsidR="00AC4357">
        <w:rPr>
          <w:bCs/>
          <w:color w:val="000000" w:themeColor="text1"/>
          <w:szCs w:val="28"/>
        </w:rPr>
        <w:t>.novembri</w:t>
      </w:r>
      <w:r w:rsidRPr="00870FD9">
        <w:rPr>
          <w:bCs/>
          <w:color w:val="000000" w:themeColor="text1"/>
          <w:szCs w:val="28"/>
        </w:rPr>
        <w:t xml:space="preserve"> nav noslēdzies). </w:t>
      </w:r>
    </w:p>
    <w:p w:rsidR="007604F1" w:rsidRPr="00870FD9" w:rsidP="007604F1">
      <w:pPr>
        <w:numPr>
          <w:ilvl w:val="0"/>
          <w:numId w:val="9"/>
        </w:numPr>
        <w:spacing w:before="120"/>
        <w:jc w:val="both"/>
        <w:textAlignment w:val="auto"/>
        <w:rPr>
          <w:color w:val="000000" w:themeColor="text1"/>
          <w:szCs w:val="28"/>
        </w:rPr>
      </w:pPr>
      <w:r w:rsidRPr="00870FD9">
        <w:rPr>
          <w:bCs/>
          <w:color w:val="000000" w:themeColor="text1"/>
          <w:szCs w:val="28"/>
        </w:rPr>
        <w:t xml:space="preserve">Īpaši  apgrūtināta ir PIL </w:t>
      </w:r>
      <w:r w:rsidRPr="00870FD9">
        <w:rPr>
          <w:color w:val="000000" w:themeColor="text1"/>
          <w:szCs w:val="28"/>
        </w:rPr>
        <w:t xml:space="preserve">42. panta prasību izpilde par kandidātu un pretendentu izslēgšanas noteikumu procedūru piemērošanu saistībā ar pieprasāmo informāciju ārzemju pretendentiem drošības rezervju pakalpojuma valsts naftas produktu drošības rezervju izveidei, kā arī apšaubāmas reputācijas pretendentu dalība izsludinātajā konkursā par </w:t>
      </w:r>
      <w:r w:rsidRPr="00870FD9">
        <w:rPr>
          <w:bCs/>
          <w:color w:val="000000" w:themeColor="text1"/>
          <w:szCs w:val="28"/>
        </w:rPr>
        <w:t>drošības rezervju pakalpojuma sniegšanu valsts naftas produktu drošības rezervju izveidei</w:t>
      </w:r>
      <w:r w:rsidRPr="00870FD9">
        <w:rPr>
          <w:color w:val="000000" w:themeColor="text1"/>
          <w:szCs w:val="28"/>
        </w:rPr>
        <w:t>. I</w:t>
      </w:r>
      <w:r w:rsidRPr="00870FD9">
        <w:rPr>
          <w:bCs/>
          <w:color w:val="000000" w:themeColor="text1"/>
          <w:szCs w:val="28"/>
        </w:rPr>
        <w:t>nformācijas vākšana – pretendenta kavēšanās iesniegt pilnvērtīgu informāciju (vairākkārtēja dokumenta precizēšana) un informācija par ārzemju pretendentu valdes, padomes locekļiem, direktoriem. Saskaņā ar 2016.gada 1.jūlija grozījumiem PIL r</w:t>
      </w:r>
      <w:r w:rsidRPr="00870FD9" w:rsidR="00046E7E">
        <w:rPr>
          <w:bCs/>
          <w:color w:val="000000" w:themeColor="text1"/>
          <w:szCs w:val="28"/>
        </w:rPr>
        <w:t>egulējumā tika paredzēts, ka 39</w:t>
      </w:r>
      <w:r w:rsidRPr="00870FD9">
        <w:rPr>
          <w:bCs/>
          <w:color w:val="000000" w:themeColor="text1"/>
          <w:szCs w:val="28"/>
          <w:vertAlign w:val="superscript"/>
        </w:rPr>
        <w:t>1</w:t>
      </w:r>
      <w:r w:rsidRPr="00870FD9" w:rsidR="00046E7E">
        <w:rPr>
          <w:bCs/>
          <w:color w:val="000000" w:themeColor="text1"/>
          <w:szCs w:val="28"/>
        </w:rPr>
        <w:t>.p</w:t>
      </w:r>
      <w:r w:rsidRPr="00870FD9">
        <w:rPr>
          <w:bCs/>
          <w:color w:val="000000" w:themeColor="text1"/>
          <w:szCs w:val="28"/>
        </w:rPr>
        <w:t xml:space="preserve">anta nosacījumos pieprasāmā informācija jānodrošina pretendentiem, kuri kvalificējušies iepirkumā, ļoti aizkavēja vērtēšanas procesu; </w:t>
      </w:r>
    </w:p>
    <w:p w:rsidR="007604F1" w:rsidRPr="00870FD9" w:rsidP="007604F1">
      <w:pPr>
        <w:numPr>
          <w:ilvl w:val="0"/>
          <w:numId w:val="9"/>
        </w:numPr>
        <w:spacing w:before="120"/>
        <w:jc w:val="both"/>
        <w:textAlignment w:val="auto"/>
        <w:rPr>
          <w:bCs/>
          <w:color w:val="000000" w:themeColor="text1"/>
          <w:szCs w:val="28"/>
        </w:rPr>
      </w:pPr>
      <w:r w:rsidRPr="00870FD9">
        <w:rPr>
          <w:bCs/>
          <w:color w:val="000000" w:themeColor="text1"/>
          <w:szCs w:val="28"/>
        </w:rPr>
        <w:t xml:space="preserve">Pēc </w:t>
      </w:r>
      <w:r w:rsidRPr="00870FD9" w:rsidR="0086436D">
        <w:rPr>
          <w:bCs/>
          <w:color w:val="000000" w:themeColor="text1"/>
          <w:szCs w:val="28"/>
        </w:rPr>
        <w:t>IUB</w:t>
      </w:r>
      <w:r w:rsidRPr="00870FD9">
        <w:rPr>
          <w:bCs/>
          <w:color w:val="000000" w:themeColor="text1"/>
          <w:szCs w:val="28"/>
        </w:rPr>
        <w:t xml:space="preserve"> ieteikuma, atklātā konkursa noteikumos tika iekļauts nosacījums par pretendenta pieteikuma nevērtēšanu, ja cena par naftas produktu drošības rezervju pakalpojuma sniegšanu vienam mēnesim vienas tonnas apmērā vairāk nekā par 50% (bez pievienotās vērtības nodokļa) pārsniedz iepriekšēja konkursa ar ID Nr. EM 2015/3 vidējo svērto cenu (EUR 3,19 (bez PVN))</w:t>
      </w:r>
      <w:r w:rsidRPr="00870FD9" w:rsidR="00BF3F2F">
        <w:rPr>
          <w:bCs/>
          <w:color w:val="000000" w:themeColor="text1"/>
          <w:szCs w:val="28"/>
        </w:rPr>
        <w:t>;</w:t>
      </w:r>
    </w:p>
    <w:p w:rsidR="007604F1" w:rsidRPr="00870FD9" w:rsidP="007604F1">
      <w:pPr>
        <w:numPr>
          <w:ilvl w:val="0"/>
          <w:numId w:val="9"/>
        </w:numPr>
        <w:spacing w:before="120"/>
        <w:jc w:val="both"/>
        <w:textAlignment w:val="auto"/>
        <w:rPr>
          <w:bCs/>
          <w:color w:val="000000" w:themeColor="text1"/>
          <w:szCs w:val="28"/>
        </w:rPr>
      </w:pPr>
      <w:r w:rsidRPr="00870FD9">
        <w:rPr>
          <w:bCs/>
          <w:color w:val="000000" w:themeColor="text1"/>
          <w:szCs w:val="28"/>
        </w:rPr>
        <w:t xml:space="preserve">Nepieciešamības gadījumā </w:t>
      </w:r>
      <w:r w:rsidRPr="00870FD9">
        <w:rPr>
          <w:bCs/>
          <w:color w:val="000000" w:themeColor="text1"/>
          <w:szCs w:val="28"/>
        </w:rPr>
        <w:t>nav iespējams ierobežot pretendentu loku, jo PIL nosacījumi neparedz nekādus ierobežojumus, kā rezultātā pastāv risks, ka piedalās pretendenti, kas var radīt kaitējumu valsts drošībai;</w:t>
      </w:r>
    </w:p>
    <w:p w:rsidR="007604F1" w:rsidRPr="00870FD9" w:rsidP="007604F1">
      <w:pPr>
        <w:numPr>
          <w:ilvl w:val="0"/>
          <w:numId w:val="9"/>
        </w:numPr>
        <w:spacing w:before="120"/>
        <w:jc w:val="both"/>
        <w:textAlignment w:val="auto"/>
        <w:rPr>
          <w:bCs/>
          <w:color w:val="000000" w:themeColor="text1"/>
          <w:szCs w:val="28"/>
        </w:rPr>
      </w:pPr>
      <w:r w:rsidRPr="00870FD9">
        <w:rPr>
          <w:bCs/>
          <w:color w:val="000000" w:themeColor="text1"/>
          <w:szCs w:val="28"/>
        </w:rPr>
        <w:t>Pakalpojuma sniegšana valsts rezervju veidošanai Latvijas Republikas komersantiem nav pietiekoši pievilcīga, jo vietējiem komersantiem nav pietiekamas ilgtermiņa uzglabāšanas kapacitātes un nav brīvo finanšu līdzekļ</w:t>
      </w:r>
      <w:r w:rsidRPr="00870FD9" w:rsidR="00626A71">
        <w:rPr>
          <w:bCs/>
          <w:color w:val="000000" w:themeColor="text1"/>
          <w:szCs w:val="28"/>
        </w:rPr>
        <w:t>u</w:t>
      </w:r>
      <w:r w:rsidRPr="00870FD9">
        <w:rPr>
          <w:bCs/>
          <w:color w:val="000000" w:themeColor="text1"/>
          <w:szCs w:val="28"/>
        </w:rPr>
        <w:t>, kurus ieguldīt pakalpojuma sniegšanā, kā arī ilgā un sarežģītā procedūra, kas saistīta ar vērtēšanu saskaņā ar PIL, komersantos nerada pietiekamu interesi. Šī iemesla dēļ valstij nākas rēķināties ar to, ka konkursa pretendentu lokā palielinās ārvalstu komersantu īpatsvars, kas veicina iespējamu konkursa pieteikumu izvērtēšanai nepieciešamā laika palielināšanos, un kļūst sarežģītāka procedūra, kuras ietvaros ir jāpārbauda pretendentu atbilstība konkursa prasībām;</w:t>
      </w:r>
    </w:p>
    <w:p w:rsidR="007604F1" w:rsidRPr="00870FD9" w:rsidP="007604F1">
      <w:pPr>
        <w:numPr>
          <w:ilvl w:val="0"/>
          <w:numId w:val="9"/>
        </w:numPr>
        <w:spacing w:before="120"/>
        <w:ind w:left="567" w:hanging="283"/>
        <w:jc w:val="both"/>
        <w:textAlignment w:val="auto"/>
        <w:rPr>
          <w:bCs/>
          <w:color w:val="000000" w:themeColor="text1"/>
          <w:szCs w:val="28"/>
        </w:rPr>
      </w:pPr>
      <w:r w:rsidRPr="00870FD9">
        <w:rPr>
          <w:bCs/>
          <w:color w:val="000000" w:themeColor="text1"/>
          <w:szCs w:val="28"/>
        </w:rPr>
        <w:t xml:space="preserve">Naftas produktu tirgotāji, ņemot vērā iepriekšējo </w:t>
      </w:r>
      <w:r w:rsidRPr="00870FD9" w:rsidR="00FE7BDB">
        <w:rPr>
          <w:bCs/>
          <w:color w:val="000000" w:themeColor="text1"/>
          <w:szCs w:val="28"/>
        </w:rPr>
        <w:t xml:space="preserve">birokrātiski sarežģīto </w:t>
      </w:r>
      <w:r w:rsidRPr="00870FD9">
        <w:rPr>
          <w:bCs/>
          <w:color w:val="000000" w:themeColor="text1"/>
          <w:szCs w:val="28"/>
        </w:rPr>
        <w:t>pieredzi, nevēlas tērēt līdzekļus dalībai konkursā. Situācijā, kad konkursa vērtēšana aizņem ilgu laiku, bet uzņēmēji iztērējuši būtiskus līdzekļus dalībai konkursā, nav vēlmes piedalīties atkārtoti, jo neredz iespēju samazināt cenu, kā arī iegūt tiesības sniegt pakalpojumu.</w:t>
      </w:r>
    </w:p>
    <w:p w:rsidR="007604F1" w:rsidRPr="00870FD9" w:rsidP="007604F1">
      <w:pPr>
        <w:pStyle w:val="ListParagraph"/>
        <w:numPr>
          <w:ilvl w:val="0"/>
          <w:numId w:val="9"/>
        </w:numPr>
        <w:spacing w:before="120" w:after="120"/>
        <w:jc w:val="both"/>
        <w:textAlignment w:val="auto"/>
        <w:rPr>
          <w:rFonts w:ascii="Times New Roman" w:hAnsi="Times New Roman"/>
          <w:bCs/>
          <w:color w:val="000000" w:themeColor="text1"/>
          <w:sz w:val="24"/>
          <w:szCs w:val="28"/>
        </w:rPr>
      </w:pPr>
      <w:r w:rsidRPr="00870FD9">
        <w:rPr>
          <w:rFonts w:ascii="Times New Roman" w:hAnsi="Times New Roman"/>
          <w:b/>
          <w:bCs/>
          <w:color w:val="000000" w:themeColor="text1"/>
          <w:sz w:val="24"/>
          <w:szCs w:val="28"/>
        </w:rPr>
        <w:t>Pārkāpumu procedūras risks konkursa kavējuma rezultātā</w:t>
      </w:r>
    </w:p>
    <w:p w:rsidR="007604F1" w:rsidRPr="00870FD9" w:rsidP="00FE7BDB">
      <w:pPr>
        <w:spacing w:before="120" w:after="120"/>
        <w:ind w:left="360"/>
        <w:jc w:val="both"/>
        <w:rPr>
          <w:color w:val="000000" w:themeColor="text1"/>
          <w:szCs w:val="28"/>
        </w:rPr>
      </w:pPr>
      <w:r w:rsidRPr="00870FD9">
        <w:rPr>
          <w:color w:val="000000" w:themeColor="text1"/>
          <w:szCs w:val="28"/>
        </w:rPr>
        <w:t>Konkursa norises kavējums rezultējas Latvijas saistību</w:t>
      </w:r>
      <w:r w:rsidRPr="00870FD9" w:rsidR="00FE7BDB">
        <w:rPr>
          <w:color w:val="000000" w:themeColor="text1"/>
          <w:szCs w:val="28"/>
        </w:rPr>
        <w:t xml:space="preserve"> ES</w:t>
      </w:r>
      <w:r w:rsidRPr="00870FD9">
        <w:rPr>
          <w:color w:val="000000" w:themeColor="text1"/>
          <w:szCs w:val="28"/>
        </w:rPr>
        <w:t xml:space="preserve"> nepildīšanā</w:t>
      </w:r>
      <w:r w:rsidRPr="00870FD9" w:rsidR="00FE7BDB">
        <w:rPr>
          <w:color w:val="000000" w:themeColor="text1"/>
          <w:szCs w:val="28"/>
        </w:rPr>
        <w:t xml:space="preserve">. </w:t>
      </w:r>
      <w:r w:rsidRPr="00870FD9">
        <w:rPr>
          <w:bCs/>
          <w:color w:val="000000" w:themeColor="text1"/>
          <w:szCs w:val="28"/>
        </w:rPr>
        <w:t>Ja saskaņā ar Direktīva</w:t>
      </w:r>
      <w:r w:rsidRPr="00870FD9" w:rsidR="00FE7BDB">
        <w:rPr>
          <w:bCs/>
          <w:color w:val="000000" w:themeColor="text1"/>
          <w:szCs w:val="28"/>
        </w:rPr>
        <w:t>s</w:t>
      </w:r>
      <w:r w:rsidRPr="00870FD9">
        <w:rPr>
          <w:bCs/>
          <w:color w:val="000000" w:themeColor="text1"/>
          <w:szCs w:val="28"/>
        </w:rPr>
        <w:t xml:space="preserve"> 2009/119/EK nosacījumiem netiks </w:t>
      </w:r>
      <w:r w:rsidRPr="00870FD9" w:rsidR="00FE7BDB">
        <w:rPr>
          <w:bCs/>
          <w:color w:val="000000" w:themeColor="text1"/>
          <w:szCs w:val="28"/>
        </w:rPr>
        <w:t xml:space="preserve">nodrošināts nepieciešamais </w:t>
      </w:r>
      <w:r w:rsidRPr="00870FD9">
        <w:rPr>
          <w:bCs/>
          <w:color w:val="000000" w:themeColor="text1"/>
          <w:szCs w:val="28"/>
        </w:rPr>
        <w:t xml:space="preserve">obligāti </w:t>
      </w:r>
      <w:r w:rsidRPr="00870FD9" w:rsidR="00FE7BDB">
        <w:rPr>
          <w:bCs/>
          <w:color w:val="000000" w:themeColor="text1"/>
          <w:szCs w:val="28"/>
        </w:rPr>
        <w:t xml:space="preserve">uzglabājamo </w:t>
      </w:r>
      <w:r w:rsidRPr="00870FD9">
        <w:rPr>
          <w:bCs/>
          <w:color w:val="000000" w:themeColor="text1"/>
          <w:szCs w:val="28"/>
        </w:rPr>
        <w:t xml:space="preserve">rezervju </w:t>
      </w:r>
      <w:r w:rsidRPr="00870FD9" w:rsidR="00FE7BDB">
        <w:rPr>
          <w:bCs/>
          <w:color w:val="000000" w:themeColor="text1"/>
          <w:szCs w:val="28"/>
        </w:rPr>
        <w:t xml:space="preserve">apjoms </w:t>
      </w:r>
      <w:r w:rsidRPr="00870FD9">
        <w:rPr>
          <w:bCs/>
          <w:color w:val="000000" w:themeColor="text1"/>
          <w:szCs w:val="28"/>
        </w:rPr>
        <w:t xml:space="preserve">Latvijas teritorijā un Eiropas Savienības dalībvalstu teritorijā, proti, ja konkursa ietvaros netiks laicīgi noslēgti līgumi par drošības rezervju pakalpojumu sniegšanu, tiktu ierosināta pārkāpuma procedūra un izskatīts jautājums par attiecīgā soda piemērošanu. Aptuvenais soda apmērs ir 320 000 EUR apmērā un papildu 24 000 EUR par katru dienu. Soda naudas apmērs dienā katrā gadījumā individuāli var atšķirties.  </w:t>
      </w:r>
    </w:p>
    <w:p w:rsidR="007604F1" w:rsidRPr="00870FD9" w:rsidP="007604F1">
      <w:pPr>
        <w:spacing w:before="120" w:after="120"/>
        <w:jc w:val="both"/>
        <w:textAlignment w:val="auto"/>
        <w:rPr>
          <w:b/>
          <w:bCs/>
          <w:color w:val="000000" w:themeColor="text1"/>
          <w:szCs w:val="28"/>
        </w:rPr>
      </w:pPr>
    </w:p>
    <w:p w:rsidR="007604F1" w:rsidRPr="00870FD9" w:rsidP="0033657C">
      <w:pPr>
        <w:pStyle w:val="ListParagraph"/>
        <w:numPr>
          <w:ilvl w:val="0"/>
          <w:numId w:val="14"/>
        </w:numPr>
        <w:spacing w:before="120" w:after="120"/>
        <w:jc w:val="both"/>
        <w:textAlignment w:val="auto"/>
        <w:outlineLvl w:val="0"/>
        <w:rPr>
          <w:rFonts w:ascii="Times New Roman" w:hAnsi="Times New Roman"/>
          <w:color w:val="000000" w:themeColor="text1"/>
          <w:sz w:val="24"/>
          <w:szCs w:val="28"/>
        </w:rPr>
      </w:pPr>
      <w:bookmarkStart w:id="23" w:name="_Toc499712145"/>
      <w:bookmarkStart w:id="24" w:name="_Toc256000007"/>
      <w:bookmarkStart w:id="25" w:name="_Toc256000017"/>
      <w:r w:rsidRPr="00870FD9">
        <w:rPr>
          <w:rFonts w:ascii="Times New Roman" w:hAnsi="Times New Roman"/>
          <w:b/>
          <w:bCs/>
          <w:color w:val="000000" w:themeColor="text1"/>
          <w:sz w:val="24"/>
          <w:szCs w:val="28"/>
        </w:rPr>
        <w:t>Risinājumi</w:t>
      </w:r>
      <w:bookmarkEnd w:id="25"/>
      <w:bookmarkEnd w:id="24"/>
      <w:bookmarkEnd w:id="23"/>
    </w:p>
    <w:p w:rsidR="007604F1" w:rsidRPr="00870FD9" w:rsidP="007604F1">
      <w:pPr>
        <w:spacing w:after="120"/>
        <w:jc w:val="both"/>
        <w:textAlignment w:val="auto"/>
        <w:rPr>
          <w:bCs/>
          <w:color w:val="000000" w:themeColor="text1"/>
          <w:szCs w:val="28"/>
        </w:rPr>
      </w:pPr>
      <w:r w:rsidRPr="00870FD9">
        <w:rPr>
          <w:bCs/>
          <w:color w:val="000000" w:themeColor="text1"/>
          <w:szCs w:val="28"/>
        </w:rPr>
        <w:t xml:space="preserve">Lai </w:t>
      </w:r>
      <w:r w:rsidRPr="00870FD9" w:rsidR="007A5A26">
        <w:rPr>
          <w:bCs/>
          <w:color w:val="000000" w:themeColor="text1"/>
          <w:szCs w:val="28"/>
        </w:rPr>
        <w:t xml:space="preserve">samazinātu </w:t>
      </w:r>
      <w:r w:rsidRPr="00870FD9">
        <w:rPr>
          <w:bCs/>
          <w:color w:val="000000" w:themeColor="text1"/>
          <w:szCs w:val="28"/>
        </w:rPr>
        <w:t>riskus, ka naftas drošības rezerves Latvijā netiek nodrošinātas paredzētajā termiņā, tādējādi nepildot ES prasības, ir nepieciešams pilnveidot pašlaik spēkā esošo sistēmu.</w:t>
      </w:r>
    </w:p>
    <w:p w:rsidR="007604F1" w:rsidRPr="00870FD9" w:rsidP="007604F1">
      <w:pPr>
        <w:spacing w:after="120"/>
        <w:jc w:val="both"/>
        <w:textAlignment w:val="auto"/>
        <w:rPr>
          <w:bCs/>
          <w:color w:val="000000" w:themeColor="text1"/>
          <w:szCs w:val="28"/>
        </w:rPr>
      </w:pPr>
      <w:r w:rsidRPr="00870FD9">
        <w:rPr>
          <w:bCs/>
          <w:color w:val="000000" w:themeColor="text1"/>
          <w:szCs w:val="28"/>
        </w:rPr>
        <w:t>To ir iespējams panākt, īstenojot vienu no šādiem risinājumiem:</w:t>
      </w:r>
    </w:p>
    <w:p w:rsidR="007604F1" w:rsidRPr="00870FD9" w:rsidP="007604F1">
      <w:pPr>
        <w:pStyle w:val="ListParagraph"/>
        <w:numPr>
          <w:ilvl w:val="0"/>
          <w:numId w:val="16"/>
        </w:numPr>
        <w:spacing w:after="120"/>
        <w:jc w:val="both"/>
        <w:textAlignment w:val="auto"/>
        <w:rPr>
          <w:rFonts w:ascii="Times New Roman" w:hAnsi="Times New Roman"/>
          <w:bCs/>
          <w:color w:val="000000" w:themeColor="text1"/>
          <w:sz w:val="24"/>
          <w:szCs w:val="28"/>
        </w:rPr>
      </w:pPr>
      <w:r w:rsidRPr="00870FD9">
        <w:rPr>
          <w:rFonts w:ascii="Times New Roman" w:hAnsi="Times New Roman"/>
          <w:bCs/>
          <w:color w:val="000000" w:themeColor="text1"/>
          <w:sz w:val="24"/>
          <w:szCs w:val="28"/>
        </w:rPr>
        <w:t xml:space="preserve">Organizēt naftas rezervju pakalpojumu konkursu atbilstoši </w:t>
      </w:r>
      <w:r w:rsidRPr="00870FD9">
        <w:rPr>
          <w:rFonts w:ascii="Times New Roman" w:hAnsi="Times New Roman"/>
          <w:color w:val="000000" w:themeColor="text1"/>
          <w:sz w:val="24"/>
          <w:szCs w:val="28"/>
          <w:lang w:eastAsia="lv-LV"/>
        </w:rPr>
        <w:t>Aizsardzības un drošības jomas iepirkumu likuma procedūrām;</w:t>
      </w:r>
    </w:p>
    <w:p w:rsidR="007604F1" w:rsidRPr="00870FD9" w:rsidP="007604F1">
      <w:pPr>
        <w:pStyle w:val="ListParagraph"/>
        <w:numPr>
          <w:ilvl w:val="0"/>
          <w:numId w:val="16"/>
        </w:numPr>
        <w:spacing w:after="120"/>
        <w:jc w:val="both"/>
        <w:textAlignment w:val="auto"/>
        <w:rPr>
          <w:rFonts w:ascii="Times New Roman" w:hAnsi="Times New Roman"/>
          <w:bCs/>
          <w:color w:val="000000" w:themeColor="text1"/>
          <w:sz w:val="24"/>
          <w:szCs w:val="28"/>
        </w:rPr>
      </w:pPr>
      <w:r w:rsidRPr="00870FD9">
        <w:rPr>
          <w:rFonts w:ascii="Times New Roman" w:hAnsi="Times New Roman"/>
          <w:color w:val="000000" w:themeColor="text1"/>
          <w:sz w:val="24"/>
          <w:szCs w:val="28"/>
          <w:lang w:eastAsia="lv-LV"/>
        </w:rPr>
        <w:t>Veikt grozījumus PIL un noteikt stingrākus nosacījumus konkursa nolikumā;</w:t>
      </w:r>
    </w:p>
    <w:p w:rsidR="007604F1" w:rsidRPr="00870FD9" w:rsidP="007604F1">
      <w:pPr>
        <w:pStyle w:val="ListParagraph"/>
        <w:numPr>
          <w:ilvl w:val="0"/>
          <w:numId w:val="16"/>
        </w:numPr>
        <w:spacing w:after="120"/>
        <w:jc w:val="both"/>
        <w:textAlignment w:val="auto"/>
        <w:rPr>
          <w:rFonts w:ascii="Times New Roman" w:hAnsi="Times New Roman"/>
          <w:bCs/>
          <w:color w:val="000000" w:themeColor="text1"/>
          <w:sz w:val="24"/>
          <w:szCs w:val="28"/>
        </w:rPr>
      </w:pPr>
      <w:r w:rsidRPr="00870FD9">
        <w:rPr>
          <w:rFonts w:ascii="Times New Roman" w:hAnsi="Times New Roman"/>
          <w:color w:val="000000" w:themeColor="text1"/>
          <w:sz w:val="24"/>
          <w:szCs w:val="28"/>
          <w:lang w:eastAsia="lv-LV"/>
        </w:rPr>
        <w:t>Valstij iegādāties nepieciešamo naftas produktu apjomu un izveidot aģentūru, kas nodarbosies ar naftas produktu pārvaldību.</w:t>
      </w:r>
    </w:p>
    <w:p w:rsidR="007604F1" w:rsidRPr="00870FD9" w:rsidP="007604F1">
      <w:pPr>
        <w:spacing w:after="120"/>
        <w:jc w:val="both"/>
        <w:textAlignment w:val="auto"/>
        <w:rPr>
          <w:bCs/>
          <w:color w:val="000000" w:themeColor="text1"/>
          <w:szCs w:val="28"/>
        </w:rPr>
      </w:pPr>
      <w:r w:rsidRPr="00870FD9">
        <w:rPr>
          <w:bCs/>
          <w:color w:val="000000" w:themeColor="text1"/>
          <w:szCs w:val="28"/>
        </w:rPr>
        <w:t>Turpmāk ziņojumā netiek apskatīts trešais variants, jo tas nav praktiski īstenojams līdz 2018.gada 1.jūlijam (jauna naftas produktu rezervju nodrošināšanas perioda sākums)</w:t>
      </w:r>
      <w:r w:rsidRPr="00870FD9" w:rsidR="00FF4610">
        <w:rPr>
          <w:bCs/>
          <w:color w:val="000000" w:themeColor="text1"/>
          <w:szCs w:val="28"/>
        </w:rPr>
        <w:t>, tomēr</w:t>
      </w:r>
      <w:r w:rsidRPr="00870FD9">
        <w:rPr>
          <w:bCs/>
          <w:color w:val="000000" w:themeColor="text1"/>
          <w:szCs w:val="28"/>
        </w:rPr>
        <w:t xml:space="preserve"> tas var būt pamats diskusijai par turpmāku sistēmas uzlabošanu nākotnē.</w:t>
      </w:r>
    </w:p>
    <w:p w:rsidR="007604F1" w:rsidRPr="00870FD9" w:rsidP="007604F1">
      <w:pPr>
        <w:spacing w:after="120"/>
        <w:jc w:val="both"/>
        <w:textAlignment w:val="auto"/>
        <w:rPr>
          <w:bCs/>
          <w:color w:val="000000" w:themeColor="text1"/>
          <w:szCs w:val="28"/>
        </w:rPr>
      </w:pPr>
    </w:p>
    <w:p w:rsidR="007604F1" w:rsidRPr="00870FD9" w:rsidP="007604F1">
      <w:pPr>
        <w:spacing w:before="120" w:after="120"/>
        <w:jc w:val="both"/>
        <w:rPr>
          <w:b/>
          <w:color w:val="000000" w:themeColor="text1"/>
          <w:szCs w:val="28"/>
          <w:lang w:eastAsia="lv-LV"/>
        </w:rPr>
      </w:pPr>
      <w:r w:rsidRPr="00870FD9">
        <w:rPr>
          <w:b/>
          <w:color w:val="000000" w:themeColor="text1"/>
          <w:szCs w:val="28"/>
        </w:rPr>
        <w:t>1.variants: Konkur</w:t>
      </w:r>
      <w:r w:rsidR="0020658B">
        <w:rPr>
          <w:b/>
          <w:color w:val="000000" w:themeColor="text1"/>
          <w:szCs w:val="28"/>
        </w:rPr>
        <w:t>s</w:t>
      </w:r>
      <w:bookmarkStart w:id="26" w:name="_GoBack"/>
      <w:bookmarkEnd w:id="26"/>
      <w:r w:rsidRPr="00870FD9">
        <w:rPr>
          <w:b/>
          <w:color w:val="000000" w:themeColor="text1"/>
          <w:szCs w:val="28"/>
        </w:rPr>
        <w:t xml:space="preserve">a procedūra var būt organizēta, piemērojot </w:t>
      </w:r>
      <w:r w:rsidRPr="00870FD9">
        <w:rPr>
          <w:b/>
          <w:color w:val="000000" w:themeColor="text1"/>
          <w:szCs w:val="28"/>
          <w:lang w:eastAsia="lv-LV"/>
        </w:rPr>
        <w:t>Aizsardzības un drošības jomas iepirkumu likumu.</w:t>
      </w:r>
    </w:p>
    <w:p w:rsidR="007604F1" w:rsidRPr="00870FD9" w:rsidP="007604F1">
      <w:pPr>
        <w:spacing w:before="120" w:after="120"/>
        <w:jc w:val="both"/>
        <w:rPr>
          <w:color w:val="000000" w:themeColor="text1"/>
          <w:szCs w:val="28"/>
          <w:lang w:eastAsia="lv-LV"/>
        </w:rPr>
      </w:pPr>
      <w:r w:rsidRPr="00870FD9">
        <w:rPr>
          <w:color w:val="000000" w:themeColor="text1"/>
          <w:szCs w:val="28"/>
          <w:lang w:eastAsia="lv-LV"/>
        </w:rPr>
        <w:t xml:space="preserve">Risinājums paredz konkursa organizēšanu, </w:t>
      </w:r>
      <w:r w:rsidRPr="00870FD9">
        <w:rPr>
          <w:b/>
          <w:color w:val="000000" w:themeColor="text1"/>
          <w:szCs w:val="28"/>
        </w:rPr>
        <w:t xml:space="preserve">piemērojot </w:t>
      </w:r>
      <w:r w:rsidRPr="00870FD9">
        <w:rPr>
          <w:b/>
          <w:color w:val="000000" w:themeColor="text1"/>
          <w:szCs w:val="28"/>
          <w:lang w:eastAsia="lv-LV"/>
        </w:rPr>
        <w:t>Aizsardzības un drošības jomas iepirkumu likumu</w:t>
      </w:r>
      <w:r w:rsidRPr="00870FD9">
        <w:rPr>
          <w:color w:val="000000" w:themeColor="text1"/>
          <w:szCs w:val="28"/>
          <w:lang w:eastAsia="lv-LV"/>
        </w:rPr>
        <w:t xml:space="preserve"> (ADJIL). </w:t>
      </w:r>
    </w:p>
    <w:p w:rsidR="007604F1" w:rsidRPr="00870FD9" w:rsidP="007604F1">
      <w:pPr>
        <w:spacing w:before="120" w:after="120"/>
        <w:jc w:val="both"/>
        <w:rPr>
          <w:color w:val="000000" w:themeColor="text1"/>
          <w:szCs w:val="28"/>
          <w:lang w:eastAsia="lv-LV"/>
        </w:rPr>
      </w:pPr>
      <w:r w:rsidRPr="00870FD9">
        <w:rPr>
          <w:color w:val="000000" w:themeColor="text1"/>
          <w:szCs w:val="28"/>
          <w:lang w:eastAsia="lv-LV"/>
        </w:rPr>
        <w:t>Piemērojot ADJIL</w:t>
      </w:r>
      <w:r w:rsidRPr="00870FD9" w:rsidR="0086436D">
        <w:rPr>
          <w:color w:val="000000" w:themeColor="text1"/>
          <w:szCs w:val="28"/>
          <w:lang w:eastAsia="lv-LV"/>
        </w:rPr>
        <w:t>,</w:t>
      </w:r>
      <w:r w:rsidRPr="00870FD9">
        <w:rPr>
          <w:color w:val="000000" w:themeColor="text1"/>
          <w:szCs w:val="28"/>
          <w:lang w:eastAsia="lv-LV"/>
        </w:rPr>
        <w:t xml:space="preserve"> ir iespējama slēgta konkursa izsludināšana, t.i. iepirkuma procedūra, kurā visi ieinteresētie piegādātāji var pieprasīt tiesības piedalīties konkursā, bet konkursa organizators ir tiesīgs uzaicināt piedalīties tā izvēlētos kandidātus. Attiecīgi konkursa piedāvājumus ir tiesīgi iesniegt tikai tie kandidāti, kurus pasūtītājs uzaicina.</w:t>
      </w:r>
    </w:p>
    <w:p w:rsidR="00B8001F" w:rsidRPr="00870FD9" w:rsidP="007604F1">
      <w:pPr>
        <w:spacing w:before="120" w:after="120"/>
        <w:jc w:val="both"/>
        <w:rPr>
          <w:color w:val="000000" w:themeColor="text1"/>
          <w:szCs w:val="28"/>
          <w:lang w:eastAsia="lv-LV"/>
        </w:rPr>
      </w:pPr>
      <w:r w:rsidRPr="00870FD9">
        <w:rPr>
          <w:color w:val="000000" w:themeColor="text1"/>
          <w:szCs w:val="28"/>
          <w:lang w:eastAsia="lv-LV"/>
        </w:rPr>
        <w:t xml:space="preserve">ADJIL 44.panta pirmās daļas otrais punkts pieļauj izslēgt kandidātu vai pretendentu no turpmākas dalības iepirkuma procedūrā, ja pasūtītājs ir saņēmis valsts drošības iestādes atzinumu, ka iepirkuma līguma noslēgšana ar kandidātu vai pretendentu var radīt draudus nacionālajai drošībai. Tādējādi šādā veidā būtu iespējams kliedēt paustās sabiedrības bažas attiecībā uz atsevišķu konkursa pretendentu atbilstību, kā arī novērst iespējamos riskus </w:t>
      </w:r>
      <w:r w:rsidRPr="00870FD9">
        <w:rPr>
          <w:color w:val="000000" w:themeColor="text1"/>
          <w:szCs w:val="28"/>
        </w:rPr>
        <w:t>enerģētiskās krīzes vai valsts apdraudējuma iestāšanās gadījumā</w:t>
      </w:r>
      <w:r w:rsidRPr="00870FD9">
        <w:rPr>
          <w:color w:val="000000" w:themeColor="text1"/>
          <w:szCs w:val="28"/>
          <w:lang w:eastAsia="lv-LV"/>
        </w:rPr>
        <w:t>.</w:t>
      </w:r>
    </w:p>
    <w:p w:rsidR="007604F1" w:rsidRPr="00870FD9" w:rsidP="007604F1">
      <w:pPr>
        <w:spacing w:before="120" w:after="120"/>
        <w:jc w:val="both"/>
        <w:rPr>
          <w:bCs/>
          <w:color w:val="000000" w:themeColor="text1"/>
          <w:szCs w:val="28"/>
        </w:rPr>
      </w:pPr>
      <w:r w:rsidRPr="00870FD9">
        <w:rPr>
          <w:color w:val="000000" w:themeColor="text1"/>
          <w:szCs w:val="28"/>
          <w:lang w:eastAsia="lv-LV"/>
        </w:rPr>
        <w:t xml:space="preserve">ADJL pamatā ir </w:t>
      </w:r>
      <w:r w:rsidRPr="00870FD9">
        <w:rPr>
          <w:bCs/>
          <w:color w:val="000000" w:themeColor="text1"/>
          <w:szCs w:val="28"/>
        </w:rPr>
        <w:t>Eiropas Savienības iepirkumu regulējums</w:t>
      </w:r>
      <w:r w:rsidRPr="00870FD9">
        <w:rPr>
          <w:color w:val="000000" w:themeColor="text1"/>
          <w:szCs w:val="28"/>
          <w:shd w:val="clear" w:color="auto" w:fill="FFFFFF"/>
        </w:rPr>
        <w:t>, kas izriet no Eiropas Parlamenta un Padomes 2009.gada 13.jūlija direktīvas </w:t>
      </w:r>
      <w:r>
        <w:fldChar w:fldCharType="begin"/>
      </w:r>
      <w:r>
        <w:instrText xml:space="preserve"> HYPERLINK "http://eur-lex.europa.eu/eli/dir/2009/81/oj/?locale=LV" \t "_blank" </w:instrText>
      </w:r>
      <w:r>
        <w:fldChar w:fldCharType="separate"/>
      </w:r>
      <w:r w:rsidRPr="00870FD9">
        <w:rPr>
          <w:rStyle w:val="Hyperlink"/>
          <w:color w:val="000000" w:themeColor="text1"/>
          <w:szCs w:val="28"/>
          <w:u w:val="none"/>
          <w:shd w:val="clear" w:color="auto" w:fill="FFFFFF"/>
        </w:rPr>
        <w:t>2009/81/EK</w:t>
      </w:r>
      <w:r>
        <w:fldChar w:fldCharType="end"/>
      </w:r>
      <w:r w:rsidRPr="00870FD9">
        <w:rPr>
          <w:color w:val="000000" w:themeColor="text1"/>
          <w:szCs w:val="28"/>
        </w:rPr>
        <w:t xml:space="preserve">, </w:t>
      </w:r>
      <w:r w:rsidRPr="00870FD9">
        <w:rPr>
          <w:color w:val="000000" w:themeColor="text1"/>
          <w:szCs w:val="28"/>
          <w:shd w:val="clear" w:color="auto" w:fill="FFFFFF"/>
        </w:rPr>
        <w:t>ar kuru koordinē procedūras attiecībā uz to, kā līgumslēdzējas iestādes vai subjekti, kas darbojas drošības un aizsardzības jomā, piešķir noteiktu būvdarbu, piegādes un pakalpojumu līgumu slēgšanas tiesības, un ar kuru groza direktīvas </w:t>
      </w:r>
      <w:r>
        <w:fldChar w:fldCharType="begin"/>
      </w:r>
      <w:r>
        <w:instrText xml:space="preserve"> HYPERLINK "http://eur-lex.europa.eu/eli/dir/2004/17/oj/?locale=LV" \t "_blank" </w:instrText>
      </w:r>
      <w:r>
        <w:fldChar w:fldCharType="separate"/>
      </w:r>
      <w:r w:rsidRPr="00870FD9">
        <w:rPr>
          <w:rStyle w:val="Hyperlink"/>
          <w:color w:val="000000" w:themeColor="text1"/>
          <w:szCs w:val="28"/>
          <w:u w:val="none"/>
          <w:shd w:val="clear" w:color="auto" w:fill="FFFFFF"/>
        </w:rPr>
        <w:t>2004/17/EK</w:t>
      </w:r>
      <w:r>
        <w:fldChar w:fldCharType="end"/>
      </w:r>
      <w:r w:rsidRPr="00870FD9">
        <w:rPr>
          <w:color w:val="000000" w:themeColor="text1"/>
          <w:szCs w:val="28"/>
          <w:shd w:val="clear" w:color="auto" w:fill="FFFFFF"/>
        </w:rPr>
        <w:t> un </w:t>
      </w:r>
      <w:r>
        <w:fldChar w:fldCharType="begin"/>
      </w:r>
      <w:r>
        <w:instrText xml:space="preserve"> HYPERLINK "http://eur-lex.europa.eu/eli/dir/2004/18/oj/?locale=LV" \t "_blank" </w:instrText>
      </w:r>
      <w:r>
        <w:fldChar w:fldCharType="separate"/>
      </w:r>
      <w:r w:rsidRPr="00870FD9">
        <w:rPr>
          <w:rStyle w:val="Hyperlink"/>
          <w:color w:val="000000" w:themeColor="text1"/>
          <w:szCs w:val="28"/>
          <w:u w:val="none"/>
          <w:shd w:val="clear" w:color="auto" w:fill="FFFFFF"/>
        </w:rPr>
        <w:t>2004/18/EK</w:t>
      </w:r>
      <w:r>
        <w:fldChar w:fldCharType="end"/>
      </w:r>
      <w:r>
        <w:rPr>
          <w:rStyle w:val="FootnoteReference"/>
          <w:color w:val="000000" w:themeColor="text1"/>
          <w:szCs w:val="28"/>
          <w:shd w:val="clear" w:color="auto" w:fill="FFFFFF"/>
        </w:rPr>
        <w:footnoteReference w:id="15"/>
      </w:r>
      <w:r w:rsidRPr="00870FD9" w:rsidR="00432C09">
        <w:rPr>
          <w:rStyle w:val="Hyperlink"/>
          <w:color w:val="000000" w:themeColor="text1"/>
          <w:szCs w:val="28"/>
          <w:u w:val="none"/>
          <w:shd w:val="clear" w:color="auto" w:fill="FFFFFF"/>
        </w:rPr>
        <w:t xml:space="preserve"> </w:t>
      </w:r>
      <w:r w:rsidRPr="00870FD9">
        <w:rPr>
          <w:color w:val="000000" w:themeColor="text1"/>
          <w:szCs w:val="28"/>
        </w:rPr>
        <w:t xml:space="preserve">(turpmāk - </w:t>
      </w:r>
      <w:r w:rsidRPr="00870FD9">
        <w:rPr>
          <w:bCs/>
          <w:color w:val="000000" w:themeColor="text1"/>
          <w:szCs w:val="28"/>
        </w:rPr>
        <w:t>D</w:t>
      </w:r>
      <w:r w:rsidRPr="00870FD9">
        <w:rPr>
          <w:color w:val="000000" w:themeColor="text1"/>
          <w:szCs w:val="28"/>
          <w:shd w:val="clear" w:color="auto" w:fill="FFFFFF"/>
        </w:rPr>
        <w:t>irektīva </w:t>
      </w:r>
      <w:r>
        <w:fldChar w:fldCharType="begin"/>
      </w:r>
      <w:r>
        <w:instrText xml:space="preserve"> HYPERLINK "http://eur-lex.europa.eu/eli/dir/2009/81/oj/?locale=LV" \t "_blank" </w:instrText>
      </w:r>
      <w:r>
        <w:fldChar w:fldCharType="separate"/>
      </w:r>
      <w:r w:rsidRPr="00870FD9">
        <w:rPr>
          <w:rStyle w:val="Hyperlink"/>
          <w:color w:val="000000" w:themeColor="text1"/>
          <w:szCs w:val="28"/>
          <w:u w:val="none"/>
          <w:shd w:val="clear" w:color="auto" w:fill="FFFFFF"/>
        </w:rPr>
        <w:t>2009/81/EK</w:t>
      </w:r>
      <w:r>
        <w:fldChar w:fldCharType="end"/>
      </w:r>
      <w:r w:rsidRPr="00870FD9">
        <w:rPr>
          <w:color w:val="000000" w:themeColor="text1"/>
          <w:szCs w:val="28"/>
        </w:rPr>
        <w:t>)</w:t>
      </w:r>
      <w:r w:rsidRPr="00870FD9">
        <w:rPr>
          <w:color w:val="000000" w:themeColor="text1"/>
          <w:szCs w:val="28"/>
          <w:shd w:val="clear" w:color="auto" w:fill="FFFFFF"/>
        </w:rPr>
        <w:t>.</w:t>
      </w:r>
      <w:r w:rsidRPr="00870FD9">
        <w:rPr>
          <w:bCs/>
          <w:color w:val="000000" w:themeColor="text1"/>
          <w:szCs w:val="28"/>
        </w:rPr>
        <w:t xml:space="preserve"> </w:t>
      </w:r>
    </w:p>
    <w:p w:rsidR="007A5A26" w:rsidRPr="00870FD9" w:rsidP="007604F1">
      <w:pPr>
        <w:spacing w:before="120" w:after="120"/>
        <w:jc w:val="both"/>
        <w:rPr>
          <w:bCs/>
          <w:color w:val="000000" w:themeColor="text1"/>
          <w:szCs w:val="28"/>
        </w:rPr>
      </w:pPr>
      <w:r w:rsidRPr="00870FD9">
        <w:rPr>
          <w:bCs/>
          <w:color w:val="000000" w:themeColor="text1"/>
          <w:szCs w:val="28"/>
        </w:rPr>
        <w:t xml:space="preserve">Atbilstoši </w:t>
      </w:r>
      <w:r w:rsidRPr="00870FD9" w:rsidR="009B6775">
        <w:rPr>
          <w:color w:val="000000" w:themeColor="text1"/>
          <w:szCs w:val="28"/>
          <w:shd w:val="clear" w:color="auto" w:fill="FFFFFF"/>
        </w:rPr>
        <w:t>D</w:t>
      </w:r>
      <w:r w:rsidRPr="00870FD9">
        <w:rPr>
          <w:color w:val="000000" w:themeColor="text1"/>
          <w:szCs w:val="28"/>
          <w:shd w:val="clear" w:color="auto" w:fill="FFFFFF"/>
        </w:rPr>
        <w:t>irektīvas </w:t>
      </w:r>
      <w:r>
        <w:fldChar w:fldCharType="begin"/>
      </w:r>
      <w:r>
        <w:instrText xml:space="preserve"> HYPERLINK "http://eur-lex.europa.eu/eli/dir/2009/81/oj/?locale=LV" \t "_blank" </w:instrText>
      </w:r>
      <w:r>
        <w:fldChar w:fldCharType="separate"/>
      </w:r>
      <w:r w:rsidRPr="00870FD9">
        <w:rPr>
          <w:rStyle w:val="Hyperlink"/>
          <w:color w:val="000000" w:themeColor="text1"/>
          <w:szCs w:val="28"/>
          <w:u w:val="none"/>
          <w:shd w:val="clear" w:color="auto" w:fill="FFFFFF"/>
        </w:rPr>
        <w:t>2009/81/EK</w:t>
      </w:r>
      <w:r>
        <w:fldChar w:fldCharType="end"/>
      </w:r>
      <w:r w:rsidRPr="00870FD9">
        <w:rPr>
          <w:color w:val="000000" w:themeColor="text1"/>
          <w:szCs w:val="28"/>
        </w:rPr>
        <w:t xml:space="preserve"> </w:t>
      </w:r>
      <w:r w:rsidRPr="00870FD9">
        <w:rPr>
          <w:bCs/>
          <w:color w:val="000000" w:themeColor="text1"/>
          <w:szCs w:val="28"/>
        </w:rPr>
        <w:t>regulējumam un COM ziņojum</w:t>
      </w:r>
      <w:r w:rsidRPr="00870FD9" w:rsidR="00AC4357">
        <w:rPr>
          <w:bCs/>
          <w:color w:val="000000" w:themeColor="text1"/>
          <w:szCs w:val="28"/>
        </w:rPr>
        <w:t>ā</w:t>
      </w:r>
      <w:r w:rsidRPr="00870FD9">
        <w:rPr>
          <w:bCs/>
          <w:color w:val="000000" w:themeColor="text1"/>
          <w:szCs w:val="28"/>
        </w:rPr>
        <w:t xml:space="preserve">  sagatavotajam skaidrojumam, D</w:t>
      </w:r>
      <w:r w:rsidRPr="00870FD9">
        <w:rPr>
          <w:color w:val="000000" w:themeColor="text1"/>
          <w:szCs w:val="28"/>
          <w:shd w:val="clear" w:color="auto" w:fill="FFFFFF"/>
        </w:rPr>
        <w:t>irektīva </w:t>
      </w:r>
      <w:r>
        <w:fldChar w:fldCharType="begin"/>
      </w:r>
      <w:r>
        <w:instrText xml:space="preserve"> HYPERLINK "http://eur-lex.europa.eu/eli/dir/2009/81/oj/?locale=LV" \t "_blank" </w:instrText>
      </w:r>
      <w:r>
        <w:fldChar w:fldCharType="separate"/>
      </w:r>
      <w:r w:rsidRPr="00870FD9">
        <w:rPr>
          <w:rStyle w:val="Hyperlink"/>
          <w:color w:val="000000" w:themeColor="text1"/>
          <w:szCs w:val="28"/>
          <w:u w:val="none"/>
          <w:shd w:val="clear" w:color="auto" w:fill="FFFFFF"/>
        </w:rPr>
        <w:t>2009/81/EK</w:t>
      </w:r>
      <w:r>
        <w:fldChar w:fldCharType="end"/>
      </w:r>
      <w:r w:rsidRPr="00870FD9">
        <w:rPr>
          <w:bCs/>
          <w:color w:val="000000" w:themeColor="text1"/>
          <w:szCs w:val="28"/>
        </w:rPr>
        <w:t xml:space="preserve"> un līdz ar to ADJIL attiecas uz “</w:t>
      </w:r>
      <w:r w:rsidRPr="00870FD9">
        <w:rPr>
          <w:bCs/>
          <w:color w:val="000000" w:themeColor="text1"/>
          <w:szCs w:val="28"/>
        </w:rPr>
        <w:t>sensitīviem</w:t>
      </w:r>
      <w:r w:rsidRPr="00870FD9">
        <w:rPr>
          <w:bCs/>
          <w:color w:val="000000" w:themeColor="text1"/>
          <w:szCs w:val="28"/>
        </w:rPr>
        <w:t xml:space="preserve"> pakalpojumiem”. </w:t>
      </w:r>
    </w:p>
    <w:p w:rsidR="007604F1" w:rsidRPr="00870FD9" w:rsidP="007604F1">
      <w:pPr>
        <w:spacing w:before="120" w:after="120"/>
        <w:jc w:val="both"/>
        <w:rPr>
          <w:bCs/>
          <w:color w:val="000000" w:themeColor="text1"/>
          <w:szCs w:val="28"/>
        </w:rPr>
      </w:pPr>
      <w:r w:rsidRPr="00870FD9">
        <w:rPr>
          <w:bCs/>
          <w:color w:val="000000" w:themeColor="text1"/>
          <w:szCs w:val="28"/>
        </w:rPr>
        <w:t xml:space="preserve">ADJIL stājies spēkā 2011.gada 16.novembrī, taču, kā jau minēts iepriekš, Valsts naftas produktu rezervju izveides koncepcija Ministru kabineta sēdē tika apstiprināta jau 2010.gada 23.martā. Līdz ar to koncepcijas izstrādes laikā nebija iespējams apskatīt cita veida risinājumu, kādu piedāvā ADJIL. </w:t>
      </w:r>
      <w:r w:rsidRPr="00870FD9" w:rsidR="00DA785A">
        <w:rPr>
          <w:bCs/>
          <w:color w:val="000000" w:themeColor="text1"/>
          <w:szCs w:val="28"/>
        </w:rPr>
        <w:t>Izveidotā</w:t>
      </w:r>
      <w:r w:rsidRPr="00870FD9">
        <w:rPr>
          <w:bCs/>
          <w:color w:val="000000" w:themeColor="text1"/>
          <w:szCs w:val="28"/>
        </w:rPr>
        <w:t xml:space="preserve"> koncepcija paredzēja, ka </w:t>
      </w:r>
      <w:r w:rsidRPr="00870FD9">
        <w:rPr>
          <w:color w:val="000000" w:themeColor="text1"/>
          <w:kern w:val="3"/>
          <w:szCs w:val="28"/>
          <w:lang w:eastAsia="lv-LV"/>
        </w:rPr>
        <w:t xml:space="preserve">naftas rezervju izveide tiek nodrošināta, piemērojot PIL nosacījumus. </w:t>
      </w:r>
      <w:r w:rsidRPr="00870FD9" w:rsidR="00766D18">
        <w:rPr>
          <w:color w:val="000000" w:themeColor="text1"/>
          <w:kern w:val="3"/>
          <w:szCs w:val="28"/>
          <w:lang w:eastAsia="lv-LV"/>
        </w:rPr>
        <w:t>PIL noteiktās prasības un to biežās izmaiņas, kā arī kopējais iepirkuma procedūras termiņš ir par iemeslu</w:t>
      </w:r>
      <w:r w:rsidRPr="00870FD9">
        <w:rPr>
          <w:color w:val="000000" w:themeColor="text1"/>
          <w:kern w:val="3"/>
          <w:szCs w:val="28"/>
          <w:lang w:eastAsia="lv-LV"/>
        </w:rPr>
        <w:t xml:space="preserve"> cita risinājuma meklēšanai</w:t>
      </w:r>
      <w:r w:rsidRPr="00870FD9" w:rsidR="00766D18">
        <w:rPr>
          <w:color w:val="000000" w:themeColor="text1"/>
          <w:kern w:val="3"/>
          <w:szCs w:val="28"/>
          <w:lang w:eastAsia="lv-LV"/>
        </w:rPr>
        <w:t xml:space="preserve">, nodrošinot efektīvāku </w:t>
      </w:r>
      <w:r w:rsidRPr="00870FD9" w:rsidR="00766D18">
        <w:rPr>
          <w:color w:val="000000" w:themeColor="text1"/>
          <w:szCs w:val="28"/>
        </w:rPr>
        <w:t>drošības rezervju pakalpojuma sniegšanu valsts naftas produktu rezervju izveidei noteiktā apjomā</w:t>
      </w:r>
      <w:r w:rsidRPr="00870FD9" w:rsidR="0086436D">
        <w:rPr>
          <w:color w:val="000000" w:themeColor="text1"/>
          <w:szCs w:val="28"/>
        </w:rPr>
        <w:t>.</w:t>
      </w:r>
      <w:r w:rsidRPr="00870FD9" w:rsidR="00766D18">
        <w:rPr>
          <w:color w:val="000000" w:themeColor="text1"/>
          <w:kern w:val="3"/>
          <w:szCs w:val="28"/>
          <w:lang w:eastAsia="lv-LV"/>
        </w:rPr>
        <w:t xml:space="preserve"> </w:t>
      </w:r>
      <w:r w:rsidRPr="00870FD9">
        <w:rPr>
          <w:bCs/>
          <w:color w:val="000000" w:themeColor="text1"/>
          <w:szCs w:val="28"/>
        </w:rPr>
        <w:t xml:space="preserve">Ņemot vērā naftas rezervju pakalpojumu mērķi – energoapgādes nepārtrauktības nodrošināšana ārkārtas </w:t>
      </w:r>
      <w:r w:rsidRPr="00870FD9">
        <w:rPr>
          <w:bCs/>
          <w:color w:val="000000" w:themeColor="text1"/>
          <w:szCs w:val="28"/>
        </w:rPr>
        <w:t>sistuācijas</w:t>
      </w:r>
      <w:r w:rsidRPr="00870FD9">
        <w:rPr>
          <w:bCs/>
          <w:color w:val="000000" w:themeColor="text1"/>
          <w:szCs w:val="28"/>
        </w:rPr>
        <w:t xml:space="preserve"> un enerģētiskās krīzes gadījumā (piegādes drošības aspekts un informācijas aizsardzības aspekts), </w:t>
      </w:r>
      <w:r w:rsidRPr="00870FD9">
        <w:rPr>
          <w:b/>
          <w:bCs/>
          <w:color w:val="000000" w:themeColor="text1"/>
          <w:szCs w:val="28"/>
        </w:rPr>
        <w:t>ADJIL ir piemērojams naftas rezervju pakalpojuma iepirkumam</w:t>
      </w:r>
      <w:r w:rsidRPr="00870FD9">
        <w:rPr>
          <w:bCs/>
          <w:color w:val="000000" w:themeColor="text1"/>
          <w:szCs w:val="28"/>
        </w:rPr>
        <w:t xml:space="preserve">. </w:t>
      </w:r>
    </w:p>
    <w:p w:rsidR="007604F1" w:rsidRPr="00870FD9" w:rsidP="007604F1">
      <w:pPr>
        <w:spacing w:before="120" w:after="120"/>
        <w:jc w:val="both"/>
        <w:rPr>
          <w:color w:val="000000" w:themeColor="text1"/>
          <w:szCs w:val="28"/>
          <w:lang w:eastAsia="lv-LV"/>
        </w:rPr>
      </w:pPr>
      <w:r w:rsidRPr="00870FD9">
        <w:rPr>
          <w:color w:val="000000" w:themeColor="text1"/>
          <w:szCs w:val="28"/>
          <w:lang w:eastAsia="lv-LV"/>
        </w:rPr>
        <w:t>Šāds risinājums nodrošinātu valstij iespēju organizēt konkursa procedūru ātrāku kārtošanu, kā arī atlasīt kandidātus, ņemot vērā valsts energoapgādes drošuma intereses, piemēram, paredzot ierobežojumus pakalpojumu sniegšanas ģeogrāfiskajam izvietojumam, prasības kandidātu reputācijai un citiem aspektiem.</w:t>
      </w:r>
    </w:p>
    <w:p w:rsidR="007604F1" w:rsidRPr="00870FD9" w:rsidP="007604F1">
      <w:pPr>
        <w:spacing w:before="120" w:after="120"/>
        <w:jc w:val="both"/>
        <w:rPr>
          <w:color w:val="000000" w:themeColor="text1"/>
          <w:szCs w:val="28"/>
        </w:rPr>
      </w:pPr>
      <w:r w:rsidRPr="00870FD9">
        <w:rPr>
          <w:color w:val="000000" w:themeColor="text1"/>
          <w:szCs w:val="28"/>
          <w:lang w:eastAsia="lv-LV"/>
        </w:rPr>
        <w:t>Pašlaik Enerģētikas likuma 7</w:t>
      </w:r>
      <w:r w:rsidRPr="00870FD9" w:rsidR="009B6775">
        <w:rPr>
          <w:color w:val="000000" w:themeColor="text1"/>
          <w:szCs w:val="28"/>
          <w:lang w:eastAsia="lv-LV"/>
        </w:rPr>
        <w:t>2</w:t>
      </w:r>
      <w:r w:rsidRPr="00870FD9">
        <w:rPr>
          <w:color w:val="000000" w:themeColor="text1"/>
          <w:szCs w:val="28"/>
          <w:lang w:eastAsia="lv-LV"/>
        </w:rPr>
        <w:t xml:space="preserve">.pants paredz deleģējumu Ministru kabinetam </w:t>
      </w:r>
      <w:r w:rsidRPr="00870FD9">
        <w:rPr>
          <w:color w:val="000000" w:themeColor="text1"/>
          <w:szCs w:val="28"/>
        </w:rPr>
        <w:t>noteikt kārtību, kādā komersanti nodrošina un sniedz drošības rezervju pakalpojumu valsts naftas produktu rezervju izveidei noteiktā apjomā, lai enerģētiskās krīzes periodos tiktu nodrošināta apgāde ar naftas produktiem. Par šā panta pirmajā daļā minētā drošības rezervju pakalpojuma nodrošināšanu un sniegšanu Ekonomikas ministrija reizi gadā līdz kārtējā gada 1.jūnijam izsludina atklātus konkursus.</w:t>
      </w:r>
    </w:p>
    <w:p w:rsidR="007604F1" w:rsidRPr="00870FD9" w:rsidP="007604F1">
      <w:pPr>
        <w:spacing w:before="120" w:after="120"/>
        <w:jc w:val="both"/>
        <w:rPr>
          <w:color w:val="000000" w:themeColor="text1"/>
          <w:szCs w:val="28"/>
          <w:lang w:eastAsia="lv-LV"/>
        </w:rPr>
      </w:pPr>
      <w:r w:rsidRPr="00870FD9">
        <w:rPr>
          <w:color w:val="000000" w:themeColor="text1"/>
          <w:szCs w:val="28"/>
          <w:lang w:eastAsia="lv-LV"/>
        </w:rPr>
        <w:t xml:space="preserve">Vārdu salikums “atklāts konkurss” tiek vērtēts atbilstoši likumdevēja nolūkam nodrošināt vairāku kandidātu iesaistīšanu konkursa procedūrā, kā arī caurspīdīgu konkursa norises kārtību. </w:t>
      </w:r>
      <w:r w:rsidRPr="00870FD9">
        <w:rPr>
          <w:bCs/>
          <w:color w:val="000000" w:themeColor="text1"/>
          <w:szCs w:val="28"/>
        </w:rPr>
        <w:t>Lai gan Enerģētikas likumā detalizēti nav atrunāta procedūra ar nosaukumu “atklāts konkurss”, šo vārdkopu nozīme ir norādīt uz tādu iepirkuma procedūru, kas publiski izsludināma (t.sk. arī slēgtu konkursu un sarunu procedūru, publicējot paziņojumu).</w:t>
      </w:r>
    </w:p>
    <w:p w:rsidR="007604F1" w:rsidRPr="00870FD9" w:rsidP="007604F1">
      <w:pPr>
        <w:spacing w:before="120" w:after="120"/>
        <w:jc w:val="both"/>
        <w:rPr>
          <w:color w:val="000000" w:themeColor="text1"/>
          <w:szCs w:val="28"/>
          <w:lang w:eastAsia="lv-LV"/>
        </w:rPr>
      </w:pPr>
      <w:r w:rsidRPr="00870FD9">
        <w:rPr>
          <w:color w:val="000000" w:themeColor="text1"/>
          <w:szCs w:val="28"/>
          <w:lang w:eastAsia="lv-LV"/>
        </w:rPr>
        <w:t>Šāda deleģējuma izpilde ir iespējama, īstenojot gan PIL procedūras, gan A</w:t>
      </w:r>
      <w:r w:rsidRPr="00870FD9" w:rsidR="0086436D">
        <w:rPr>
          <w:color w:val="000000" w:themeColor="text1"/>
          <w:szCs w:val="28"/>
          <w:lang w:eastAsia="lv-LV"/>
        </w:rPr>
        <w:t>D</w:t>
      </w:r>
      <w:r w:rsidRPr="00870FD9">
        <w:rPr>
          <w:color w:val="000000" w:themeColor="text1"/>
          <w:szCs w:val="28"/>
          <w:lang w:eastAsia="lv-LV"/>
        </w:rPr>
        <w:t xml:space="preserve">JIL procedūras. Līdz ar to, </w:t>
      </w:r>
      <w:r w:rsidRPr="00870FD9" w:rsidR="00DA785A">
        <w:rPr>
          <w:color w:val="000000" w:themeColor="text1"/>
          <w:szCs w:val="28"/>
          <w:lang w:eastAsia="lv-LV"/>
        </w:rPr>
        <w:t xml:space="preserve">grozījumi </w:t>
      </w:r>
      <w:r w:rsidRPr="00870FD9">
        <w:rPr>
          <w:color w:val="000000" w:themeColor="text1"/>
          <w:szCs w:val="28"/>
          <w:lang w:eastAsia="lv-LV"/>
        </w:rPr>
        <w:t xml:space="preserve">Enerģētikas likumā nebūtu </w:t>
      </w:r>
      <w:r w:rsidRPr="00870FD9" w:rsidR="00DA785A">
        <w:rPr>
          <w:color w:val="000000" w:themeColor="text1"/>
          <w:szCs w:val="28"/>
          <w:lang w:eastAsia="lv-LV"/>
        </w:rPr>
        <w:t>nepieciešami</w:t>
      </w:r>
      <w:r w:rsidRPr="00870FD9">
        <w:rPr>
          <w:color w:val="000000" w:themeColor="text1"/>
          <w:szCs w:val="28"/>
          <w:lang w:eastAsia="lv-LV"/>
        </w:rPr>
        <w:t>.</w:t>
      </w:r>
    </w:p>
    <w:p w:rsidR="007604F1" w:rsidRPr="00870FD9" w:rsidP="007604F1">
      <w:pPr>
        <w:spacing w:before="120" w:after="120"/>
        <w:jc w:val="both"/>
        <w:textAlignment w:val="auto"/>
        <w:rPr>
          <w:b/>
          <w:bCs/>
          <w:color w:val="000000" w:themeColor="text1"/>
          <w:szCs w:val="28"/>
        </w:rPr>
      </w:pPr>
      <w:r w:rsidRPr="00870FD9">
        <w:rPr>
          <w:b/>
          <w:bCs/>
          <w:color w:val="000000" w:themeColor="text1"/>
          <w:szCs w:val="28"/>
        </w:rPr>
        <w:t>1.varianta ieviešanai nepieciešamās darbības</w:t>
      </w:r>
    </w:p>
    <w:p w:rsidR="007604F1" w:rsidRPr="00870FD9" w:rsidP="007604F1">
      <w:pPr>
        <w:spacing w:before="120" w:after="120"/>
        <w:jc w:val="both"/>
        <w:textAlignment w:val="auto"/>
        <w:rPr>
          <w:color w:val="000000" w:themeColor="text1"/>
          <w:szCs w:val="28"/>
          <w:lang w:eastAsia="lv-LV"/>
        </w:rPr>
      </w:pPr>
      <w:r w:rsidRPr="00870FD9">
        <w:rPr>
          <w:bCs/>
          <w:color w:val="000000" w:themeColor="text1"/>
          <w:szCs w:val="28"/>
        </w:rPr>
        <w:t>1.varianta ieviešanai turpmāk naftas rezervju konkursa īstenošanā būtu p</w:t>
      </w:r>
      <w:r w:rsidRPr="00870FD9">
        <w:rPr>
          <w:color w:val="000000" w:themeColor="text1"/>
          <w:szCs w:val="28"/>
          <w:lang w:eastAsia="lv-LV"/>
        </w:rPr>
        <w:t xml:space="preserve">iemērojams ADJIL, izsludinot slēgtu konkursu, t.i. iepirkuma procedūru, kurā visi ieinteresētie piegādātāji var pieprasīt tiesības piedalīties, bet piedāvājumus ir tiesīgi iesniegt tikai tie kandidāti, kurus pasūtītājs uzaicina. </w:t>
      </w:r>
    </w:p>
    <w:p w:rsidR="007604F1" w:rsidRPr="00870FD9" w:rsidP="007604F1">
      <w:pPr>
        <w:spacing w:before="120" w:after="120"/>
        <w:jc w:val="both"/>
        <w:textAlignment w:val="auto"/>
        <w:rPr>
          <w:color w:val="000000" w:themeColor="text1"/>
          <w:szCs w:val="28"/>
          <w:lang w:eastAsia="lv-LV"/>
        </w:rPr>
      </w:pPr>
      <w:r w:rsidRPr="00870FD9">
        <w:rPr>
          <w:color w:val="000000" w:themeColor="text1"/>
          <w:szCs w:val="28"/>
          <w:lang w:eastAsia="lv-LV"/>
        </w:rPr>
        <w:t>Šāda risinājuma īstenošanai būtu nepieciešams:</w:t>
      </w:r>
    </w:p>
    <w:p w:rsidR="007604F1" w:rsidRPr="00870FD9" w:rsidP="007604F1">
      <w:pPr>
        <w:pStyle w:val="ListParagraph"/>
        <w:numPr>
          <w:ilvl w:val="0"/>
          <w:numId w:val="17"/>
        </w:numPr>
        <w:spacing w:before="120" w:after="120"/>
        <w:jc w:val="both"/>
        <w:rPr>
          <w:rFonts w:ascii="Times New Roman" w:hAnsi="Times New Roman"/>
          <w:color w:val="000000" w:themeColor="text1"/>
          <w:sz w:val="24"/>
          <w:szCs w:val="28"/>
        </w:rPr>
      </w:pPr>
      <w:r w:rsidRPr="00870FD9">
        <w:rPr>
          <w:rFonts w:ascii="Times New Roman" w:hAnsi="Times New Roman"/>
          <w:color w:val="000000" w:themeColor="text1"/>
          <w:sz w:val="24"/>
          <w:szCs w:val="28"/>
        </w:rPr>
        <w:t>Izstrādāt jaunu nolikumu 2018.gada iepirkuma konkursam, balstoties uz ADJIL procedūrām un prasībām.</w:t>
      </w:r>
    </w:p>
    <w:p w:rsidR="007604F1" w:rsidRPr="00870FD9" w:rsidP="007604F1">
      <w:pPr>
        <w:spacing w:before="120" w:after="120"/>
        <w:jc w:val="both"/>
        <w:rPr>
          <w:b/>
          <w:color w:val="000000" w:themeColor="text1"/>
          <w:szCs w:val="28"/>
        </w:rPr>
      </w:pPr>
      <w:r w:rsidRPr="00870FD9">
        <w:rPr>
          <w:b/>
          <w:color w:val="000000" w:themeColor="text1"/>
          <w:szCs w:val="28"/>
        </w:rPr>
        <w:t xml:space="preserve">2.variants: </w:t>
      </w:r>
      <w:r w:rsidRPr="00870FD9">
        <w:rPr>
          <w:b/>
          <w:bCs/>
          <w:color w:val="000000" w:themeColor="text1"/>
          <w:szCs w:val="28"/>
        </w:rPr>
        <w:t xml:space="preserve">Turpināt nodrošināt drošības rezervju pakalpojumu </w:t>
      </w:r>
      <w:r w:rsidRPr="00870FD9">
        <w:rPr>
          <w:b/>
          <w:color w:val="000000" w:themeColor="text1"/>
          <w:szCs w:val="28"/>
        </w:rPr>
        <w:t>saskaņā ar PIL, paredzot atsevišķas atkāpes procedūrā.</w:t>
      </w:r>
    </w:p>
    <w:p w:rsidR="007604F1" w:rsidRPr="00870FD9" w:rsidP="007604F1">
      <w:pPr>
        <w:spacing w:before="120" w:after="120"/>
        <w:jc w:val="both"/>
        <w:rPr>
          <w:color w:val="000000" w:themeColor="text1"/>
          <w:szCs w:val="28"/>
        </w:rPr>
      </w:pPr>
      <w:r w:rsidRPr="00870FD9">
        <w:rPr>
          <w:color w:val="000000" w:themeColor="text1"/>
          <w:szCs w:val="28"/>
        </w:rPr>
        <w:t xml:space="preserve">Ņemot vērā to, ka 2017.gada konkursa noslēgšanās kavējuma viens no galvenajiem iemesliem bija </w:t>
      </w:r>
      <w:r w:rsidRPr="00870FD9">
        <w:rPr>
          <w:bCs/>
          <w:color w:val="000000" w:themeColor="text1"/>
          <w:szCs w:val="28"/>
        </w:rPr>
        <w:t xml:space="preserve">PIL </w:t>
      </w:r>
      <w:r w:rsidRPr="00870FD9">
        <w:rPr>
          <w:color w:val="000000" w:themeColor="text1"/>
          <w:szCs w:val="28"/>
        </w:rPr>
        <w:t xml:space="preserve">42. panta prasības par kandidātu un pretendentu izslēgšanas noteikumu procedūru piemērošanu saistībā ar pieprasāmo informāciju ārzemju pretendentiem drošības rezervju pakalpojuma valsts naftas produktu drošības rezervju izveidei, būtu nepieciešams paredzēt stingrākus nosacījumus nolikumā. </w:t>
      </w:r>
    </w:p>
    <w:p w:rsidR="007604F1" w:rsidRPr="00870FD9" w:rsidP="007604F1">
      <w:pPr>
        <w:spacing w:before="120" w:after="120"/>
        <w:jc w:val="both"/>
        <w:rPr>
          <w:color w:val="000000" w:themeColor="text1"/>
          <w:szCs w:val="28"/>
        </w:rPr>
      </w:pPr>
      <w:r w:rsidRPr="00870FD9">
        <w:rPr>
          <w:color w:val="000000" w:themeColor="text1"/>
          <w:szCs w:val="28"/>
        </w:rPr>
        <w:t>Pašlaik Latvijā reģistrētajiem komersantiem ir noteikts laika ierobežojums attiecībā uz dokumentu iesniegšanu, savukārt ārvalstī reģistrētajiem komersantiem tāda laika ierobežojuma nav.</w:t>
      </w:r>
    </w:p>
    <w:p w:rsidR="007604F1" w:rsidRPr="00870FD9" w:rsidP="007604F1">
      <w:pPr>
        <w:spacing w:before="120" w:after="120"/>
        <w:jc w:val="both"/>
        <w:rPr>
          <w:color w:val="000000" w:themeColor="text1"/>
          <w:szCs w:val="28"/>
        </w:rPr>
      </w:pPr>
      <w:r w:rsidRPr="00870FD9">
        <w:rPr>
          <w:color w:val="000000" w:themeColor="text1"/>
          <w:szCs w:val="28"/>
        </w:rPr>
        <w:t>Nolikumā nepieciešams atrunāt ka naftas rezervju konkursā gan Latvijā re</w:t>
      </w:r>
      <w:r w:rsidRPr="00870FD9" w:rsidR="002B1C8F">
        <w:rPr>
          <w:color w:val="000000" w:themeColor="text1"/>
          <w:szCs w:val="28"/>
        </w:rPr>
        <w:t>ģ</w:t>
      </w:r>
      <w:r w:rsidRPr="00870FD9">
        <w:rPr>
          <w:color w:val="000000" w:themeColor="text1"/>
          <w:szCs w:val="28"/>
        </w:rPr>
        <w:t xml:space="preserve">istrētajiem pretendentiem, gan ārvalstīs reģistrētajiem būtu jāiesniedz 42.pantā atrunātos dokumentus noteiktajā termiņā, piemēram divu nedēļu laikā no rezultātu paziņošanas. </w:t>
      </w:r>
    </w:p>
    <w:p w:rsidR="007604F1" w:rsidRPr="00870FD9" w:rsidP="007604F1">
      <w:pPr>
        <w:spacing w:before="120" w:after="120"/>
        <w:jc w:val="both"/>
        <w:rPr>
          <w:color w:val="000000" w:themeColor="text1"/>
          <w:szCs w:val="28"/>
        </w:rPr>
      </w:pPr>
      <w:r w:rsidRPr="00870FD9">
        <w:rPr>
          <w:color w:val="000000" w:themeColor="text1"/>
          <w:szCs w:val="28"/>
        </w:rPr>
        <w:t>Vienlaikus jāatzīmē, ka šāds risinājums neparedz iespēju atteikt kandidātam dalību konkursā, balstoties uz tā reputāciju</w:t>
      </w:r>
      <w:r w:rsidRPr="00870FD9" w:rsidR="00FF4610">
        <w:rPr>
          <w:color w:val="000000" w:themeColor="text1"/>
          <w:szCs w:val="28"/>
        </w:rPr>
        <w:t xml:space="preserve"> vai iespējamajiem drošības riskiem</w:t>
      </w:r>
      <w:r w:rsidRPr="00870FD9">
        <w:rPr>
          <w:color w:val="000000" w:themeColor="text1"/>
          <w:szCs w:val="28"/>
        </w:rPr>
        <w:t>.</w:t>
      </w:r>
    </w:p>
    <w:p w:rsidR="007604F1" w:rsidRPr="00870FD9" w:rsidP="007604F1">
      <w:pPr>
        <w:spacing w:before="120" w:after="120"/>
        <w:jc w:val="both"/>
        <w:textAlignment w:val="auto"/>
        <w:rPr>
          <w:b/>
          <w:color w:val="000000" w:themeColor="text1"/>
          <w:szCs w:val="28"/>
          <w:lang w:eastAsia="lv-LV"/>
        </w:rPr>
      </w:pPr>
      <w:r w:rsidRPr="00870FD9">
        <w:rPr>
          <w:b/>
          <w:color w:val="000000" w:themeColor="text1"/>
          <w:szCs w:val="28"/>
          <w:lang w:eastAsia="lv-LV"/>
        </w:rPr>
        <w:t>Šāda risinājuma īstenošanai būtu nepieciešams:</w:t>
      </w:r>
    </w:p>
    <w:p w:rsidR="007604F1" w:rsidRPr="00870FD9" w:rsidP="007604F1">
      <w:pPr>
        <w:pStyle w:val="ListParagraph"/>
        <w:numPr>
          <w:ilvl w:val="0"/>
          <w:numId w:val="18"/>
        </w:numPr>
        <w:spacing w:before="120" w:after="120"/>
        <w:jc w:val="both"/>
        <w:textAlignment w:val="auto"/>
        <w:rPr>
          <w:rFonts w:ascii="Times New Roman" w:hAnsi="Times New Roman"/>
          <w:color w:val="000000" w:themeColor="text1"/>
          <w:sz w:val="24"/>
          <w:szCs w:val="28"/>
        </w:rPr>
      </w:pPr>
      <w:r w:rsidRPr="00870FD9">
        <w:rPr>
          <w:rFonts w:ascii="Times New Roman" w:hAnsi="Times New Roman"/>
          <w:color w:val="000000" w:themeColor="text1"/>
          <w:sz w:val="24"/>
          <w:szCs w:val="28"/>
        </w:rPr>
        <w:t xml:space="preserve">veikt grozījumus PIL, paredzot, ka naftas rezervju pakalpojuma konkursā ir iespējams noteikt stingrākas prasības attiecībā </w:t>
      </w:r>
      <w:r w:rsidRPr="00870FD9" w:rsidR="00BF3F2F">
        <w:rPr>
          <w:rFonts w:ascii="Times New Roman" w:hAnsi="Times New Roman"/>
          <w:color w:val="000000" w:themeColor="text1"/>
          <w:sz w:val="24"/>
          <w:szCs w:val="28"/>
        </w:rPr>
        <w:t xml:space="preserve">uz </w:t>
      </w:r>
      <w:r w:rsidRPr="00870FD9">
        <w:rPr>
          <w:rFonts w:ascii="Times New Roman" w:hAnsi="Times New Roman"/>
          <w:color w:val="000000" w:themeColor="text1"/>
          <w:sz w:val="24"/>
          <w:szCs w:val="28"/>
        </w:rPr>
        <w:t>PIL 42.panta prasību izpildi un nosakot ģeogrāfiskā izvietojuma ierobežojuma iespēju (piemēram, naftas rezervju maksimālā piegādes laika samazināšanu).</w:t>
      </w:r>
    </w:p>
    <w:p w:rsidR="007604F1" w:rsidRPr="00870FD9" w:rsidP="007604F1">
      <w:pPr>
        <w:pStyle w:val="ListParagraph"/>
        <w:numPr>
          <w:ilvl w:val="0"/>
          <w:numId w:val="18"/>
        </w:numPr>
        <w:spacing w:before="120" w:after="120"/>
        <w:jc w:val="both"/>
        <w:textAlignment w:val="auto"/>
        <w:rPr>
          <w:rFonts w:ascii="Times New Roman" w:hAnsi="Times New Roman"/>
          <w:color w:val="000000" w:themeColor="text1"/>
          <w:sz w:val="24"/>
          <w:szCs w:val="28"/>
        </w:rPr>
      </w:pPr>
      <w:r w:rsidRPr="00870FD9">
        <w:rPr>
          <w:rFonts w:ascii="Times New Roman" w:hAnsi="Times New Roman"/>
          <w:color w:val="000000" w:themeColor="text1"/>
          <w:sz w:val="24"/>
          <w:szCs w:val="28"/>
        </w:rPr>
        <w:t>Izstrādāt jaunu nolikumu 2018.gada iepirkuma konkursam, nosakot, ka naftas rezervju konkursā gan Latvijā re</w:t>
      </w:r>
      <w:r w:rsidRPr="00870FD9" w:rsidR="0034533D">
        <w:rPr>
          <w:rFonts w:ascii="Times New Roman" w:hAnsi="Times New Roman"/>
          <w:color w:val="000000" w:themeColor="text1"/>
          <w:sz w:val="24"/>
          <w:szCs w:val="28"/>
        </w:rPr>
        <w:t>ģ</w:t>
      </w:r>
      <w:r w:rsidRPr="00870FD9">
        <w:rPr>
          <w:rFonts w:ascii="Times New Roman" w:hAnsi="Times New Roman"/>
          <w:color w:val="000000" w:themeColor="text1"/>
          <w:sz w:val="24"/>
          <w:szCs w:val="28"/>
        </w:rPr>
        <w:t xml:space="preserve">istrētajiem pretendentiem, gan ārvalstīs reģistrētajiem </w:t>
      </w:r>
      <w:r w:rsidRPr="00870FD9" w:rsidR="0034533D">
        <w:rPr>
          <w:rFonts w:ascii="Times New Roman" w:hAnsi="Times New Roman"/>
          <w:color w:val="000000" w:themeColor="text1"/>
          <w:sz w:val="24"/>
          <w:szCs w:val="28"/>
        </w:rPr>
        <w:t xml:space="preserve">pretendentiem </w:t>
      </w:r>
      <w:r w:rsidRPr="00870FD9">
        <w:rPr>
          <w:rFonts w:ascii="Times New Roman" w:hAnsi="Times New Roman"/>
          <w:color w:val="000000" w:themeColor="text1"/>
          <w:sz w:val="24"/>
          <w:szCs w:val="28"/>
        </w:rPr>
        <w:t>būtu jāiesniedz 42.pantā atrunātos dokumentus noteiktajā termiņā, piemēram</w:t>
      </w:r>
      <w:r w:rsidRPr="00870FD9" w:rsidR="00731E5A">
        <w:rPr>
          <w:rFonts w:ascii="Times New Roman" w:hAnsi="Times New Roman"/>
          <w:color w:val="000000" w:themeColor="text1"/>
          <w:sz w:val="24"/>
          <w:szCs w:val="28"/>
        </w:rPr>
        <w:t>,</w:t>
      </w:r>
      <w:r w:rsidRPr="00870FD9">
        <w:rPr>
          <w:rFonts w:ascii="Times New Roman" w:hAnsi="Times New Roman"/>
          <w:color w:val="000000" w:themeColor="text1"/>
          <w:sz w:val="24"/>
          <w:szCs w:val="28"/>
        </w:rPr>
        <w:t xml:space="preserve"> divu nedēļu laikā no rezultātu paziņošanas</w:t>
      </w:r>
      <w:r w:rsidRPr="00870FD9" w:rsidR="00731E5A">
        <w:rPr>
          <w:rFonts w:ascii="Times New Roman" w:hAnsi="Times New Roman"/>
          <w:color w:val="000000" w:themeColor="text1"/>
          <w:sz w:val="24"/>
          <w:szCs w:val="28"/>
        </w:rPr>
        <w:t>,</w:t>
      </w:r>
      <w:r w:rsidRPr="00870FD9">
        <w:rPr>
          <w:rFonts w:ascii="Times New Roman" w:hAnsi="Times New Roman"/>
          <w:color w:val="000000" w:themeColor="text1"/>
          <w:sz w:val="24"/>
          <w:szCs w:val="28"/>
        </w:rPr>
        <w:t xml:space="preserve"> un nosakot ģeogrāfiskā izvietojuma ierobežojumu (piemēram, naftas rezervju maksimālā piegādes laika samazināšanu).</w:t>
      </w:r>
    </w:p>
    <w:p w:rsidR="007604F1" w:rsidRPr="00870FD9" w:rsidP="007604F1">
      <w:pPr>
        <w:spacing w:before="120" w:after="120"/>
        <w:ind w:left="360"/>
        <w:jc w:val="both"/>
        <w:textAlignment w:val="auto"/>
        <w:rPr>
          <w:color w:val="000000" w:themeColor="text1"/>
          <w:szCs w:val="28"/>
        </w:rPr>
      </w:pPr>
    </w:p>
    <w:p w:rsidR="00EF1B5F" w:rsidRPr="00870FD9" w:rsidP="00EF1B5F">
      <w:pPr>
        <w:spacing w:before="120" w:after="120"/>
        <w:jc w:val="both"/>
        <w:rPr>
          <w:b/>
          <w:color w:val="000000" w:themeColor="text1"/>
          <w:szCs w:val="28"/>
        </w:rPr>
      </w:pPr>
      <w:r w:rsidRPr="00870FD9">
        <w:rPr>
          <w:b/>
          <w:color w:val="000000" w:themeColor="text1"/>
          <w:szCs w:val="28"/>
        </w:rPr>
        <w:t xml:space="preserve">3.variants: </w:t>
      </w:r>
      <w:r w:rsidRPr="00870FD9">
        <w:rPr>
          <w:b/>
          <w:bCs/>
          <w:color w:val="000000" w:themeColor="text1"/>
          <w:szCs w:val="28"/>
        </w:rPr>
        <w:t>Iegādāties naftas produktus valsts īpašumā un uzglabāt tos kā naftas rezerves, pakāpeniski pārejot uz aģentūras modeli</w:t>
      </w:r>
      <w:r w:rsidRPr="00870FD9">
        <w:rPr>
          <w:b/>
          <w:color w:val="000000" w:themeColor="text1"/>
          <w:szCs w:val="28"/>
        </w:rPr>
        <w:t>.</w:t>
      </w:r>
    </w:p>
    <w:p w:rsidR="00F86EA3" w:rsidRPr="00870FD9" w:rsidP="00F86EA3">
      <w:pPr>
        <w:jc w:val="both"/>
        <w:rPr>
          <w:color w:val="000000" w:themeColor="text1"/>
          <w:szCs w:val="28"/>
        </w:rPr>
      </w:pPr>
      <w:r w:rsidRPr="00870FD9">
        <w:rPr>
          <w:bCs/>
          <w:color w:val="000000" w:themeColor="text1"/>
          <w:szCs w:val="28"/>
        </w:rPr>
        <w:t>Liela daļa ES dalībvalstu iegādājas naftas produktus valsts īpašumā un uzglabā to kā naftas rezerves, izveidojot aģentūru vai īpaši izveidotu struktūru.</w:t>
      </w:r>
      <w:r w:rsidRPr="00870FD9">
        <w:rPr>
          <w:color w:val="000000" w:themeColor="text1"/>
          <w:szCs w:val="28"/>
        </w:rPr>
        <w:t xml:space="preserve"> Pārsvarā ES dalībvalstīs, kurās par naftas produktu rezervju izveidi un uzglabāšanu ir atbildīgas valsts izveidotas aģentūras vai struktūras, </w:t>
      </w:r>
      <w:r w:rsidRPr="00870FD9" w:rsidR="0086436D">
        <w:rPr>
          <w:color w:val="000000" w:themeColor="text1"/>
          <w:szCs w:val="28"/>
        </w:rPr>
        <w:t>Direktīvas 2009/119/EK normu īstenošanai nepiemēro</w:t>
      </w:r>
      <w:r w:rsidRPr="00870FD9">
        <w:rPr>
          <w:color w:val="000000" w:themeColor="text1"/>
          <w:szCs w:val="28"/>
        </w:rPr>
        <w:t xml:space="preserve"> normatīvos aktus publi</w:t>
      </w:r>
      <w:r w:rsidRPr="00870FD9" w:rsidR="00046E7E">
        <w:rPr>
          <w:color w:val="000000" w:themeColor="text1"/>
          <w:szCs w:val="28"/>
        </w:rPr>
        <w:t>sko iepirkumu jomā vai gadījumā</w:t>
      </w:r>
      <w:r w:rsidRPr="00870FD9">
        <w:rPr>
          <w:color w:val="000000" w:themeColor="text1"/>
          <w:szCs w:val="28"/>
        </w:rPr>
        <w:t>.</w:t>
      </w:r>
    </w:p>
    <w:p w:rsidR="00F86EA3" w:rsidRPr="00870FD9" w:rsidP="00F86EA3">
      <w:pPr>
        <w:spacing w:before="120" w:after="120"/>
        <w:jc w:val="both"/>
        <w:rPr>
          <w:bCs/>
          <w:color w:val="000000" w:themeColor="text1"/>
          <w:szCs w:val="28"/>
        </w:rPr>
      </w:pPr>
      <w:r w:rsidRPr="00870FD9">
        <w:rPr>
          <w:color w:val="000000" w:themeColor="text1"/>
          <w:szCs w:val="28"/>
        </w:rPr>
        <w:t xml:space="preserve">Ņemot vērā jau iepriekš konstatētos </w:t>
      </w:r>
      <w:r w:rsidRPr="00870FD9">
        <w:rPr>
          <w:color w:val="000000" w:themeColor="text1"/>
          <w:szCs w:val="28"/>
        </w:rPr>
        <w:t>problēmjautājumus</w:t>
      </w:r>
      <w:r w:rsidRPr="00870FD9">
        <w:rPr>
          <w:color w:val="000000" w:themeColor="text1"/>
          <w:szCs w:val="28"/>
        </w:rPr>
        <w:t xml:space="preserve">, kā arī COM ziņojumā minēto, proti, ka </w:t>
      </w:r>
      <w:r w:rsidRPr="00870FD9">
        <w:rPr>
          <w:bCs/>
          <w:color w:val="000000" w:themeColor="text1"/>
          <w:szCs w:val="28"/>
        </w:rPr>
        <w:t>labākais risinājums ir veidot centralizētu naftas rezerves izveides modeli, kura obligāts priekšnosacījums ir valsts budžeta līdzekļu piešķiršana naftas produktu iegādei valsts īpašumā,</w:t>
      </w:r>
      <w:r w:rsidRPr="00870FD9">
        <w:rPr>
          <w:color w:val="000000" w:themeColor="text1"/>
          <w:szCs w:val="28"/>
        </w:rPr>
        <w:t xml:space="preserve"> secināms, ka efektīva ar Direktīvu 2009/119/EK valstij uzlikto pienākumu izpilde panākama, </w:t>
      </w:r>
      <w:r w:rsidRPr="00870FD9">
        <w:rPr>
          <w:bCs/>
          <w:color w:val="000000" w:themeColor="text1"/>
          <w:szCs w:val="28"/>
        </w:rPr>
        <w:t>iegādājoties naftas produktus valsts īpašumā un uzglabājot tos kā naftas rezerves, kā arī izveidojot aģentūru vai īpaši izveidotu struktūru, kas darbojas uz komercdarbības principiem, pērkot un pārdodot naftas produktus.</w:t>
      </w:r>
    </w:p>
    <w:p w:rsidR="00F86EA3" w:rsidRPr="00870FD9" w:rsidP="00F86EA3">
      <w:pPr>
        <w:spacing w:before="120" w:after="120"/>
        <w:jc w:val="both"/>
        <w:rPr>
          <w:bCs/>
          <w:color w:val="000000" w:themeColor="text1"/>
          <w:szCs w:val="28"/>
        </w:rPr>
      </w:pPr>
      <w:r w:rsidRPr="00870FD9">
        <w:rPr>
          <w:bCs/>
          <w:color w:val="000000" w:themeColor="text1"/>
          <w:szCs w:val="28"/>
        </w:rPr>
        <w:t xml:space="preserve">Tomēr šāds naftas rezerves izveides modelis nav iespējams bez valsts sākotnējas iesaistes, proti, nosacītā laika periodā pakāpeniski piešķirot valsts budžeta līdzekļus naftas produktu iegādei, tādējādi nodrošinot, ka naftas produkti ir valsts īpašums. </w:t>
      </w:r>
    </w:p>
    <w:p w:rsidR="00F86EA3" w:rsidRPr="00870FD9" w:rsidP="00F86EA3">
      <w:pPr>
        <w:spacing w:before="120" w:after="120"/>
        <w:jc w:val="both"/>
        <w:textAlignment w:val="auto"/>
        <w:rPr>
          <w:b/>
          <w:color w:val="000000" w:themeColor="text1"/>
          <w:szCs w:val="28"/>
          <w:lang w:eastAsia="lv-LV"/>
        </w:rPr>
      </w:pPr>
      <w:r w:rsidRPr="00870FD9">
        <w:rPr>
          <w:b/>
          <w:color w:val="000000" w:themeColor="text1"/>
          <w:szCs w:val="28"/>
          <w:lang w:eastAsia="lv-LV"/>
        </w:rPr>
        <w:t>Šāda risinājuma īstenošanai būtu nepieciešams:</w:t>
      </w:r>
    </w:p>
    <w:p w:rsidR="00F86EA3" w:rsidRPr="00870FD9" w:rsidP="00F86EA3">
      <w:pPr>
        <w:pStyle w:val="ListParagraph"/>
        <w:numPr>
          <w:ilvl w:val="0"/>
          <w:numId w:val="19"/>
        </w:numPr>
        <w:spacing w:before="120" w:after="120"/>
        <w:jc w:val="both"/>
        <w:textAlignment w:val="auto"/>
        <w:rPr>
          <w:rFonts w:ascii="Times New Roman" w:hAnsi="Times New Roman"/>
          <w:color w:val="000000" w:themeColor="text1"/>
          <w:sz w:val="24"/>
          <w:szCs w:val="28"/>
        </w:rPr>
      </w:pPr>
      <w:r w:rsidRPr="00870FD9">
        <w:rPr>
          <w:rFonts w:ascii="Times New Roman" w:hAnsi="Times New Roman"/>
          <w:color w:val="000000" w:themeColor="text1"/>
          <w:sz w:val="24"/>
          <w:szCs w:val="28"/>
        </w:rPr>
        <w:t xml:space="preserve">veikt padziļinātu </w:t>
      </w:r>
      <w:r w:rsidRPr="00870FD9" w:rsidR="0086436D">
        <w:rPr>
          <w:rFonts w:ascii="Times New Roman" w:hAnsi="Times New Roman"/>
          <w:color w:val="000000" w:themeColor="text1"/>
          <w:sz w:val="24"/>
          <w:szCs w:val="28"/>
        </w:rPr>
        <w:t>izvērtējumu</w:t>
      </w:r>
      <w:r w:rsidRPr="00870FD9">
        <w:rPr>
          <w:rFonts w:ascii="Times New Roman" w:hAnsi="Times New Roman"/>
          <w:color w:val="000000" w:themeColor="text1"/>
          <w:sz w:val="24"/>
          <w:szCs w:val="28"/>
        </w:rPr>
        <w:t xml:space="preserve"> labākajam iespējamajam </w:t>
      </w:r>
      <w:r w:rsidRPr="00870FD9" w:rsidR="0086436D">
        <w:rPr>
          <w:rFonts w:ascii="Times New Roman" w:hAnsi="Times New Roman"/>
          <w:color w:val="000000" w:themeColor="text1"/>
          <w:sz w:val="24"/>
          <w:szCs w:val="28"/>
        </w:rPr>
        <w:t xml:space="preserve">aģentūras </w:t>
      </w:r>
      <w:r w:rsidRPr="00870FD9">
        <w:rPr>
          <w:rFonts w:ascii="Times New Roman" w:hAnsi="Times New Roman"/>
          <w:color w:val="000000" w:themeColor="text1"/>
          <w:sz w:val="24"/>
          <w:szCs w:val="28"/>
        </w:rPr>
        <w:t xml:space="preserve">risinājumam, </w:t>
      </w:r>
      <w:r w:rsidRPr="00870FD9" w:rsidR="0086436D">
        <w:rPr>
          <w:rFonts w:ascii="Times New Roman" w:hAnsi="Times New Roman"/>
          <w:color w:val="000000" w:themeColor="text1"/>
          <w:sz w:val="24"/>
          <w:szCs w:val="28"/>
        </w:rPr>
        <w:t>ņemot vērā</w:t>
      </w:r>
      <w:r w:rsidRPr="00870FD9">
        <w:rPr>
          <w:rFonts w:ascii="Times New Roman" w:hAnsi="Times New Roman"/>
          <w:color w:val="000000" w:themeColor="text1"/>
          <w:sz w:val="24"/>
          <w:szCs w:val="28"/>
        </w:rPr>
        <w:t xml:space="preserve"> ES dalībvalstu pieredzi, kā arī izvērtējot labākās prakses piemērus;</w:t>
      </w:r>
    </w:p>
    <w:p w:rsidR="00F86EA3" w:rsidRPr="00870FD9" w:rsidP="00F86EA3">
      <w:pPr>
        <w:pStyle w:val="ListParagraph"/>
        <w:numPr>
          <w:ilvl w:val="0"/>
          <w:numId w:val="19"/>
        </w:numPr>
        <w:spacing w:before="120" w:after="120"/>
        <w:jc w:val="both"/>
        <w:textAlignment w:val="auto"/>
        <w:rPr>
          <w:rFonts w:ascii="Times New Roman" w:hAnsi="Times New Roman"/>
          <w:bCs/>
          <w:color w:val="000000" w:themeColor="text1"/>
          <w:sz w:val="24"/>
          <w:szCs w:val="28"/>
        </w:rPr>
      </w:pPr>
      <w:r w:rsidRPr="00870FD9">
        <w:rPr>
          <w:rFonts w:ascii="Times New Roman" w:hAnsi="Times New Roman"/>
          <w:color w:val="000000" w:themeColor="text1"/>
          <w:sz w:val="24"/>
          <w:szCs w:val="28"/>
        </w:rPr>
        <w:t>veikt atbilstošus grozījumus normatīvajos aktos;</w:t>
      </w:r>
    </w:p>
    <w:p w:rsidR="00F86EA3" w:rsidRPr="00870FD9" w:rsidP="00F86EA3">
      <w:pPr>
        <w:pStyle w:val="ListParagraph"/>
        <w:numPr>
          <w:ilvl w:val="0"/>
          <w:numId w:val="19"/>
        </w:numPr>
        <w:spacing w:before="120" w:after="120"/>
        <w:jc w:val="both"/>
        <w:textAlignment w:val="auto"/>
        <w:rPr>
          <w:rFonts w:ascii="Times New Roman" w:hAnsi="Times New Roman"/>
          <w:bCs/>
          <w:color w:val="000000" w:themeColor="text1"/>
          <w:sz w:val="24"/>
          <w:szCs w:val="28"/>
        </w:rPr>
      </w:pPr>
      <w:r w:rsidRPr="00870FD9">
        <w:rPr>
          <w:rFonts w:ascii="Times New Roman" w:hAnsi="Times New Roman"/>
          <w:bCs/>
          <w:color w:val="000000" w:themeColor="text1"/>
          <w:sz w:val="24"/>
          <w:szCs w:val="28"/>
        </w:rPr>
        <w:t>pakāpenisk</w:t>
      </w:r>
      <w:r w:rsidRPr="00870FD9" w:rsidR="0086436D">
        <w:rPr>
          <w:rFonts w:ascii="Times New Roman" w:hAnsi="Times New Roman"/>
          <w:bCs/>
          <w:color w:val="000000" w:themeColor="text1"/>
          <w:sz w:val="24"/>
          <w:szCs w:val="28"/>
        </w:rPr>
        <w:t xml:space="preserve">i piešķirt valsts budžeta līdzekļus </w:t>
      </w:r>
      <w:r w:rsidRPr="00870FD9">
        <w:rPr>
          <w:rFonts w:ascii="Times New Roman" w:hAnsi="Times New Roman"/>
          <w:bCs/>
          <w:color w:val="000000" w:themeColor="text1"/>
          <w:sz w:val="24"/>
          <w:szCs w:val="28"/>
        </w:rPr>
        <w:t>naftas produktu iegādei.</w:t>
      </w:r>
      <w:r w:rsidRPr="00870FD9" w:rsidR="0086436D">
        <w:rPr>
          <w:rFonts w:ascii="Times New Roman" w:hAnsi="Times New Roman"/>
          <w:bCs/>
          <w:color w:val="000000" w:themeColor="text1"/>
          <w:sz w:val="24"/>
          <w:szCs w:val="28"/>
        </w:rPr>
        <w:t xml:space="preserve"> Naftas produktu iegādei apjomam, kas atbilst </w:t>
      </w:r>
      <w:r w:rsidRPr="00870FD9" w:rsidR="00384138">
        <w:rPr>
          <w:rFonts w:ascii="Times New Roman" w:hAnsi="Times New Roman"/>
          <w:bCs/>
          <w:color w:val="000000" w:themeColor="text1"/>
          <w:sz w:val="24"/>
          <w:szCs w:val="28"/>
        </w:rPr>
        <w:t xml:space="preserve">90 dienām, nepieciešami ap 150 milj. EUR valsts budžeta finansējums. Papildus nepieciešami līdzekļi uzglabāšanas pakalpojuma nodrošināšanai, </w:t>
      </w:r>
      <w:r w:rsidRPr="00870FD9" w:rsidR="00384138">
        <w:rPr>
          <w:rFonts w:ascii="Times New Roman" w:hAnsi="Times New Roman"/>
          <w:bCs/>
          <w:color w:val="000000" w:themeColor="text1"/>
          <w:sz w:val="24"/>
          <w:szCs w:val="28"/>
        </w:rPr>
        <w:t>naftas produkta pirkšanas un pārdošanas cenas apdrošināšanai, kā arī administratīvo izmaksu segšanai.</w:t>
      </w:r>
    </w:p>
    <w:p w:rsidR="00EF1B5F" w:rsidRPr="00870FD9" w:rsidP="00EF1B5F">
      <w:pPr>
        <w:spacing w:before="120" w:after="120"/>
        <w:jc w:val="both"/>
        <w:rPr>
          <w:color w:val="000000" w:themeColor="text1"/>
          <w:szCs w:val="28"/>
        </w:rPr>
      </w:pPr>
    </w:p>
    <w:p w:rsidR="007604F1" w:rsidRPr="00870FD9" w:rsidP="007604F1">
      <w:pPr>
        <w:suppressAutoHyphens w:val="0"/>
        <w:spacing w:after="160" w:line="256" w:lineRule="auto"/>
        <w:jc w:val="both"/>
        <w:rPr>
          <w:color w:val="000000" w:themeColor="text1"/>
          <w:szCs w:val="28"/>
        </w:rPr>
      </w:pPr>
      <w:r w:rsidRPr="00870FD9">
        <w:rPr>
          <w:color w:val="000000" w:themeColor="text1"/>
          <w:szCs w:val="28"/>
        </w:rPr>
        <w:t xml:space="preserve">Kā atbilstošākais risinājums konstatēto </w:t>
      </w:r>
      <w:r w:rsidRPr="00870FD9">
        <w:rPr>
          <w:color w:val="000000" w:themeColor="text1"/>
          <w:szCs w:val="28"/>
        </w:rPr>
        <w:t>problēmjautājumu</w:t>
      </w:r>
      <w:r w:rsidRPr="00870FD9">
        <w:rPr>
          <w:color w:val="000000" w:themeColor="text1"/>
          <w:szCs w:val="28"/>
        </w:rPr>
        <w:t xml:space="preserve"> risināšanai iespējami īsākajā termiņā ir izvēlēts 1.variants.</w:t>
      </w:r>
      <w:r w:rsidRPr="00870FD9" w:rsidR="00EF1B5F">
        <w:rPr>
          <w:color w:val="000000" w:themeColor="text1"/>
          <w:szCs w:val="28"/>
        </w:rPr>
        <w:t xml:space="preserve"> Taču ilgtermiņa risinājums būtu naftas produktu rezervju izveide un uzglabāšana, kas nodota valsts izveidotai aģentūrai.</w:t>
      </w:r>
    </w:p>
    <w:p w:rsidR="007604F1" w:rsidRPr="00870FD9" w:rsidP="007604F1">
      <w:pPr>
        <w:spacing w:before="120" w:after="120"/>
        <w:ind w:left="360"/>
        <w:jc w:val="both"/>
        <w:textAlignment w:val="auto"/>
        <w:rPr>
          <w:color w:val="000000" w:themeColor="text1"/>
          <w:szCs w:val="28"/>
        </w:rPr>
      </w:pPr>
    </w:p>
    <w:p w:rsidR="007604F1" w:rsidRPr="00870FD9" w:rsidP="0033657C">
      <w:pPr>
        <w:pStyle w:val="Heading1"/>
        <w:rPr>
          <w:b w:val="0"/>
          <w:bCs w:val="0"/>
          <w:color w:val="000000" w:themeColor="text1"/>
          <w:sz w:val="24"/>
          <w:szCs w:val="28"/>
        </w:rPr>
      </w:pPr>
      <w:bookmarkStart w:id="27" w:name="_Toc499712146"/>
      <w:bookmarkStart w:id="28" w:name="_Toc256000008"/>
      <w:bookmarkStart w:id="29" w:name="_Toc256000018"/>
      <w:r w:rsidRPr="00870FD9">
        <w:rPr>
          <w:color w:val="000000" w:themeColor="text1"/>
          <w:sz w:val="24"/>
          <w:szCs w:val="28"/>
        </w:rPr>
        <w:t>4.</w:t>
      </w:r>
      <w:r w:rsidRPr="00870FD9" w:rsidR="0033657C">
        <w:rPr>
          <w:b w:val="0"/>
          <w:bCs w:val="0"/>
          <w:color w:val="000000" w:themeColor="text1"/>
          <w:sz w:val="24"/>
          <w:szCs w:val="28"/>
        </w:rPr>
        <w:t xml:space="preserve"> </w:t>
      </w:r>
      <w:r w:rsidRPr="00870FD9">
        <w:rPr>
          <w:color w:val="000000" w:themeColor="text1"/>
          <w:sz w:val="24"/>
          <w:szCs w:val="28"/>
        </w:rPr>
        <w:t>Ietekme uz problēmas risināšanu</w:t>
      </w:r>
      <w:bookmarkEnd w:id="29"/>
      <w:bookmarkEnd w:id="28"/>
      <w:bookmarkEnd w:id="27"/>
      <w:r w:rsidRPr="00870FD9">
        <w:rPr>
          <w:color w:val="000000" w:themeColor="text1"/>
          <w:sz w:val="24"/>
          <w:szCs w:val="28"/>
        </w:rPr>
        <w:t xml:space="preserve"> </w:t>
      </w:r>
    </w:p>
    <w:p w:rsidR="007604F1" w:rsidRPr="00870FD9" w:rsidP="007604F1">
      <w:pPr>
        <w:spacing w:before="120" w:after="120"/>
        <w:ind w:left="142"/>
        <w:jc w:val="both"/>
        <w:textAlignment w:val="auto"/>
        <w:rPr>
          <w:bCs/>
          <w:color w:val="000000" w:themeColor="text1"/>
          <w:szCs w:val="28"/>
        </w:rPr>
      </w:pPr>
      <w:r w:rsidRPr="00870FD9">
        <w:rPr>
          <w:bCs/>
          <w:color w:val="000000" w:themeColor="text1"/>
          <w:szCs w:val="28"/>
        </w:rPr>
        <w:t>Ziņojumā piedāvātais 1.variants nodrošinātu sistēmu, kuras rezultātā tiks nodrošināta drošības rezervju pakalpojuma nepārtrauktība un ES prasību pienācīga izpilde</w:t>
      </w:r>
      <w:r w:rsidRPr="00870FD9" w:rsidR="00DA785A">
        <w:rPr>
          <w:bCs/>
          <w:color w:val="000000" w:themeColor="text1"/>
          <w:szCs w:val="28"/>
        </w:rPr>
        <w:t xml:space="preserve"> jau no 2018.gada 1.jūlija</w:t>
      </w:r>
      <w:r w:rsidRPr="00870FD9">
        <w:rPr>
          <w:bCs/>
          <w:color w:val="000000" w:themeColor="text1"/>
          <w:szCs w:val="28"/>
        </w:rPr>
        <w:t>.</w:t>
      </w:r>
    </w:p>
    <w:p w:rsidR="007604F1" w:rsidRPr="00870FD9" w:rsidP="007604F1">
      <w:pPr>
        <w:spacing w:before="120" w:after="120"/>
        <w:ind w:left="142"/>
        <w:jc w:val="both"/>
        <w:textAlignment w:val="auto"/>
        <w:rPr>
          <w:bCs/>
          <w:color w:val="000000" w:themeColor="text1"/>
          <w:szCs w:val="28"/>
        </w:rPr>
      </w:pPr>
      <w:r w:rsidRPr="00870FD9">
        <w:rPr>
          <w:bCs/>
          <w:color w:val="000000" w:themeColor="text1"/>
          <w:szCs w:val="28"/>
        </w:rPr>
        <w:t xml:space="preserve">Ir nepieciešams ieviest 1.variantu iespējami </w:t>
      </w:r>
      <w:r w:rsidRPr="00870FD9" w:rsidR="00DA785A">
        <w:rPr>
          <w:bCs/>
          <w:color w:val="000000" w:themeColor="text1"/>
          <w:szCs w:val="28"/>
        </w:rPr>
        <w:t xml:space="preserve">īsā </w:t>
      </w:r>
      <w:r w:rsidRPr="00870FD9">
        <w:rPr>
          <w:bCs/>
          <w:color w:val="000000" w:themeColor="text1"/>
          <w:szCs w:val="28"/>
        </w:rPr>
        <w:t xml:space="preserve">termiņā, tādējādi </w:t>
      </w:r>
      <w:r w:rsidRPr="00870FD9" w:rsidR="00DA785A">
        <w:rPr>
          <w:bCs/>
          <w:color w:val="000000" w:themeColor="text1"/>
          <w:szCs w:val="28"/>
        </w:rPr>
        <w:t xml:space="preserve">nepieļaujot </w:t>
      </w:r>
      <w:r w:rsidRPr="00870FD9">
        <w:rPr>
          <w:bCs/>
          <w:color w:val="000000" w:themeColor="text1"/>
          <w:szCs w:val="28"/>
        </w:rPr>
        <w:t>2017.gada konkursā identificēto problēmu atkārtošanos.</w:t>
      </w:r>
    </w:p>
    <w:p w:rsidR="007604F1" w:rsidRPr="00870FD9" w:rsidP="007604F1">
      <w:pPr>
        <w:spacing w:before="120" w:after="120"/>
        <w:ind w:left="142"/>
        <w:jc w:val="both"/>
        <w:textAlignment w:val="auto"/>
        <w:rPr>
          <w:bCs/>
          <w:color w:val="000000" w:themeColor="text1"/>
          <w:szCs w:val="28"/>
        </w:rPr>
      </w:pPr>
    </w:p>
    <w:p w:rsidR="007604F1" w:rsidRPr="00870FD9" w:rsidP="0033657C">
      <w:pPr>
        <w:pStyle w:val="Heading1"/>
        <w:rPr>
          <w:b w:val="0"/>
          <w:bCs w:val="0"/>
          <w:color w:val="000000" w:themeColor="text1"/>
          <w:sz w:val="24"/>
          <w:szCs w:val="28"/>
        </w:rPr>
      </w:pPr>
      <w:bookmarkStart w:id="30" w:name="_Toc499712147"/>
      <w:bookmarkStart w:id="31" w:name="_Toc256000009"/>
      <w:bookmarkStart w:id="32" w:name="_Toc256000019"/>
      <w:r w:rsidRPr="00870FD9">
        <w:rPr>
          <w:color w:val="000000" w:themeColor="text1"/>
          <w:sz w:val="24"/>
          <w:szCs w:val="28"/>
        </w:rPr>
        <w:t>5.</w:t>
      </w:r>
      <w:r w:rsidRPr="00870FD9" w:rsidR="0033657C">
        <w:rPr>
          <w:b w:val="0"/>
          <w:bCs w:val="0"/>
          <w:color w:val="000000" w:themeColor="text1"/>
          <w:sz w:val="24"/>
          <w:szCs w:val="28"/>
        </w:rPr>
        <w:t xml:space="preserve"> </w:t>
      </w:r>
      <w:r w:rsidRPr="00870FD9">
        <w:rPr>
          <w:color w:val="000000" w:themeColor="text1"/>
          <w:sz w:val="24"/>
          <w:szCs w:val="28"/>
        </w:rPr>
        <w:t>Ietekme uz valsts budžetu</w:t>
      </w:r>
      <w:bookmarkEnd w:id="32"/>
      <w:bookmarkEnd w:id="31"/>
      <w:bookmarkEnd w:id="30"/>
    </w:p>
    <w:p w:rsidR="007A2C9B" w:rsidRPr="00870FD9" w:rsidP="00B91076">
      <w:pPr>
        <w:jc w:val="both"/>
        <w:rPr>
          <w:color w:val="000000" w:themeColor="text1"/>
          <w:szCs w:val="28"/>
        </w:rPr>
      </w:pPr>
      <w:r w:rsidRPr="00870FD9">
        <w:rPr>
          <w:color w:val="000000" w:themeColor="text1"/>
          <w:szCs w:val="28"/>
        </w:rPr>
        <w:t>Koncepcijā identificētajiem risinājumiem</w:t>
      </w:r>
      <w:r w:rsidRPr="00870FD9" w:rsidR="009C5BE7">
        <w:rPr>
          <w:color w:val="000000" w:themeColor="text1"/>
          <w:szCs w:val="28"/>
        </w:rPr>
        <w:t xml:space="preserve"> Nr.1 un Nr.1</w:t>
      </w:r>
      <w:r w:rsidRPr="00870FD9">
        <w:rPr>
          <w:color w:val="000000" w:themeColor="text1"/>
          <w:szCs w:val="28"/>
        </w:rPr>
        <w:t xml:space="preserve"> ir neitrāla ietekme uz valsts budžetu.</w:t>
      </w:r>
    </w:p>
    <w:p w:rsidR="00B91076" w:rsidRPr="00870FD9" w:rsidP="00B91076">
      <w:pPr>
        <w:jc w:val="both"/>
        <w:rPr>
          <w:color w:val="000000" w:themeColor="text1"/>
          <w:szCs w:val="28"/>
          <w:lang w:eastAsia="lv-LV"/>
        </w:rPr>
      </w:pPr>
      <w:r w:rsidRPr="00870FD9">
        <w:rPr>
          <w:color w:val="000000" w:themeColor="text1"/>
          <w:szCs w:val="28"/>
        </w:rPr>
        <w:t>Enerģētikas likuma 72.</w:t>
      </w:r>
      <w:r w:rsidRPr="00870FD9">
        <w:rPr>
          <w:color w:val="000000" w:themeColor="text1"/>
          <w:szCs w:val="28"/>
          <w:vertAlign w:val="superscript"/>
        </w:rPr>
        <w:t>3</w:t>
      </w:r>
      <w:r w:rsidRPr="00870FD9">
        <w:rPr>
          <w:color w:val="000000" w:themeColor="text1"/>
          <w:szCs w:val="28"/>
        </w:rPr>
        <w:t>.pants nosaka, ka par šā likuma 72.pantā noteikto drošības rezervju uzturēšanu maksājama valsts nodeva.</w:t>
      </w:r>
    </w:p>
    <w:p w:rsidR="00B91076" w:rsidRPr="00870FD9" w:rsidP="00B91076">
      <w:pPr>
        <w:contextualSpacing/>
        <w:jc w:val="both"/>
        <w:rPr>
          <w:color w:val="000000" w:themeColor="text1"/>
          <w:szCs w:val="28"/>
        </w:rPr>
      </w:pPr>
      <w:r w:rsidRPr="00870FD9">
        <w:rPr>
          <w:color w:val="000000" w:themeColor="text1"/>
          <w:szCs w:val="28"/>
        </w:rPr>
        <w:t>Likum</w:t>
      </w:r>
      <w:r w:rsidRPr="00870FD9" w:rsidR="0086436D">
        <w:rPr>
          <w:color w:val="000000" w:themeColor="text1"/>
          <w:szCs w:val="28"/>
        </w:rPr>
        <w:t>a</w:t>
      </w:r>
      <w:r w:rsidRPr="00870FD9">
        <w:rPr>
          <w:color w:val="000000" w:themeColor="text1"/>
          <w:szCs w:val="28"/>
        </w:rPr>
        <w:t xml:space="preserve"> „Par nodokļiem un nodevām” 1.panta 2.punkts nosaka, ka valsts nodeva </w:t>
      </w:r>
      <w:r w:rsidRPr="00870FD9" w:rsidR="0086436D">
        <w:rPr>
          <w:color w:val="000000" w:themeColor="text1"/>
          <w:szCs w:val="28"/>
        </w:rPr>
        <w:t>ir</w:t>
      </w:r>
      <w:r w:rsidRPr="00870FD9">
        <w:rPr>
          <w:color w:val="000000" w:themeColor="text1"/>
          <w:szCs w:val="28"/>
        </w:rPr>
        <w:t xml:space="preserve"> 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w:t>
      </w:r>
      <w:r w:rsidRPr="00870FD9" w:rsidR="0086436D">
        <w:rPr>
          <w:color w:val="000000" w:themeColor="text1"/>
          <w:szCs w:val="28"/>
        </w:rPr>
        <w:t>a</w:t>
      </w:r>
      <w:r w:rsidRPr="00870FD9">
        <w:rPr>
          <w:color w:val="000000" w:themeColor="text1"/>
          <w:szCs w:val="28"/>
        </w:rPr>
        <w:t xml:space="preserve">na, ierobežošana). Valsts nodevas apmērs </w:t>
      </w:r>
      <w:r w:rsidRPr="00870FD9" w:rsidR="00023A8E">
        <w:rPr>
          <w:color w:val="000000" w:themeColor="text1"/>
          <w:szCs w:val="28"/>
        </w:rPr>
        <w:t>ir</w:t>
      </w:r>
      <w:r w:rsidRPr="00870FD9">
        <w:rPr>
          <w:color w:val="000000" w:themeColor="text1"/>
          <w:szCs w:val="28"/>
        </w:rPr>
        <w:t xml:space="preserve"> saistīts ar institūcijas veiktās darbības izmaksu segšanu. Šā likuma 11.panta otrās daļas 109.punkts paredz valsts nodevu par Enerģētikas likumā noteikto drošības rezervju uzturēšanu.</w:t>
      </w:r>
    </w:p>
    <w:p w:rsidR="00B91076" w:rsidRPr="00870FD9" w:rsidP="00B91076">
      <w:pPr>
        <w:jc w:val="both"/>
        <w:textAlignment w:val="auto"/>
        <w:rPr>
          <w:bCs/>
          <w:color w:val="000000" w:themeColor="text1"/>
          <w:szCs w:val="28"/>
        </w:rPr>
      </w:pPr>
      <w:r w:rsidRPr="00870FD9">
        <w:rPr>
          <w:color w:val="000000" w:themeColor="text1"/>
          <w:szCs w:val="28"/>
        </w:rPr>
        <w:t>Enerģētikas likuma 72.</w:t>
      </w:r>
      <w:r w:rsidRPr="00870FD9">
        <w:rPr>
          <w:color w:val="000000" w:themeColor="text1"/>
          <w:szCs w:val="28"/>
          <w:vertAlign w:val="superscript"/>
        </w:rPr>
        <w:t>4</w:t>
      </w:r>
      <w:r w:rsidRPr="00870FD9">
        <w:rPr>
          <w:color w:val="000000" w:themeColor="text1"/>
          <w:szCs w:val="28"/>
        </w:rPr>
        <w:t>.pants nosaka, ka Ekonomikas ministrija šā likuma </w:t>
      </w:r>
      <w:r>
        <w:fldChar w:fldCharType="begin"/>
      </w:r>
      <w:r>
        <w:instrText xml:space="preserve"> HYPERLINK "https://likumi.lv/doc.php?id=49833" \l "p72.1" \t "_blank" </w:instrText>
      </w:r>
      <w:r>
        <w:fldChar w:fldCharType="separate"/>
      </w:r>
      <w:r w:rsidRPr="00870FD9">
        <w:rPr>
          <w:color w:val="000000" w:themeColor="text1"/>
          <w:szCs w:val="28"/>
        </w:rPr>
        <w:t>72.</w:t>
      </w:r>
      <w:r w:rsidRPr="00870FD9">
        <w:rPr>
          <w:color w:val="000000" w:themeColor="text1"/>
          <w:szCs w:val="28"/>
          <w:vertAlign w:val="superscript"/>
        </w:rPr>
        <w:t>1</w:t>
      </w:r>
      <w:r w:rsidRPr="00870FD9">
        <w:rPr>
          <w:color w:val="000000" w:themeColor="text1"/>
          <w:szCs w:val="28"/>
        </w:rPr>
        <w:t> pantā</w:t>
      </w:r>
      <w:r>
        <w:fldChar w:fldCharType="end"/>
      </w:r>
      <w:r w:rsidRPr="00870FD9">
        <w:rPr>
          <w:color w:val="000000" w:themeColor="text1"/>
          <w:szCs w:val="28"/>
        </w:rPr>
        <w:t> minēto funkciju izpildei nepieciešamos izdevumus sedz no valsts nodevas ieņēmumiem, kas saņemti par drošības rezervju uzturēšanu. Drošības rezervju uzturēšanas valsts nodevu ieskaita valsts pamatbudžetā. Valsts nodevas likme tiek noteikta, balstoties uz prognozēm par drošības rezervju uzturēšanas pakalpojuma izmaksām kārtējā gadā.</w:t>
      </w:r>
    </w:p>
    <w:p w:rsidR="00B91076" w:rsidRPr="00870FD9" w:rsidP="00B91076">
      <w:pPr>
        <w:jc w:val="both"/>
        <w:rPr>
          <w:color w:val="000000" w:themeColor="text1"/>
          <w:kern w:val="3"/>
          <w:szCs w:val="28"/>
          <w:lang w:eastAsia="lv-LV"/>
        </w:rPr>
      </w:pPr>
      <w:r w:rsidRPr="00870FD9">
        <w:rPr>
          <w:bCs/>
          <w:color w:val="000000" w:themeColor="text1"/>
          <w:szCs w:val="28"/>
        </w:rPr>
        <w:t xml:space="preserve">Valsts nodevas likmes apmērs, pamatojoties uz Enerģētikas likuma 72.panta nosacījumiem, tiek noteikts MK noteikumu Nr. 450 5.punktā. </w:t>
      </w:r>
      <w:r w:rsidRPr="00870FD9">
        <w:rPr>
          <w:color w:val="000000" w:themeColor="text1"/>
          <w:kern w:val="3"/>
          <w:szCs w:val="28"/>
          <w:lang w:eastAsia="lv-LV"/>
        </w:rPr>
        <w:t xml:space="preserve">Valsts nodevai ir neitrāla ietekme uz valsts budžetu. </w:t>
      </w:r>
    </w:p>
    <w:p w:rsidR="00023A8E" w:rsidRPr="00870FD9" w:rsidP="00046092">
      <w:pPr>
        <w:jc w:val="both"/>
        <w:rPr>
          <w:color w:val="000000" w:themeColor="text1"/>
          <w:szCs w:val="28"/>
        </w:rPr>
      </w:pPr>
      <w:r w:rsidRPr="00870FD9">
        <w:rPr>
          <w:color w:val="000000" w:themeColor="text1"/>
          <w:szCs w:val="28"/>
          <w:lang w:eastAsia="lv-LV"/>
        </w:rPr>
        <w:t>CKUS sekmīgai funkciju izpildei Ekonomikas ministrijas budžeta apakšprogrammā 29.0</w:t>
      </w:r>
      <w:r w:rsidRPr="00870FD9" w:rsidR="00C73DA0">
        <w:rPr>
          <w:color w:val="000000" w:themeColor="text1"/>
          <w:szCs w:val="28"/>
          <w:lang w:eastAsia="lv-LV"/>
        </w:rPr>
        <w:t>1</w:t>
      </w:r>
      <w:r w:rsidRPr="00870FD9">
        <w:rPr>
          <w:color w:val="000000" w:themeColor="text1"/>
          <w:szCs w:val="28"/>
          <w:lang w:eastAsia="lv-LV"/>
        </w:rPr>
        <w:t>.00 “Naftas produktu rezervju uzturēšana” nepieciešams paredzēt, ka nodevas iekasēšanas rezultātā iegūtie līdzekļi sākot ar 2018.gad</w:t>
      </w:r>
      <w:r w:rsidRPr="00870FD9" w:rsidR="00C36396">
        <w:rPr>
          <w:color w:val="000000" w:themeColor="text1"/>
          <w:szCs w:val="28"/>
          <w:lang w:eastAsia="lv-LV"/>
        </w:rPr>
        <w:t xml:space="preserve">u </w:t>
      </w:r>
      <w:r w:rsidRPr="00870FD9">
        <w:rPr>
          <w:color w:val="000000" w:themeColor="text1"/>
          <w:szCs w:val="28"/>
          <w:lang w:eastAsia="lv-LV"/>
        </w:rPr>
        <w:t>daļēji tiek izmantoti funkcijas administrēšanai t. sk. divu amata vietu atlīdzībai (konkursa nolikuma izstrāde, konkursa norises nodrošināšana, e-pakalpojumu ieviešana u.c.) un pakalpojumiem (komersantu kontrolei, e-pakalpojumu izstrādei, u.c.)</w:t>
      </w:r>
      <w:r w:rsidRPr="00870FD9" w:rsidR="00452F48">
        <w:rPr>
          <w:color w:val="000000" w:themeColor="text1"/>
          <w:szCs w:val="28"/>
          <w:lang w:eastAsia="lv-LV"/>
        </w:rPr>
        <w:t>. CKUS sekmīgai funkciju izpildei</w:t>
      </w:r>
      <w:r w:rsidRPr="00870FD9">
        <w:rPr>
          <w:color w:val="000000" w:themeColor="text1"/>
          <w:szCs w:val="28"/>
          <w:lang w:eastAsia="lv-LV"/>
        </w:rPr>
        <w:t xml:space="preserve"> </w:t>
      </w:r>
      <w:r w:rsidRPr="00870FD9" w:rsidR="00642F42">
        <w:rPr>
          <w:color w:val="000000" w:themeColor="text1"/>
          <w:szCs w:val="28"/>
          <w:lang w:eastAsia="lv-LV"/>
        </w:rPr>
        <w:t xml:space="preserve">pilnam </w:t>
      </w:r>
      <w:r w:rsidRPr="00870FD9" w:rsidR="00452F48">
        <w:rPr>
          <w:color w:val="000000" w:themeColor="text1"/>
          <w:szCs w:val="28"/>
          <w:lang w:eastAsia="lv-LV"/>
        </w:rPr>
        <w:t>gad</w:t>
      </w:r>
      <w:r w:rsidRPr="00870FD9" w:rsidR="00642F42">
        <w:rPr>
          <w:color w:val="000000" w:themeColor="text1"/>
          <w:szCs w:val="28"/>
          <w:lang w:eastAsia="lv-LV"/>
        </w:rPr>
        <w:t>am</w:t>
      </w:r>
      <w:r w:rsidRPr="00870FD9" w:rsidR="00452F48">
        <w:rPr>
          <w:color w:val="000000" w:themeColor="text1"/>
          <w:szCs w:val="28"/>
          <w:lang w:eastAsia="lv-LV"/>
        </w:rPr>
        <w:t xml:space="preserve"> provizoriski ir nepieciešams finansējums </w:t>
      </w:r>
      <w:r w:rsidRPr="00870FD9" w:rsidR="009F2EB4">
        <w:rPr>
          <w:color w:val="000000" w:themeColor="text1"/>
          <w:szCs w:val="28"/>
          <w:lang w:eastAsia="lv-LV"/>
        </w:rPr>
        <w:t xml:space="preserve"> līdz 100 000</w:t>
      </w:r>
      <w:r w:rsidRPr="00870FD9" w:rsidR="009F2EB4">
        <w:rPr>
          <w:i/>
          <w:color w:val="000000" w:themeColor="text1"/>
          <w:szCs w:val="28"/>
          <w:lang w:eastAsia="lv-LV"/>
        </w:rPr>
        <w:t xml:space="preserve"> </w:t>
      </w:r>
      <w:r w:rsidRPr="00870FD9" w:rsidR="009F2EB4">
        <w:rPr>
          <w:i/>
          <w:color w:val="000000" w:themeColor="text1"/>
          <w:szCs w:val="28"/>
          <w:lang w:eastAsia="lv-LV"/>
        </w:rPr>
        <w:t>euro</w:t>
      </w:r>
      <w:r w:rsidRPr="00870FD9" w:rsidR="00452F48">
        <w:rPr>
          <w:color w:val="000000" w:themeColor="text1"/>
          <w:szCs w:val="28"/>
          <w:lang w:eastAsia="lv-LV"/>
        </w:rPr>
        <w:t xml:space="preserve">.  Ņemot vērā, ka šobrīd CKUS </w:t>
      </w:r>
      <w:r w:rsidRPr="00870FD9" w:rsidR="00EE30D5">
        <w:rPr>
          <w:color w:val="000000" w:themeColor="text1"/>
          <w:szCs w:val="28"/>
          <w:lang w:eastAsia="lv-LV"/>
        </w:rPr>
        <w:t xml:space="preserve">funkcijas </w:t>
      </w:r>
      <w:r w:rsidRPr="00870FD9" w:rsidR="009F2EB4">
        <w:rPr>
          <w:color w:val="000000" w:themeColor="text1"/>
          <w:szCs w:val="28"/>
          <w:lang w:eastAsia="lv-LV"/>
        </w:rPr>
        <w:t xml:space="preserve">38 210 </w:t>
      </w:r>
      <w:r w:rsidRPr="00870FD9" w:rsidR="009F2EB4">
        <w:rPr>
          <w:i/>
          <w:color w:val="000000" w:themeColor="text1"/>
          <w:szCs w:val="28"/>
          <w:lang w:eastAsia="lv-LV"/>
        </w:rPr>
        <w:t>euro</w:t>
      </w:r>
      <w:r w:rsidRPr="00870FD9" w:rsidR="009F2EB4">
        <w:rPr>
          <w:color w:val="000000" w:themeColor="text1"/>
          <w:szCs w:val="28"/>
          <w:lang w:eastAsia="lv-LV"/>
        </w:rPr>
        <w:t xml:space="preserve"> apmērā </w:t>
      </w:r>
      <w:r w:rsidRPr="00870FD9" w:rsidR="00EE30D5">
        <w:rPr>
          <w:color w:val="000000" w:themeColor="text1"/>
          <w:szCs w:val="28"/>
          <w:lang w:eastAsia="lv-LV"/>
        </w:rPr>
        <w:t>(</w:t>
      </w:r>
      <w:r w:rsidRPr="00870FD9" w:rsidR="0014169A">
        <w:rPr>
          <w:color w:val="000000" w:themeColor="text1"/>
          <w:szCs w:val="28"/>
          <w:lang w:eastAsia="lv-LV"/>
        </w:rPr>
        <w:t xml:space="preserve">izdevumi atlīdzībai </w:t>
      </w:r>
      <w:r w:rsidRPr="00870FD9" w:rsidR="00EE30D5">
        <w:rPr>
          <w:color w:val="000000" w:themeColor="text1"/>
          <w:szCs w:val="28"/>
          <w:lang w:eastAsia="lv-LV"/>
        </w:rPr>
        <w:t>div</w:t>
      </w:r>
      <w:r w:rsidRPr="00870FD9" w:rsidR="0014169A">
        <w:rPr>
          <w:color w:val="000000" w:themeColor="text1"/>
          <w:szCs w:val="28"/>
          <w:lang w:eastAsia="lv-LV"/>
        </w:rPr>
        <w:t>ām</w:t>
      </w:r>
      <w:r w:rsidRPr="00870FD9" w:rsidR="00EE30D5">
        <w:rPr>
          <w:color w:val="000000" w:themeColor="text1"/>
          <w:szCs w:val="28"/>
          <w:lang w:eastAsia="lv-LV"/>
        </w:rPr>
        <w:t xml:space="preserve"> amata viet</w:t>
      </w:r>
      <w:r w:rsidRPr="00870FD9" w:rsidR="0014169A">
        <w:rPr>
          <w:color w:val="000000" w:themeColor="text1"/>
          <w:szCs w:val="28"/>
          <w:lang w:eastAsia="lv-LV"/>
        </w:rPr>
        <w:t>ām</w:t>
      </w:r>
      <w:r w:rsidRPr="00870FD9" w:rsidR="00EE30D5">
        <w:rPr>
          <w:color w:val="000000" w:themeColor="text1"/>
          <w:szCs w:val="28"/>
          <w:lang w:eastAsia="lv-LV"/>
        </w:rPr>
        <w:t xml:space="preserve">) </w:t>
      </w:r>
      <w:r w:rsidRPr="00870FD9" w:rsidR="00452F48">
        <w:rPr>
          <w:color w:val="000000" w:themeColor="text1"/>
          <w:szCs w:val="28"/>
          <w:lang w:eastAsia="lv-LV"/>
        </w:rPr>
        <w:t>tiek finansēta</w:t>
      </w:r>
      <w:r w:rsidRPr="00870FD9" w:rsidR="00C36396">
        <w:rPr>
          <w:color w:val="000000" w:themeColor="text1"/>
          <w:szCs w:val="28"/>
          <w:lang w:eastAsia="lv-LV"/>
        </w:rPr>
        <w:t>s</w:t>
      </w:r>
      <w:r w:rsidRPr="00870FD9" w:rsidR="00452F48">
        <w:rPr>
          <w:color w:val="000000" w:themeColor="text1"/>
          <w:szCs w:val="28"/>
          <w:lang w:eastAsia="lv-LV"/>
        </w:rPr>
        <w:t xml:space="preserve"> no  Ekonomikas ministrijas budžeta programm</w:t>
      </w:r>
      <w:r w:rsidRPr="00870FD9" w:rsidR="00642F42">
        <w:rPr>
          <w:color w:val="000000" w:themeColor="text1"/>
          <w:szCs w:val="28"/>
          <w:lang w:eastAsia="lv-LV"/>
        </w:rPr>
        <w:t>as</w:t>
      </w:r>
      <w:r w:rsidRPr="00870FD9" w:rsidR="00452F48">
        <w:rPr>
          <w:color w:val="000000" w:themeColor="text1"/>
          <w:szCs w:val="28"/>
          <w:lang w:eastAsia="lv-LV"/>
        </w:rPr>
        <w:t xml:space="preserve"> </w:t>
      </w:r>
      <w:r w:rsidRPr="00870FD9">
        <w:rPr>
          <w:color w:val="000000" w:themeColor="text1"/>
          <w:szCs w:val="28"/>
        </w:rPr>
        <w:t>97.00.00 “Nozaru vadība un politikas plānošana”</w:t>
      </w:r>
      <w:r w:rsidRPr="00870FD9" w:rsidR="00452F48">
        <w:rPr>
          <w:color w:val="000000" w:themeColor="text1"/>
          <w:szCs w:val="28"/>
        </w:rPr>
        <w:t xml:space="preserve">, tiek plānots, ka minētajā budžeta programmā </w:t>
      </w:r>
      <w:r w:rsidRPr="00870FD9" w:rsidR="00642F42">
        <w:rPr>
          <w:color w:val="000000" w:themeColor="text1"/>
          <w:szCs w:val="28"/>
        </w:rPr>
        <w:t>ieekonomē</w:t>
      </w:r>
      <w:r w:rsidRPr="00870FD9" w:rsidR="00452F48">
        <w:rPr>
          <w:color w:val="000000" w:themeColor="text1"/>
          <w:szCs w:val="28"/>
        </w:rPr>
        <w:t xml:space="preserve">tais finansējums </w:t>
      </w:r>
      <w:r w:rsidRPr="00870FD9" w:rsidR="00967779">
        <w:rPr>
          <w:color w:val="000000" w:themeColor="text1"/>
          <w:szCs w:val="28"/>
        </w:rPr>
        <w:t>tiek novirzīts</w:t>
      </w:r>
      <w:r w:rsidRPr="00870FD9" w:rsidR="00A17442">
        <w:rPr>
          <w:color w:val="000000" w:themeColor="text1"/>
          <w:szCs w:val="28"/>
        </w:rPr>
        <w:t xml:space="preserve"> </w:t>
      </w:r>
      <w:r w:rsidRPr="00870FD9" w:rsidR="00046092">
        <w:rPr>
          <w:color w:val="000000" w:themeColor="text1"/>
          <w:szCs w:val="28"/>
        </w:rPr>
        <w:t xml:space="preserve">atlīdzības nodrošināšanai </w:t>
      </w:r>
      <w:r w:rsidRPr="00870FD9" w:rsidR="00C36396">
        <w:rPr>
          <w:color w:val="000000" w:themeColor="text1"/>
          <w:szCs w:val="28"/>
        </w:rPr>
        <w:t xml:space="preserve">esošajiem </w:t>
      </w:r>
      <w:r w:rsidRPr="00870FD9" w:rsidR="00046092">
        <w:rPr>
          <w:color w:val="000000" w:themeColor="text1"/>
          <w:szCs w:val="28"/>
        </w:rPr>
        <w:t>darbiniekiem, lai sagatavotu</w:t>
      </w:r>
      <w:r w:rsidRPr="00870FD9" w:rsidR="00BC632D">
        <w:rPr>
          <w:color w:val="000000" w:themeColor="text1"/>
          <w:szCs w:val="28"/>
        </w:rPr>
        <w:t>,</w:t>
      </w:r>
      <w:r w:rsidRPr="00870FD9" w:rsidR="0033778D">
        <w:rPr>
          <w:color w:val="000000" w:themeColor="text1"/>
          <w:szCs w:val="28"/>
        </w:rPr>
        <w:t xml:space="preserve"> ieviestu</w:t>
      </w:r>
      <w:r w:rsidRPr="00870FD9" w:rsidR="00046092">
        <w:rPr>
          <w:color w:val="000000" w:themeColor="text1"/>
          <w:szCs w:val="28"/>
        </w:rPr>
        <w:t xml:space="preserve"> </w:t>
      </w:r>
      <w:r w:rsidRPr="00870FD9" w:rsidR="0014169A">
        <w:rPr>
          <w:color w:val="000000" w:themeColor="text1"/>
          <w:szCs w:val="28"/>
        </w:rPr>
        <w:t xml:space="preserve">un uzraudzītu </w:t>
      </w:r>
      <w:r w:rsidRPr="00870FD9">
        <w:rPr>
          <w:color w:val="000000" w:themeColor="text1"/>
          <w:szCs w:val="28"/>
        </w:rPr>
        <w:t xml:space="preserve">likumdošanas </w:t>
      </w:r>
      <w:r w:rsidRPr="00870FD9" w:rsidR="0014169A">
        <w:rPr>
          <w:color w:val="000000" w:themeColor="text1"/>
          <w:szCs w:val="28"/>
        </w:rPr>
        <w:t>prasības</w:t>
      </w:r>
      <w:r w:rsidRPr="00870FD9">
        <w:rPr>
          <w:color w:val="000000" w:themeColor="text1"/>
          <w:szCs w:val="28"/>
        </w:rPr>
        <w:t xml:space="preserve"> attiecībā uz jaunu pieeju elektroenerģijas tirgus dizainam, Enerģētikas savienības pārvaldības mehānismam, kā arī energoefektivitātes direktīvas pārskatus.</w:t>
      </w:r>
    </w:p>
    <w:p w:rsidR="00046092" w:rsidRPr="00870FD9" w:rsidP="00B91076">
      <w:pPr>
        <w:rPr>
          <w:color w:val="000000" w:themeColor="text1"/>
          <w:szCs w:val="28"/>
          <w:lang w:eastAsia="lv-LV"/>
        </w:rPr>
      </w:pPr>
    </w:p>
    <w:p w:rsidR="00B91076" w:rsidRPr="00870FD9" w:rsidP="00B91076">
      <w:pPr>
        <w:rPr>
          <w:color w:val="000000" w:themeColor="text1"/>
          <w:szCs w:val="28"/>
          <w:lang w:eastAsia="lv-LV"/>
        </w:rPr>
      </w:pPr>
      <w:r w:rsidRPr="00870FD9">
        <w:rPr>
          <w:color w:val="000000" w:themeColor="text1"/>
          <w:szCs w:val="28"/>
          <w:lang w:eastAsia="lv-LV"/>
        </w:rPr>
        <w:t xml:space="preserve">Ietekme uz pašvaldību budžetiem: tiešas nav. </w:t>
      </w:r>
    </w:p>
    <w:p w:rsidR="00B91076" w:rsidRPr="00870FD9" w:rsidP="00B91076">
      <w:pPr>
        <w:rPr>
          <w:color w:val="000000" w:themeColor="text1"/>
          <w:szCs w:val="28"/>
        </w:rPr>
      </w:pPr>
    </w:p>
    <w:p w:rsidR="00B91076" w:rsidRPr="00870FD9" w:rsidP="00B91076">
      <w:pPr>
        <w:jc w:val="both"/>
        <w:textAlignment w:val="auto"/>
        <w:rPr>
          <w:bCs/>
          <w:color w:val="000000" w:themeColor="text1"/>
          <w:szCs w:val="28"/>
        </w:rPr>
      </w:pPr>
      <w:r w:rsidRPr="00870FD9">
        <w:rPr>
          <w:bCs/>
          <w:color w:val="000000" w:themeColor="text1"/>
          <w:szCs w:val="28"/>
        </w:rPr>
        <w:t xml:space="preserve">Valsts nodeva veidojas no konkursa par naftas produktu drošības rezervju uzglabāšanas pakalpojumu sniegšanas rezultāta. Noslēdzoties konkursam, tiek mainīta valsts nodevas likme atbilstoši konkursa rezultātam. </w:t>
      </w:r>
      <w:r w:rsidRPr="00870FD9">
        <w:rPr>
          <w:b/>
          <w:bCs/>
          <w:color w:val="000000" w:themeColor="text1"/>
          <w:szCs w:val="28"/>
        </w:rPr>
        <w:t xml:space="preserve">Līdz ar to Ziņojumā izskatīto </w:t>
      </w:r>
      <w:r w:rsidRPr="00870FD9" w:rsidR="005530CC">
        <w:rPr>
          <w:b/>
          <w:bCs/>
          <w:color w:val="000000" w:themeColor="text1"/>
          <w:szCs w:val="28"/>
        </w:rPr>
        <w:t>1. un 2.</w:t>
      </w:r>
      <w:r w:rsidRPr="00870FD9">
        <w:rPr>
          <w:b/>
          <w:bCs/>
          <w:color w:val="000000" w:themeColor="text1"/>
          <w:szCs w:val="28"/>
        </w:rPr>
        <w:t>variant</w:t>
      </w:r>
      <w:r w:rsidRPr="00870FD9" w:rsidR="005530CC">
        <w:rPr>
          <w:b/>
          <w:bCs/>
          <w:color w:val="000000" w:themeColor="text1"/>
          <w:szCs w:val="28"/>
        </w:rPr>
        <w:t>a</w:t>
      </w:r>
      <w:r w:rsidRPr="00870FD9">
        <w:rPr>
          <w:b/>
          <w:bCs/>
          <w:color w:val="000000" w:themeColor="text1"/>
          <w:szCs w:val="28"/>
        </w:rPr>
        <w:t xml:space="preserve"> ietekme uz valsts budžetu ir neitrāla.</w:t>
      </w:r>
      <w:r w:rsidRPr="00870FD9" w:rsidR="005530CC">
        <w:rPr>
          <w:b/>
          <w:bCs/>
          <w:color w:val="000000" w:themeColor="text1"/>
          <w:szCs w:val="28"/>
        </w:rPr>
        <w:t xml:space="preserve"> Savukārt 3.varianta īstenošanai ir ietekme uz valsts budžetu, taču šajā gadījumā nepieciešams </w:t>
      </w:r>
      <w:r w:rsidRPr="00870FD9" w:rsidR="005530CC">
        <w:rPr>
          <w:b/>
          <w:color w:val="000000" w:themeColor="text1"/>
          <w:szCs w:val="28"/>
        </w:rPr>
        <w:t xml:space="preserve">veikt padziļinātu </w:t>
      </w:r>
      <w:r w:rsidRPr="00870FD9" w:rsidR="005530CC">
        <w:rPr>
          <w:b/>
          <w:color w:val="000000" w:themeColor="text1"/>
          <w:szCs w:val="28"/>
        </w:rPr>
        <w:t>izvērtējumu</w:t>
      </w:r>
      <w:r w:rsidRPr="00870FD9" w:rsidR="005530CC">
        <w:rPr>
          <w:b/>
          <w:bCs/>
          <w:color w:val="000000" w:themeColor="text1"/>
          <w:szCs w:val="28"/>
        </w:rPr>
        <w:t>.</w:t>
      </w:r>
    </w:p>
    <w:p w:rsidR="00B91076" w:rsidRPr="00870FD9" w:rsidP="00B91076">
      <w:pPr>
        <w:rPr>
          <w:color w:val="000000" w:themeColor="text1"/>
          <w:szCs w:val="28"/>
        </w:rPr>
      </w:pPr>
    </w:p>
    <w:p w:rsidR="007604F1" w:rsidRPr="00870FD9" w:rsidP="007604F1">
      <w:pPr>
        <w:rPr>
          <w:color w:val="000000" w:themeColor="text1"/>
          <w:szCs w:val="28"/>
        </w:rPr>
      </w:pPr>
    </w:p>
    <w:p w:rsidR="007604F1" w:rsidRPr="00870FD9" w:rsidP="007604F1">
      <w:pPr>
        <w:rPr>
          <w:color w:val="000000" w:themeColor="text1"/>
          <w:szCs w:val="28"/>
        </w:rPr>
      </w:pPr>
      <w:r w:rsidRPr="00870FD9">
        <w:rPr>
          <w:color w:val="000000" w:themeColor="text1"/>
          <w:szCs w:val="28"/>
        </w:rPr>
        <w:t xml:space="preserve">Ministru prezidenta biedrs, </w:t>
      </w:r>
    </w:p>
    <w:p w:rsidR="007604F1" w:rsidRPr="00870FD9" w:rsidP="007604F1">
      <w:pPr>
        <w:rPr>
          <w:color w:val="000000" w:themeColor="text1"/>
          <w:sz w:val="22"/>
          <w:szCs w:val="24"/>
        </w:rPr>
      </w:pPr>
      <w:r w:rsidRPr="00870FD9">
        <w:rPr>
          <w:color w:val="000000" w:themeColor="text1"/>
          <w:szCs w:val="28"/>
        </w:rPr>
        <w:t>ekonomikas ministrs</w:t>
      </w:r>
      <w:r w:rsidRPr="00870FD9">
        <w:rPr>
          <w:color w:val="000000" w:themeColor="text1"/>
          <w:szCs w:val="28"/>
        </w:rPr>
        <w:tab/>
      </w:r>
      <w:r w:rsidRPr="00870FD9">
        <w:rPr>
          <w:color w:val="000000" w:themeColor="text1"/>
          <w:szCs w:val="28"/>
        </w:rPr>
        <w:tab/>
      </w:r>
      <w:r w:rsidRPr="00870FD9">
        <w:rPr>
          <w:color w:val="000000" w:themeColor="text1"/>
          <w:szCs w:val="28"/>
        </w:rPr>
        <w:tab/>
      </w:r>
      <w:r w:rsidRPr="00870FD9">
        <w:rPr>
          <w:color w:val="000000" w:themeColor="text1"/>
          <w:szCs w:val="28"/>
        </w:rPr>
        <w:tab/>
      </w:r>
      <w:r w:rsidRPr="00870FD9">
        <w:rPr>
          <w:color w:val="000000" w:themeColor="text1"/>
          <w:szCs w:val="28"/>
        </w:rPr>
        <w:tab/>
      </w:r>
      <w:r w:rsidRPr="00870FD9">
        <w:rPr>
          <w:color w:val="000000" w:themeColor="text1"/>
          <w:szCs w:val="28"/>
        </w:rPr>
        <w:tab/>
        <w:t>Arvils Ašeradens</w:t>
      </w:r>
    </w:p>
    <w:p w:rsidR="007604F1" w:rsidRPr="008573D8" w:rsidP="007604F1">
      <w:pPr>
        <w:rPr>
          <w:color w:val="000000" w:themeColor="text1"/>
          <w:szCs w:val="24"/>
        </w:rPr>
      </w:pPr>
    </w:p>
    <w:p w:rsidR="007604F1" w:rsidRPr="008573D8" w:rsidP="007604F1">
      <w:pPr>
        <w:rPr>
          <w:color w:val="000000" w:themeColor="text1"/>
          <w:szCs w:val="24"/>
        </w:rPr>
      </w:pPr>
    </w:p>
    <w:p w:rsidR="007604F1" w:rsidRPr="008573D8" w:rsidP="007604F1">
      <w:pPr>
        <w:rPr>
          <w:color w:val="000000" w:themeColor="text1"/>
          <w:szCs w:val="24"/>
        </w:rPr>
      </w:pPr>
    </w:p>
    <w:p w:rsidR="00DB5C36" w:rsidRPr="008573D8" w:rsidP="007604F1">
      <w:pPr>
        <w:rPr>
          <w:color w:val="000000" w:themeColor="text1"/>
          <w:szCs w:val="24"/>
        </w:rPr>
      </w:pPr>
    </w:p>
    <w:p w:rsidR="00DB5C36" w:rsidRPr="008573D8" w:rsidP="007604F1">
      <w:pPr>
        <w:rPr>
          <w:color w:val="000000" w:themeColor="text1"/>
          <w:szCs w:val="24"/>
        </w:rPr>
      </w:pPr>
    </w:p>
    <w:p w:rsidR="007604F1" w:rsidRPr="008573D8" w:rsidP="007604F1">
      <w:pPr>
        <w:rPr>
          <w:color w:val="000000" w:themeColor="text1"/>
          <w:sz w:val="16"/>
          <w:szCs w:val="16"/>
        </w:rPr>
      </w:pPr>
    </w:p>
    <w:p w:rsidR="005530CC" w:rsidRPr="008573D8" w:rsidP="007604F1">
      <w:pPr>
        <w:rPr>
          <w:color w:val="000000" w:themeColor="text1"/>
          <w:sz w:val="20"/>
        </w:rPr>
      </w:pPr>
      <w:r w:rsidRPr="008573D8">
        <w:rPr>
          <w:color w:val="000000" w:themeColor="text1"/>
          <w:sz w:val="20"/>
        </w:rPr>
        <w:t>Lāce, 67013116</w:t>
      </w:r>
    </w:p>
    <w:p w:rsidR="005530CC" w:rsidRPr="008573D8" w:rsidP="007604F1">
      <w:pPr>
        <w:rPr>
          <w:color w:val="000000" w:themeColor="text1"/>
          <w:sz w:val="20"/>
        </w:rPr>
      </w:pPr>
      <w:r w:rsidRPr="008573D8">
        <w:rPr>
          <w:color w:val="000000" w:themeColor="text1"/>
          <w:sz w:val="20"/>
        </w:rPr>
        <w:t>Inga.Lace@em.gov.lv</w:t>
      </w:r>
    </w:p>
    <w:p w:rsidR="005530CC" w:rsidRPr="008573D8" w:rsidP="007604F1">
      <w:pPr>
        <w:rPr>
          <w:color w:val="000000" w:themeColor="text1"/>
          <w:sz w:val="20"/>
        </w:rPr>
      </w:pPr>
    </w:p>
    <w:p w:rsidR="005530CC" w:rsidRPr="008573D8" w:rsidP="007604F1">
      <w:pPr>
        <w:rPr>
          <w:color w:val="000000" w:themeColor="text1"/>
          <w:sz w:val="20"/>
        </w:rPr>
      </w:pPr>
      <w:r w:rsidRPr="008573D8">
        <w:rPr>
          <w:color w:val="000000" w:themeColor="text1"/>
          <w:sz w:val="20"/>
        </w:rPr>
        <w:t>Vīksna, 67013087</w:t>
      </w:r>
    </w:p>
    <w:p w:rsidR="005530CC" w:rsidRPr="005530CC" w:rsidP="007604F1">
      <w:pPr>
        <w:rPr>
          <w:color w:val="000000" w:themeColor="text1"/>
          <w:sz w:val="20"/>
        </w:rPr>
      </w:pPr>
      <w:r w:rsidRPr="008573D8">
        <w:rPr>
          <w:color w:val="000000" w:themeColor="text1"/>
          <w:sz w:val="20"/>
        </w:rPr>
        <w:t>Sintija.Viksna@em.gov.lv</w:t>
      </w:r>
    </w:p>
    <w:sectPr>
      <w:headerReference w:type="default" r:id="rId6"/>
      <w:footerReference w:type="default" r:id="rId7"/>
      <w:footerReference w:type="first" r:id="rId8"/>
      <w:pgSz w:w="11906" w:h="16838"/>
      <w:pgMar w:top="1418" w:right="1134" w:bottom="1134" w:left="1701"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72D" w:rsidRPr="00E12047" w:rsidP="00E12047">
    <w:pPr>
      <w:jc w:val="both"/>
      <w:rPr>
        <w:sz w:val="20"/>
      </w:rPr>
    </w:pPr>
    <w:r w:rsidRPr="00E12047">
      <w:rPr>
        <w:sz w:val="20"/>
      </w:rPr>
      <w:t>EMZino_</w:t>
    </w:r>
    <w:r w:rsidR="00870FD9">
      <w:rPr>
        <w:sz w:val="20"/>
      </w:rPr>
      <w:t>1912</w:t>
    </w:r>
    <w:r w:rsidRPr="00E12047">
      <w:rPr>
        <w:sz w:val="20"/>
      </w:rPr>
      <w:t>17_Konceptuālais ziņojums “Par drošības rezervju pakalpojuma valsts naftas produktu drošības rezervju izveidei pilnveidošanu”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72D" w:rsidRPr="00E12047" w:rsidP="00E12047">
    <w:pPr>
      <w:jc w:val="both"/>
      <w:rPr>
        <w:sz w:val="20"/>
      </w:rPr>
    </w:pPr>
    <w:r w:rsidRPr="00E12047">
      <w:rPr>
        <w:sz w:val="20"/>
      </w:rPr>
      <w:t>EMZino_</w:t>
    </w:r>
    <w:r w:rsidR="00870FD9">
      <w:rPr>
        <w:sz w:val="20"/>
      </w:rPr>
      <w:t>1912</w:t>
    </w:r>
    <w:r w:rsidRPr="00E12047" w:rsidR="00E12047">
      <w:rPr>
        <w:sz w:val="20"/>
      </w:rPr>
      <w:t>17</w:t>
    </w:r>
    <w:r w:rsidRPr="00E12047">
      <w:rPr>
        <w:sz w:val="20"/>
      </w:rPr>
      <w:t>_Konceptu</w:t>
    </w:r>
    <w:r w:rsidRPr="00E12047" w:rsidR="00E12047">
      <w:rPr>
        <w:sz w:val="20"/>
      </w:rPr>
      <w:t>ā</w:t>
    </w:r>
    <w:r w:rsidRPr="00E12047">
      <w:rPr>
        <w:sz w:val="20"/>
      </w:rPr>
      <w:t xml:space="preserve">lais ziņojums </w:t>
    </w:r>
    <w:r w:rsidRPr="00E12047" w:rsidR="00E12047">
      <w:rPr>
        <w:sz w:val="20"/>
      </w:rPr>
      <w:t>“Par drošības rezervju pakalpojuma valsts naftas produktu drošības rezervju izveidei pilnveidošanu”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6B85">
      <w:r>
        <w:rPr>
          <w:color w:val="000000"/>
        </w:rPr>
        <w:separator/>
      </w:r>
    </w:p>
  </w:footnote>
  <w:footnote w:type="continuationSeparator" w:id="1">
    <w:p w:rsidR="00416B85">
      <w:r>
        <w:continuationSeparator/>
      </w:r>
    </w:p>
  </w:footnote>
  <w:footnote w:id="2">
    <w:p w:rsidR="00D4472D" w:rsidRPr="00682A70" w:rsidP="00682A70">
      <w:pPr>
        <w:pStyle w:val="FootnoteText"/>
      </w:pPr>
      <w:r w:rsidRPr="00682A70">
        <w:rPr>
          <w:rStyle w:val="FootnoteReference"/>
        </w:rPr>
        <w:footnoteRef/>
      </w:r>
      <w:r w:rsidRPr="00682A70">
        <w:t xml:space="preserve"> https://likumi.lv/doc.php?id=207405</w:t>
      </w:r>
    </w:p>
  </w:footnote>
  <w:footnote w:id="3">
    <w:p w:rsidR="00D4472D" w:rsidRPr="00682A70" w:rsidP="00682A70">
      <w:pPr>
        <w:pStyle w:val="FootnoteText"/>
      </w:pPr>
      <w:r w:rsidRPr="00682A70">
        <w:rPr>
          <w:rStyle w:val="FootnoteReference"/>
        </w:rPr>
        <w:footnoteRef/>
      </w:r>
      <w:r w:rsidRPr="00682A70">
        <w:t xml:space="preserve"> </w:t>
      </w:r>
      <w:r w:rsidRPr="00682A70">
        <w:t>http://eur-lex.europa.eu/legal-content/LV/TXT/?uri=CELEX%3A32009L0119</w:t>
      </w:r>
    </w:p>
  </w:footnote>
  <w:footnote w:id="4">
    <w:p w:rsidR="00D4472D" w:rsidRPr="00682A70" w:rsidP="00682A70">
      <w:pPr>
        <w:pStyle w:val="FootnoteText"/>
      </w:pPr>
      <w:r w:rsidRPr="00682A70">
        <w:rPr>
          <w:rStyle w:val="FootnoteReference"/>
        </w:rPr>
        <w:footnoteRef/>
      </w:r>
      <w:r w:rsidRPr="00682A70">
        <w:t xml:space="preserve"> </w:t>
      </w:r>
      <w:r w:rsidRPr="00682A70">
        <w:t>http://eur-lex.europa.eu/legal-content/LV/TXT/?uri=CELEX%3A31968L0414</w:t>
      </w:r>
    </w:p>
  </w:footnote>
  <w:footnote w:id="5">
    <w:p w:rsidR="00D4472D" w:rsidRPr="00682A70" w:rsidP="00682A70">
      <w:pPr>
        <w:pStyle w:val="FootnoteText"/>
      </w:pPr>
      <w:r w:rsidRPr="00682A70">
        <w:rPr>
          <w:rStyle w:val="FootnoteReference"/>
        </w:rPr>
        <w:footnoteRef/>
      </w:r>
      <w:r w:rsidRPr="00682A70">
        <w:t xml:space="preserve"> </w:t>
      </w:r>
      <w:r w:rsidRPr="00682A70">
        <w:t>http://eur-lex.europa.eu/legal-content/LV/TXT/?uri=CELEX%3A31998L0093</w:t>
      </w:r>
    </w:p>
  </w:footnote>
  <w:footnote w:id="6">
    <w:p w:rsidR="00D4472D" w:rsidRPr="00682A70" w:rsidP="00682A70">
      <w:pPr>
        <w:pStyle w:val="FootnoteText"/>
      </w:pPr>
      <w:r w:rsidRPr="00682A70">
        <w:rPr>
          <w:rStyle w:val="FootnoteReference"/>
        </w:rPr>
        <w:footnoteRef/>
      </w:r>
      <w:r w:rsidRPr="00682A70">
        <w:t xml:space="preserve"> </w:t>
      </w:r>
      <w:r w:rsidRPr="00682A70">
        <w:t>http://eur-lex.europa.eu/legal-content/LV/TXT/?uri=CELEX%3A31998L0093</w:t>
      </w:r>
    </w:p>
  </w:footnote>
  <w:footnote w:id="7">
    <w:p w:rsidR="00D4472D" w:rsidRPr="00682A70" w:rsidP="00682A70">
      <w:pPr>
        <w:pStyle w:val="FootnoteText"/>
      </w:pPr>
      <w:r w:rsidRPr="00682A70">
        <w:rPr>
          <w:rStyle w:val="FootnoteReference"/>
        </w:rPr>
        <w:footnoteRef/>
      </w:r>
      <w:r w:rsidRPr="00682A70">
        <w:t xml:space="preserve"> </w:t>
      </w:r>
      <w:r w:rsidRPr="00682A70">
        <w:t>http://eur-lex.europa.eu/legal-content/LV/TXT/?uri=CELEX%3A32006L0067</w:t>
      </w:r>
    </w:p>
  </w:footnote>
  <w:footnote w:id="8">
    <w:p w:rsidR="00D4472D" w:rsidRPr="00682A70" w:rsidP="00682A70">
      <w:pPr>
        <w:pStyle w:val="FootnoteText"/>
      </w:pPr>
      <w:r w:rsidRPr="00682A70">
        <w:rPr>
          <w:rStyle w:val="FootnoteReference"/>
        </w:rPr>
        <w:footnoteRef/>
      </w:r>
      <w:r w:rsidRPr="00682A70">
        <w:t xml:space="preserve"> </w:t>
      </w:r>
      <w:r w:rsidRPr="00682A70">
        <w:rPr>
          <w:bCs/>
        </w:rPr>
        <w:t>http://ec.europa.eu/transparency/regdoc/rep/1/2008/LV/1-2008-775-LV-F2-1.Pdf</w:t>
      </w:r>
    </w:p>
  </w:footnote>
  <w:footnote w:id="9">
    <w:p w:rsidR="00D4472D" w:rsidRPr="00682A70" w:rsidP="00682A70">
      <w:pPr>
        <w:pStyle w:val="FootnoteText"/>
      </w:pPr>
      <w:r w:rsidRPr="00682A70">
        <w:rPr>
          <w:rStyle w:val="FootnoteReference"/>
        </w:rPr>
        <w:footnoteRef/>
      </w:r>
      <w:r w:rsidRPr="00682A70">
        <w:t xml:space="preserve"> </w:t>
      </w:r>
      <w:r w:rsidRPr="00682A70">
        <w:t>http://www.ospa.ee/</w:t>
      </w:r>
    </w:p>
  </w:footnote>
  <w:footnote w:id="10">
    <w:p w:rsidR="00D4472D" w:rsidRPr="00682A70" w:rsidP="00682A70">
      <w:pPr>
        <w:pStyle w:val="FootnoteText"/>
      </w:pPr>
      <w:r w:rsidRPr="00682A70">
        <w:rPr>
          <w:rStyle w:val="FootnoteReference"/>
        </w:rPr>
        <w:footnoteRef/>
      </w:r>
      <w:r w:rsidRPr="00682A70">
        <w:t xml:space="preserve"> </w:t>
      </w:r>
      <w:r w:rsidRPr="00682A70">
        <w:t>https://www.nesa.fi/</w:t>
      </w:r>
    </w:p>
  </w:footnote>
  <w:footnote w:id="11">
    <w:p w:rsidR="00682A70" w:rsidRPr="00682A70" w:rsidP="00682A70">
      <w:pPr>
        <w:rPr>
          <w:color w:val="44546A"/>
          <w:sz w:val="20"/>
        </w:rPr>
      </w:pPr>
      <w:r w:rsidRPr="00682A70">
        <w:rPr>
          <w:rStyle w:val="FootnoteReference"/>
          <w:sz w:val="20"/>
        </w:rPr>
        <w:footnoteRef/>
      </w:r>
      <w:r w:rsidRPr="00682A70">
        <w:rPr>
          <w:sz w:val="20"/>
        </w:rPr>
        <w:t xml:space="preserve"> </w:t>
      </w:r>
      <w:r>
        <w:fldChar w:fldCharType="begin"/>
      </w:r>
      <w:r>
        <w:instrText xml:space="preserve"> HYPERLINK "https://likumi.lv/doc.php?id=11217" </w:instrText>
      </w:r>
      <w:r>
        <w:fldChar w:fldCharType="separate"/>
      </w:r>
      <w:r w:rsidRPr="00682A70">
        <w:rPr>
          <w:rStyle w:val="Hyperlink"/>
          <w:color w:val="000000" w:themeColor="text1"/>
          <w:sz w:val="20"/>
          <w:u w:val="none"/>
        </w:rPr>
        <w:t>https://likumi.lv/doc.php?id=11217</w:t>
      </w:r>
      <w:r>
        <w:fldChar w:fldCharType="end"/>
      </w:r>
    </w:p>
  </w:footnote>
  <w:footnote w:id="12">
    <w:p w:rsidR="00D4472D" w:rsidRPr="00682A70" w:rsidP="00682A70">
      <w:pPr>
        <w:pStyle w:val="FootnoteText"/>
      </w:pPr>
      <w:r w:rsidRPr="00682A70">
        <w:rPr>
          <w:rStyle w:val="FootnoteReference"/>
        </w:rPr>
        <w:footnoteRef/>
      </w:r>
      <w:r w:rsidRPr="00682A70">
        <w:t xml:space="preserve"> </w:t>
      </w:r>
      <w:r w:rsidRPr="00682A70">
        <w:t>http://www.lnpa.lt/lt/;</w:t>
      </w:r>
    </w:p>
  </w:footnote>
  <w:footnote w:id="13">
    <w:p w:rsidR="00D4472D" w:rsidRPr="00682A70" w:rsidP="00682A70">
      <w:pPr>
        <w:pStyle w:val="FootnoteText"/>
      </w:pPr>
      <w:r w:rsidRPr="00682A70">
        <w:rPr>
          <w:rStyle w:val="FootnoteReference"/>
        </w:rPr>
        <w:footnoteRef/>
      </w:r>
      <w:r w:rsidRPr="00682A70">
        <w:t xml:space="preserve"> </w:t>
      </w:r>
      <w:r w:rsidRPr="00682A70">
        <w:t>https://www.nesa.fi/</w:t>
      </w:r>
    </w:p>
  </w:footnote>
  <w:footnote w:id="14">
    <w:p w:rsidR="00D4472D" w:rsidRPr="00682A70" w:rsidP="00682A70">
      <w:pPr>
        <w:pStyle w:val="FootnoteText"/>
      </w:pPr>
      <w:r w:rsidRPr="00682A70">
        <w:rPr>
          <w:rStyle w:val="FootnoteReference"/>
        </w:rPr>
        <w:footnoteRef/>
      </w:r>
      <w:r w:rsidRPr="00682A70">
        <w:t xml:space="preserve"> </w:t>
      </w:r>
      <w:r w:rsidRPr="00682A70">
        <w:t>http://www.fdo.dk/Om%20FDO.aspx?sc_lang=en</w:t>
      </w:r>
    </w:p>
  </w:footnote>
  <w:footnote w:id="15">
    <w:p w:rsidR="00D4472D" w:rsidRPr="00682A70" w:rsidP="00682A70">
      <w:pPr>
        <w:pStyle w:val="FootnoteText"/>
      </w:pPr>
      <w:r w:rsidRPr="00682A70">
        <w:rPr>
          <w:rStyle w:val="FootnoteReference"/>
        </w:rPr>
        <w:footnoteRef/>
      </w:r>
      <w:r w:rsidRPr="00682A70">
        <w:t xml:space="preserve"> </w:t>
      </w:r>
      <w:r w:rsidRPr="00682A70">
        <w:t>http://eur-lex.europa.eu/legal-content/LV/TXT/?qid=1510576186367&amp;uri=CELEX:32009L0081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72D">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0" cy="0"/>
                      </a:xfrm>
                      <a:prstGeom prst="rect">
                        <a:avLst/>
                      </a:prstGeom>
                      <a:noFill/>
                      <a:ln>
                        <a:noFill/>
                      </a:ln>
                    </wps:spPr>
                    <wps:txbx>
                      <w:txbxContent>
                        <w:p w:rsidR="00D4472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width:0;height:0;margin-top:0.04pt;margin-left:0;mso-position-horizontal:center;mso-position-horizontal-relative:margin;mso-wrap-distance-bottom:0;mso-wrap-distance-left:9pt;mso-wrap-distance-right:9pt;mso-wrap-distance-top:0;mso-wrap-style:none;position:absolute;v-text-anchor:top;z-index:251658240" filled="f" fillcolor="this" stroked="f">
              <v:textbox style="mso-fit-shape-to-text:t" inset="0,0,0,0">
                <w:txbxContent>
                  <w:p w:rsidR="00D4472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4D3F0E"/>
    <w:multiLevelType w:val="multilevel"/>
    <w:tmpl w:val="59440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0BE92300"/>
    <w:multiLevelType w:val="multilevel"/>
    <w:tmpl w:val="BA1A1E6A"/>
    <w:lvl w:ilvl="0">
      <w:start w:val="0"/>
      <w:numFmt w:val="bullet"/>
      <w:lvlText w:val="•"/>
      <w:lvlJc w:val="left"/>
      <w:rPr>
        <w:rFonts w:ascii="Arial" w:hAnsi="Arial" w:cs="Arial"/>
        <w:sz w:val="44"/>
      </w:rPr>
    </w:lvl>
    <w:lvl w:ilvl="1">
      <w:start w:val="1"/>
      <w:numFmt w:val="none"/>
      <w:lvlJc w:val="left"/>
    </w:lvl>
    <w:lvl w:ilvl="2">
      <w:start w:val="1"/>
      <w:numFmt w:val="none"/>
      <w:lvlJc w:val="left"/>
    </w:lvl>
    <w:lvl w:ilvl="3">
      <w:start w:val="1"/>
      <w:numFmt w:val="none"/>
      <w:lvlJc w:val="left"/>
    </w:lvl>
    <w:lvl w:ilvl="4">
      <w:start w:val="1"/>
      <w:numFmt w:val="none"/>
      <w:lvlJc w:val="left"/>
    </w:lvl>
    <w:lvl w:ilvl="5">
      <w:start w:val="1"/>
      <w:numFmt w:val="none"/>
      <w:lvlJc w:val="left"/>
    </w:lvl>
    <w:lvl w:ilvl="6">
      <w:start w:val="1"/>
      <w:numFmt w:val="none"/>
      <w:lvlJc w:val="left"/>
    </w:lvl>
    <w:lvl w:ilvl="7">
      <w:start w:val="1"/>
      <w:numFmt w:val="none"/>
      <w:lvlJc w:val="left"/>
    </w:lvl>
    <w:lvl w:ilvl="8">
      <w:start w:val="1"/>
      <w:numFmt w:val="none"/>
      <w:lvlJc w:val="left"/>
    </w:lvl>
  </w:abstractNum>
  <w:abstractNum w:abstractNumId="2" w15:restartNumberingAfterBreak="1">
    <w:nsid w:val="102E773D"/>
    <w:multiLevelType w:val="multilevel"/>
    <w:tmpl w:val="3E8A89D4"/>
    <w:lvl w:ilvl="0">
      <w:start w:val="0"/>
      <w:numFmt w:val="bullet"/>
      <w:lvlText w:val="•"/>
      <w:lvlJc w:val="left"/>
      <w:rPr>
        <w:rFonts w:ascii="Arial" w:hAnsi="Arial" w:cs="Arial"/>
        <w:sz w:val="44"/>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3" w15:restartNumberingAfterBreak="1">
    <w:nsid w:val="16487BC8"/>
    <w:multiLevelType w:val="multilevel"/>
    <w:tmpl w:val="11F2B780"/>
    <w:lvl w:ilvl="0">
      <w:start w:val="0"/>
      <w:numFmt w:val="bullet"/>
      <w:lvlText w:val="•"/>
      <w:lvlJc w:val="left"/>
      <w:rPr>
        <w:rFonts w:ascii="Arial" w:hAnsi="Arial" w:cs="Arial"/>
        <w:sz w:val="44"/>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4" w15:restartNumberingAfterBreak="1">
    <w:nsid w:val="221A67D2"/>
    <w:multiLevelType w:val="hybridMultilevel"/>
    <w:tmpl w:val="CA942B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BD0751F"/>
    <w:multiLevelType w:val="multilevel"/>
    <w:tmpl w:val="DB0E54E0"/>
    <w:lvl w:ilvl="0">
      <w:start w:val="0"/>
      <w:numFmt w:val="bullet"/>
      <w:lvlText w:val=""/>
      <w:lvlJc w:val="left"/>
      <w:pPr>
        <w:ind w:left="786"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6" w15:restartNumberingAfterBreak="1">
    <w:nsid w:val="32425799"/>
    <w:multiLevelType w:val="multilevel"/>
    <w:tmpl w:val="89FE7F4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1">
    <w:nsid w:val="33E45FE7"/>
    <w:multiLevelType w:val="hybridMultilevel"/>
    <w:tmpl w:val="B4B864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3B014F61"/>
    <w:multiLevelType w:val="multilevel"/>
    <w:tmpl w:val="1F242A30"/>
    <w:lvl w:ilvl="0">
      <w:start w:val="0"/>
      <w:numFmt w:val="bullet"/>
      <w:lvlText w:val="•"/>
      <w:lvlJc w:val="left"/>
      <w:rPr>
        <w:rFonts w:ascii="Arial" w:hAnsi="Arial" w:cs="Arial"/>
        <w:sz w:val="44"/>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9" w15:restartNumberingAfterBreak="1">
    <w:nsid w:val="40BE0323"/>
    <w:multiLevelType w:val="multilevel"/>
    <w:tmpl w:val="0A48B7B4"/>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0" w15:restartNumberingAfterBreak="1">
    <w:nsid w:val="444B2BA2"/>
    <w:multiLevelType w:val="hybridMultilevel"/>
    <w:tmpl w:val="B4B864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804200"/>
    <w:multiLevelType w:val="multilevel"/>
    <w:tmpl w:val="5F26ADFC"/>
    <w:lvl w:ilvl="0">
      <w:start w:val="1"/>
      <w:numFmt w:val="decimal"/>
      <w:lvlText w:val="%1)"/>
      <w:lvlJc w:val="left"/>
      <w:pPr>
        <w:ind w:left="360" w:hanging="360"/>
      </w:pPr>
    </w:lvl>
    <w:lvl w:ilvl="1">
      <w:start w:val="0"/>
      <w:numFmt w:val="bullet"/>
      <w:lvlText w:val="o"/>
      <w:lvlJc w:val="left"/>
      <w:pPr>
        <w:ind w:left="1080" w:hanging="360"/>
      </w:pPr>
      <w:rPr>
        <w:rFonts w:ascii="Courier New" w:hAnsi="Courier New" w:cs="Courier New"/>
      </w:rPr>
    </w:lvl>
    <w:lvl w:ilvl="2">
      <w:start w:val="0"/>
      <w:numFmt w:val="bullet"/>
      <w:lvlText w:val=""/>
      <w:lvlJc w:val="left"/>
      <w:pPr>
        <w:ind w:left="1800" w:hanging="360"/>
      </w:pPr>
      <w:rPr>
        <w:rFonts w:ascii="Wingdings" w:hAnsi="Wingdings"/>
      </w:rPr>
    </w:lvl>
    <w:lvl w:ilvl="3">
      <w:start w:val="0"/>
      <w:numFmt w:val="bullet"/>
      <w:lvlText w:val=""/>
      <w:lvlJc w:val="left"/>
      <w:pPr>
        <w:ind w:left="2520" w:hanging="360"/>
      </w:pPr>
      <w:rPr>
        <w:rFonts w:ascii="Symbol" w:hAnsi="Symbol"/>
      </w:rPr>
    </w:lvl>
    <w:lvl w:ilvl="4">
      <w:start w:val="0"/>
      <w:numFmt w:val="bullet"/>
      <w:lvlText w:val="o"/>
      <w:lvlJc w:val="left"/>
      <w:pPr>
        <w:ind w:left="3240" w:hanging="360"/>
      </w:pPr>
      <w:rPr>
        <w:rFonts w:ascii="Courier New" w:hAnsi="Courier New" w:cs="Courier New"/>
      </w:rPr>
    </w:lvl>
    <w:lvl w:ilvl="5">
      <w:start w:val="0"/>
      <w:numFmt w:val="bullet"/>
      <w:lvlText w:val=""/>
      <w:lvlJc w:val="left"/>
      <w:pPr>
        <w:ind w:left="3960" w:hanging="360"/>
      </w:pPr>
      <w:rPr>
        <w:rFonts w:ascii="Wingdings" w:hAnsi="Wingdings"/>
      </w:rPr>
    </w:lvl>
    <w:lvl w:ilvl="6">
      <w:start w:val="0"/>
      <w:numFmt w:val="bullet"/>
      <w:lvlText w:val=""/>
      <w:lvlJc w:val="left"/>
      <w:pPr>
        <w:ind w:left="4680" w:hanging="360"/>
      </w:pPr>
      <w:rPr>
        <w:rFonts w:ascii="Symbol" w:hAnsi="Symbol"/>
      </w:rPr>
    </w:lvl>
    <w:lvl w:ilvl="7">
      <w:start w:val="0"/>
      <w:numFmt w:val="bullet"/>
      <w:lvlText w:val="o"/>
      <w:lvlJc w:val="left"/>
      <w:pPr>
        <w:ind w:left="5400" w:hanging="360"/>
      </w:pPr>
      <w:rPr>
        <w:rFonts w:ascii="Courier New" w:hAnsi="Courier New" w:cs="Courier New"/>
      </w:rPr>
    </w:lvl>
    <w:lvl w:ilvl="8">
      <w:start w:val="0"/>
      <w:numFmt w:val="bullet"/>
      <w:lvlText w:val=""/>
      <w:lvlJc w:val="left"/>
      <w:pPr>
        <w:ind w:left="6120" w:hanging="360"/>
      </w:pPr>
      <w:rPr>
        <w:rFonts w:ascii="Wingdings" w:hAnsi="Wingdings"/>
      </w:rPr>
    </w:lvl>
  </w:abstractNum>
  <w:abstractNum w:abstractNumId="12" w15:restartNumberingAfterBreak="1">
    <w:nsid w:val="576C0237"/>
    <w:multiLevelType w:val="multilevel"/>
    <w:tmpl w:val="32A06C2C"/>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3" w15:restartNumberingAfterBreak="1">
    <w:nsid w:val="6C6F24FA"/>
    <w:multiLevelType w:val="hybridMultilevel"/>
    <w:tmpl w:val="CDDE54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7530137C"/>
    <w:multiLevelType w:val="multilevel"/>
    <w:tmpl w:val="742419AC"/>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1">
    <w:nsid w:val="76AB625E"/>
    <w:multiLevelType w:val="hybridMultilevel"/>
    <w:tmpl w:val="B4B864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76F5743C"/>
    <w:multiLevelType w:val="multilevel"/>
    <w:tmpl w:val="53869A6A"/>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1">
    <w:nsid w:val="7D3F2824"/>
    <w:multiLevelType w:val="multilevel"/>
    <w:tmpl w:val="2F681D78"/>
    <w:lvl w:ilvl="0">
      <w:start w:val="0"/>
      <w:numFmt w:val="bullet"/>
      <w:lvlText w:val=""/>
      <w:lvlJc w:val="left"/>
      <w:pPr>
        <w:ind w:left="720" w:hanging="360"/>
      </w:pPr>
      <w:rPr>
        <w:rFonts w:ascii="Symbol" w:hAnsi="Symbol"/>
      </w:rPr>
    </w:lvl>
    <w:lvl w:ilvl="1">
      <w:start w:val="0"/>
      <w:numFmt w:val="bullet"/>
      <w:lvlText w:val="o"/>
      <w:lvlJc w:val="left"/>
      <w:pPr>
        <w:ind w:left="1440" w:hanging="360"/>
      </w:pPr>
      <w:rPr>
        <w:rFonts w:ascii="Courier New" w:hAnsi="Courier New" w:cs="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18" w15:restartNumberingAfterBreak="1">
    <w:nsid w:val="7FCB55BE"/>
    <w:multiLevelType w:val="multilevel"/>
    <w:tmpl w:val="262A8DF0"/>
    <w:lvl w:ilvl="0">
      <w:start w:val="0"/>
      <w:numFmt w:val="bullet"/>
      <w:lvlText w:val="•"/>
      <w:lvlJc w:val="left"/>
      <w:rPr>
        <w:rFonts w:ascii="Arial" w:hAnsi="Arial" w:cs="Arial"/>
        <w:sz w:val="44"/>
      </w:rPr>
    </w:lvl>
    <w:lvl w:ilvl="1">
      <w:start w:val="0"/>
      <w:numFmt w:val="bullet"/>
      <w:lvlText w:val="o"/>
      <w:lvlJc w:val="left"/>
      <w:pPr>
        <w:ind w:left="1715" w:hanging="360"/>
      </w:pPr>
      <w:rPr>
        <w:rFonts w:ascii="Courier New" w:hAnsi="Courier New" w:cs="Courier New"/>
      </w:rPr>
    </w:lvl>
    <w:lvl w:ilvl="2">
      <w:start w:val="0"/>
      <w:numFmt w:val="bullet"/>
      <w:lvlText w:val=""/>
      <w:lvlJc w:val="left"/>
      <w:pPr>
        <w:ind w:left="2435" w:hanging="360"/>
      </w:pPr>
      <w:rPr>
        <w:rFonts w:ascii="Wingdings" w:hAnsi="Wingdings"/>
      </w:rPr>
    </w:lvl>
    <w:lvl w:ilvl="3">
      <w:start w:val="0"/>
      <w:numFmt w:val="bullet"/>
      <w:lvlText w:val=""/>
      <w:lvlJc w:val="left"/>
      <w:pPr>
        <w:ind w:left="3155" w:hanging="360"/>
      </w:pPr>
      <w:rPr>
        <w:rFonts w:ascii="Symbol" w:hAnsi="Symbol"/>
      </w:rPr>
    </w:lvl>
    <w:lvl w:ilvl="4">
      <w:start w:val="0"/>
      <w:numFmt w:val="bullet"/>
      <w:lvlText w:val="o"/>
      <w:lvlJc w:val="left"/>
      <w:pPr>
        <w:ind w:left="3875" w:hanging="360"/>
      </w:pPr>
      <w:rPr>
        <w:rFonts w:ascii="Courier New" w:hAnsi="Courier New" w:cs="Courier New"/>
      </w:rPr>
    </w:lvl>
    <w:lvl w:ilvl="5">
      <w:start w:val="0"/>
      <w:numFmt w:val="bullet"/>
      <w:lvlText w:val=""/>
      <w:lvlJc w:val="left"/>
      <w:pPr>
        <w:ind w:left="4595" w:hanging="360"/>
      </w:pPr>
      <w:rPr>
        <w:rFonts w:ascii="Wingdings" w:hAnsi="Wingdings"/>
      </w:rPr>
    </w:lvl>
    <w:lvl w:ilvl="6">
      <w:start w:val="0"/>
      <w:numFmt w:val="bullet"/>
      <w:lvlText w:val=""/>
      <w:lvlJc w:val="left"/>
      <w:pPr>
        <w:ind w:left="5315" w:hanging="360"/>
      </w:pPr>
      <w:rPr>
        <w:rFonts w:ascii="Symbol" w:hAnsi="Symbol"/>
      </w:rPr>
    </w:lvl>
    <w:lvl w:ilvl="7">
      <w:start w:val="0"/>
      <w:numFmt w:val="bullet"/>
      <w:lvlText w:val="o"/>
      <w:lvlJc w:val="left"/>
      <w:pPr>
        <w:ind w:left="6035" w:hanging="360"/>
      </w:pPr>
      <w:rPr>
        <w:rFonts w:ascii="Courier New" w:hAnsi="Courier New" w:cs="Courier New"/>
      </w:rPr>
    </w:lvl>
    <w:lvl w:ilvl="8">
      <w:start w:val="0"/>
      <w:numFmt w:val="bullet"/>
      <w:lvlText w:val=""/>
      <w:lvlJc w:val="left"/>
      <w:pPr>
        <w:ind w:left="6755" w:hanging="360"/>
      </w:pPr>
      <w:rPr>
        <w:rFonts w:ascii="Wingdings" w:hAnsi="Wingdings"/>
      </w:rPr>
    </w:lvl>
  </w:abstractNum>
  <w:num w:numId="1">
    <w:abstractNumId w:val="0"/>
  </w:num>
  <w:num w:numId="2">
    <w:abstractNumId w:val="5"/>
  </w:num>
  <w:num w:numId="3">
    <w:abstractNumId w:val="12"/>
  </w:num>
  <w:num w:numId="4">
    <w:abstractNumId w:val="1"/>
  </w:num>
  <w:num w:numId="5">
    <w:abstractNumId w:val="18"/>
  </w:num>
  <w:num w:numId="6">
    <w:abstractNumId w:val="8"/>
  </w:num>
  <w:num w:numId="7">
    <w:abstractNumId w:val="9"/>
  </w:num>
  <w:num w:numId="8">
    <w:abstractNumId w:val="3"/>
  </w:num>
  <w:num w:numId="9">
    <w:abstractNumId w:val="17"/>
  </w:num>
  <w:num w:numId="10">
    <w:abstractNumId w:val="2"/>
  </w:num>
  <w:num w:numId="11">
    <w:abstractNumId w:val="11"/>
  </w:num>
  <w:num w:numId="12">
    <w:abstractNumId w:val="13"/>
  </w:num>
  <w:num w:numId="13">
    <w:abstractNumId w:val="14"/>
  </w:num>
  <w:num w:numId="14">
    <w:abstractNumId w:val="16"/>
  </w:num>
  <w:num w:numId="15">
    <w:abstractNumId w:val="6"/>
  </w:num>
  <w:num w:numId="16">
    <w:abstractNumId w:val="4"/>
  </w:num>
  <w:num w:numId="17">
    <w:abstractNumId w:val="1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oNotShadeFormData/>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82"/>
    <w:rsid w:val="00023A8E"/>
    <w:rsid w:val="00046092"/>
    <w:rsid w:val="00046E7E"/>
    <w:rsid w:val="00046F3D"/>
    <w:rsid w:val="00093420"/>
    <w:rsid w:val="000C5AB7"/>
    <w:rsid w:val="000C711E"/>
    <w:rsid w:val="000E62D6"/>
    <w:rsid w:val="000F18BF"/>
    <w:rsid w:val="00121023"/>
    <w:rsid w:val="0014169A"/>
    <w:rsid w:val="00141A13"/>
    <w:rsid w:val="00143A68"/>
    <w:rsid w:val="0018703F"/>
    <w:rsid w:val="001914EE"/>
    <w:rsid w:val="001A36AA"/>
    <w:rsid w:val="001B3525"/>
    <w:rsid w:val="001C5DA6"/>
    <w:rsid w:val="001C7572"/>
    <w:rsid w:val="001F2C65"/>
    <w:rsid w:val="0020658B"/>
    <w:rsid w:val="002A2640"/>
    <w:rsid w:val="002B1C8F"/>
    <w:rsid w:val="00323417"/>
    <w:rsid w:val="00334828"/>
    <w:rsid w:val="0033657C"/>
    <w:rsid w:val="0033778D"/>
    <w:rsid w:val="00343540"/>
    <w:rsid w:val="0034533D"/>
    <w:rsid w:val="003504F7"/>
    <w:rsid w:val="003544C2"/>
    <w:rsid w:val="00384138"/>
    <w:rsid w:val="003937CD"/>
    <w:rsid w:val="00396C87"/>
    <w:rsid w:val="003A7C5C"/>
    <w:rsid w:val="003B2BBF"/>
    <w:rsid w:val="003E0428"/>
    <w:rsid w:val="003E20BA"/>
    <w:rsid w:val="003F10CB"/>
    <w:rsid w:val="00412332"/>
    <w:rsid w:val="00416B85"/>
    <w:rsid w:val="004261DC"/>
    <w:rsid w:val="00432C09"/>
    <w:rsid w:val="0043468B"/>
    <w:rsid w:val="00443EFB"/>
    <w:rsid w:val="004458EA"/>
    <w:rsid w:val="00452F48"/>
    <w:rsid w:val="004533F5"/>
    <w:rsid w:val="00454F12"/>
    <w:rsid w:val="004D5AC5"/>
    <w:rsid w:val="004E11D3"/>
    <w:rsid w:val="004E6F93"/>
    <w:rsid w:val="0051581B"/>
    <w:rsid w:val="00544494"/>
    <w:rsid w:val="00546295"/>
    <w:rsid w:val="005530CC"/>
    <w:rsid w:val="005B6A52"/>
    <w:rsid w:val="005F455F"/>
    <w:rsid w:val="006021B4"/>
    <w:rsid w:val="00626A71"/>
    <w:rsid w:val="00642F42"/>
    <w:rsid w:val="00646B9F"/>
    <w:rsid w:val="006726F0"/>
    <w:rsid w:val="00682A70"/>
    <w:rsid w:val="006A4416"/>
    <w:rsid w:val="006D0AA0"/>
    <w:rsid w:val="006D0DD5"/>
    <w:rsid w:val="006E1109"/>
    <w:rsid w:val="00717C1D"/>
    <w:rsid w:val="00731E5A"/>
    <w:rsid w:val="00736D9C"/>
    <w:rsid w:val="007604F1"/>
    <w:rsid w:val="007611C4"/>
    <w:rsid w:val="007614A3"/>
    <w:rsid w:val="00763B1D"/>
    <w:rsid w:val="00765441"/>
    <w:rsid w:val="00766D18"/>
    <w:rsid w:val="00784AF6"/>
    <w:rsid w:val="0079217B"/>
    <w:rsid w:val="00792B97"/>
    <w:rsid w:val="007A2C9B"/>
    <w:rsid w:val="007A5A26"/>
    <w:rsid w:val="007C080A"/>
    <w:rsid w:val="007D0437"/>
    <w:rsid w:val="007D4A81"/>
    <w:rsid w:val="00836893"/>
    <w:rsid w:val="00841399"/>
    <w:rsid w:val="008573D8"/>
    <w:rsid w:val="0086436D"/>
    <w:rsid w:val="00866A34"/>
    <w:rsid w:val="008700F1"/>
    <w:rsid w:val="00870FD9"/>
    <w:rsid w:val="008D0A73"/>
    <w:rsid w:val="008D50B6"/>
    <w:rsid w:val="008D739A"/>
    <w:rsid w:val="008E3A5E"/>
    <w:rsid w:val="009000AE"/>
    <w:rsid w:val="009151CB"/>
    <w:rsid w:val="009202D0"/>
    <w:rsid w:val="00932AE1"/>
    <w:rsid w:val="00935881"/>
    <w:rsid w:val="00944221"/>
    <w:rsid w:val="00967779"/>
    <w:rsid w:val="009A0D48"/>
    <w:rsid w:val="009B40C7"/>
    <w:rsid w:val="009B6775"/>
    <w:rsid w:val="009C5BE7"/>
    <w:rsid w:val="009C5F2C"/>
    <w:rsid w:val="009E1080"/>
    <w:rsid w:val="009F2EB4"/>
    <w:rsid w:val="00A0451D"/>
    <w:rsid w:val="00A17442"/>
    <w:rsid w:val="00A30E0E"/>
    <w:rsid w:val="00A65BE4"/>
    <w:rsid w:val="00A9369B"/>
    <w:rsid w:val="00AA7240"/>
    <w:rsid w:val="00AC4357"/>
    <w:rsid w:val="00AC5C78"/>
    <w:rsid w:val="00AD350C"/>
    <w:rsid w:val="00AE59C8"/>
    <w:rsid w:val="00B0425F"/>
    <w:rsid w:val="00B346D7"/>
    <w:rsid w:val="00B7387D"/>
    <w:rsid w:val="00B8001F"/>
    <w:rsid w:val="00B91076"/>
    <w:rsid w:val="00BA7EDE"/>
    <w:rsid w:val="00BB0A1F"/>
    <w:rsid w:val="00BC53D7"/>
    <w:rsid w:val="00BC632D"/>
    <w:rsid w:val="00BC6E14"/>
    <w:rsid w:val="00BE2F32"/>
    <w:rsid w:val="00BE2FD1"/>
    <w:rsid w:val="00BF3F2F"/>
    <w:rsid w:val="00C36396"/>
    <w:rsid w:val="00C42779"/>
    <w:rsid w:val="00C45198"/>
    <w:rsid w:val="00C61FA0"/>
    <w:rsid w:val="00C635EC"/>
    <w:rsid w:val="00C73DA0"/>
    <w:rsid w:val="00C81280"/>
    <w:rsid w:val="00C83A6C"/>
    <w:rsid w:val="00CC09EF"/>
    <w:rsid w:val="00CF087B"/>
    <w:rsid w:val="00D03A82"/>
    <w:rsid w:val="00D04F8A"/>
    <w:rsid w:val="00D274E9"/>
    <w:rsid w:val="00D4472D"/>
    <w:rsid w:val="00D6118B"/>
    <w:rsid w:val="00D83FE5"/>
    <w:rsid w:val="00D85448"/>
    <w:rsid w:val="00DA3C94"/>
    <w:rsid w:val="00DA785A"/>
    <w:rsid w:val="00DB5C36"/>
    <w:rsid w:val="00DC18DC"/>
    <w:rsid w:val="00E12047"/>
    <w:rsid w:val="00E44D94"/>
    <w:rsid w:val="00E90E44"/>
    <w:rsid w:val="00EC49AA"/>
    <w:rsid w:val="00ED7E88"/>
    <w:rsid w:val="00EE2213"/>
    <w:rsid w:val="00EE30D5"/>
    <w:rsid w:val="00EF1B5F"/>
    <w:rsid w:val="00F12CB3"/>
    <w:rsid w:val="00F231D2"/>
    <w:rsid w:val="00F423FE"/>
    <w:rsid w:val="00F47988"/>
    <w:rsid w:val="00F53336"/>
    <w:rsid w:val="00F74A1A"/>
    <w:rsid w:val="00F86EA3"/>
    <w:rsid w:val="00FA0482"/>
    <w:rsid w:val="00FB55B4"/>
    <w:rsid w:val="00FD67BE"/>
    <w:rsid w:val="00FE7BDB"/>
    <w:rsid w:val="00FF0FAF"/>
    <w:rsid w:val="00FF461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051B6CB-30D9-44FD-9CF3-42D861C2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0"/>
      <w:lang w:val="lv-LV"/>
    </w:rPr>
  </w:style>
  <w:style w:type="paragraph" w:styleId="Heading1">
    <w:name w:val="heading 1"/>
    <w:basedOn w:val="Normal"/>
    <w:next w:val="Normal"/>
    <w:pPr>
      <w:keepNext/>
      <w:spacing w:before="240" w:after="60" w:line="276" w:lineRule="auto"/>
      <w:textAlignment w:val="auto"/>
      <w:outlineLvl w:val="0"/>
    </w:pPr>
    <w:rPr>
      <w:rFonts w:ascii="Cambria" w:hAnsi="Cambria"/>
      <w:b/>
      <w:bCs/>
      <w:kern w:val="3"/>
      <w:sz w:val="32"/>
      <w:szCs w:val="32"/>
    </w:rPr>
  </w:style>
  <w:style w:type="paragraph" w:styleId="Heading2">
    <w:name w:val="heading 2"/>
    <w:basedOn w:val="Normal"/>
    <w:next w:val="Normal"/>
    <w:link w:val="Heading2Char"/>
    <w:uiPriority w:val="9"/>
    <w:semiHidden/>
    <w:unhideWhenUsed/>
    <w:qFormat/>
    <w:rsid w:val="003365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lang w:val="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0"/>
      <w:lang w:val="lv-LV"/>
    </w:rPr>
  </w:style>
  <w:style w:type="character" w:styleId="PageNumber">
    <w:name w:val="page number"/>
    <w:basedOn w:val="DefaultParagraphFont"/>
  </w:style>
  <w:style w:type="character" w:customStyle="1" w:styleId="spelle">
    <w:name w:val="spelle"/>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cs="Times New Roman"/>
      <w:sz w:val="24"/>
      <w:szCs w:val="20"/>
      <w:lang w:val="lv-LV"/>
    </w:rPr>
  </w:style>
  <w:style w:type="paragraph" w:styleId="ListParagraph">
    <w:name w:val="List Paragraph"/>
    <w:basedOn w:val="Normal"/>
    <w:pPr>
      <w:spacing w:after="160" w:line="251" w:lineRule="auto"/>
      <w:ind w:left="720"/>
    </w:pPr>
    <w:rPr>
      <w:rFonts w:ascii="Calibri" w:eastAsia="Calibri" w:hAnsi="Calibri"/>
      <w:sz w:val="22"/>
      <w:szCs w:val="22"/>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lv-LV"/>
    </w:rPr>
  </w:style>
  <w:style w:type="character" w:styleId="Hyperlink">
    <w:name w:val="Hyperlink"/>
    <w:basedOn w:val="DefaultParagraphFont"/>
    <w:uiPriority w:val="99"/>
    <w:unhideWhenUsed/>
    <w:rsid w:val="00FD67BE"/>
    <w:rPr>
      <w:color w:val="0000FF"/>
      <w:u w:val="single"/>
    </w:rPr>
  </w:style>
  <w:style w:type="character" w:styleId="CommentReference">
    <w:name w:val="annotation reference"/>
    <w:basedOn w:val="DefaultParagraphFont"/>
    <w:uiPriority w:val="99"/>
    <w:semiHidden/>
    <w:unhideWhenUsed/>
    <w:rsid w:val="00C45198"/>
    <w:rPr>
      <w:sz w:val="16"/>
      <w:szCs w:val="16"/>
    </w:rPr>
  </w:style>
  <w:style w:type="paragraph" w:styleId="CommentText">
    <w:name w:val="annotation text"/>
    <w:basedOn w:val="Normal"/>
    <w:link w:val="CommentTextChar"/>
    <w:uiPriority w:val="99"/>
    <w:semiHidden/>
    <w:unhideWhenUsed/>
    <w:rsid w:val="00C45198"/>
    <w:rPr>
      <w:sz w:val="20"/>
    </w:rPr>
  </w:style>
  <w:style w:type="character" w:customStyle="1" w:styleId="CommentTextChar">
    <w:name w:val="Comment Text Char"/>
    <w:basedOn w:val="DefaultParagraphFont"/>
    <w:link w:val="CommentText"/>
    <w:uiPriority w:val="99"/>
    <w:semiHidden/>
    <w:rsid w:val="00C45198"/>
    <w:rPr>
      <w:rFonts w:ascii="Times New Roman" w:eastAsia="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C45198"/>
    <w:rPr>
      <w:b/>
      <w:bCs/>
    </w:rPr>
  </w:style>
  <w:style w:type="character" w:customStyle="1" w:styleId="CommentSubjectChar">
    <w:name w:val="Comment Subject Char"/>
    <w:basedOn w:val="CommentTextChar"/>
    <w:link w:val="CommentSubject"/>
    <w:uiPriority w:val="99"/>
    <w:semiHidden/>
    <w:rsid w:val="00C45198"/>
    <w:rPr>
      <w:rFonts w:ascii="Times New Roman" w:eastAsia="Times New Roman" w:hAnsi="Times New Roman"/>
      <w:b/>
      <w:bCs/>
      <w:sz w:val="20"/>
      <w:szCs w:val="20"/>
      <w:lang w:val="lv-LV"/>
    </w:rPr>
  </w:style>
  <w:style w:type="paragraph" w:styleId="FootnoteText">
    <w:name w:val="footnote text"/>
    <w:basedOn w:val="Normal"/>
    <w:link w:val="FootnoteTextChar"/>
    <w:uiPriority w:val="99"/>
    <w:semiHidden/>
    <w:unhideWhenUsed/>
    <w:rsid w:val="001C5DA6"/>
    <w:rPr>
      <w:sz w:val="20"/>
    </w:rPr>
  </w:style>
  <w:style w:type="character" w:customStyle="1" w:styleId="FootnoteTextChar">
    <w:name w:val="Footnote Text Char"/>
    <w:basedOn w:val="DefaultParagraphFont"/>
    <w:link w:val="FootnoteText"/>
    <w:uiPriority w:val="99"/>
    <w:semiHidden/>
    <w:rsid w:val="001C5DA6"/>
    <w:rPr>
      <w:rFonts w:ascii="Times New Roman" w:eastAsia="Times New Roman" w:hAnsi="Times New Roman"/>
      <w:sz w:val="20"/>
      <w:szCs w:val="20"/>
      <w:lang w:val="lv-LV"/>
    </w:rPr>
  </w:style>
  <w:style w:type="character" w:styleId="FootnoteReference">
    <w:name w:val="footnote reference"/>
    <w:basedOn w:val="DefaultParagraphFont"/>
    <w:uiPriority w:val="99"/>
    <w:semiHidden/>
    <w:unhideWhenUsed/>
    <w:rsid w:val="001C5DA6"/>
    <w:rPr>
      <w:vertAlign w:val="superscript"/>
    </w:rPr>
  </w:style>
  <w:style w:type="character" w:styleId="Strong">
    <w:name w:val="Strong"/>
    <w:basedOn w:val="DefaultParagraphFont"/>
    <w:uiPriority w:val="22"/>
    <w:qFormat/>
    <w:rsid w:val="008D739A"/>
    <w:rPr>
      <w:b/>
      <w:bCs/>
    </w:rPr>
  </w:style>
  <w:style w:type="paragraph" w:styleId="TOCHeading">
    <w:name w:val="TOC Heading"/>
    <w:basedOn w:val="Heading1"/>
    <w:next w:val="Normal"/>
    <w:uiPriority w:val="39"/>
    <w:unhideWhenUsed/>
    <w:qFormat/>
    <w:rsid w:val="0033657C"/>
    <w:pPr>
      <w:keepLines/>
      <w:suppressAutoHyphens w:val="0"/>
      <w:autoSpaceDN/>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character" w:customStyle="1" w:styleId="Heading2Char">
    <w:name w:val="Heading 2 Char"/>
    <w:basedOn w:val="DefaultParagraphFont"/>
    <w:link w:val="Heading2"/>
    <w:uiPriority w:val="9"/>
    <w:semiHidden/>
    <w:rsid w:val="0033657C"/>
    <w:rPr>
      <w:rFonts w:asciiTheme="majorHAnsi" w:eastAsiaTheme="majorEastAsia" w:hAnsiTheme="majorHAnsi" w:cstheme="majorBidi"/>
      <w:color w:val="2F5496" w:themeColor="accent1" w:themeShade="BF"/>
      <w:sz w:val="26"/>
      <w:szCs w:val="26"/>
      <w:lang w:val="lv-LV"/>
    </w:rPr>
  </w:style>
  <w:style w:type="paragraph" w:styleId="TOC1">
    <w:name w:val="toc 1"/>
    <w:basedOn w:val="Normal"/>
    <w:next w:val="Normal"/>
    <w:autoRedefine/>
    <w:uiPriority w:val="39"/>
    <w:unhideWhenUsed/>
    <w:rsid w:val="0033657C"/>
    <w:pPr>
      <w:spacing w:after="100"/>
    </w:pPr>
  </w:style>
  <w:style w:type="paragraph" w:styleId="TOC2">
    <w:name w:val="toc 2"/>
    <w:basedOn w:val="Normal"/>
    <w:next w:val="Normal"/>
    <w:autoRedefine/>
    <w:uiPriority w:val="39"/>
    <w:unhideWhenUsed/>
    <w:rsid w:val="0033657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9DEE-6238-46AF-A140-0E829930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26491</Words>
  <Characters>15100</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Sproģe</dc:creator>
  <cp:lastModifiedBy>Inga Lāce</cp:lastModifiedBy>
  <cp:revision>6</cp:revision>
  <cp:lastPrinted>2017-12-19T07:20:00Z</cp:lastPrinted>
  <dcterms:created xsi:type="dcterms:W3CDTF">2017-12-19T07:51:00Z</dcterms:created>
  <dcterms:modified xsi:type="dcterms:W3CDTF">2017-12-28T14:16:00Z</dcterms:modified>
</cp:coreProperties>
</file>