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12040" w:rsidP="00242090">
      <w:pPr>
        <w:pStyle w:val="naisc"/>
        <w:spacing w:before="0" w:after="0"/>
        <w:jc w:val="center"/>
        <w:rPr>
          <w:b/>
          <w:bCs/>
        </w:rPr>
      </w:pPr>
      <w:r w:rsidRPr="001B29EA">
        <w:rPr>
          <w:b/>
        </w:rPr>
        <w:t xml:space="preserve">Ministru kabineta rīkojuma projekta </w:t>
      </w:r>
      <w:r w:rsidRPr="001B29EA" w:rsidR="00B55953">
        <w:rPr>
          <w:b/>
        </w:rPr>
        <w:t>“</w:t>
      </w:r>
      <w:r w:rsidRPr="00147C0B" w:rsidR="00147C0B">
        <w:rPr>
          <w:b/>
        </w:rPr>
        <w:t>Par studiju virziena “Informācijas tehnoloģija, datortehnika, elektronika, telekomunikācijas, datorvadība un datorzinātne” atvēršanu sabiedrībā ar ierobežotu atbildību “Biznesa augstskola Turība”</w:t>
      </w:r>
      <w:r w:rsidRPr="001B29EA">
        <w:rPr>
          <w:b/>
        </w:rPr>
        <w:t>”</w:t>
      </w:r>
      <w:r w:rsidRPr="001B29EA" w:rsidR="00A11B70">
        <w:rPr>
          <w:b/>
        </w:rPr>
        <w:t xml:space="preserve"> </w:t>
      </w:r>
      <w:r w:rsidRPr="001B29EA">
        <w:rPr>
          <w:b/>
          <w:bCs/>
        </w:rPr>
        <w:t>sākotnējās ietekmes novērtējuma ziņojums (anotācija)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122"/>
        <w:gridCol w:w="6979"/>
      </w:tblGrid>
      <w:tr w:rsidTr="00401B79">
        <w:tblPrEx>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9101" w:type="dxa"/>
            <w:gridSpan w:val="2"/>
            <w:vAlign w:val="center"/>
          </w:tcPr>
          <w:p w:rsidR="00242090" w:rsidRPr="001B29EA" w:rsidP="00401B79">
            <w:pPr>
              <w:spacing w:before="150" w:after="150"/>
              <w:jc w:val="center"/>
              <w:rPr>
                <w:b/>
                <w:bCs/>
              </w:rPr>
            </w:pPr>
            <w:r>
              <w:rPr>
                <w:b/>
                <w:bCs/>
              </w:rPr>
              <w:t>Tiesību akta projekta anotācijas kopsavilkums</w:t>
            </w:r>
          </w:p>
        </w:tc>
      </w:tr>
      <w:tr w:rsidTr="00302578">
        <w:tblPrEx>
          <w:tblW w:w="0" w:type="auto"/>
          <w:tblCellSpacing w:w="0" w:type="dxa"/>
          <w:tblCellMar>
            <w:left w:w="0" w:type="dxa"/>
            <w:right w:w="0" w:type="dxa"/>
          </w:tblCellMar>
          <w:tblLook w:val="00A0"/>
        </w:tblPrEx>
        <w:trPr>
          <w:trHeight w:val="467"/>
          <w:tblCellSpacing w:w="0" w:type="dxa"/>
        </w:trPr>
        <w:tc>
          <w:tcPr>
            <w:tcW w:w="2122" w:type="dxa"/>
          </w:tcPr>
          <w:p w:rsidR="00242090" w:rsidRPr="001B29EA" w:rsidP="00401B79">
            <w:pPr>
              <w:spacing w:before="75" w:after="75"/>
              <w:jc w:val="both"/>
            </w:pPr>
            <w:r>
              <w:t> </w:t>
            </w:r>
          </w:p>
          <w:p w:rsidR="00242090" w:rsidRPr="001B29EA" w:rsidP="00401B79">
            <w:pPr>
              <w:spacing w:before="75" w:after="75"/>
              <w:jc w:val="both"/>
            </w:pPr>
            <w:r>
              <w:t>Mērķis, risinājums un projekta spēkā stāšanās laiks (500 zīmes bez atstarpēm)</w:t>
            </w:r>
          </w:p>
        </w:tc>
        <w:tc>
          <w:tcPr>
            <w:tcW w:w="6979" w:type="dxa"/>
          </w:tcPr>
          <w:p w:rsidR="00242090" w:rsidRPr="001B29EA" w:rsidP="00242090">
            <w:pPr>
              <w:jc w:val="both"/>
            </w:pPr>
            <w:r w:rsidRPr="00242090">
              <w:t>Ministru kabineta rīkojuma projekts “Par studiju virziena “Informācijas tehnoloģija, datortehnika, elektronika, telekomunikācijas, datorvadība un datorzinātne” atvēršanu sabiedrībā ar ierobežotu atbildību “Biznesa augstskola Turība”” (turpmāk – projekts)</w:t>
            </w:r>
            <w:r>
              <w:t xml:space="preserve"> paredz atvērt jaunu studiju virzienu, ņemot vērā to, ka sabiedrībai ar ierobežotu atbildību “Biznesa augstskola Turība” ir pieejami resursi jauna studiju virziena īstenošanai un tā atvēršana atbilst valsts attīstības prioritātēm.</w:t>
            </w:r>
          </w:p>
        </w:tc>
      </w:tr>
    </w:tbl>
    <w:p w:rsidR="00242090" w:rsidRPr="001B29EA" w:rsidP="00242090">
      <w:pPr>
        <w:pStyle w:val="naisc"/>
        <w:spacing w:before="0" w:beforeAutospacing="0" w:after="0" w:afterAutospacing="0"/>
        <w:jc w:val="both"/>
        <w:rPr>
          <w:b/>
          <w:bC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27"/>
        <w:gridCol w:w="2323"/>
        <w:gridCol w:w="6251"/>
      </w:tblGrid>
      <w:tr w:rsidTr="00F3564E">
        <w:tblPrEx>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9101" w:type="dxa"/>
            <w:gridSpan w:val="3"/>
            <w:tcBorders>
              <w:top w:val="single" w:sz="2" w:space="0" w:color="auto"/>
              <w:left w:val="single" w:sz="2" w:space="0" w:color="auto"/>
              <w:bottom w:val="single" w:sz="2" w:space="0" w:color="auto"/>
              <w:right w:val="single" w:sz="2" w:space="0" w:color="auto"/>
            </w:tcBorders>
            <w:vAlign w:val="center"/>
          </w:tcPr>
          <w:p w:rsidR="00512040" w:rsidRPr="001B29EA" w:rsidP="00EB6DF1">
            <w:pPr>
              <w:spacing w:before="75" w:after="75"/>
              <w:jc w:val="center"/>
              <w:rPr>
                <w:b/>
              </w:rPr>
            </w:pPr>
            <w:r w:rsidRPr="001B29EA">
              <w:rPr>
                <w:b/>
                <w:bCs/>
              </w:rPr>
              <w:t> I. Tiesību akta projekta izstrādes nepieciešamība</w:t>
            </w:r>
          </w:p>
        </w:tc>
      </w:tr>
      <w:tr w:rsidTr="00F3564E">
        <w:tblPrEx>
          <w:tblW w:w="0" w:type="auto"/>
          <w:tblCellSpacing w:w="0" w:type="dxa"/>
          <w:tblCellMar>
            <w:left w:w="0" w:type="dxa"/>
            <w:right w:w="0" w:type="dxa"/>
          </w:tblCellMar>
          <w:tblLook w:val="00A0"/>
        </w:tblPrEx>
        <w:trPr>
          <w:trHeight w:val="630"/>
          <w:tblCellSpacing w:w="0" w:type="dxa"/>
        </w:trPr>
        <w:tc>
          <w:tcPr>
            <w:tcW w:w="527" w:type="dxa"/>
            <w:tcBorders>
              <w:top w:val="single" w:sz="2" w:space="0" w:color="auto"/>
              <w:left w:val="single" w:sz="2" w:space="0" w:color="auto"/>
              <w:bottom w:val="single" w:sz="2" w:space="0" w:color="auto"/>
              <w:right w:val="single" w:sz="2" w:space="0" w:color="auto"/>
            </w:tcBorders>
          </w:tcPr>
          <w:p w:rsidR="00512040" w:rsidRPr="001B29EA" w:rsidP="00EB6DF1">
            <w:pPr>
              <w:spacing w:before="75" w:after="75"/>
            </w:pPr>
            <w:r w:rsidRPr="001B29EA">
              <w:t> 1.</w:t>
            </w:r>
          </w:p>
        </w:tc>
        <w:tc>
          <w:tcPr>
            <w:tcW w:w="2323" w:type="dxa"/>
            <w:tcBorders>
              <w:top w:val="single" w:sz="2" w:space="0" w:color="auto"/>
              <w:left w:val="single" w:sz="2" w:space="0" w:color="auto"/>
              <w:bottom w:val="single" w:sz="2" w:space="0" w:color="auto"/>
              <w:right w:val="single" w:sz="2" w:space="0" w:color="auto"/>
            </w:tcBorders>
          </w:tcPr>
          <w:p w:rsidR="00512040" w:rsidRPr="001B29EA" w:rsidP="00EB6DF1">
            <w:pPr>
              <w:spacing w:before="75" w:after="75"/>
            </w:pPr>
            <w:r w:rsidRPr="001B29EA">
              <w:t xml:space="preserve"> Pamatojums</w:t>
            </w:r>
          </w:p>
        </w:tc>
        <w:tc>
          <w:tcPr>
            <w:tcW w:w="6251" w:type="dxa"/>
            <w:tcBorders>
              <w:top w:val="single" w:sz="2" w:space="0" w:color="auto"/>
              <w:left w:val="single" w:sz="2" w:space="0" w:color="auto"/>
              <w:bottom w:val="single" w:sz="2" w:space="0" w:color="auto"/>
              <w:right w:val="single" w:sz="2" w:space="0" w:color="auto"/>
            </w:tcBorders>
          </w:tcPr>
          <w:p w:rsidR="00136444" w:rsidRPr="001B29EA" w:rsidP="00136444">
            <w:pPr>
              <w:jc w:val="both"/>
            </w:pPr>
            <w:r>
              <w:t>Projekts ir</w:t>
            </w:r>
            <w:r w:rsidRPr="001B29EA">
              <w:t xml:space="preserve"> izstrādāts:</w:t>
            </w:r>
          </w:p>
          <w:p w:rsidR="00802DF1" w:rsidRPr="001B29EA" w:rsidP="00136444">
            <w:pPr>
              <w:jc w:val="both"/>
            </w:pPr>
            <w:r w:rsidRPr="001B29EA">
              <w:t xml:space="preserve">1) </w:t>
            </w:r>
            <w:r w:rsidRPr="001B29EA" w:rsidR="00512040">
              <w:t>saskaņā ar Augstskolu likuma 55.</w:t>
            </w:r>
            <w:r w:rsidRPr="001B29EA" w:rsidR="00512040">
              <w:rPr>
                <w:vertAlign w:val="superscript"/>
              </w:rPr>
              <w:t>2</w:t>
            </w:r>
            <w:r w:rsidRPr="001B29EA" w:rsidR="00512040">
              <w:t xml:space="preserve"> panta trešajā daļā noteikto, </w:t>
            </w:r>
            <w:r w:rsidRPr="001B29EA">
              <w:t>ka pirms augstskola vai koledža iesniedz Akadēmiskās informācijas centram iesniegumu par studiju programmas licencēšanu jaunā augstskolas vai koledžas studiju virzienā, augstskola vai koledža iesniedz iesniegumu Izglītības un zinātnes ministrijā par jauna studiju virziena atvēršanu. Lēmumu par jauna studiju virziena atvēršanu attiecīgajā augstskolā vai koledžā pieņem Ministru kabinets, izvērtējis augstskolai vai koledžai pieejamos resursus un atbilstību valsts attīstības prioritātēm</w:t>
            </w:r>
            <w:r w:rsidRPr="001B29EA" w:rsidR="00512040">
              <w:t xml:space="preserve">.  </w:t>
            </w:r>
          </w:p>
          <w:p w:rsidR="00802DF1" w:rsidRPr="001B29EA" w:rsidP="007B3F31">
            <w:pPr>
              <w:jc w:val="both"/>
            </w:pPr>
            <w:r w:rsidRPr="001B29EA">
              <w:t xml:space="preserve">2) </w:t>
            </w:r>
            <w:r w:rsidRPr="00D320F0" w:rsidR="00D320F0">
              <w:t>ņemot vērā to, ka sabiedrība ar ierobežotu atbildību “Biznesa a</w:t>
            </w:r>
            <w:r w:rsidR="00147C0B">
              <w:t>ugstskola “Turība”” 2017.gada 22.novembrī</w:t>
            </w:r>
            <w:r w:rsidRPr="00D320F0" w:rsidR="00D320F0">
              <w:t xml:space="preserve"> iesniegusi Izglītības un</w:t>
            </w:r>
            <w:r w:rsidR="00792EAC">
              <w:t xml:space="preserve"> zinātnes ministrijā</w:t>
            </w:r>
            <w:r w:rsidR="00147C0B">
              <w:t xml:space="preserve"> 2017.gada 21.novembra iesniegumu Nr.1.1.-07/3147</w:t>
            </w:r>
            <w:r w:rsidRPr="00D320F0" w:rsidR="00D320F0">
              <w:t>, kurā lūdz atvērt sabiedrībā ar ierobežotu atbildību “Biznesa augstskola “Turība””</w:t>
            </w:r>
            <w:r w:rsidR="00D320F0">
              <w:t xml:space="preserve"> (turpmāk – Augstskola)</w:t>
            </w:r>
            <w:r w:rsidRPr="00D320F0" w:rsidR="00D320F0">
              <w:t xml:space="preserve"> jaunu studiju virzienu “</w:t>
            </w:r>
            <w:r w:rsidRPr="00147C0B" w:rsidR="00147C0B">
              <w:t>Informācijas tehnoloģija, datortehnika, elektronika, telekomunikācijas, datorvadība un datorzinātne</w:t>
            </w:r>
            <w:r w:rsidRPr="00D320F0" w:rsidR="00D320F0">
              <w:t>”.</w:t>
            </w:r>
          </w:p>
        </w:tc>
      </w:tr>
      <w:tr w:rsidTr="00F3564E">
        <w:tblPrEx>
          <w:tblW w:w="0" w:type="auto"/>
          <w:tblCellSpacing w:w="0" w:type="dxa"/>
          <w:tblCellMar>
            <w:left w:w="0" w:type="dxa"/>
            <w:right w:w="0" w:type="dxa"/>
          </w:tblCellMar>
          <w:tblLook w:val="00A0"/>
        </w:tblPrEx>
        <w:trPr>
          <w:trHeight w:val="472"/>
          <w:tblCellSpacing w:w="0" w:type="dxa"/>
        </w:trPr>
        <w:tc>
          <w:tcPr>
            <w:tcW w:w="527" w:type="dxa"/>
            <w:tcBorders>
              <w:top w:val="single" w:sz="2" w:space="0" w:color="auto"/>
              <w:left w:val="single" w:sz="2" w:space="0" w:color="auto"/>
              <w:bottom w:val="single" w:sz="2" w:space="0" w:color="auto"/>
              <w:right w:val="single" w:sz="2" w:space="0" w:color="auto"/>
            </w:tcBorders>
          </w:tcPr>
          <w:p w:rsidR="00512040" w:rsidRPr="001B29EA" w:rsidP="00EB6DF1">
            <w:pPr>
              <w:spacing w:before="75" w:after="75"/>
            </w:pPr>
            <w:r w:rsidRPr="001B29EA">
              <w:t> 2.</w:t>
            </w:r>
          </w:p>
        </w:tc>
        <w:tc>
          <w:tcPr>
            <w:tcW w:w="2323" w:type="dxa"/>
            <w:tcBorders>
              <w:top w:val="single" w:sz="2" w:space="0" w:color="auto"/>
              <w:left w:val="single" w:sz="2" w:space="0" w:color="auto"/>
              <w:bottom w:val="single" w:sz="2" w:space="0" w:color="auto"/>
              <w:right w:val="single" w:sz="2" w:space="0" w:color="auto"/>
            </w:tcBorders>
          </w:tcPr>
          <w:p w:rsidR="00512040" w:rsidRPr="001B29EA" w:rsidP="00E351DD">
            <w:pPr>
              <w:spacing w:before="75" w:after="75"/>
            </w:pPr>
            <w:r w:rsidRPr="001B29EA">
              <w:t> Pašreizējā situācija un problēmas, kuru risināšanai tiesību akta projekts izstrādāts, tiesiskā regulējuma mērķis un būtība</w:t>
            </w:r>
          </w:p>
        </w:tc>
        <w:tc>
          <w:tcPr>
            <w:tcW w:w="6251" w:type="dxa"/>
            <w:tcBorders>
              <w:top w:val="single" w:sz="2" w:space="0" w:color="auto"/>
              <w:left w:val="single" w:sz="2" w:space="0" w:color="auto"/>
              <w:bottom w:val="single" w:sz="2" w:space="0" w:color="auto"/>
              <w:right w:val="single" w:sz="2" w:space="0" w:color="auto"/>
            </w:tcBorders>
          </w:tcPr>
          <w:p w:rsidR="00512040" w:rsidRPr="001B29EA" w:rsidP="003C6175">
            <w:pPr>
              <w:jc w:val="both"/>
            </w:pPr>
            <w:r>
              <w:t>Augstskola</w:t>
            </w:r>
            <w:r w:rsidRPr="001B29EA" w:rsidR="00FA2596">
              <w:t xml:space="preserve"> </w:t>
            </w:r>
            <w:r w:rsidRPr="001B29EA" w:rsidR="006B0752">
              <w:t>ir reģistrēta</w:t>
            </w:r>
            <w:r w:rsidRPr="001B29EA">
              <w:t xml:space="preserve"> Augstskolu reģistrā 20</w:t>
            </w:r>
            <w:r w:rsidR="007B3F31">
              <w:t>00</w:t>
            </w:r>
            <w:r w:rsidRPr="001B29EA">
              <w:t xml:space="preserve">.gada </w:t>
            </w:r>
            <w:r w:rsidR="007B3F31">
              <w:t>2.februārī</w:t>
            </w:r>
            <w:r w:rsidRPr="001B29EA" w:rsidR="003C6175">
              <w:t>, reģistrācijas Nr.</w:t>
            </w:r>
            <w:r w:rsidRPr="00D320F0">
              <w:rPr>
                <w:bCs/>
              </w:rPr>
              <w:t>3343800213</w:t>
            </w:r>
            <w:r w:rsidRPr="001B29EA">
              <w:t>.</w:t>
            </w:r>
          </w:p>
          <w:p w:rsidR="00512040" w:rsidRPr="001B29EA" w:rsidP="003C6175">
            <w:pPr>
              <w:jc w:val="both"/>
            </w:pPr>
            <w:r>
              <w:t>1997</w:t>
            </w:r>
            <w:r w:rsidR="007B3F31">
              <w:t xml:space="preserve">.gada </w:t>
            </w:r>
            <w:r>
              <w:t>8.maijā</w:t>
            </w:r>
            <w:r w:rsidRPr="001B29EA" w:rsidR="003C6175">
              <w:t xml:space="preserve"> </w:t>
            </w:r>
            <w:r>
              <w:t>Augstskola</w:t>
            </w:r>
            <w:r w:rsidRPr="001B29EA" w:rsidR="003C6175">
              <w:t xml:space="preserve"> tika akreditēta. 2013.gadā </w:t>
            </w:r>
            <w:r w:rsidR="004B186C">
              <w:t>Augstskolā</w:t>
            </w:r>
            <w:r w:rsidRPr="001B29EA" w:rsidR="003C6175">
              <w:t xml:space="preserve"> uz sešiem gadiem tika akreditēti </w:t>
            </w:r>
            <w:r w:rsidRPr="001B29EA">
              <w:t>šādi studiju virzieni:</w:t>
            </w:r>
          </w:p>
          <w:p w:rsidR="00512040" w:rsidRPr="001B29EA" w:rsidP="009D7A4C">
            <w:pPr>
              <w:ind w:firstLine="284"/>
              <w:jc w:val="both"/>
            </w:pPr>
            <w:r w:rsidRPr="001B29EA">
              <w:t xml:space="preserve">- </w:t>
            </w:r>
            <w:r w:rsidRPr="001B29EA" w:rsidR="003C6175">
              <w:t>“</w:t>
            </w:r>
            <w:r w:rsidR="00D320F0">
              <w:t>Ekonomika</w:t>
            </w:r>
            <w:r w:rsidRPr="001B29EA" w:rsidR="003C6175">
              <w:t>”;</w:t>
            </w:r>
          </w:p>
          <w:p w:rsidR="007B3F31" w:rsidP="009D7A4C">
            <w:pPr>
              <w:ind w:firstLine="284"/>
              <w:jc w:val="both"/>
            </w:pPr>
            <w:r>
              <w:t>- “Informācijas un komunikācijas zinātnes”;</w:t>
            </w:r>
          </w:p>
          <w:p w:rsidR="007B3F31" w:rsidP="009D7A4C">
            <w:pPr>
              <w:ind w:firstLine="284"/>
              <w:jc w:val="both"/>
            </w:pPr>
            <w:r>
              <w:t>- “Tiesību zinātne”;</w:t>
            </w:r>
          </w:p>
          <w:p w:rsidR="003C6175" w:rsidP="00FA6087">
            <w:pPr>
              <w:ind w:firstLine="284"/>
              <w:jc w:val="both"/>
            </w:pPr>
            <w:r w:rsidRPr="001B29EA">
              <w:t>- “Vadība, administrēšana un nekustamo īpašumu pārvaldība”;</w:t>
            </w:r>
          </w:p>
          <w:p w:rsidR="005C38B0" w:rsidP="009D7A4C">
            <w:pPr>
              <w:ind w:firstLine="284"/>
              <w:jc w:val="both"/>
            </w:pPr>
            <w:r>
              <w:t>- “Viesnīcu un restorānu serviss, tūrisma un atpūtas organizācija</w:t>
            </w:r>
            <w:r>
              <w:t>”.</w:t>
            </w:r>
          </w:p>
          <w:p w:rsidR="005C38B0" w:rsidRPr="001B29EA" w:rsidP="005C38B0">
            <w:pPr>
              <w:jc w:val="both"/>
            </w:pPr>
            <w:r w:rsidRPr="004B186C">
              <w:t>Savukārt 2017</w:t>
            </w:r>
            <w:r w:rsidRPr="004B186C">
              <w:t>.gadā</w:t>
            </w:r>
            <w:r>
              <w:t xml:space="preserve"> </w:t>
            </w:r>
            <w:r w:rsidR="00D320F0">
              <w:t>Augstskolā uz diviem</w:t>
            </w:r>
            <w:r>
              <w:t xml:space="preserve"> gadiem akreditēts studiju virziens “</w:t>
            </w:r>
            <w:r w:rsidR="00D320F0">
              <w:t>Iekšējā drošība un civilā aizsardzība</w:t>
            </w:r>
            <w:r>
              <w:t>”.</w:t>
            </w:r>
          </w:p>
          <w:p w:rsidR="00DA7326" w:rsidRPr="001B29EA" w:rsidP="003C6175">
            <w:pPr>
              <w:jc w:val="both"/>
              <w:rPr>
                <w:color w:val="000000"/>
                <w:lang w:eastAsia="en-US"/>
              </w:rPr>
            </w:pPr>
            <w:r>
              <w:t>Augstskola</w:t>
            </w:r>
            <w:r w:rsidRPr="001B29EA" w:rsidR="003C6175">
              <w:t xml:space="preserve"> vēlas licencēt profesionālo bakalaura st</w:t>
            </w:r>
            <w:r w:rsidR="005C38B0">
              <w:t>udiju programmu “</w:t>
            </w:r>
            <w:r w:rsidR="00A43B85">
              <w:t>Datorsistēmas</w:t>
            </w:r>
            <w:r w:rsidRPr="001B29EA" w:rsidR="003C6175">
              <w:t xml:space="preserve">”, pēc kuras apguves piešķirt </w:t>
            </w:r>
            <w:r w:rsidRPr="001B29EA" w:rsidR="003E50FF">
              <w:t>profesionālo bakalaura grādu</w:t>
            </w:r>
            <w:r w:rsidR="005C38B0">
              <w:t xml:space="preserve"> </w:t>
            </w:r>
            <w:r w:rsidR="00A43B85">
              <w:t>datorsistēmās</w:t>
            </w:r>
            <w:r w:rsidRPr="001B29EA" w:rsidR="003E50FF">
              <w:t xml:space="preserve"> un </w:t>
            </w:r>
            <w:r w:rsidR="00A43B85">
              <w:t xml:space="preserve">programmēšanas </w:t>
            </w:r>
            <w:r w:rsidR="00A43B85">
              <w:t>inženiera</w:t>
            </w:r>
            <w:r w:rsidRPr="001B29EA" w:rsidR="003E50FF">
              <w:t xml:space="preserve"> profesionālo kvalifikāciju</w:t>
            </w:r>
            <w:r>
              <w:t>. Minētā studiju programma</w:t>
            </w:r>
            <w:r w:rsidRPr="001B29EA" w:rsidR="003E50FF">
              <w:t xml:space="preserve"> atbilstu jaunam </w:t>
            </w:r>
            <w:r>
              <w:t>Augstskolas</w:t>
            </w:r>
            <w:r w:rsidRPr="001B29EA" w:rsidR="003E50FF">
              <w:t xml:space="preserve"> studiju virzienam “</w:t>
            </w:r>
            <w:r w:rsidRPr="00A43B85" w:rsidR="00A43B85">
              <w:t>Informācijas tehnoloģija, datortehnika, elektronika, telekomunikācijas, datorvadība un datorzinātne</w:t>
            </w:r>
            <w:r w:rsidRPr="001B29EA" w:rsidR="003E50FF">
              <w:t>”.</w:t>
            </w:r>
          </w:p>
          <w:p w:rsidR="00512040" w:rsidRPr="00C63558" w:rsidP="003E50FF">
            <w:pPr>
              <w:jc w:val="both"/>
            </w:pPr>
            <w:r w:rsidRPr="001B29EA">
              <w:t xml:space="preserve">Šobrīd studiju virziens </w:t>
            </w:r>
            <w:r w:rsidRPr="001B29EA" w:rsidR="003E50FF">
              <w:t>“</w:t>
            </w:r>
            <w:r w:rsidRPr="00A43B85" w:rsidR="00A43B85">
              <w:t>Informācijas tehnoloģija, datortehnika, elektronika, telekomunikācijas, datorvadība un datorzinātne</w:t>
            </w:r>
            <w:r w:rsidR="005C38B0">
              <w:t>” ir akreditēts</w:t>
            </w:r>
            <w:r w:rsidR="00326730">
              <w:t xml:space="preserve"> </w:t>
            </w:r>
            <w:r w:rsidR="00A43B85">
              <w:t>18 augstākās izglītības iestādēs</w:t>
            </w:r>
            <w:r w:rsidRPr="00C63558" w:rsidR="00A43B85">
              <w:t xml:space="preserve">. </w:t>
            </w:r>
            <w:r w:rsidRPr="00C63558" w:rsidR="00FA6087">
              <w:t xml:space="preserve">Līdzīgas studiju programmas īsteno </w:t>
            </w:r>
            <w:r w:rsidRPr="00C63558" w:rsidR="006F56FB">
              <w:t>septiņas</w:t>
            </w:r>
            <w:r w:rsidRPr="00C63558" w:rsidR="00FA6087">
              <w:t xml:space="preserve"> akreditētas augstskolas:</w:t>
            </w:r>
          </w:p>
          <w:p w:rsidR="00FA6087" w:rsidRPr="00C63558" w:rsidP="00FA6087">
            <w:pPr>
              <w:ind w:firstLine="284"/>
              <w:jc w:val="both"/>
            </w:pPr>
            <w:r w:rsidRPr="00C63558">
              <w:t>- Liepājas Universitāte – profesionālā bakalaura studiju programma “</w:t>
            </w:r>
            <w:r w:rsidRPr="00C63558" w:rsidR="006F56FB">
              <w:t>Informācijas tehnoloģija</w:t>
            </w:r>
            <w:r w:rsidRPr="00C63558">
              <w:t>” ar piešķiramo grādu “prof</w:t>
            </w:r>
            <w:r w:rsidRPr="00C63558" w:rsidR="006F56FB">
              <w:t>esionālais</w:t>
            </w:r>
            <w:r w:rsidRPr="00C63558" w:rsidR="00D320F0">
              <w:t xml:space="preserve"> bakalaura grāds </w:t>
            </w:r>
            <w:r w:rsidRPr="00C63558" w:rsidR="006F56FB">
              <w:t>informācijas tehnoloģijā</w:t>
            </w:r>
            <w:r w:rsidRPr="00C63558">
              <w:t>” un piešķiramo profesionālo kvalifikāciju “</w:t>
            </w:r>
            <w:r w:rsidRPr="00C63558" w:rsidR="006F56FB">
              <w:t>programmēšanas inženieris</w:t>
            </w:r>
            <w:r w:rsidRPr="00C63558">
              <w:t>”</w:t>
            </w:r>
            <w:r w:rsidRPr="00C63558" w:rsidR="008F60CC">
              <w:t xml:space="preserve"> vai “</w:t>
            </w:r>
            <w:r w:rsidRPr="00C63558" w:rsidR="006F56FB">
              <w:t>elektroniskās komercijas speciālists</w:t>
            </w:r>
            <w:r w:rsidRPr="00C63558" w:rsidR="008F60CC">
              <w:t>”</w:t>
            </w:r>
            <w:r w:rsidRPr="00C63558">
              <w:t>;</w:t>
            </w:r>
          </w:p>
          <w:p w:rsidR="00FA6087" w:rsidRPr="00C63558" w:rsidP="008F60CC">
            <w:pPr>
              <w:ind w:firstLine="284"/>
              <w:jc w:val="both"/>
            </w:pPr>
            <w:r w:rsidRPr="00C63558">
              <w:t xml:space="preserve">- </w:t>
            </w:r>
            <w:r w:rsidRPr="00C63558" w:rsidR="008F60CC">
              <w:t>Daugavpils Universitāte – profesionālā bakalaura studiju programma “</w:t>
            </w:r>
            <w:r w:rsidRPr="00C63558" w:rsidR="006F56FB">
              <w:t>Informācijas tehnoloģijas</w:t>
            </w:r>
            <w:r w:rsidRPr="00C63558" w:rsidR="008F60CC">
              <w:t>” ar piešķiramo grādu “profesionāl</w:t>
            </w:r>
            <w:r w:rsidRPr="00C63558" w:rsidR="006F56FB">
              <w:t>ais bakalaura grāds informācijas tehnoloģijās</w:t>
            </w:r>
            <w:r w:rsidRPr="00C63558" w:rsidR="008F60CC">
              <w:t>” un piešķiramo profesionālo kvalifikāciju “</w:t>
            </w:r>
            <w:r w:rsidRPr="00C63558" w:rsidR="00C63558">
              <w:t>programmēšanas inženieris</w:t>
            </w:r>
            <w:r w:rsidRPr="00C63558" w:rsidR="00210A3F">
              <w:t>” vai “</w:t>
            </w:r>
            <w:r w:rsidRPr="00C63558" w:rsidR="00C63558">
              <w:t>loģistikas struktūrvienības vadītājs</w:t>
            </w:r>
            <w:r w:rsidRPr="00C63558" w:rsidR="00210A3F">
              <w:t>”;</w:t>
            </w:r>
          </w:p>
          <w:p w:rsidR="00210A3F" w:rsidRPr="00C63558" w:rsidP="008F60CC">
            <w:pPr>
              <w:ind w:firstLine="284"/>
              <w:jc w:val="both"/>
            </w:pPr>
            <w:r w:rsidRPr="00C63558">
              <w:t>- Rīgas Tehniskā universitāte – profesionālā bakalaura studiju programma “</w:t>
            </w:r>
            <w:r w:rsidRPr="00C63558" w:rsidR="00C63558">
              <w:t>Datorsistēmas</w:t>
            </w:r>
            <w:r w:rsidRPr="00C63558">
              <w:t xml:space="preserve">” ar piešķiramo grādu “profesionālais bakalaura grāds </w:t>
            </w:r>
            <w:r w:rsidRPr="00C63558" w:rsidR="00C63558">
              <w:t>datorsistēmās</w:t>
            </w:r>
            <w:r w:rsidRPr="00C63558">
              <w:t>” un profesionālo kvalifikāciju “</w:t>
            </w:r>
            <w:r w:rsidRPr="00C63558" w:rsidR="00C63558">
              <w:t>programmēšanas inženieris”;</w:t>
            </w:r>
          </w:p>
          <w:p w:rsidR="00C63558" w:rsidP="008F60CC">
            <w:pPr>
              <w:ind w:firstLine="284"/>
              <w:jc w:val="both"/>
            </w:pPr>
            <w:r>
              <w:t>- Latvija</w:t>
            </w:r>
            <w:r w:rsidR="00454F07">
              <w:t>s Lauksaimniecības universitāte</w:t>
            </w:r>
            <w:r>
              <w:t xml:space="preserve"> – </w:t>
            </w:r>
            <w:r w:rsidRPr="00C63558">
              <w:t>profesionālā bakalaura studiju programma “</w:t>
            </w:r>
            <w:r>
              <w:t>Informācijas tehnoloģijas ilgtspējīgai attīstībai</w:t>
            </w:r>
            <w:r w:rsidRPr="00C63558">
              <w:t xml:space="preserve">” ar piešķiramo grādu “profesionālais bakalaura grāds </w:t>
            </w:r>
            <w:r>
              <w:t>informācijas tehnoloģijās</w:t>
            </w:r>
            <w:r w:rsidRPr="00C63558">
              <w:t>” un profesionālo kvalifikāciju “programmēšanas inženieris”;</w:t>
            </w:r>
          </w:p>
          <w:p w:rsidR="00C63558" w:rsidP="008F60CC">
            <w:pPr>
              <w:ind w:firstLine="284"/>
              <w:jc w:val="both"/>
            </w:pPr>
            <w:r>
              <w:t xml:space="preserve">- sabiedrība ar ierobežotu atbildību “Ekonomikas un kultūras augstskola” – </w:t>
            </w:r>
            <w:r w:rsidRPr="00C63558">
              <w:t xml:space="preserve">profesionālā bakalaura studiju programma “Informācijas tehnoloģijas” ar piešķiramo grādu “profesionālais bakalaura grāds </w:t>
            </w:r>
            <w:r>
              <w:t>datorzinātnēs</w:t>
            </w:r>
            <w:r w:rsidRPr="00C63558">
              <w:t>” un profesionālo kvalifikāciju “programmēšanas inženieris”;</w:t>
            </w:r>
          </w:p>
          <w:p w:rsidR="00C63558" w:rsidP="008F60CC">
            <w:pPr>
              <w:ind w:firstLine="284"/>
              <w:jc w:val="both"/>
            </w:pPr>
            <w:r>
              <w:t xml:space="preserve">- Rēzeknes Tehnoloģiju akadēmija – </w:t>
            </w:r>
            <w:r w:rsidRPr="00C63558">
              <w:t>profesionālā bakalaura studiju programma “</w:t>
            </w:r>
            <w:r>
              <w:t>Programmēšanas inženieris</w:t>
            </w:r>
            <w:r w:rsidRPr="00C63558">
              <w:t>” ar piešķiramo grādu “profesionālais bakalaura grāds informācijas tehnoloģij</w:t>
            </w:r>
            <w:r>
              <w:t>ā</w:t>
            </w:r>
            <w:r w:rsidRPr="00C63558">
              <w:t>” un profesionālo kvalifikāciju “inženieris</w:t>
            </w:r>
            <w:r>
              <w:t xml:space="preserve"> programmētājs</w:t>
            </w:r>
            <w:r w:rsidRPr="00C63558">
              <w:t>”;</w:t>
            </w:r>
          </w:p>
          <w:p w:rsidR="00C63558" w:rsidP="008F60CC">
            <w:pPr>
              <w:ind w:firstLine="284"/>
              <w:jc w:val="both"/>
            </w:pPr>
            <w:r>
              <w:t xml:space="preserve">- Vidzemes Augstskola – </w:t>
            </w:r>
            <w:r w:rsidRPr="00C63558">
              <w:t>profesionālā bakalaura studiju programma “Informācijas tehnoloģijas” ar piešķiramo grādu “profesionālais bakalaura grāds informācijas tehnoloģijās” un profesionālo kvalifikāciju “programmēšanas inženieris</w:t>
            </w:r>
            <w:r>
              <w:t>”.</w:t>
            </w:r>
          </w:p>
          <w:p w:rsidR="003E50FF" w:rsidRPr="001B29EA" w:rsidP="003E50FF">
            <w:pPr>
              <w:jc w:val="both"/>
            </w:pPr>
            <w:r w:rsidRPr="001B29EA">
              <w:t>Saskaņā ar Augstskolu likuma 55.</w:t>
            </w:r>
            <w:r w:rsidR="006601C2">
              <w:rPr>
                <w:vertAlign w:val="superscript"/>
              </w:rPr>
              <w:t>2</w:t>
            </w:r>
            <w:r w:rsidRPr="001B29EA">
              <w:t xml:space="preserve">panta trešo daļu, </w:t>
            </w:r>
            <w:r w:rsidRPr="001B29EA">
              <w:t>pirms augstskola vai koledža iesniedz Akadēmiskās informācijas centram iesniegumu par studiju programmas licencēšanu jaunā augstskolas vai koledžas studiju virzienā, augstskola vai koledža iesniedz i</w:t>
            </w:r>
            <w:r w:rsidRPr="001B29EA" w:rsidR="007811A6">
              <w:t>esniegumu</w:t>
            </w:r>
            <w:r w:rsidR="008F60CC">
              <w:t xml:space="preserve"> </w:t>
            </w:r>
            <w:r w:rsidR="00792EAC">
              <w:t xml:space="preserve">Izglītības un zinātnes </w:t>
            </w:r>
            <w:r w:rsidR="008F60CC">
              <w:t>m</w:t>
            </w:r>
            <w:r w:rsidRPr="001B29EA">
              <w:t>inistrijā par jauna studiju virziena atvēršanu. Lēmumu par jauna studiju virziena atvēršanu attiecīgajā augstskolā vai koledžā pieņem Ministru kabinets, izvērtējis augstskolai vai koledžai pieejamos resursus un atbilstību valsts attīstības prioritātēm.</w:t>
            </w:r>
            <w:r w:rsidRPr="001B29EA">
              <w:t xml:space="preserve"> </w:t>
            </w:r>
            <w:r w:rsidRPr="001B29EA">
              <w:t xml:space="preserve">Ja Ministru kabinets pieņem lēmumu atvērt studiju virzienu augstskolā vai koledžā, </w:t>
            </w:r>
            <w:r w:rsidRPr="001B29EA">
              <w:t>augstskola vai koledža iesniedz Akadēmiskās informācijas centram iesniegumu par attiecīgajam studiju virzienam atbilstošās studiju programmas licencēšanu.</w:t>
            </w:r>
          </w:p>
          <w:p w:rsidR="00512040" w:rsidRPr="001B29EA" w:rsidP="003E50FF">
            <w:pPr>
              <w:jc w:val="both"/>
            </w:pPr>
            <w:r w:rsidRPr="001B29EA">
              <w:t xml:space="preserve">Ministru kabineta </w:t>
            </w:r>
            <w:r w:rsidRPr="001B29EA" w:rsidR="001F7343">
              <w:t>2015.gada 14.jūlija noteikumu Nr.408 “Studiju programmu licencēšanas n</w:t>
            </w:r>
            <w:r w:rsidR="008F60CC">
              <w:t xml:space="preserve">oteikumi” 13.punkts nosaka, ka </w:t>
            </w:r>
            <w:r w:rsidR="00792EAC">
              <w:t xml:space="preserve">Izglītības un zinātnes </w:t>
            </w:r>
            <w:r w:rsidR="008F60CC">
              <w:t>m</w:t>
            </w:r>
            <w:r w:rsidRPr="001B29EA" w:rsidR="001F7343">
              <w:t xml:space="preserve">inistrija iesniedz Ministru kabinetā tiesību akta projektu par jauna studiju virziena atvēršanu vai par atteikumu atvērt jaunu studiju virzienu augstskolā vai koledžā. Minētajam tiesību akta projektam pievieno Ekonomikas ministrijas, </w:t>
            </w:r>
            <w:r w:rsidRPr="001B29EA" w:rsidR="001F7343">
              <w:t>Pārresoru</w:t>
            </w:r>
            <w:r w:rsidRPr="001B29EA" w:rsidR="001F7343">
              <w:t xml:space="preserve"> koordinācijas centra, Augstākās izglītības padomes, </w:t>
            </w:r>
            <w:r w:rsidRPr="00467293" w:rsidR="001F7343">
              <w:t>Latvijas darba devēju konfederācijas,</w:t>
            </w:r>
            <w:r w:rsidRPr="001B29EA" w:rsidR="001F7343">
              <w:t xml:space="preserve"> Izglītības un zinātnes ministrijas un tās ministrijas, kuras kompetencei atbilst atveramais studiju virziens, viedokļus.</w:t>
            </w:r>
          </w:p>
          <w:p w:rsidR="00E74491" w:rsidRPr="001B29EA" w:rsidP="008349E5">
            <w:pPr>
              <w:jc w:val="both"/>
            </w:pPr>
            <w:r w:rsidRPr="001B29EA">
              <w:t>Studiju virziena “</w:t>
            </w:r>
            <w:r w:rsidRPr="00A43B85" w:rsidR="00A43B85">
              <w:t>Informācijas tehnoloģija, datortehnika, elektronika, telekomunikācijas, datorvadība un datorzinātne</w:t>
            </w:r>
            <w:r w:rsidRPr="001B29EA">
              <w:t xml:space="preserve">” atvēršanas </w:t>
            </w:r>
            <w:r w:rsidR="008F60CC">
              <w:t>Augstskolā</w:t>
            </w:r>
            <w:r w:rsidR="009A6A04">
              <w:t xml:space="preserve"> mērķis ir nodrošināt</w:t>
            </w:r>
            <w:r w:rsidRPr="001B29EA">
              <w:t xml:space="preserve"> apstākļus, lai </w:t>
            </w:r>
            <w:r w:rsidR="008F60CC">
              <w:t>Augstskola</w:t>
            </w:r>
            <w:r w:rsidRPr="001B29EA">
              <w:t xml:space="preserve"> būtu tiesīga iesnieg</w:t>
            </w:r>
            <w:r w:rsidR="009A6A04">
              <w:t>t licencēšanai studiju programmas, kas atbilst jaunajam studiju virzienam.</w:t>
            </w:r>
          </w:p>
          <w:p w:rsidR="008B343C" w:rsidRPr="00792EAC" w:rsidP="008349E5">
            <w:pPr>
              <w:jc w:val="both"/>
            </w:pPr>
            <w:r w:rsidRPr="001B29EA">
              <w:t>I</w:t>
            </w:r>
            <w:r w:rsidRPr="001B29EA" w:rsidR="00512040">
              <w:t xml:space="preserve">zvērtējot </w:t>
            </w:r>
            <w:r w:rsidR="008F60CC">
              <w:t>Augstskolai</w:t>
            </w:r>
            <w:r w:rsidRPr="001B29EA">
              <w:t xml:space="preserve"> pieejamos resursus studiju virziena “</w:t>
            </w:r>
            <w:r w:rsidRPr="00A43B85" w:rsidR="00A43B85">
              <w:t>Informācijas tehnoloģija, datortehnika, elektronika, telekomunikācijas, datorvadība un datorzinātne</w:t>
            </w:r>
            <w:r w:rsidRPr="001B29EA">
              <w:t xml:space="preserve">” īstenošanai, secināms, ka </w:t>
            </w:r>
            <w:r w:rsidR="008F60CC">
              <w:t>Augstskola</w:t>
            </w:r>
            <w:r w:rsidR="00610EAC">
              <w:t xml:space="preserve"> g</w:t>
            </w:r>
            <w:r w:rsidRPr="001B29EA">
              <w:t>atavojas iesaistīt studiju virziena “</w:t>
            </w:r>
            <w:r w:rsidRPr="00A43B85" w:rsidR="00A43B85">
              <w:t>Informācijas tehnoloģija, datortehnika, elektronika, telekomunikācijas, datorvadība un datorzinātne</w:t>
            </w:r>
            <w:r w:rsidRPr="001B29EA">
              <w:t xml:space="preserve">” </w:t>
            </w:r>
            <w:r w:rsidRPr="00792EAC">
              <w:t xml:space="preserve">īstenošanā </w:t>
            </w:r>
            <w:r w:rsidRPr="00792EAC" w:rsidR="00792EAC">
              <w:t>31 pasniedzēju</w:t>
            </w:r>
            <w:r w:rsidRPr="00792EAC" w:rsidR="008F60CC">
              <w:t xml:space="preserve"> ar </w:t>
            </w:r>
            <w:r w:rsidRPr="00792EAC" w:rsidR="00792EAC">
              <w:t xml:space="preserve">pasniedzamajiem studiju kursiem atbilstošu augstāko </w:t>
            </w:r>
            <w:r w:rsidRPr="00792EAC" w:rsidR="008F60CC">
              <w:t>izglīt</w:t>
            </w:r>
            <w:r w:rsidRPr="00792EAC" w:rsidR="006601C2">
              <w:t>ību</w:t>
            </w:r>
            <w:r w:rsidRPr="00792EAC">
              <w:t>.</w:t>
            </w:r>
            <w:r w:rsidRPr="00792EAC" w:rsidR="00EE631D">
              <w:t xml:space="preserve"> Līdz ar to secināms, ka studiju virziena īstenošanā iesaistāmo pasniedzēju kvalifikāc</w:t>
            </w:r>
            <w:r w:rsidRPr="00792EAC" w:rsidR="00095335">
              <w:t>ija</w:t>
            </w:r>
            <w:r w:rsidRPr="00792EAC">
              <w:t xml:space="preserve"> </w:t>
            </w:r>
            <w:r w:rsidRPr="00792EAC" w:rsidR="00EE631D">
              <w:t>atbilst studiju virziena “</w:t>
            </w:r>
            <w:r w:rsidRPr="00792EAC" w:rsidR="00A43B85">
              <w:t>Informācijas tehnoloģija, datortehnika, elektronika, telekomunikācijas, datorvadība un datorzinātne</w:t>
            </w:r>
            <w:r w:rsidRPr="00792EAC" w:rsidR="00EE631D">
              <w:t>” īstenošanas va</w:t>
            </w:r>
            <w:r w:rsidRPr="00792EAC" w:rsidR="00095335">
              <w:t>jadzībām.</w:t>
            </w:r>
          </w:p>
          <w:p w:rsidR="00FB2550" w:rsidP="001F7343">
            <w:pPr>
              <w:jc w:val="both"/>
            </w:pPr>
            <w:r w:rsidRPr="00792EAC">
              <w:t>Augstskola</w:t>
            </w:r>
            <w:r w:rsidRPr="00792EAC" w:rsidR="00EE631D">
              <w:t xml:space="preserve"> jauno studiju virzienu plāno īstenot </w:t>
            </w:r>
            <w:r w:rsidRPr="00792EAC">
              <w:t>jau esošajās Augstskolas telpās</w:t>
            </w:r>
            <w:r w:rsidRPr="00792EAC" w:rsidR="00792EAC">
              <w:t>, kurās ir pieejamas vairākas datorklases</w:t>
            </w:r>
            <w:r w:rsidRPr="00792EAC" w:rsidR="008B343C">
              <w:t>.</w:t>
            </w:r>
            <w:r w:rsidRPr="00792EAC" w:rsidR="00792EAC">
              <w:t xml:space="preserve"> Augstskolas auditorijas ir aprīkotas ar studijām nepieciešamo aprīkojumu.</w:t>
            </w:r>
            <w:r w:rsidRPr="00792EAC" w:rsidR="00EE631D">
              <w:t xml:space="preserve"> </w:t>
            </w:r>
            <w:r w:rsidRPr="00792EAC">
              <w:t>Augstskolas</w:t>
            </w:r>
            <w:r w:rsidRPr="00792EAC" w:rsidR="00EE631D">
              <w:t xml:space="preserve"> </w:t>
            </w:r>
            <w:r w:rsidRPr="00792EAC">
              <w:t xml:space="preserve">bibliotēkā ir nodrošināta informatīvā bāze arī par </w:t>
            </w:r>
            <w:r w:rsidRPr="00792EAC" w:rsidR="00C63558">
              <w:t>informācijas tehnoloģiju jautājumiem</w:t>
            </w:r>
            <w:r w:rsidRPr="00792EAC" w:rsidR="00792EAC">
              <w:t>, kā arī Augstskola 2017.gada 25.septembrī noslēgusi līgumu ar Rīgas Tehnisko universitāti par bibliotēkas resursu izmantošanu studiju virziena “Informācijas tehnoloģija, datortehnika, elektronika, telekomunikācijas, datorvadība un datorzinātne” īstenošanas vajadzībām</w:t>
            </w:r>
            <w:r w:rsidRPr="00792EAC">
              <w:t>. Grāmatas</w:t>
            </w:r>
            <w:r w:rsidRPr="00792EAC" w:rsidR="00792EAC">
              <w:t xml:space="preserve"> Augstskolas bibliotēka</w:t>
            </w:r>
            <w:r w:rsidRPr="00792EAC">
              <w:t xml:space="preserve"> ir pieejamas </w:t>
            </w:r>
            <w:r w:rsidRPr="00792EAC" w:rsidR="00C63558">
              <w:t>gan latviešu valodā, gan svešvalodās</w:t>
            </w:r>
            <w:r w:rsidRPr="00792EAC">
              <w:t>. Tāpat tiek abonēti arī dažādi periodiskie izdevumi. Augstskolai ir stabila finansiālā plūsma, līdz ar to būs iespējams vei</w:t>
            </w:r>
            <w:r w:rsidRPr="00792EAC" w:rsidR="00792EAC">
              <w:t>kt finanšu resursu ieguldījumus, nodroš</w:t>
            </w:r>
            <w:r w:rsidR="00792EAC">
              <w:t>inot katrai licencējamajai studiju programmai, ko Augstskola varētu uzsākt īstenot, nepieciešamās materiāltehniskās un informatīvās bāzes iegādi.</w:t>
            </w:r>
          </w:p>
          <w:p w:rsidR="0020331C" w:rsidP="001F7343">
            <w:pPr>
              <w:jc w:val="both"/>
            </w:pPr>
            <w:r w:rsidRPr="001B29EA">
              <w:t>Augstākās izglītības padome</w:t>
            </w:r>
            <w:r>
              <w:t>,</w:t>
            </w:r>
            <w:r w:rsidRPr="001B29EA">
              <w:t xml:space="preserve"> </w:t>
            </w:r>
            <w:r w:rsidRPr="001B29EA">
              <w:t>Pārresoru</w:t>
            </w:r>
            <w:r w:rsidRPr="001B29EA" w:rsidR="007811A6">
              <w:t xml:space="preserve"> koordinācijas centrs</w:t>
            </w:r>
            <w:r w:rsidR="00C63558">
              <w:t>, Latvijas Darba devēju konfederācija</w:t>
            </w:r>
            <w:r>
              <w:t xml:space="preserve"> un Ekonomikas ministrija</w:t>
            </w:r>
            <w:r w:rsidRPr="001B29EA">
              <w:t xml:space="preserve"> </w:t>
            </w:r>
            <w:r w:rsidR="00FB2550">
              <w:t>atbalsta</w:t>
            </w:r>
            <w:r>
              <w:t xml:space="preserve"> studiju virziena “</w:t>
            </w:r>
            <w:r w:rsidRPr="00C63558" w:rsidR="00C63558">
              <w:t>Informācijas tehnoloģija, datortehnika, elektronika, telekomunikācijas, datorvadība un datorzinātne</w:t>
            </w:r>
            <w:r w:rsidR="00FB2550">
              <w:t xml:space="preserve">” </w:t>
            </w:r>
            <w:r w:rsidR="00FB2550">
              <w:t xml:space="preserve">atvēršanu Augstskolā, </w:t>
            </w:r>
            <w:r w:rsidR="00D3126E">
              <w:t xml:space="preserve">norādot, ka studiju virziens atbilst </w:t>
            </w:r>
            <w:r w:rsidR="00B70A63">
              <w:t>valsts attīstības prioritātēm un darba tirgus prognozēm.</w:t>
            </w:r>
          </w:p>
          <w:p w:rsidR="00A138BB" w:rsidRPr="006601C2" w:rsidP="001F7343">
            <w:pPr>
              <w:jc w:val="both"/>
              <w:rPr>
                <w:rStyle w:val="Strong"/>
                <w:rFonts w:eastAsia="Calibri"/>
                <w:b w:val="0"/>
                <w:color w:val="000000"/>
              </w:rPr>
            </w:pPr>
            <w:r>
              <w:t>Izg</w:t>
            </w:r>
            <w:r w:rsidR="00786935">
              <w:t xml:space="preserve">lītības un zinātnes ministrija atbalsta studiju virziena </w:t>
            </w:r>
            <w:r w:rsidRPr="00786935" w:rsidR="00786935">
              <w:t>“Informācijas tehnoloģija, datortehnika, elektronika, telekomunikācijas, datorvadība un datorzinātne”</w:t>
            </w:r>
            <w:r w:rsidR="00786935">
              <w:t xml:space="preserve"> atvēršanu Augstskolā, jo s</w:t>
            </w:r>
            <w:r w:rsidRPr="006601C2">
              <w:rPr>
                <w:rFonts w:eastAsia="Calibri"/>
                <w:bCs/>
                <w:color w:val="000000"/>
              </w:rPr>
              <w:t>askaņā ar Izglītības attīstības p</w:t>
            </w:r>
            <w:r w:rsidR="00302578">
              <w:rPr>
                <w:rFonts w:eastAsia="Calibri"/>
                <w:bCs/>
                <w:color w:val="000000"/>
              </w:rPr>
              <w:t xml:space="preserve">amatnostādnēm 2014.-2020.gadam </w:t>
            </w:r>
            <w:r w:rsidRPr="006601C2">
              <w:rPr>
                <w:rFonts w:eastAsia="Calibri"/>
                <w:bCs/>
                <w:color w:val="000000"/>
              </w:rPr>
              <w:t>augstākās izglītības jomā</w:t>
            </w:r>
            <w:r w:rsidRPr="006601C2" w:rsidR="00467293">
              <w:rPr>
                <w:rFonts w:eastAsia="Calibri"/>
                <w:bCs/>
                <w:color w:val="000000"/>
              </w:rPr>
              <w:t xml:space="preserve"> tiek atbalstīta</w:t>
            </w:r>
            <w:r w:rsidRPr="006601C2">
              <w:rPr>
                <w:rFonts w:eastAsia="Calibri"/>
                <w:bCs/>
                <w:color w:val="000000"/>
              </w:rPr>
              <w:t xml:space="preserve"> studij</w:t>
            </w:r>
            <w:r w:rsidR="00302578">
              <w:rPr>
                <w:rFonts w:eastAsia="Calibri"/>
                <w:bCs/>
                <w:color w:val="000000"/>
              </w:rPr>
              <w:t>u programmu Eiropas Savienības</w:t>
            </w:r>
            <w:r w:rsidR="00B70A63">
              <w:rPr>
                <w:rFonts w:eastAsia="Calibri"/>
                <w:bCs/>
                <w:color w:val="000000"/>
              </w:rPr>
              <w:t xml:space="preserve"> valodās izstrāde un aprobācija</w:t>
            </w:r>
            <w:r w:rsidRPr="006601C2">
              <w:rPr>
                <w:rFonts w:eastAsia="Calibri"/>
                <w:bCs/>
                <w:color w:val="000000"/>
              </w:rPr>
              <w:t xml:space="preserve">. </w:t>
            </w:r>
            <w:r w:rsidRPr="006601C2" w:rsidR="00467293">
              <w:rPr>
                <w:rFonts w:eastAsia="Calibri"/>
                <w:bCs/>
                <w:color w:val="000000"/>
              </w:rPr>
              <w:t>L</w:t>
            </w:r>
            <w:r w:rsidRPr="006601C2">
              <w:rPr>
                <w:rFonts w:eastAsia="Calibri"/>
                <w:bCs/>
                <w:color w:val="000000"/>
              </w:rPr>
              <w:t xml:space="preserve">īdz ar to </w:t>
            </w:r>
            <w:r w:rsidR="00786935">
              <w:rPr>
                <w:rFonts w:eastAsia="Calibri"/>
                <w:bCs/>
                <w:color w:val="000000"/>
              </w:rPr>
              <w:t xml:space="preserve">Izglītības un zinātnes </w:t>
            </w:r>
            <w:r w:rsidRPr="006601C2" w:rsidR="00467293">
              <w:rPr>
                <w:rFonts w:eastAsia="Calibri"/>
                <w:bCs/>
                <w:color w:val="000000"/>
              </w:rPr>
              <w:t>ministrija uzskata, ka</w:t>
            </w:r>
            <w:r w:rsidRPr="006601C2">
              <w:rPr>
                <w:rFonts w:eastAsia="Calibri"/>
                <w:bCs/>
                <w:color w:val="000000"/>
              </w:rPr>
              <w:t xml:space="preserve"> jaunā studiju virziena </w:t>
            </w:r>
            <w:r w:rsidRPr="006601C2" w:rsidR="00467293">
              <w:rPr>
                <w:rFonts w:eastAsia="Calibri"/>
                <w:bCs/>
                <w:color w:val="000000"/>
              </w:rPr>
              <w:t>atvēršana ar tajā licencējamo studiju programmu, ko paredzēts īstenot angļu valodā,</w:t>
            </w:r>
            <w:r w:rsidRPr="006601C2">
              <w:rPr>
                <w:rFonts w:eastAsia="Calibri"/>
                <w:bCs/>
                <w:color w:val="000000"/>
              </w:rPr>
              <w:t xml:space="preserve"> a</w:t>
            </w:r>
            <w:r w:rsidRPr="006601C2" w:rsidR="00467293">
              <w:rPr>
                <w:rFonts w:eastAsia="Calibri"/>
                <w:bCs/>
                <w:color w:val="000000"/>
              </w:rPr>
              <w:t>tbilst noteiktajām prioritātēm.</w:t>
            </w:r>
            <w:r w:rsidR="00786935">
              <w:rPr>
                <w:rFonts w:eastAsia="Calibri"/>
                <w:bCs/>
                <w:color w:val="000000"/>
              </w:rPr>
              <w:t xml:space="preserve"> Kā arī </w:t>
            </w:r>
            <w:r w:rsidRPr="00786935" w:rsidR="00786935">
              <w:rPr>
                <w:rFonts w:eastAsia="Calibri"/>
                <w:bCs/>
                <w:color w:val="000000"/>
              </w:rPr>
              <w:t>informācijas tehnoloģijas ir viens no prioritārajiem izglītības virzieniem valstī, kuram atbilstošās studiju programmās tiek pakāpeniski palielināts piešķirto valsts</w:t>
            </w:r>
            <w:r w:rsidR="00786935">
              <w:rPr>
                <w:rFonts w:eastAsia="Calibri"/>
                <w:bCs/>
                <w:color w:val="000000"/>
              </w:rPr>
              <w:t xml:space="preserve"> finansēto studiju vietu skaits, jo </w:t>
            </w:r>
            <w:r w:rsidRPr="00786935" w:rsidR="00786935">
              <w:rPr>
                <w:rFonts w:eastAsia="Calibri"/>
                <w:bCs/>
                <w:color w:val="000000"/>
              </w:rPr>
              <w:t xml:space="preserve">pieprasījums pēc informācijas un komunikācijas tehnoloģiju speciālistiem </w:t>
            </w:r>
            <w:r w:rsidR="00786935">
              <w:rPr>
                <w:rFonts w:eastAsia="Calibri"/>
                <w:bCs/>
                <w:color w:val="000000"/>
              </w:rPr>
              <w:t>turpina</w:t>
            </w:r>
            <w:r w:rsidRPr="00786935" w:rsidR="00786935">
              <w:rPr>
                <w:rFonts w:eastAsia="Calibri"/>
                <w:bCs/>
                <w:color w:val="000000"/>
              </w:rPr>
              <w:t xml:space="preserve"> pieaugt</w:t>
            </w:r>
            <w:r w:rsidR="00786935">
              <w:rPr>
                <w:rFonts w:eastAsia="Calibri"/>
                <w:bCs/>
                <w:color w:val="000000"/>
              </w:rPr>
              <w:t>.</w:t>
            </w:r>
          </w:p>
          <w:p w:rsidR="00512040" w:rsidRPr="001B29EA" w:rsidP="001F7343">
            <w:pPr>
              <w:jc w:val="both"/>
              <w:rPr>
                <w:rFonts w:eastAsia="Calibri"/>
                <w:bCs/>
                <w:color w:val="000000"/>
              </w:rPr>
            </w:pPr>
            <w:r w:rsidRPr="001B29EA">
              <w:t>P</w:t>
            </w:r>
            <w:r w:rsidR="00A138BB">
              <w:t>iedāvājot studijas angļu valodā un</w:t>
            </w:r>
            <w:r w:rsidRPr="001B29EA">
              <w:t xml:space="preserve"> piesaistot ārvalstu studentus un mācībspēkus, tiks veicināta augstākās izglītības internacionalizācija, līdz ar to tiks palielināts ārvalstu stud</w:t>
            </w:r>
            <w:r w:rsidR="00095335">
              <w:t>ējošo</w:t>
            </w:r>
            <w:r w:rsidRPr="001B29EA">
              <w:t xml:space="preserve"> skaits Latvijā, kas ir viens no mērķiem Latvijas ilgtspējīgas attīstības stratēģijā līdz 2030.gadam un </w:t>
            </w:r>
            <w:r w:rsidRPr="001B29EA" w:rsidR="007811A6">
              <w:t>atbilst arī Latvijas Nacionālajā</w:t>
            </w:r>
            <w:r w:rsidRPr="001B29EA">
              <w:t xml:space="preserve"> attīstības plānā 2014.-2020.gadam noteiktajam. </w:t>
            </w:r>
            <w:r w:rsidRPr="001B29EA" w:rsidR="00FB4A2F">
              <w:t xml:space="preserve"> </w:t>
            </w:r>
          </w:p>
          <w:p w:rsidR="00A138BB" w:rsidRPr="001B29EA" w:rsidP="0020331C">
            <w:pPr>
              <w:jc w:val="both"/>
            </w:pPr>
            <w:r w:rsidRPr="001B29EA">
              <w:t>Ņemot vērā</w:t>
            </w:r>
            <w:r w:rsidRPr="001B29EA" w:rsidR="001F7343">
              <w:t xml:space="preserve"> minēto, </w:t>
            </w:r>
            <w:r w:rsidRPr="001B29EA" w:rsidR="007811A6">
              <w:t>secināms</w:t>
            </w:r>
            <w:r w:rsidRPr="001B29EA">
              <w:t xml:space="preserve">, ka </w:t>
            </w:r>
            <w:r w:rsidRPr="001B29EA" w:rsidR="00184E04">
              <w:t xml:space="preserve">studiju virziens </w:t>
            </w:r>
            <w:r w:rsidRPr="001B29EA" w:rsidR="001F7343">
              <w:t>“</w:t>
            </w:r>
            <w:r w:rsidRPr="00A43B85" w:rsidR="00A43B85">
              <w:t>Informācijas tehnoloģija, datortehnika, elektronika, telekomunikācijas, datorvadība un datorzinātne</w:t>
            </w:r>
            <w:r w:rsidRPr="001B29EA" w:rsidR="001F7343">
              <w:t>”</w:t>
            </w:r>
            <w:r w:rsidRPr="001B29EA" w:rsidR="00184E04">
              <w:t xml:space="preserve"> atbilst valsts attīstības prioritāt</w:t>
            </w:r>
            <w:r w:rsidRPr="001B29EA" w:rsidR="001F7343">
              <w:t xml:space="preserve">ēm un </w:t>
            </w:r>
            <w:r w:rsidR="00467293">
              <w:t>Augstskolai</w:t>
            </w:r>
            <w:r w:rsidRPr="001B29EA" w:rsidR="001F7343">
              <w:t xml:space="preserve"> ir pieejami resursi studiju virziena “</w:t>
            </w:r>
            <w:r w:rsidRPr="00A43B85" w:rsidR="00A43B85">
              <w:t>Informācijas tehnoloģija, datortehnika, elektronika, telekomunikācijas, datorvadība un datorzinātne</w:t>
            </w:r>
            <w:r w:rsidRPr="001B29EA" w:rsidR="001F7343">
              <w:t>” īstenošanai.</w:t>
            </w:r>
          </w:p>
        </w:tc>
      </w:tr>
      <w:tr w:rsidTr="00DC25AE">
        <w:tblPrEx>
          <w:tblW w:w="0" w:type="auto"/>
          <w:tblCellSpacing w:w="0" w:type="dxa"/>
          <w:tblCellMar>
            <w:left w:w="0" w:type="dxa"/>
            <w:right w:w="0" w:type="dxa"/>
          </w:tblCellMar>
          <w:tblLook w:val="00A0"/>
        </w:tblPrEx>
        <w:trPr>
          <w:trHeight w:val="476"/>
          <w:tblCellSpacing w:w="0" w:type="dxa"/>
        </w:trPr>
        <w:tc>
          <w:tcPr>
            <w:tcW w:w="527" w:type="dxa"/>
            <w:tcBorders>
              <w:top w:val="single" w:sz="4" w:space="0" w:color="auto"/>
              <w:left w:val="single" w:sz="2" w:space="0" w:color="auto"/>
              <w:bottom w:val="single" w:sz="4" w:space="0" w:color="auto"/>
              <w:right w:val="single" w:sz="4" w:space="0" w:color="auto"/>
            </w:tcBorders>
          </w:tcPr>
          <w:p w:rsidR="00512040" w:rsidRPr="001B29EA" w:rsidP="00470650">
            <w:pPr>
              <w:spacing w:before="75" w:after="75"/>
            </w:pPr>
            <w:r w:rsidRPr="001B29EA">
              <w:t> 3.</w:t>
            </w:r>
          </w:p>
        </w:tc>
        <w:tc>
          <w:tcPr>
            <w:tcW w:w="2323" w:type="dxa"/>
            <w:tcBorders>
              <w:top w:val="single" w:sz="4" w:space="0" w:color="auto"/>
              <w:left w:val="single" w:sz="4" w:space="0" w:color="auto"/>
              <w:bottom w:val="single" w:sz="4" w:space="0" w:color="auto"/>
              <w:right w:val="single" w:sz="4" w:space="0" w:color="auto"/>
            </w:tcBorders>
          </w:tcPr>
          <w:p w:rsidR="00512040" w:rsidRPr="001B29EA" w:rsidP="00EB6DF1">
            <w:pPr>
              <w:spacing w:before="75" w:after="75"/>
            </w:pPr>
            <w:r w:rsidRPr="001B29EA">
              <w:t>Projekta izstrādē iesaistītās institūcijas</w:t>
            </w:r>
            <w:r w:rsidR="00FD55BD">
              <w:t xml:space="preserve"> un publiskas personas kapitālsabiedrības</w:t>
            </w:r>
          </w:p>
        </w:tc>
        <w:tc>
          <w:tcPr>
            <w:tcW w:w="6251" w:type="dxa"/>
            <w:tcBorders>
              <w:top w:val="single" w:sz="4" w:space="0" w:color="auto"/>
              <w:left w:val="single" w:sz="4" w:space="0" w:color="auto"/>
              <w:bottom w:val="single" w:sz="4" w:space="0" w:color="auto"/>
              <w:right w:val="single" w:sz="2" w:space="0" w:color="auto"/>
            </w:tcBorders>
          </w:tcPr>
          <w:p w:rsidR="00512040" w:rsidRPr="001B29EA" w:rsidP="00EB6DF1">
            <w:pPr>
              <w:spacing w:before="75" w:after="75"/>
            </w:pPr>
            <w:r>
              <w:t>Izglītības un zinātnes m</w:t>
            </w:r>
            <w:r w:rsidRPr="001B29EA">
              <w:t>inistrija.</w:t>
            </w:r>
          </w:p>
        </w:tc>
      </w:tr>
      <w:tr w:rsidTr="00DC25AE">
        <w:tblPrEx>
          <w:tblW w:w="0" w:type="auto"/>
          <w:tblCellSpacing w:w="0" w:type="dxa"/>
          <w:tblCellMar>
            <w:left w:w="0" w:type="dxa"/>
            <w:right w:w="0" w:type="dxa"/>
          </w:tblCellMar>
          <w:tblLook w:val="00A0"/>
        </w:tblPrEx>
        <w:trPr>
          <w:tblCellSpacing w:w="0" w:type="dxa"/>
        </w:trPr>
        <w:tc>
          <w:tcPr>
            <w:tcW w:w="527" w:type="dxa"/>
            <w:tcBorders>
              <w:top w:val="single" w:sz="4" w:space="0" w:color="auto"/>
              <w:left w:val="single" w:sz="2" w:space="0" w:color="auto"/>
              <w:bottom w:val="single" w:sz="4" w:space="0" w:color="auto"/>
              <w:right w:val="single" w:sz="4" w:space="0" w:color="auto"/>
            </w:tcBorders>
          </w:tcPr>
          <w:p w:rsidR="00512040" w:rsidRPr="001B29EA" w:rsidP="00470650">
            <w:pPr>
              <w:spacing w:before="75" w:after="75"/>
              <w:jc w:val="both"/>
            </w:pPr>
            <w:r w:rsidRPr="001B29EA">
              <w:t> 4.</w:t>
            </w:r>
          </w:p>
        </w:tc>
        <w:tc>
          <w:tcPr>
            <w:tcW w:w="2323" w:type="dxa"/>
            <w:tcBorders>
              <w:top w:val="single" w:sz="4" w:space="0" w:color="auto"/>
              <w:left w:val="single" w:sz="4" w:space="0" w:color="auto"/>
              <w:bottom w:val="single" w:sz="4" w:space="0" w:color="auto"/>
              <w:right w:val="single" w:sz="4" w:space="0" w:color="auto"/>
            </w:tcBorders>
          </w:tcPr>
          <w:p w:rsidR="00512040" w:rsidRPr="001B29EA" w:rsidP="00EB6DF1">
            <w:pPr>
              <w:spacing w:before="75" w:after="75"/>
              <w:jc w:val="both"/>
            </w:pPr>
            <w:r w:rsidRPr="001B29EA">
              <w:t> Cita informācija</w:t>
            </w:r>
          </w:p>
        </w:tc>
        <w:tc>
          <w:tcPr>
            <w:tcW w:w="6251" w:type="dxa"/>
            <w:tcBorders>
              <w:top w:val="single" w:sz="4" w:space="0" w:color="auto"/>
              <w:left w:val="single" w:sz="4" w:space="0" w:color="auto"/>
              <w:bottom w:val="single" w:sz="4" w:space="0" w:color="auto"/>
              <w:right w:val="single" w:sz="2" w:space="0" w:color="auto"/>
            </w:tcBorders>
          </w:tcPr>
          <w:p w:rsidR="00512040" w:rsidRPr="001B29EA" w:rsidP="00482C33">
            <w:pPr>
              <w:spacing w:before="75" w:after="75"/>
              <w:jc w:val="both"/>
            </w:pPr>
            <w:r w:rsidRPr="001B29EA">
              <w:t xml:space="preserve"> Nav.</w:t>
            </w:r>
          </w:p>
        </w:tc>
      </w:tr>
    </w:tbl>
    <w:p w:rsidR="00512040" w:rsidRPr="001B29EA" w:rsidP="00F957DA">
      <w:pPr>
        <w:tabs>
          <w:tab w:val="right" w:pos="8820"/>
        </w:tabs>
      </w:pPr>
      <w: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20"/>
        <w:gridCol w:w="3161"/>
        <w:gridCol w:w="5420"/>
      </w:tblGrid>
      <w:tr w:rsidTr="001F7343">
        <w:tblPrEx>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9101" w:type="dxa"/>
            <w:gridSpan w:val="3"/>
            <w:vAlign w:val="center"/>
          </w:tcPr>
          <w:p w:rsidR="00512040" w:rsidRPr="001B29EA" w:rsidP="00484032">
            <w:pPr>
              <w:spacing w:before="150" w:after="150"/>
              <w:jc w:val="center"/>
              <w:rPr>
                <w:b/>
                <w:bCs/>
              </w:rPr>
            </w:pPr>
            <w:r w:rsidRPr="001B29EA">
              <w:rPr>
                <w:b/>
                <w:bCs/>
              </w:rPr>
              <w:t>II. Tiesību akta projekta ietekme uz sabiedrību, tautsaimniecības attīstību un administratīvo slogu</w:t>
            </w:r>
          </w:p>
        </w:tc>
      </w:tr>
      <w:tr w:rsidTr="006601C2">
        <w:tblPrEx>
          <w:tblW w:w="0" w:type="auto"/>
          <w:tblCellSpacing w:w="0" w:type="dxa"/>
          <w:tblCellMar>
            <w:left w:w="0" w:type="dxa"/>
            <w:right w:w="0" w:type="dxa"/>
          </w:tblCellMar>
          <w:tblLook w:val="00A0"/>
        </w:tblPrEx>
        <w:trPr>
          <w:trHeight w:val="467"/>
          <w:tblCellSpacing w:w="0" w:type="dxa"/>
        </w:trPr>
        <w:tc>
          <w:tcPr>
            <w:tcW w:w="520" w:type="dxa"/>
          </w:tcPr>
          <w:p w:rsidR="00512040" w:rsidRPr="001B29EA" w:rsidP="00484032">
            <w:pPr>
              <w:spacing w:before="75" w:after="75"/>
              <w:jc w:val="both"/>
            </w:pPr>
            <w:r w:rsidRPr="001B29EA">
              <w:t> 1.</w:t>
            </w:r>
          </w:p>
        </w:tc>
        <w:tc>
          <w:tcPr>
            <w:tcW w:w="3161" w:type="dxa"/>
          </w:tcPr>
          <w:p w:rsidR="00512040" w:rsidRPr="001B29EA" w:rsidP="00B652F8">
            <w:pPr>
              <w:spacing w:before="75" w:after="75"/>
              <w:jc w:val="both"/>
            </w:pPr>
            <w:r w:rsidRPr="001B29EA">
              <w:t xml:space="preserve">Sabiedrības </w:t>
            </w:r>
            <w:r w:rsidRPr="001B29EA">
              <w:t>mērķgrupas</w:t>
            </w:r>
            <w:r w:rsidRPr="001B29EA">
              <w:t>, kuras tiesiskais regulējums ietekmē vai varētu ietekmēt</w:t>
            </w:r>
          </w:p>
        </w:tc>
        <w:tc>
          <w:tcPr>
            <w:tcW w:w="5420" w:type="dxa"/>
          </w:tcPr>
          <w:p w:rsidR="00512040" w:rsidRPr="001B29EA" w:rsidP="00467293">
            <w:pPr>
              <w:jc w:val="both"/>
            </w:pPr>
            <w:r w:rsidRPr="001B29EA">
              <w:t xml:space="preserve">Projekts attiecas uz </w:t>
            </w:r>
            <w:r w:rsidR="00467293">
              <w:t>Augstskolu,</w:t>
            </w:r>
            <w:r w:rsidRPr="001B29EA">
              <w:t xml:space="preserve"> kā arī uz potenciāl</w:t>
            </w:r>
            <w:r w:rsidRPr="001B29EA">
              <w:t>aj</w:t>
            </w:r>
            <w:r w:rsidRPr="001B29EA">
              <w:t xml:space="preserve">iem </w:t>
            </w:r>
            <w:r w:rsidR="00467293">
              <w:t>Augstskolas</w:t>
            </w:r>
            <w:r w:rsidRPr="001B29EA">
              <w:t xml:space="preserve"> studējošajiem, kad </w:t>
            </w:r>
            <w:r w:rsidR="00467293">
              <w:t>Augstskola</w:t>
            </w:r>
            <w:r w:rsidRPr="001B29EA">
              <w:t xml:space="preserve"> būs licencējusi studiju virzienam “</w:t>
            </w:r>
            <w:r w:rsidRPr="00147C0B" w:rsidR="00147C0B">
              <w:t>Informācijas tehnoloģija, datortehnika, elektronika, telekomunikācijas, datorvadība un datorzinātne</w:t>
            </w:r>
            <w:r w:rsidRPr="001B29EA">
              <w:t>” atbilsto</w:t>
            </w:r>
            <w:r w:rsidR="00467293">
              <w:t>ša</w:t>
            </w:r>
            <w:r w:rsidR="00542A13">
              <w:t>s</w:t>
            </w:r>
            <w:r w:rsidR="008B1B2A">
              <w:t xml:space="preserve"> studiju programmas.</w:t>
            </w:r>
          </w:p>
        </w:tc>
      </w:tr>
      <w:tr w:rsidTr="006601C2">
        <w:tblPrEx>
          <w:tblW w:w="0" w:type="auto"/>
          <w:tblCellSpacing w:w="0" w:type="dxa"/>
          <w:tblCellMar>
            <w:left w:w="0" w:type="dxa"/>
            <w:right w:w="0" w:type="dxa"/>
          </w:tblCellMar>
          <w:tblLook w:val="00A0"/>
        </w:tblPrEx>
        <w:trPr>
          <w:trHeight w:val="517"/>
          <w:tblCellSpacing w:w="0" w:type="dxa"/>
        </w:trPr>
        <w:tc>
          <w:tcPr>
            <w:tcW w:w="520" w:type="dxa"/>
          </w:tcPr>
          <w:p w:rsidR="00512040" w:rsidRPr="001B29EA" w:rsidP="00B652F8">
            <w:pPr>
              <w:spacing w:before="75" w:after="75"/>
              <w:jc w:val="both"/>
            </w:pPr>
            <w:r w:rsidRPr="001B29EA">
              <w:t> 2.</w:t>
            </w:r>
          </w:p>
        </w:tc>
        <w:tc>
          <w:tcPr>
            <w:tcW w:w="3161" w:type="dxa"/>
          </w:tcPr>
          <w:p w:rsidR="00512040" w:rsidRPr="001B29EA" w:rsidP="00B652F8">
            <w:pPr>
              <w:spacing w:before="75" w:after="75"/>
              <w:jc w:val="both"/>
            </w:pPr>
            <w:r w:rsidRPr="001B29EA">
              <w:t>Tiesiskā regulējuma ietekme uz tautsaimniecību un administratīvo slogu</w:t>
            </w:r>
          </w:p>
        </w:tc>
        <w:tc>
          <w:tcPr>
            <w:tcW w:w="5420" w:type="dxa"/>
          </w:tcPr>
          <w:p w:rsidR="00512040" w:rsidRPr="001B29EA" w:rsidP="00467293">
            <w:pPr>
              <w:ind w:right="-1"/>
              <w:jc w:val="both"/>
            </w:pPr>
            <w:r w:rsidRPr="001B29EA">
              <w:t xml:space="preserve">Atverot studiju virzienu, </w:t>
            </w:r>
            <w:r w:rsidR="00467293">
              <w:t>Augstskola</w:t>
            </w:r>
            <w:r w:rsidR="006601C2">
              <w:t>i</w:t>
            </w:r>
            <w:r w:rsidRPr="001B29EA" w:rsidR="008349E5">
              <w:t xml:space="preserve"> būs tiesības iesniegt Akadēmiskās informācijas centram iesniegumu</w:t>
            </w:r>
            <w:r w:rsidR="008B1B2A">
              <w:t>s par jaunu studiju programmu</w:t>
            </w:r>
            <w:r w:rsidRPr="001B29EA" w:rsidR="008349E5">
              <w:t xml:space="preserve"> licencēšanu studiju virzienā “</w:t>
            </w:r>
            <w:r w:rsidRPr="00147C0B" w:rsidR="00147C0B">
              <w:t>Informācijas tehnoloģija, datortehnika, elektronika, telekomunikācijas, datorvadība un datorzinātne</w:t>
            </w:r>
            <w:r w:rsidRPr="001B29EA" w:rsidR="008349E5">
              <w:t>”.</w:t>
            </w:r>
          </w:p>
        </w:tc>
      </w:tr>
      <w:tr w:rsidTr="006601C2">
        <w:tblPrEx>
          <w:tblW w:w="0" w:type="auto"/>
          <w:tblCellSpacing w:w="0" w:type="dxa"/>
          <w:tblCellMar>
            <w:left w:w="0" w:type="dxa"/>
            <w:right w:w="0" w:type="dxa"/>
          </w:tblCellMar>
          <w:tblLook w:val="00A0"/>
        </w:tblPrEx>
        <w:trPr>
          <w:trHeight w:val="357"/>
          <w:tblCellSpacing w:w="0" w:type="dxa"/>
        </w:trPr>
        <w:tc>
          <w:tcPr>
            <w:tcW w:w="520" w:type="dxa"/>
          </w:tcPr>
          <w:p w:rsidR="00512040" w:rsidRPr="001B29EA" w:rsidP="00B652F8">
            <w:pPr>
              <w:spacing w:before="75" w:after="75"/>
              <w:jc w:val="both"/>
            </w:pPr>
            <w:r w:rsidRPr="001B29EA">
              <w:t> 3.</w:t>
            </w:r>
          </w:p>
        </w:tc>
        <w:tc>
          <w:tcPr>
            <w:tcW w:w="3161" w:type="dxa"/>
          </w:tcPr>
          <w:p w:rsidR="00512040" w:rsidRPr="001B29EA" w:rsidP="00484032">
            <w:pPr>
              <w:spacing w:before="75" w:after="75"/>
              <w:jc w:val="both"/>
            </w:pPr>
            <w:r w:rsidRPr="001B29EA">
              <w:t>Administratīvo izmaksu monetārs novērtējums</w:t>
            </w:r>
          </w:p>
        </w:tc>
        <w:tc>
          <w:tcPr>
            <w:tcW w:w="5420" w:type="dxa"/>
          </w:tcPr>
          <w:p w:rsidR="00512040" w:rsidRPr="001B29EA" w:rsidP="00651773">
            <w:pPr>
              <w:spacing w:before="75" w:after="75"/>
              <w:jc w:val="both"/>
            </w:pPr>
            <w:r w:rsidRPr="001B29EA">
              <w:t xml:space="preserve"> Projekts šo jomu neskar.</w:t>
            </w:r>
          </w:p>
        </w:tc>
      </w:tr>
      <w:tr w:rsidTr="006601C2">
        <w:tblPrEx>
          <w:tblW w:w="0" w:type="auto"/>
          <w:tblCellSpacing w:w="0" w:type="dxa"/>
          <w:tblCellMar>
            <w:left w:w="0" w:type="dxa"/>
            <w:right w:w="0" w:type="dxa"/>
          </w:tblCellMar>
          <w:tblLook w:val="00A0"/>
        </w:tblPrEx>
        <w:trPr>
          <w:trHeight w:val="357"/>
          <w:tblCellSpacing w:w="0" w:type="dxa"/>
        </w:trPr>
        <w:tc>
          <w:tcPr>
            <w:tcW w:w="520" w:type="dxa"/>
          </w:tcPr>
          <w:p w:rsidR="002E5399" w:rsidRPr="001B29EA" w:rsidP="00B652F8">
            <w:pPr>
              <w:spacing w:before="75" w:after="75"/>
              <w:jc w:val="both"/>
            </w:pPr>
            <w:r>
              <w:t>4.</w:t>
            </w:r>
          </w:p>
        </w:tc>
        <w:tc>
          <w:tcPr>
            <w:tcW w:w="3161" w:type="dxa"/>
          </w:tcPr>
          <w:p w:rsidR="002E5399" w:rsidRPr="001B29EA" w:rsidP="00484032">
            <w:pPr>
              <w:spacing w:before="75" w:after="75"/>
              <w:jc w:val="both"/>
            </w:pPr>
            <w:r>
              <w:t>Atbilstības izmaksu monetārs novērtējums</w:t>
            </w:r>
          </w:p>
        </w:tc>
        <w:tc>
          <w:tcPr>
            <w:tcW w:w="5420" w:type="dxa"/>
          </w:tcPr>
          <w:p w:rsidR="002E5399" w:rsidRPr="001B29EA" w:rsidP="00651773">
            <w:pPr>
              <w:spacing w:before="75" w:after="75"/>
              <w:jc w:val="both"/>
            </w:pPr>
            <w:r>
              <w:t>Projekts šo jomu neskar.</w:t>
            </w:r>
          </w:p>
        </w:tc>
      </w:tr>
      <w:tr w:rsidTr="006601C2">
        <w:tblPrEx>
          <w:tblW w:w="0" w:type="auto"/>
          <w:tblCellSpacing w:w="0" w:type="dxa"/>
          <w:tblCellMar>
            <w:left w:w="0" w:type="dxa"/>
            <w:right w:w="0" w:type="dxa"/>
          </w:tblCellMar>
          <w:tblLook w:val="00A0"/>
        </w:tblPrEx>
        <w:trPr>
          <w:tblCellSpacing w:w="0" w:type="dxa"/>
        </w:trPr>
        <w:tc>
          <w:tcPr>
            <w:tcW w:w="520" w:type="dxa"/>
          </w:tcPr>
          <w:p w:rsidR="00512040" w:rsidRPr="001B29EA" w:rsidP="002E5399">
            <w:pPr>
              <w:spacing w:before="75" w:after="75"/>
              <w:jc w:val="both"/>
            </w:pPr>
            <w:r w:rsidRPr="001B29EA">
              <w:t> </w:t>
            </w:r>
            <w:r w:rsidR="002E5399">
              <w:t>5</w:t>
            </w:r>
            <w:r w:rsidRPr="001B29EA">
              <w:t>.</w:t>
            </w:r>
          </w:p>
        </w:tc>
        <w:tc>
          <w:tcPr>
            <w:tcW w:w="3161" w:type="dxa"/>
          </w:tcPr>
          <w:p w:rsidR="00512040" w:rsidRPr="001B29EA" w:rsidP="00484032">
            <w:pPr>
              <w:spacing w:before="75" w:after="75"/>
              <w:jc w:val="both"/>
            </w:pPr>
            <w:r w:rsidRPr="001B29EA">
              <w:t> Cita informācija</w:t>
            </w:r>
          </w:p>
        </w:tc>
        <w:tc>
          <w:tcPr>
            <w:tcW w:w="5420" w:type="dxa"/>
          </w:tcPr>
          <w:p w:rsidR="00512040" w:rsidRPr="001B29EA" w:rsidP="00BD177B">
            <w:pPr>
              <w:jc w:val="both"/>
            </w:pPr>
            <w:r w:rsidRPr="001B29EA">
              <w:t>Nav</w:t>
            </w:r>
            <w:r w:rsidRPr="001B29EA" w:rsidR="008349E5">
              <w:t>.</w:t>
            </w:r>
          </w:p>
        </w:tc>
      </w:tr>
    </w:tbl>
    <w:p w:rsidR="00147C0B" w:rsidP="00D3126E">
      <w:pPr>
        <w:jc w:val="both"/>
        <w:outlineLvl w:val="0"/>
        <w:rPr>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1"/>
      </w:tblGrid>
      <w:tr w:rsidTr="00F7098F">
        <w:tblPrEx>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9101" w:type="dxa"/>
            <w:vAlign w:val="center"/>
          </w:tcPr>
          <w:p w:rsidR="00147C0B" w:rsidRPr="001B29EA" w:rsidP="00F7098F">
            <w:pPr>
              <w:spacing w:before="150" w:after="150"/>
              <w:jc w:val="center"/>
              <w:rPr>
                <w:b/>
                <w:bCs/>
              </w:rPr>
            </w:pPr>
            <w:r w:rsidRPr="001B29EA">
              <w:rPr>
                <w:b/>
                <w:bCs/>
              </w:rPr>
              <w:t>II</w:t>
            </w:r>
            <w:r>
              <w:rPr>
                <w:b/>
                <w:bCs/>
              </w:rPr>
              <w:t>I</w:t>
            </w:r>
            <w:r w:rsidRPr="001B29EA">
              <w:rPr>
                <w:b/>
                <w:bCs/>
              </w:rPr>
              <w:t xml:space="preserve">. </w:t>
            </w:r>
            <w:r w:rsidRPr="00147C0B">
              <w:rPr>
                <w:b/>
                <w:bCs/>
              </w:rPr>
              <w:t>Tiesību akta projekta ietekme uz valsts budžetu un pašvaldību budžetiem</w:t>
            </w:r>
          </w:p>
        </w:tc>
      </w:tr>
      <w:tr w:rsidTr="00F7098F">
        <w:tblPrEx>
          <w:tblW w:w="0" w:type="auto"/>
          <w:tblCellSpacing w:w="0" w:type="dxa"/>
          <w:tblCellMar>
            <w:left w:w="0" w:type="dxa"/>
            <w:right w:w="0" w:type="dxa"/>
          </w:tblCellMar>
          <w:tblLook w:val="00A0"/>
        </w:tblPrEx>
        <w:trPr>
          <w:trHeight w:val="467"/>
          <w:tblCellSpacing w:w="0" w:type="dxa"/>
        </w:trPr>
        <w:tc>
          <w:tcPr>
            <w:tcW w:w="9101" w:type="dxa"/>
          </w:tcPr>
          <w:p w:rsidR="00147C0B" w:rsidRPr="001B29EA" w:rsidP="00F7098F">
            <w:pPr>
              <w:jc w:val="center"/>
            </w:pPr>
            <w:r>
              <w:t>Projekts nerada ietekmi uz valsts vai pašvaldību budžetu.</w:t>
            </w:r>
          </w:p>
        </w:tc>
      </w:tr>
    </w:tbl>
    <w:p w:rsidR="00147C0B" w:rsidP="00D3126E">
      <w:pPr>
        <w:jc w:val="both"/>
        <w:outlineLvl w:val="0"/>
        <w:rPr>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1"/>
      </w:tblGrid>
      <w:tr w:rsidTr="00F7098F">
        <w:tblPrEx>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9101" w:type="dxa"/>
            <w:vAlign w:val="center"/>
          </w:tcPr>
          <w:p w:rsidR="00147C0B" w:rsidRPr="001B29EA" w:rsidP="00F7098F">
            <w:pPr>
              <w:spacing w:before="150" w:after="150"/>
              <w:jc w:val="center"/>
              <w:rPr>
                <w:b/>
                <w:bCs/>
              </w:rPr>
            </w:pPr>
            <w:r>
              <w:rPr>
                <w:b/>
                <w:bCs/>
              </w:rPr>
              <w:t>IV</w:t>
            </w:r>
            <w:r w:rsidRPr="001B29EA">
              <w:rPr>
                <w:b/>
                <w:bCs/>
              </w:rPr>
              <w:t xml:space="preserve">. </w:t>
            </w:r>
            <w:r w:rsidRPr="00147C0B">
              <w:rPr>
                <w:b/>
                <w:bCs/>
              </w:rPr>
              <w:t>Tiesību akta projekta ietekme uz spēkā esošo tiesību normu sistēmu</w:t>
            </w:r>
          </w:p>
        </w:tc>
      </w:tr>
      <w:tr w:rsidTr="00F7098F">
        <w:tblPrEx>
          <w:tblW w:w="0" w:type="auto"/>
          <w:tblCellSpacing w:w="0" w:type="dxa"/>
          <w:tblCellMar>
            <w:left w:w="0" w:type="dxa"/>
            <w:right w:w="0" w:type="dxa"/>
          </w:tblCellMar>
          <w:tblLook w:val="00A0"/>
        </w:tblPrEx>
        <w:trPr>
          <w:trHeight w:val="467"/>
          <w:tblCellSpacing w:w="0" w:type="dxa"/>
        </w:trPr>
        <w:tc>
          <w:tcPr>
            <w:tcW w:w="9101" w:type="dxa"/>
          </w:tcPr>
          <w:p w:rsidR="00147C0B" w:rsidRPr="001B29EA" w:rsidP="00FD55BD">
            <w:pPr>
              <w:jc w:val="center"/>
            </w:pPr>
            <w:r w:rsidRPr="00147C0B">
              <w:t xml:space="preserve">Projekts </w:t>
            </w:r>
            <w:r w:rsidR="00FD55BD">
              <w:t>nerada ietekmi uz tiesību normu sistēmu.</w:t>
            </w:r>
          </w:p>
        </w:tc>
      </w:tr>
    </w:tbl>
    <w:p w:rsidR="00147C0B" w:rsidP="00D3126E">
      <w:pPr>
        <w:jc w:val="both"/>
        <w:outlineLvl w:val="0"/>
        <w:rPr>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1"/>
      </w:tblGrid>
      <w:tr w:rsidTr="00F7098F">
        <w:tblPrEx>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9101" w:type="dxa"/>
            <w:vAlign w:val="center"/>
          </w:tcPr>
          <w:p w:rsidR="00147C0B" w:rsidRPr="001B29EA" w:rsidP="00F7098F">
            <w:pPr>
              <w:spacing w:before="150" w:after="150"/>
              <w:jc w:val="center"/>
              <w:rPr>
                <w:b/>
                <w:bCs/>
              </w:rPr>
            </w:pPr>
            <w:r>
              <w:rPr>
                <w:b/>
                <w:bCs/>
              </w:rPr>
              <w:t>V</w:t>
            </w:r>
            <w:r w:rsidRPr="001B29EA">
              <w:rPr>
                <w:b/>
                <w:bCs/>
              </w:rPr>
              <w:t xml:space="preserve">. </w:t>
            </w:r>
            <w:r w:rsidRPr="00147C0B">
              <w:rPr>
                <w:b/>
                <w:bCs/>
              </w:rPr>
              <w:t>Tiesību akta projekta atbilstība Latvijas Republikas starptautiskajām saistībām</w:t>
            </w:r>
          </w:p>
        </w:tc>
      </w:tr>
      <w:tr w:rsidTr="00F7098F">
        <w:tblPrEx>
          <w:tblW w:w="0" w:type="auto"/>
          <w:tblCellSpacing w:w="0" w:type="dxa"/>
          <w:tblCellMar>
            <w:left w:w="0" w:type="dxa"/>
            <w:right w:w="0" w:type="dxa"/>
          </w:tblCellMar>
          <w:tblLook w:val="00A0"/>
        </w:tblPrEx>
        <w:trPr>
          <w:trHeight w:val="467"/>
          <w:tblCellSpacing w:w="0" w:type="dxa"/>
        </w:trPr>
        <w:tc>
          <w:tcPr>
            <w:tcW w:w="9101" w:type="dxa"/>
          </w:tcPr>
          <w:p w:rsidR="00147C0B" w:rsidRPr="001B29EA" w:rsidP="00F7098F">
            <w:pPr>
              <w:jc w:val="center"/>
            </w:pPr>
            <w:r w:rsidRPr="00147C0B">
              <w:t xml:space="preserve">Projekts </w:t>
            </w:r>
            <w:r w:rsidRPr="00FD55BD" w:rsidR="00FD55BD">
              <w:t>neskar Latvijas Republikas starptautiskās saistības.</w:t>
            </w:r>
          </w:p>
        </w:tc>
      </w:tr>
    </w:tbl>
    <w:p w:rsidR="00147C0B" w:rsidP="00D3126E">
      <w:pPr>
        <w:jc w:val="both"/>
        <w:outlineLvl w:val="0"/>
        <w:rPr>
          <w:b/>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1"/>
      </w:tblGrid>
      <w:tr w:rsidTr="00F7098F">
        <w:tblPrEx>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Ex>
        <w:trPr>
          <w:tblCellSpacing w:w="0" w:type="dxa"/>
        </w:trPr>
        <w:tc>
          <w:tcPr>
            <w:tcW w:w="9101" w:type="dxa"/>
            <w:vAlign w:val="center"/>
          </w:tcPr>
          <w:p w:rsidR="00147C0B" w:rsidRPr="00147C0B" w:rsidP="00147C0B">
            <w:pPr>
              <w:spacing w:before="150" w:after="150"/>
              <w:jc w:val="center"/>
              <w:rPr>
                <w:b/>
                <w:bCs/>
              </w:rPr>
            </w:pPr>
            <w:r w:rsidRPr="00147C0B">
              <w:rPr>
                <w:b/>
                <w:bCs/>
              </w:rPr>
              <w:t>V</w:t>
            </w:r>
            <w:r>
              <w:rPr>
                <w:b/>
                <w:bCs/>
              </w:rPr>
              <w:t>I</w:t>
            </w:r>
            <w:r w:rsidRPr="00147C0B">
              <w:rPr>
                <w:b/>
                <w:bCs/>
              </w:rPr>
              <w:t>. Sabiedrības līdzdalība un komunikācijas aktivitātes</w:t>
            </w:r>
          </w:p>
        </w:tc>
      </w:tr>
      <w:tr w:rsidTr="00F7098F">
        <w:tblPrEx>
          <w:tblW w:w="0" w:type="auto"/>
          <w:tblCellSpacing w:w="0" w:type="dxa"/>
          <w:tblCellMar>
            <w:left w:w="0" w:type="dxa"/>
            <w:right w:w="0" w:type="dxa"/>
          </w:tblCellMar>
          <w:tblLook w:val="00A0"/>
        </w:tblPrEx>
        <w:trPr>
          <w:trHeight w:val="467"/>
          <w:tblCellSpacing w:w="0" w:type="dxa"/>
        </w:trPr>
        <w:tc>
          <w:tcPr>
            <w:tcW w:w="9101" w:type="dxa"/>
          </w:tcPr>
          <w:p w:rsidR="00147C0B" w:rsidRPr="00147C0B" w:rsidP="00147C0B">
            <w:pPr>
              <w:jc w:val="center"/>
            </w:pPr>
            <w:r w:rsidRPr="00147C0B">
              <w:t>Projekts šo jomu neskar.</w:t>
            </w:r>
          </w:p>
        </w:tc>
      </w:tr>
    </w:tbl>
    <w:p w:rsidR="00147C0B" w:rsidRPr="001B29EA" w:rsidP="00D3126E">
      <w:pPr>
        <w:jc w:val="both"/>
        <w:outlineLvl w:val="0"/>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04"/>
        <w:gridCol w:w="3197"/>
        <w:gridCol w:w="5400"/>
      </w:tblGrid>
      <w:tr w:rsidTr="00480C7B">
        <w:tblPrEx>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Ex>
        <w:trPr>
          <w:tblCellSpacing w:w="0" w:type="dxa"/>
        </w:trPr>
        <w:tc>
          <w:tcPr>
            <w:tcW w:w="9101" w:type="dxa"/>
            <w:gridSpan w:val="3"/>
            <w:tcBorders>
              <w:top w:val="single" w:sz="4" w:space="0" w:color="auto"/>
              <w:left w:val="single" w:sz="4" w:space="0" w:color="auto"/>
              <w:bottom w:val="single" w:sz="4" w:space="0" w:color="auto"/>
              <w:right w:val="single" w:sz="4" w:space="0" w:color="auto"/>
            </w:tcBorders>
          </w:tcPr>
          <w:p w:rsidR="00512040" w:rsidRPr="001B29EA" w:rsidP="00F81111">
            <w:pPr>
              <w:jc w:val="center"/>
              <w:rPr>
                <w:b/>
              </w:rPr>
            </w:pPr>
            <w:r w:rsidRPr="001B29EA">
              <w:rPr>
                <w:b/>
                <w:bCs/>
              </w:rPr>
              <w:t xml:space="preserve"> VII. Tiesību </w:t>
            </w:r>
            <w:smartTag w:uri="schemas-tilde-lv/tildestengine" w:element="veidnes">
              <w:smartTagPr>
                <w:attr w:name="baseform" w:val="akt|s"/>
                <w:attr w:name="id" w:val="-1"/>
                <w:attr w:name="text" w:val="akta"/>
              </w:smartTagPr>
              <w:r w:rsidRPr="001B29EA">
                <w:rPr>
                  <w:b/>
                  <w:bCs/>
                </w:rPr>
                <w:t>akta</w:t>
              </w:r>
            </w:smartTag>
            <w:r w:rsidRPr="001B29EA">
              <w:rPr>
                <w:b/>
                <w:bCs/>
              </w:rPr>
              <w:t xml:space="preserve"> projekta izpildes nodrošināšana un tās ietekme uz institūcijām</w:t>
            </w:r>
          </w:p>
        </w:tc>
      </w:tr>
      <w:tr w:rsidTr="00480C7B">
        <w:tblPrEx>
          <w:tblW w:w="0" w:type="auto"/>
          <w:tblCellSpacing w:w="0" w:type="dxa"/>
          <w:tblCellMar>
            <w:left w:w="0" w:type="dxa"/>
            <w:right w:w="0" w:type="dxa"/>
          </w:tblCellMar>
          <w:tblLook w:val="00A0"/>
        </w:tblPrEx>
        <w:trPr>
          <w:trHeight w:val="427"/>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P="00F81111">
            <w:pPr>
              <w:jc w:val="both"/>
            </w:pPr>
            <w:r w:rsidRPr="001B29EA">
              <w:t> 1.</w:t>
            </w:r>
          </w:p>
        </w:tc>
        <w:tc>
          <w:tcPr>
            <w:tcW w:w="3197" w:type="dxa"/>
            <w:tcBorders>
              <w:top w:val="single" w:sz="4" w:space="0" w:color="auto"/>
              <w:left w:val="single" w:sz="4" w:space="0" w:color="auto"/>
              <w:bottom w:val="single" w:sz="4" w:space="0" w:color="auto"/>
              <w:right w:val="single" w:sz="4" w:space="0" w:color="auto"/>
            </w:tcBorders>
          </w:tcPr>
          <w:p w:rsidR="00512040" w:rsidRPr="001B29EA" w:rsidP="00F81111">
            <w:pPr>
              <w:jc w:val="both"/>
            </w:pPr>
            <w:r w:rsidRPr="001B29EA">
              <w:t>Projekta izpildē iesaistītās institūcijas</w:t>
            </w:r>
          </w:p>
        </w:tc>
        <w:tc>
          <w:tcPr>
            <w:tcW w:w="5400" w:type="dxa"/>
            <w:tcBorders>
              <w:top w:val="single" w:sz="4" w:space="0" w:color="auto"/>
              <w:left w:val="single" w:sz="4" w:space="0" w:color="auto"/>
              <w:bottom w:val="single" w:sz="4" w:space="0" w:color="auto"/>
              <w:right w:val="single" w:sz="4" w:space="0" w:color="auto"/>
            </w:tcBorders>
          </w:tcPr>
          <w:p w:rsidR="00512040" w:rsidRPr="001B29EA" w:rsidP="00467293">
            <w:pPr>
              <w:jc w:val="both"/>
              <w:rPr>
                <w:highlight w:val="yellow"/>
              </w:rPr>
            </w:pPr>
            <w:r w:rsidRPr="001B29EA">
              <w:t>P</w:t>
            </w:r>
            <w:r w:rsidRPr="001B29EA">
              <w:t>rojekta izpildē būs iesaistīta</w:t>
            </w:r>
            <w:r w:rsidRPr="001B29EA">
              <w:t xml:space="preserve"> </w:t>
            </w:r>
            <w:r w:rsidR="00467293">
              <w:t>Augstskola</w:t>
            </w:r>
            <w:r w:rsidRPr="001B29EA">
              <w:t>.</w:t>
            </w:r>
          </w:p>
        </w:tc>
      </w:tr>
      <w:tr w:rsidTr="00480C7B">
        <w:tblPrEx>
          <w:tblW w:w="0" w:type="auto"/>
          <w:tblCellSpacing w:w="0" w:type="dxa"/>
          <w:tblCellMar>
            <w:left w:w="0" w:type="dxa"/>
            <w:right w:w="0" w:type="dxa"/>
          </w:tblCellMar>
          <w:tblLook w:val="00A0"/>
        </w:tblPrEx>
        <w:trPr>
          <w:trHeight w:val="463"/>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P="00F81111">
            <w:pPr>
              <w:jc w:val="both"/>
            </w:pPr>
            <w:r w:rsidRPr="001B29EA">
              <w:t> 2.</w:t>
            </w:r>
          </w:p>
        </w:tc>
        <w:tc>
          <w:tcPr>
            <w:tcW w:w="3197" w:type="dxa"/>
            <w:tcBorders>
              <w:top w:val="single" w:sz="4" w:space="0" w:color="auto"/>
              <w:left w:val="single" w:sz="4" w:space="0" w:color="auto"/>
              <w:bottom w:val="single" w:sz="4" w:space="0" w:color="auto"/>
              <w:right w:val="single" w:sz="4" w:space="0" w:color="auto"/>
            </w:tcBorders>
          </w:tcPr>
          <w:p w:rsidR="00512040" w:rsidRPr="001B29EA" w:rsidP="00F81111">
            <w:pPr>
              <w:jc w:val="both"/>
            </w:pPr>
            <w:r w:rsidRPr="001B29EA">
              <w:t>Projekta izpildes ietekme uz pārvaldes funkcijām un institucionālo struktūru. Jaunu institūciju izveide, esošo institūciju likvidācija vai reorganizācija, to ietekme uz institūcijas cilvēkresursiem</w:t>
            </w:r>
          </w:p>
        </w:tc>
        <w:tc>
          <w:tcPr>
            <w:tcW w:w="5400" w:type="dxa"/>
            <w:tcBorders>
              <w:top w:val="single" w:sz="4" w:space="0" w:color="auto"/>
              <w:left w:val="single" w:sz="4" w:space="0" w:color="auto"/>
              <w:bottom w:val="single" w:sz="4" w:space="0" w:color="auto"/>
              <w:right w:val="single" w:sz="4" w:space="0" w:color="auto"/>
            </w:tcBorders>
          </w:tcPr>
          <w:p w:rsidR="00512040" w:rsidRPr="001B29EA" w:rsidP="00CF06CC">
            <w:pPr>
              <w:jc w:val="both"/>
              <w:rPr>
                <w:highlight w:val="yellow"/>
              </w:rPr>
            </w:pPr>
            <w:r w:rsidRPr="001B29EA">
              <w:t>Projekts šo jomu neskar.</w:t>
            </w:r>
          </w:p>
        </w:tc>
      </w:tr>
      <w:tr w:rsidTr="00480C7B">
        <w:tblPrEx>
          <w:tblW w:w="0" w:type="auto"/>
          <w:tblCellSpacing w:w="0" w:type="dxa"/>
          <w:tblCellMar>
            <w:left w:w="0" w:type="dxa"/>
            <w:right w:w="0" w:type="dxa"/>
          </w:tblCellMar>
          <w:tblLook w:val="00A0"/>
        </w:tblPrEx>
        <w:trPr>
          <w:trHeight w:val="312"/>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P="00750DCE">
            <w:r w:rsidRPr="001B29EA">
              <w:t> 3.</w:t>
            </w:r>
          </w:p>
        </w:tc>
        <w:tc>
          <w:tcPr>
            <w:tcW w:w="3197" w:type="dxa"/>
            <w:tcBorders>
              <w:top w:val="single" w:sz="4" w:space="0" w:color="auto"/>
              <w:left w:val="single" w:sz="4" w:space="0" w:color="auto"/>
              <w:bottom w:val="single" w:sz="4" w:space="0" w:color="auto"/>
              <w:right w:val="single" w:sz="4" w:space="0" w:color="auto"/>
            </w:tcBorders>
          </w:tcPr>
          <w:p w:rsidR="00512040" w:rsidRPr="001B29EA" w:rsidP="00F81111">
            <w:r w:rsidRPr="001B29EA">
              <w:t>Cita informācija</w:t>
            </w:r>
          </w:p>
        </w:tc>
        <w:tc>
          <w:tcPr>
            <w:tcW w:w="5400" w:type="dxa"/>
            <w:tcBorders>
              <w:top w:val="single" w:sz="4" w:space="0" w:color="auto"/>
              <w:left w:val="single" w:sz="4" w:space="0" w:color="auto"/>
              <w:bottom w:val="single" w:sz="4" w:space="0" w:color="auto"/>
              <w:right w:val="single" w:sz="4" w:space="0" w:color="auto"/>
            </w:tcBorders>
          </w:tcPr>
          <w:p w:rsidR="00512040" w:rsidRPr="001B29EA" w:rsidP="00F81111">
            <w:r w:rsidRPr="001B29EA">
              <w:t>Nav</w:t>
            </w:r>
            <w:r w:rsidRPr="001B29EA" w:rsidR="008349E5">
              <w:t>.</w:t>
            </w:r>
          </w:p>
        </w:tc>
      </w:tr>
    </w:tbl>
    <w:p w:rsidR="001F7343" w:rsidRPr="001B29EA" w:rsidP="00F957DA">
      <w:pPr>
        <w:tabs>
          <w:tab w:val="right" w:pos="8820"/>
        </w:tabs>
      </w:pPr>
    </w:p>
    <w:p w:rsidR="001F7343" w:rsidRPr="001B29EA" w:rsidP="00F957DA">
      <w:pPr>
        <w:tabs>
          <w:tab w:val="right" w:pos="8820"/>
        </w:tabs>
      </w:pPr>
    </w:p>
    <w:p w:rsidR="00512040" w:rsidRPr="001B29EA" w:rsidP="00C22A99">
      <w:pPr>
        <w:pStyle w:val="naisf"/>
        <w:spacing w:before="0" w:beforeAutospacing="0" w:after="0" w:afterAutospacing="0"/>
      </w:pPr>
      <w:r w:rsidRPr="001B29EA">
        <w:t>Izglītības un zinātnes ministrs</w:t>
      </w:r>
      <w:r w:rsidRPr="001B29EA">
        <w:tab/>
      </w:r>
      <w:r w:rsidRPr="001B29EA">
        <w:tab/>
      </w:r>
      <w:r w:rsidRPr="001B29EA">
        <w:tab/>
      </w:r>
      <w:r w:rsidRPr="001B29EA">
        <w:tab/>
      </w:r>
      <w:r w:rsidRPr="001B29EA">
        <w:tab/>
      </w:r>
      <w:r w:rsidR="007D14B0">
        <w:tab/>
      </w:r>
      <w:r w:rsidRPr="001B29EA">
        <w:t>Kārlis Šadurskis</w:t>
      </w:r>
    </w:p>
    <w:p w:rsidR="00A138BB" w:rsidRPr="001B29EA" w:rsidP="00C22A99">
      <w:pPr>
        <w:pStyle w:val="naisf"/>
        <w:spacing w:before="0" w:beforeAutospacing="0" w:after="0" w:afterAutospacing="0"/>
      </w:pPr>
    </w:p>
    <w:p w:rsidR="004C3E6F" w:rsidP="001F7343">
      <w:pPr>
        <w:jc w:val="both"/>
      </w:pPr>
      <w:r>
        <w:t>Vizē:</w:t>
      </w:r>
    </w:p>
    <w:p w:rsidR="000048A1" w:rsidP="000048A1">
      <w:r>
        <w:t>valsts sekretāra vietniece –</w:t>
      </w:r>
    </w:p>
    <w:p w:rsidR="000048A1" w:rsidP="000048A1">
      <w:r>
        <w:t>Struktū</w:t>
      </w:r>
      <w:r w:rsidR="00360139">
        <w:t>rfondu departamenta direktore,</w:t>
      </w:r>
      <w:bookmarkStart w:id="0" w:name="_GoBack"/>
      <w:bookmarkEnd w:id="0"/>
    </w:p>
    <w:p w:rsidR="00D3126E" w:rsidP="000048A1">
      <w:pPr>
        <w:rPr>
          <w:sz w:val="28"/>
          <w:szCs w:val="28"/>
        </w:rPr>
      </w:pPr>
      <w:r>
        <w:t>valsts sekretāra pienākumu izpildītāja</w:t>
      </w:r>
      <w:r>
        <w:tab/>
      </w:r>
      <w:r>
        <w:tab/>
      </w:r>
      <w:r>
        <w:tab/>
      </w:r>
      <w:r>
        <w:tab/>
        <w:t>Santa Šmīdlere</w:t>
      </w:r>
    </w:p>
    <w:p w:rsidR="00A138BB" w:rsidP="00C22A99">
      <w:pPr>
        <w:rPr>
          <w:sz w:val="28"/>
          <w:szCs w:val="28"/>
        </w:rPr>
      </w:pPr>
    </w:p>
    <w:p w:rsidR="00512040" w:rsidP="00F957DA">
      <w:pPr>
        <w:pStyle w:val="StyleRight"/>
        <w:spacing w:after="0"/>
        <w:ind w:firstLine="0"/>
        <w:jc w:val="both"/>
        <w:rPr>
          <w:sz w:val="20"/>
          <w:szCs w:val="20"/>
        </w:rPr>
      </w:pPr>
      <w:r>
        <w:rPr>
          <w:sz w:val="20"/>
          <w:szCs w:val="20"/>
        </w:rPr>
        <w:t>L.Upīte</w:t>
      </w:r>
      <w:r>
        <w:rPr>
          <w:sz w:val="20"/>
          <w:szCs w:val="20"/>
        </w:rPr>
        <w:t>, 67047816</w:t>
      </w:r>
    </w:p>
    <w:p w:rsidR="00512040" w:rsidRPr="002C76FA" w:rsidP="00F957DA">
      <w:pPr>
        <w:pStyle w:val="StyleRight"/>
        <w:spacing w:after="0"/>
        <w:ind w:firstLine="0"/>
        <w:jc w:val="both"/>
      </w:pPr>
      <w:r>
        <w:rPr>
          <w:sz w:val="20"/>
          <w:szCs w:val="20"/>
        </w:rPr>
        <w:t>Linda.Upite</w:t>
      </w:r>
      <w:r w:rsidRPr="005F157D">
        <w:rPr>
          <w:sz w:val="20"/>
          <w:szCs w:val="20"/>
        </w:rPr>
        <w:t>@izm.gov.lv</w:t>
      </w:r>
    </w:p>
    <w:sectPr w:rsidSect="00095335">
      <w:headerReference w:type="default" r:id="rId5"/>
      <w:footerReference w:type="default" r:id="rId6"/>
      <w:footerReference w:type="first" r:id="rId7"/>
      <w:pgSz w:w="11906" w:h="16838"/>
      <w:pgMar w:top="1418"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AC" w:rsidRPr="00147C0B" w:rsidP="00147C0B">
    <w:pPr>
      <w:pStyle w:val="Footer"/>
      <w:jc w:val="both"/>
    </w:pPr>
    <w:r>
      <w:rPr>
        <w:sz w:val="20"/>
        <w:szCs w:val="20"/>
      </w:rPr>
      <w:t>IZManot_0702</w:t>
    </w:r>
    <w:r w:rsidR="000B6AEB">
      <w:rPr>
        <w:sz w:val="20"/>
        <w:szCs w:val="20"/>
      </w:rPr>
      <w:t>18</w:t>
    </w:r>
    <w:r w:rsidRPr="00147C0B" w:rsidR="00147C0B">
      <w:rPr>
        <w:sz w:val="20"/>
        <w:szCs w:val="20"/>
      </w:rPr>
      <w:t>_BAT_SV; Ministru kabineta rīkojuma projekta “Par studiju virziena “Informācijas tehnoloģija, datortehnika, elektronika, telekomunikācijas, datorvadība un datorzinātne” atvēršanu sabiedrībā ar ierobežotu atbildību “Biznesa augstskola Turība””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AC" w:rsidRPr="00F47978" w:rsidP="00A8506F">
    <w:pPr>
      <w:pStyle w:val="Footer"/>
      <w:jc w:val="both"/>
      <w:rPr>
        <w:sz w:val="20"/>
        <w:szCs w:val="20"/>
      </w:rPr>
    </w:pPr>
    <w:r w:rsidRPr="00F47978">
      <w:rPr>
        <w:sz w:val="20"/>
        <w:szCs w:val="20"/>
      </w:rPr>
      <w:t>IZM</w:t>
    </w:r>
    <w:r w:rsidR="006E0B92">
      <w:rPr>
        <w:sz w:val="20"/>
        <w:szCs w:val="20"/>
      </w:rPr>
      <w:t>anot_0702</w:t>
    </w:r>
    <w:r w:rsidR="000B6AEB">
      <w:rPr>
        <w:sz w:val="20"/>
        <w:szCs w:val="20"/>
      </w:rPr>
      <w:t>18</w:t>
    </w:r>
    <w:r w:rsidR="00147C0B">
      <w:rPr>
        <w:sz w:val="20"/>
        <w:szCs w:val="20"/>
      </w:rPr>
      <w:t>_BAT_SV</w:t>
    </w:r>
    <w:r w:rsidRPr="00F47978">
      <w:rPr>
        <w:sz w:val="20"/>
        <w:szCs w:val="20"/>
      </w:rPr>
      <w:t xml:space="preserve">; </w:t>
    </w:r>
    <w:r w:rsidRPr="00147C0B" w:rsidR="00147C0B">
      <w:rPr>
        <w:sz w:val="20"/>
        <w:szCs w:val="20"/>
      </w:rPr>
      <w:t>Ministru kabineta rīkojuma projekta “Par studiju virziena “Informācijas tehnoloģija, datortehnika, elektronika, telekomunikācijas, datorvadība un datorzinātne” atvēršanu sabiedrībā ar ierobežotu atbildību “Biznesa augstskola Turība””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AC">
    <w:pPr>
      <w:pStyle w:val="Header"/>
      <w:jc w:val="center"/>
    </w:pPr>
    <w:r>
      <w:fldChar w:fldCharType="begin"/>
    </w:r>
    <w:r>
      <w:instrText xml:space="preserve"> PAGE   \* MERGEFORMAT </w:instrText>
    </w:r>
    <w:r>
      <w:fldChar w:fldCharType="separate"/>
    </w:r>
    <w:r w:rsidR="00360139">
      <w:rPr>
        <w:noProof/>
      </w:rPr>
      <w:t>5</w:t>
    </w:r>
    <w:r>
      <w:rPr>
        <w:noProof/>
      </w:rPr>
      <w:fldChar w:fldCharType="end"/>
    </w:r>
  </w:p>
  <w:p w:rsidR="00610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71312FE"/>
    <w:multiLevelType w:val="hybridMultilevel"/>
    <w:tmpl w:val="26FE525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1">
    <w:nsid w:val="3D257573"/>
    <w:multiLevelType w:val="hybridMultilevel"/>
    <w:tmpl w:val="65E2EE92"/>
    <w:lvl w:ilvl="0">
      <w:start w:val="1"/>
      <w:numFmt w:val="decimal"/>
      <w:lvlText w:val="%1)"/>
      <w:lvlJc w:val="left"/>
      <w:pPr>
        <w:ind w:left="629" w:hanging="360"/>
      </w:pPr>
      <w:rPr>
        <w:rFonts w:cs="Times New Roman" w:hint="default"/>
      </w:rPr>
    </w:lvl>
    <w:lvl w:ilvl="1" w:tentative="1">
      <w:start w:val="1"/>
      <w:numFmt w:val="lowerLetter"/>
      <w:lvlText w:val="%2."/>
      <w:lvlJc w:val="left"/>
      <w:pPr>
        <w:ind w:left="1349" w:hanging="360"/>
      </w:pPr>
      <w:rPr>
        <w:rFonts w:cs="Times New Roman"/>
      </w:rPr>
    </w:lvl>
    <w:lvl w:ilvl="2" w:tentative="1">
      <w:start w:val="1"/>
      <w:numFmt w:val="lowerRoman"/>
      <w:lvlText w:val="%3."/>
      <w:lvlJc w:val="right"/>
      <w:pPr>
        <w:ind w:left="2069" w:hanging="180"/>
      </w:pPr>
      <w:rPr>
        <w:rFonts w:cs="Times New Roman"/>
      </w:rPr>
    </w:lvl>
    <w:lvl w:ilvl="3" w:tentative="1">
      <w:start w:val="1"/>
      <w:numFmt w:val="decimal"/>
      <w:lvlText w:val="%4."/>
      <w:lvlJc w:val="left"/>
      <w:pPr>
        <w:ind w:left="2789" w:hanging="360"/>
      </w:pPr>
      <w:rPr>
        <w:rFonts w:cs="Times New Roman"/>
      </w:rPr>
    </w:lvl>
    <w:lvl w:ilvl="4" w:tentative="1">
      <w:start w:val="1"/>
      <w:numFmt w:val="lowerLetter"/>
      <w:lvlText w:val="%5."/>
      <w:lvlJc w:val="left"/>
      <w:pPr>
        <w:ind w:left="3509" w:hanging="360"/>
      </w:pPr>
      <w:rPr>
        <w:rFonts w:cs="Times New Roman"/>
      </w:rPr>
    </w:lvl>
    <w:lvl w:ilvl="5" w:tentative="1">
      <w:start w:val="1"/>
      <w:numFmt w:val="lowerRoman"/>
      <w:lvlText w:val="%6."/>
      <w:lvlJc w:val="right"/>
      <w:pPr>
        <w:ind w:left="4229" w:hanging="180"/>
      </w:pPr>
      <w:rPr>
        <w:rFonts w:cs="Times New Roman"/>
      </w:rPr>
    </w:lvl>
    <w:lvl w:ilvl="6" w:tentative="1">
      <w:start w:val="1"/>
      <w:numFmt w:val="decimal"/>
      <w:lvlText w:val="%7."/>
      <w:lvlJc w:val="left"/>
      <w:pPr>
        <w:ind w:left="4949" w:hanging="360"/>
      </w:pPr>
      <w:rPr>
        <w:rFonts w:cs="Times New Roman"/>
      </w:rPr>
    </w:lvl>
    <w:lvl w:ilvl="7" w:tentative="1">
      <w:start w:val="1"/>
      <w:numFmt w:val="lowerLetter"/>
      <w:lvlText w:val="%8."/>
      <w:lvlJc w:val="left"/>
      <w:pPr>
        <w:ind w:left="5669" w:hanging="360"/>
      </w:pPr>
      <w:rPr>
        <w:rFonts w:cs="Times New Roman"/>
      </w:rPr>
    </w:lvl>
    <w:lvl w:ilvl="8" w:tentative="1">
      <w:start w:val="1"/>
      <w:numFmt w:val="lowerRoman"/>
      <w:lvlText w:val="%9."/>
      <w:lvlJc w:val="right"/>
      <w:pPr>
        <w:ind w:left="6389" w:hanging="180"/>
      </w:pPr>
      <w:rPr>
        <w:rFonts w:cs="Times New Roman"/>
      </w:rPr>
    </w:lvl>
  </w:abstractNum>
  <w:abstractNum w:abstractNumId="2" w15:restartNumberingAfterBreak="1">
    <w:nsid w:val="3F403F92"/>
    <w:multiLevelType w:val="hybridMultilevel"/>
    <w:tmpl w:val="3E92EE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1">
    <w:nsid w:val="3F640DE8"/>
    <w:multiLevelType w:val="hybridMultilevel"/>
    <w:tmpl w:val="DBB675C4"/>
    <w:lvl w:ilvl="0">
      <w:start w:val="1"/>
      <w:numFmt w:val="decimal"/>
      <w:lvlText w:val="%1)"/>
      <w:lvlJc w:val="left"/>
      <w:pPr>
        <w:ind w:left="659" w:hanging="360"/>
      </w:pPr>
      <w:rPr>
        <w:rFonts w:cs="Times New Roman" w:hint="default"/>
        <w:b w:val="0"/>
        <w:bCs/>
      </w:rPr>
    </w:lvl>
    <w:lvl w:ilvl="1" w:tentative="1">
      <w:start w:val="1"/>
      <w:numFmt w:val="lowerLetter"/>
      <w:lvlText w:val="%2."/>
      <w:lvlJc w:val="left"/>
      <w:pPr>
        <w:ind w:left="1379" w:hanging="360"/>
      </w:pPr>
      <w:rPr>
        <w:rFonts w:cs="Times New Roman"/>
      </w:rPr>
    </w:lvl>
    <w:lvl w:ilvl="2" w:tentative="1">
      <w:start w:val="1"/>
      <w:numFmt w:val="lowerRoman"/>
      <w:lvlText w:val="%3."/>
      <w:lvlJc w:val="right"/>
      <w:pPr>
        <w:ind w:left="2099" w:hanging="180"/>
      </w:pPr>
      <w:rPr>
        <w:rFonts w:cs="Times New Roman"/>
      </w:rPr>
    </w:lvl>
    <w:lvl w:ilvl="3" w:tentative="1">
      <w:start w:val="1"/>
      <w:numFmt w:val="decimal"/>
      <w:lvlText w:val="%4."/>
      <w:lvlJc w:val="left"/>
      <w:pPr>
        <w:ind w:left="2819" w:hanging="360"/>
      </w:pPr>
      <w:rPr>
        <w:rFonts w:cs="Times New Roman"/>
      </w:rPr>
    </w:lvl>
    <w:lvl w:ilvl="4" w:tentative="1">
      <w:start w:val="1"/>
      <w:numFmt w:val="lowerLetter"/>
      <w:lvlText w:val="%5."/>
      <w:lvlJc w:val="left"/>
      <w:pPr>
        <w:ind w:left="3539" w:hanging="360"/>
      </w:pPr>
      <w:rPr>
        <w:rFonts w:cs="Times New Roman"/>
      </w:rPr>
    </w:lvl>
    <w:lvl w:ilvl="5" w:tentative="1">
      <w:start w:val="1"/>
      <w:numFmt w:val="lowerRoman"/>
      <w:lvlText w:val="%6."/>
      <w:lvlJc w:val="right"/>
      <w:pPr>
        <w:ind w:left="4259" w:hanging="180"/>
      </w:pPr>
      <w:rPr>
        <w:rFonts w:cs="Times New Roman"/>
      </w:rPr>
    </w:lvl>
    <w:lvl w:ilvl="6" w:tentative="1">
      <w:start w:val="1"/>
      <w:numFmt w:val="decimal"/>
      <w:lvlText w:val="%7."/>
      <w:lvlJc w:val="left"/>
      <w:pPr>
        <w:ind w:left="4979" w:hanging="360"/>
      </w:pPr>
      <w:rPr>
        <w:rFonts w:cs="Times New Roman"/>
      </w:rPr>
    </w:lvl>
    <w:lvl w:ilvl="7" w:tentative="1">
      <w:start w:val="1"/>
      <w:numFmt w:val="lowerLetter"/>
      <w:lvlText w:val="%8."/>
      <w:lvlJc w:val="left"/>
      <w:pPr>
        <w:ind w:left="5699" w:hanging="360"/>
      </w:pPr>
      <w:rPr>
        <w:rFonts w:cs="Times New Roman"/>
      </w:rPr>
    </w:lvl>
    <w:lvl w:ilvl="8" w:tentative="1">
      <w:start w:val="1"/>
      <w:numFmt w:val="lowerRoman"/>
      <w:lvlText w:val="%9."/>
      <w:lvlJc w:val="right"/>
      <w:pPr>
        <w:ind w:left="6419" w:hanging="180"/>
      </w:pPr>
      <w:rPr>
        <w:rFonts w:cs="Times New Roman"/>
      </w:rPr>
    </w:lvl>
  </w:abstractNum>
  <w:abstractNum w:abstractNumId="4" w15:restartNumberingAfterBreak="1">
    <w:nsid w:val="4ED868A9"/>
    <w:multiLevelType w:val="hybridMultilevel"/>
    <w:tmpl w:val="BE2650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24F7"/>
    <w:rsid w:val="000048A1"/>
    <w:rsid w:val="00013835"/>
    <w:rsid w:val="00013E66"/>
    <w:rsid w:val="0002181F"/>
    <w:rsid w:val="0003729B"/>
    <w:rsid w:val="00041440"/>
    <w:rsid w:val="000426A1"/>
    <w:rsid w:val="00042DE3"/>
    <w:rsid w:val="0005098E"/>
    <w:rsid w:val="0005304F"/>
    <w:rsid w:val="0005348C"/>
    <w:rsid w:val="0005639B"/>
    <w:rsid w:val="00056774"/>
    <w:rsid w:val="00062C17"/>
    <w:rsid w:val="00067070"/>
    <w:rsid w:val="00073F6B"/>
    <w:rsid w:val="00075680"/>
    <w:rsid w:val="000855E1"/>
    <w:rsid w:val="00086520"/>
    <w:rsid w:val="00090243"/>
    <w:rsid w:val="00091512"/>
    <w:rsid w:val="00095335"/>
    <w:rsid w:val="00096909"/>
    <w:rsid w:val="00097C8B"/>
    <w:rsid w:val="000A51C8"/>
    <w:rsid w:val="000B2517"/>
    <w:rsid w:val="000B6AEB"/>
    <w:rsid w:val="000C013B"/>
    <w:rsid w:val="000C0825"/>
    <w:rsid w:val="000C2A3E"/>
    <w:rsid w:val="000C30A5"/>
    <w:rsid w:val="000C31B4"/>
    <w:rsid w:val="000C534B"/>
    <w:rsid w:val="000D023E"/>
    <w:rsid w:val="000D0682"/>
    <w:rsid w:val="000D3415"/>
    <w:rsid w:val="000D5DB9"/>
    <w:rsid w:val="000E2952"/>
    <w:rsid w:val="000E34B4"/>
    <w:rsid w:val="000F2CED"/>
    <w:rsid w:val="000F5838"/>
    <w:rsid w:val="00107552"/>
    <w:rsid w:val="00107D5C"/>
    <w:rsid w:val="00110F4F"/>
    <w:rsid w:val="0013337C"/>
    <w:rsid w:val="00136444"/>
    <w:rsid w:val="0014147A"/>
    <w:rsid w:val="00143FB1"/>
    <w:rsid w:val="00147AA5"/>
    <w:rsid w:val="00147C0B"/>
    <w:rsid w:val="0015704A"/>
    <w:rsid w:val="001602A5"/>
    <w:rsid w:val="001613B7"/>
    <w:rsid w:val="00165115"/>
    <w:rsid w:val="001720A1"/>
    <w:rsid w:val="001728E5"/>
    <w:rsid w:val="0018050A"/>
    <w:rsid w:val="00184E04"/>
    <w:rsid w:val="0018600C"/>
    <w:rsid w:val="00196C79"/>
    <w:rsid w:val="00197A1E"/>
    <w:rsid w:val="001A02CE"/>
    <w:rsid w:val="001B0962"/>
    <w:rsid w:val="001B0D24"/>
    <w:rsid w:val="001B29EA"/>
    <w:rsid w:val="001B4D6B"/>
    <w:rsid w:val="001C0D22"/>
    <w:rsid w:val="001C1B2F"/>
    <w:rsid w:val="001D4215"/>
    <w:rsid w:val="001F1D12"/>
    <w:rsid w:val="001F4F88"/>
    <w:rsid w:val="001F7343"/>
    <w:rsid w:val="001F7FD1"/>
    <w:rsid w:val="002031EB"/>
    <w:rsid w:val="0020331C"/>
    <w:rsid w:val="00210A3F"/>
    <w:rsid w:val="00211994"/>
    <w:rsid w:val="00224740"/>
    <w:rsid w:val="0022596E"/>
    <w:rsid w:val="00225EB3"/>
    <w:rsid w:val="00227D8D"/>
    <w:rsid w:val="0023170A"/>
    <w:rsid w:val="00236240"/>
    <w:rsid w:val="00242090"/>
    <w:rsid w:val="00247327"/>
    <w:rsid w:val="002476C5"/>
    <w:rsid w:val="00251A1E"/>
    <w:rsid w:val="002560DA"/>
    <w:rsid w:val="002632A8"/>
    <w:rsid w:val="00263899"/>
    <w:rsid w:val="00267E5F"/>
    <w:rsid w:val="00270A82"/>
    <w:rsid w:val="0027398B"/>
    <w:rsid w:val="00273CD5"/>
    <w:rsid w:val="00273D67"/>
    <w:rsid w:val="002743C5"/>
    <w:rsid w:val="00281A71"/>
    <w:rsid w:val="002857BB"/>
    <w:rsid w:val="00292B1E"/>
    <w:rsid w:val="00293CC2"/>
    <w:rsid w:val="002A28EF"/>
    <w:rsid w:val="002B0A4E"/>
    <w:rsid w:val="002B349D"/>
    <w:rsid w:val="002B46D5"/>
    <w:rsid w:val="002C5FB7"/>
    <w:rsid w:val="002C76FA"/>
    <w:rsid w:val="002D4E26"/>
    <w:rsid w:val="002E5399"/>
    <w:rsid w:val="002E5614"/>
    <w:rsid w:val="00302578"/>
    <w:rsid w:val="00304DCF"/>
    <w:rsid w:val="00304EEC"/>
    <w:rsid w:val="00312B15"/>
    <w:rsid w:val="003216D5"/>
    <w:rsid w:val="00321786"/>
    <w:rsid w:val="00322DD6"/>
    <w:rsid w:val="003261ED"/>
    <w:rsid w:val="00326730"/>
    <w:rsid w:val="00330045"/>
    <w:rsid w:val="003309C0"/>
    <w:rsid w:val="00335307"/>
    <w:rsid w:val="00336594"/>
    <w:rsid w:val="00345575"/>
    <w:rsid w:val="00353E80"/>
    <w:rsid w:val="00354DDE"/>
    <w:rsid w:val="003550E0"/>
    <w:rsid w:val="00360139"/>
    <w:rsid w:val="00360902"/>
    <w:rsid w:val="00370532"/>
    <w:rsid w:val="00391E7A"/>
    <w:rsid w:val="0039397A"/>
    <w:rsid w:val="00397D4F"/>
    <w:rsid w:val="00397DED"/>
    <w:rsid w:val="003A31ED"/>
    <w:rsid w:val="003A41C0"/>
    <w:rsid w:val="003B2021"/>
    <w:rsid w:val="003B6AFE"/>
    <w:rsid w:val="003C0C91"/>
    <w:rsid w:val="003C138E"/>
    <w:rsid w:val="003C3B69"/>
    <w:rsid w:val="003C3BBF"/>
    <w:rsid w:val="003C6175"/>
    <w:rsid w:val="003D55FE"/>
    <w:rsid w:val="003D6AC7"/>
    <w:rsid w:val="003E2D40"/>
    <w:rsid w:val="003E50FF"/>
    <w:rsid w:val="003F1795"/>
    <w:rsid w:val="003F4A0B"/>
    <w:rsid w:val="003F7693"/>
    <w:rsid w:val="00401B79"/>
    <w:rsid w:val="00402371"/>
    <w:rsid w:val="0041034C"/>
    <w:rsid w:val="00410E9B"/>
    <w:rsid w:val="0041772D"/>
    <w:rsid w:val="00422494"/>
    <w:rsid w:val="00424EE1"/>
    <w:rsid w:val="0042715C"/>
    <w:rsid w:val="00431D02"/>
    <w:rsid w:val="0044426F"/>
    <w:rsid w:val="0044493F"/>
    <w:rsid w:val="00454F07"/>
    <w:rsid w:val="00461BA3"/>
    <w:rsid w:val="00462232"/>
    <w:rsid w:val="00464A9B"/>
    <w:rsid w:val="00467293"/>
    <w:rsid w:val="00470650"/>
    <w:rsid w:val="00472CC5"/>
    <w:rsid w:val="00480C7B"/>
    <w:rsid w:val="0048184D"/>
    <w:rsid w:val="00482C33"/>
    <w:rsid w:val="00482FEC"/>
    <w:rsid w:val="00484032"/>
    <w:rsid w:val="0048573C"/>
    <w:rsid w:val="00485D86"/>
    <w:rsid w:val="00491313"/>
    <w:rsid w:val="004940EF"/>
    <w:rsid w:val="00496D94"/>
    <w:rsid w:val="004A1C04"/>
    <w:rsid w:val="004A1CBA"/>
    <w:rsid w:val="004A3180"/>
    <w:rsid w:val="004A3CFF"/>
    <w:rsid w:val="004B0016"/>
    <w:rsid w:val="004B0F99"/>
    <w:rsid w:val="004B186C"/>
    <w:rsid w:val="004B4F66"/>
    <w:rsid w:val="004B5452"/>
    <w:rsid w:val="004B773E"/>
    <w:rsid w:val="004C3E6F"/>
    <w:rsid w:val="004D21A7"/>
    <w:rsid w:val="004D294C"/>
    <w:rsid w:val="004D7864"/>
    <w:rsid w:val="004D7C5C"/>
    <w:rsid w:val="004E3CF0"/>
    <w:rsid w:val="004E3DF6"/>
    <w:rsid w:val="004E4C91"/>
    <w:rsid w:val="004F3C64"/>
    <w:rsid w:val="004F653A"/>
    <w:rsid w:val="004F7CD4"/>
    <w:rsid w:val="00502847"/>
    <w:rsid w:val="00512040"/>
    <w:rsid w:val="005154A0"/>
    <w:rsid w:val="0051771D"/>
    <w:rsid w:val="00520A3F"/>
    <w:rsid w:val="00524094"/>
    <w:rsid w:val="0052533B"/>
    <w:rsid w:val="00527B96"/>
    <w:rsid w:val="005314B6"/>
    <w:rsid w:val="00531636"/>
    <w:rsid w:val="005414BC"/>
    <w:rsid w:val="00541E15"/>
    <w:rsid w:val="00542A13"/>
    <w:rsid w:val="0054384A"/>
    <w:rsid w:val="005530B4"/>
    <w:rsid w:val="0056458B"/>
    <w:rsid w:val="00566B66"/>
    <w:rsid w:val="00567C54"/>
    <w:rsid w:val="0057706B"/>
    <w:rsid w:val="0058018C"/>
    <w:rsid w:val="005834C0"/>
    <w:rsid w:val="00584214"/>
    <w:rsid w:val="00584886"/>
    <w:rsid w:val="00585760"/>
    <w:rsid w:val="00586030"/>
    <w:rsid w:val="00596299"/>
    <w:rsid w:val="005A24E8"/>
    <w:rsid w:val="005A2A0B"/>
    <w:rsid w:val="005B02BB"/>
    <w:rsid w:val="005B0B1E"/>
    <w:rsid w:val="005B7775"/>
    <w:rsid w:val="005C097B"/>
    <w:rsid w:val="005C0F20"/>
    <w:rsid w:val="005C1CC5"/>
    <w:rsid w:val="005C38B0"/>
    <w:rsid w:val="005C51D7"/>
    <w:rsid w:val="005C5E7F"/>
    <w:rsid w:val="005C6650"/>
    <w:rsid w:val="005C6FD3"/>
    <w:rsid w:val="005C7FC2"/>
    <w:rsid w:val="005D2898"/>
    <w:rsid w:val="005D4053"/>
    <w:rsid w:val="005D4756"/>
    <w:rsid w:val="005D4E0C"/>
    <w:rsid w:val="005E1213"/>
    <w:rsid w:val="005E22C2"/>
    <w:rsid w:val="005E407B"/>
    <w:rsid w:val="005E4462"/>
    <w:rsid w:val="005F157D"/>
    <w:rsid w:val="005F27DC"/>
    <w:rsid w:val="00601C18"/>
    <w:rsid w:val="0060297E"/>
    <w:rsid w:val="00604834"/>
    <w:rsid w:val="00606BCC"/>
    <w:rsid w:val="00610EAC"/>
    <w:rsid w:val="00622239"/>
    <w:rsid w:val="00632891"/>
    <w:rsid w:val="00632B57"/>
    <w:rsid w:val="006334FF"/>
    <w:rsid w:val="00644559"/>
    <w:rsid w:val="00645090"/>
    <w:rsid w:val="00651773"/>
    <w:rsid w:val="00651BB7"/>
    <w:rsid w:val="00655FAB"/>
    <w:rsid w:val="00656702"/>
    <w:rsid w:val="00656762"/>
    <w:rsid w:val="006601C2"/>
    <w:rsid w:val="006623D0"/>
    <w:rsid w:val="00667C6F"/>
    <w:rsid w:val="0067421A"/>
    <w:rsid w:val="00675C29"/>
    <w:rsid w:val="00681EA1"/>
    <w:rsid w:val="006837C1"/>
    <w:rsid w:val="00687767"/>
    <w:rsid w:val="006A017A"/>
    <w:rsid w:val="006A26D0"/>
    <w:rsid w:val="006B02CB"/>
    <w:rsid w:val="006B0752"/>
    <w:rsid w:val="006C21D4"/>
    <w:rsid w:val="006C29AF"/>
    <w:rsid w:val="006C3F34"/>
    <w:rsid w:val="006D79A4"/>
    <w:rsid w:val="006E0B92"/>
    <w:rsid w:val="006E1A8A"/>
    <w:rsid w:val="006E1C5C"/>
    <w:rsid w:val="006E45D9"/>
    <w:rsid w:val="006E4D19"/>
    <w:rsid w:val="006E5CE4"/>
    <w:rsid w:val="006E6CA4"/>
    <w:rsid w:val="006E7EF7"/>
    <w:rsid w:val="006F13E4"/>
    <w:rsid w:val="006F56FB"/>
    <w:rsid w:val="006F5E0B"/>
    <w:rsid w:val="006F6FEA"/>
    <w:rsid w:val="006F7D26"/>
    <w:rsid w:val="00700920"/>
    <w:rsid w:val="00703B1E"/>
    <w:rsid w:val="0070534C"/>
    <w:rsid w:val="00712ACF"/>
    <w:rsid w:val="007210B7"/>
    <w:rsid w:val="00742008"/>
    <w:rsid w:val="007461BC"/>
    <w:rsid w:val="00746D1A"/>
    <w:rsid w:val="007476CA"/>
    <w:rsid w:val="007500C0"/>
    <w:rsid w:val="0075085E"/>
    <w:rsid w:val="00750DCE"/>
    <w:rsid w:val="00751549"/>
    <w:rsid w:val="00756268"/>
    <w:rsid w:val="00756D89"/>
    <w:rsid w:val="007610F4"/>
    <w:rsid w:val="0076117D"/>
    <w:rsid w:val="00764ED0"/>
    <w:rsid w:val="007811A6"/>
    <w:rsid w:val="007818B1"/>
    <w:rsid w:val="0078310C"/>
    <w:rsid w:val="007849ED"/>
    <w:rsid w:val="00785DAB"/>
    <w:rsid w:val="00786935"/>
    <w:rsid w:val="00790A78"/>
    <w:rsid w:val="00792EAC"/>
    <w:rsid w:val="007945B0"/>
    <w:rsid w:val="007974F8"/>
    <w:rsid w:val="007A5833"/>
    <w:rsid w:val="007B3F31"/>
    <w:rsid w:val="007B552D"/>
    <w:rsid w:val="007C00B1"/>
    <w:rsid w:val="007C099C"/>
    <w:rsid w:val="007C4D95"/>
    <w:rsid w:val="007C72C3"/>
    <w:rsid w:val="007D094E"/>
    <w:rsid w:val="007D14B0"/>
    <w:rsid w:val="007D297B"/>
    <w:rsid w:val="007E10B6"/>
    <w:rsid w:val="007F2336"/>
    <w:rsid w:val="007F73BB"/>
    <w:rsid w:val="008014AD"/>
    <w:rsid w:val="008026C2"/>
    <w:rsid w:val="00802DF1"/>
    <w:rsid w:val="00803837"/>
    <w:rsid w:val="008052BF"/>
    <w:rsid w:val="00813125"/>
    <w:rsid w:val="00815F1F"/>
    <w:rsid w:val="008201C9"/>
    <w:rsid w:val="00820D28"/>
    <w:rsid w:val="008305EE"/>
    <w:rsid w:val="0083118F"/>
    <w:rsid w:val="00831704"/>
    <w:rsid w:val="00831F32"/>
    <w:rsid w:val="008349E5"/>
    <w:rsid w:val="00834BD2"/>
    <w:rsid w:val="00836410"/>
    <w:rsid w:val="00853451"/>
    <w:rsid w:val="00855EE8"/>
    <w:rsid w:val="0085612B"/>
    <w:rsid w:val="00857F51"/>
    <w:rsid w:val="00861145"/>
    <w:rsid w:val="008631B6"/>
    <w:rsid w:val="008644BB"/>
    <w:rsid w:val="008653FE"/>
    <w:rsid w:val="00872CA2"/>
    <w:rsid w:val="0087344F"/>
    <w:rsid w:val="00876804"/>
    <w:rsid w:val="00877B2E"/>
    <w:rsid w:val="00877E31"/>
    <w:rsid w:val="00885B61"/>
    <w:rsid w:val="008870D3"/>
    <w:rsid w:val="00895F6F"/>
    <w:rsid w:val="008A06BF"/>
    <w:rsid w:val="008A5A9F"/>
    <w:rsid w:val="008B1B2A"/>
    <w:rsid w:val="008B2DD6"/>
    <w:rsid w:val="008B343C"/>
    <w:rsid w:val="008B56DF"/>
    <w:rsid w:val="008C1A0F"/>
    <w:rsid w:val="008D7D05"/>
    <w:rsid w:val="008E32DB"/>
    <w:rsid w:val="008E5221"/>
    <w:rsid w:val="008F4720"/>
    <w:rsid w:val="008F60CC"/>
    <w:rsid w:val="00902465"/>
    <w:rsid w:val="00905CF9"/>
    <w:rsid w:val="00907431"/>
    <w:rsid w:val="009107B8"/>
    <w:rsid w:val="00911B95"/>
    <w:rsid w:val="0093218D"/>
    <w:rsid w:val="00934585"/>
    <w:rsid w:val="00936323"/>
    <w:rsid w:val="00937CAF"/>
    <w:rsid w:val="00941C42"/>
    <w:rsid w:val="00943D7A"/>
    <w:rsid w:val="009526E2"/>
    <w:rsid w:val="00954B8A"/>
    <w:rsid w:val="00957568"/>
    <w:rsid w:val="00961551"/>
    <w:rsid w:val="00962313"/>
    <w:rsid w:val="00963183"/>
    <w:rsid w:val="00965C9F"/>
    <w:rsid w:val="00971127"/>
    <w:rsid w:val="00972D81"/>
    <w:rsid w:val="0097725D"/>
    <w:rsid w:val="00980923"/>
    <w:rsid w:val="00986370"/>
    <w:rsid w:val="0099121C"/>
    <w:rsid w:val="00996F17"/>
    <w:rsid w:val="009A1081"/>
    <w:rsid w:val="009A11D6"/>
    <w:rsid w:val="009A6A04"/>
    <w:rsid w:val="009A7B96"/>
    <w:rsid w:val="009B78C0"/>
    <w:rsid w:val="009C1FE5"/>
    <w:rsid w:val="009C391D"/>
    <w:rsid w:val="009C3E0A"/>
    <w:rsid w:val="009D0942"/>
    <w:rsid w:val="009D7210"/>
    <w:rsid w:val="009D7A4C"/>
    <w:rsid w:val="009E3331"/>
    <w:rsid w:val="009E426A"/>
    <w:rsid w:val="009E57A3"/>
    <w:rsid w:val="009F52F4"/>
    <w:rsid w:val="009F563D"/>
    <w:rsid w:val="00A06016"/>
    <w:rsid w:val="00A060FE"/>
    <w:rsid w:val="00A06BAC"/>
    <w:rsid w:val="00A11A4C"/>
    <w:rsid w:val="00A11B70"/>
    <w:rsid w:val="00A1229F"/>
    <w:rsid w:val="00A138BB"/>
    <w:rsid w:val="00A20029"/>
    <w:rsid w:val="00A22592"/>
    <w:rsid w:val="00A27429"/>
    <w:rsid w:val="00A27B2C"/>
    <w:rsid w:val="00A300E9"/>
    <w:rsid w:val="00A32A23"/>
    <w:rsid w:val="00A416FD"/>
    <w:rsid w:val="00A43B85"/>
    <w:rsid w:val="00A443FC"/>
    <w:rsid w:val="00A533BC"/>
    <w:rsid w:val="00A57415"/>
    <w:rsid w:val="00A65FE5"/>
    <w:rsid w:val="00A7019D"/>
    <w:rsid w:val="00A74A65"/>
    <w:rsid w:val="00A80C4A"/>
    <w:rsid w:val="00A81F7A"/>
    <w:rsid w:val="00A8506F"/>
    <w:rsid w:val="00A90706"/>
    <w:rsid w:val="00A925B7"/>
    <w:rsid w:val="00A94DC4"/>
    <w:rsid w:val="00AA2AEA"/>
    <w:rsid w:val="00AA2E12"/>
    <w:rsid w:val="00AA4D48"/>
    <w:rsid w:val="00AA6E98"/>
    <w:rsid w:val="00AB23DE"/>
    <w:rsid w:val="00AB2EF5"/>
    <w:rsid w:val="00AB3FAB"/>
    <w:rsid w:val="00AB767C"/>
    <w:rsid w:val="00AC0ED5"/>
    <w:rsid w:val="00AC1384"/>
    <w:rsid w:val="00AC2B12"/>
    <w:rsid w:val="00AD37DB"/>
    <w:rsid w:val="00AD3E2C"/>
    <w:rsid w:val="00AD7D90"/>
    <w:rsid w:val="00AE0D56"/>
    <w:rsid w:val="00AF073B"/>
    <w:rsid w:val="00AF27DD"/>
    <w:rsid w:val="00AF60B4"/>
    <w:rsid w:val="00B073BF"/>
    <w:rsid w:val="00B101CF"/>
    <w:rsid w:val="00B20CF6"/>
    <w:rsid w:val="00B31B99"/>
    <w:rsid w:val="00B3268C"/>
    <w:rsid w:val="00B37D4A"/>
    <w:rsid w:val="00B44990"/>
    <w:rsid w:val="00B474EF"/>
    <w:rsid w:val="00B509EE"/>
    <w:rsid w:val="00B546BE"/>
    <w:rsid w:val="00B55953"/>
    <w:rsid w:val="00B652F8"/>
    <w:rsid w:val="00B65DA1"/>
    <w:rsid w:val="00B70773"/>
    <w:rsid w:val="00B70A63"/>
    <w:rsid w:val="00B71752"/>
    <w:rsid w:val="00B72094"/>
    <w:rsid w:val="00B73776"/>
    <w:rsid w:val="00B76BF2"/>
    <w:rsid w:val="00B77105"/>
    <w:rsid w:val="00B84474"/>
    <w:rsid w:val="00B90D56"/>
    <w:rsid w:val="00B939B6"/>
    <w:rsid w:val="00B94D0D"/>
    <w:rsid w:val="00BB05DE"/>
    <w:rsid w:val="00BB53BC"/>
    <w:rsid w:val="00BD0012"/>
    <w:rsid w:val="00BD09C6"/>
    <w:rsid w:val="00BD177B"/>
    <w:rsid w:val="00BD2FA9"/>
    <w:rsid w:val="00BE1BAC"/>
    <w:rsid w:val="00BF19BD"/>
    <w:rsid w:val="00BF5FF3"/>
    <w:rsid w:val="00C007A4"/>
    <w:rsid w:val="00C116E6"/>
    <w:rsid w:val="00C15595"/>
    <w:rsid w:val="00C16040"/>
    <w:rsid w:val="00C17760"/>
    <w:rsid w:val="00C1790E"/>
    <w:rsid w:val="00C22A99"/>
    <w:rsid w:val="00C24CD1"/>
    <w:rsid w:val="00C32E9C"/>
    <w:rsid w:val="00C44467"/>
    <w:rsid w:val="00C46032"/>
    <w:rsid w:val="00C50209"/>
    <w:rsid w:val="00C50CE8"/>
    <w:rsid w:val="00C51FE5"/>
    <w:rsid w:val="00C60284"/>
    <w:rsid w:val="00C608D8"/>
    <w:rsid w:val="00C62DE1"/>
    <w:rsid w:val="00C63022"/>
    <w:rsid w:val="00C63558"/>
    <w:rsid w:val="00C63BEF"/>
    <w:rsid w:val="00C708AB"/>
    <w:rsid w:val="00C74397"/>
    <w:rsid w:val="00C82E67"/>
    <w:rsid w:val="00C856F8"/>
    <w:rsid w:val="00C87FE5"/>
    <w:rsid w:val="00C932EE"/>
    <w:rsid w:val="00C949A1"/>
    <w:rsid w:val="00CA4B70"/>
    <w:rsid w:val="00CB6DB2"/>
    <w:rsid w:val="00CB7038"/>
    <w:rsid w:val="00CC5E2E"/>
    <w:rsid w:val="00CC77A5"/>
    <w:rsid w:val="00CD1070"/>
    <w:rsid w:val="00CD14DE"/>
    <w:rsid w:val="00CD1C07"/>
    <w:rsid w:val="00CE34DA"/>
    <w:rsid w:val="00CF00DB"/>
    <w:rsid w:val="00CF0338"/>
    <w:rsid w:val="00CF0695"/>
    <w:rsid w:val="00CF06CC"/>
    <w:rsid w:val="00CF3716"/>
    <w:rsid w:val="00D062F4"/>
    <w:rsid w:val="00D10F9E"/>
    <w:rsid w:val="00D12648"/>
    <w:rsid w:val="00D15CBE"/>
    <w:rsid w:val="00D16EB6"/>
    <w:rsid w:val="00D24E45"/>
    <w:rsid w:val="00D3126E"/>
    <w:rsid w:val="00D320F0"/>
    <w:rsid w:val="00D3409D"/>
    <w:rsid w:val="00D3436F"/>
    <w:rsid w:val="00D3738C"/>
    <w:rsid w:val="00D44F7F"/>
    <w:rsid w:val="00D47B61"/>
    <w:rsid w:val="00D518D4"/>
    <w:rsid w:val="00D56CF1"/>
    <w:rsid w:val="00D607E4"/>
    <w:rsid w:val="00D63252"/>
    <w:rsid w:val="00D648E5"/>
    <w:rsid w:val="00D678AF"/>
    <w:rsid w:val="00D740AE"/>
    <w:rsid w:val="00D86022"/>
    <w:rsid w:val="00D866F8"/>
    <w:rsid w:val="00D90192"/>
    <w:rsid w:val="00D92D02"/>
    <w:rsid w:val="00D96F27"/>
    <w:rsid w:val="00DA0425"/>
    <w:rsid w:val="00DA7326"/>
    <w:rsid w:val="00DB0B28"/>
    <w:rsid w:val="00DC25AE"/>
    <w:rsid w:val="00DD3CDC"/>
    <w:rsid w:val="00DE0143"/>
    <w:rsid w:val="00DE1B27"/>
    <w:rsid w:val="00DF0865"/>
    <w:rsid w:val="00DF256D"/>
    <w:rsid w:val="00DF50EE"/>
    <w:rsid w:val="00DF67B5"/>
    <w:rsid w:val="00E02213"/>
    <w:rsid w:val="00E02FE9"/>
    <w:rsid w:val="00E209B6"/>
    <w:rsid w:val="00E24751"/>
    <w:rsid w:val="00E25137"/>
    <w:rsid w:val="00E27F27"/>
    <w:rsid w:val="00E351DD"/>
    <w:rsid w:val="00E35CE2"/>
    <w:rsid w:val="00E51B51"/>
    <w:rsid w:val="00E57913"/>
    <w:rsid w:val="00E57A6D"/>
    <w:rsid w:val="00E6313D"/>
    <w:rsid w:val="00E644CB"/>
    <w:rsid w:val="00E712E0"/>
    <w:rsid w:val="00E74491"/>
    <w:rsid w:val="00E77F65"/>
    <w:rsid w:val="00E84830"/>
    <w:rsid w:val="00E9042F"/>
    <w:rsid w:val="00E940AF"/>
    <w:rsid w:val="00EA177E"/>
    <w:rsid w:val="00EA5C39"/>
    <w:rsid w:val="00EA6309"/>
    <w:rsid w:val="00EA6E1C"/>
    <w:rsid w:val="00EA7C02"/>
    <w:rsid w:val="00EB2811"/>
    <w:rsid w:val="00EB6DF1"/>
    <w:rsid w:val="00EC1D45"/>
    <w:rsid w:val="00ED79A6"/>
    <w:rsid w:val="00EE1B80"/>
    <w:rsid w:val="00EE2228"/>
    <w:rsid w:val="00EE631D"/>
    <w:rsid w:val="00EF270A"/>
    <w:rsid w:val="00EF2FFF"/>
    <w:rsid w:val="00EF4B99"/>
    <w:rsid w:val="00EF7E12"/>
    <w:rsid w:val="00F00AF4"/>
    <w:rsid w:val="00F01A43"/>
    <w:rsid w:val="00F02B63"/>
    <w:rsid w:val="00F0560F"/>
    <w:rsid w:val="00F07B1A"/>
    <w:rsid w:val="00F12176"/>
    <w:rsid w:val="00F14CAC"/>
    <w:rsid w:val="00F26D3D"/>
    <w:rsid w:val="00F34EBF"/>
    <w:rsid w:val="00F3564E"/>
    <w:rsid w:val="00F3699E"/>
    <w:rsid w:val="00F44C48"/>
    <w:rsid w:val="00F450E7"/>
    <w:rsid w:val="00F47978"/>
    <w:rsid w:val="00F54188"/>
    <w:rsid w:val="00F635C5"/>
    <w:rsid w:val="00F656F5"/>
    <w:rsid w:val="00F67EBD"/>
    <w:rsid w:val="00F7098F"/>
    <w:rsid w:val="00F75137"/>
    <w:rsid w:val="00F75198"/>
    <w:rsid w:val="00F80EBE"/>
    <w:rsid w:val="00F81111"/>
    <w:rsid w:val="00F87A5F"/>
    <w:rsid w:val="00F90931"/>
    <w:rsid w:val="00F939F2"/>
    <w:rsid w:val="00F940BE"/>
    <w:rsid w:val="00F957DA"/>
    <w:rsid w:val="00FA2596"/>
    <w:rsid w:val="00FA422D"/>
    <w:rsid w:val="00FA6087"/>
    <w:rsid w:val="00FB2550"/>
    <w:rsid w:val="00FB4A2F"/>
    <w:rsid w:val="00FB7732"/>
    <w:rsid w:val="00FB7A57"/>
    <w:rsid w:val="00FC0924"/>
    <w:rsid w:val="00FC2A20"/>
    <w:rsid w:val="00FC31E8"/>
    <w:rsid w:val="00FC4B0C"/>
    <w:rsid w:val="00FD55BD"/>
    <w:rsid w:val="00FE1D16"/>
    <w:rsid w:val="00FE2598"/>
    <w:rsid w:val="00FE363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8BBBE045-EDD6-46B0-BC99-1846B86D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C0B"/>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73E"/>
    <w:rPr>
      <w:rFonts w:ascii="Times New Roman" w:hAnsi="Times New Roman"/>
      <w:sz w:val="24"/>
      <w:lang w:eastAsia="en-US"/>
    </w:rPr>
  </w:style>
  <w:style w:type="paragraph" w:customStyle="1" w:styleId="naislab">
    <w:name w:val="naislab"/>
    <w:basedOn w:val="Normal"/>
    <w:uiPriority w:val="99"/>
    <w:rsid w:val="00AF27DD"/>
    <w:pPr>
      <w:spacing w:before="100" w:beforeAutospacing="1" w:after="100" w:afterAutospacing="1"/>
    </w:pPr>
  </w:style>
  <w:style w:type="paragraph" w:customStyle="1" w:styleId="naisc">
    <w:name w:val="naisc"/>
    <w:basedOn w:val="Normal"/>
    <w:uiPriority w:val="99"/>
    <w:rsid w:val="00AF27DD"/>
    <w:pPr>
      <w:spacing w:before="100" w:beforeAutospacing="1" w:after="100" w:afterAutospacing="1"/>
    </w:pPr>
  </w:style>
  <w:style w:type="paragraph" w:customStyle="1" w:styleId="naisnod">
    <w:name w:val="naisnod"/>
    <w:basedOn w:val="Normal"/>
    <w:uiPriority w:val="99"/>
    <w:rsid w:val="00AF27DD"/>
    <w:pPr>
      <w:spacing w:before="100" w:beforeAutospacing="1" w:after="100" w:afterAutospacing="1"/>
    </w:pPr>
  </w:style>
  <w:style w:type="paragraph" w:customStyle="1" w:styleId="naisf">
    <w:name w:val="naisf"/>
    <w:basedOn w:val="Normal"/>
    <w:uiPriority w:val="99"/>
    <w:rsid w:val="00AF27DD"/>
    <w:pPr>
      <w:spacing w:before="100" w:beforeAutospacing="1" w:after="100" w:afterAutospacing="1"/>
    </w:pPr>
  </w:style>
  <w:style w:type="paragraph" w:customStyle="1" w:styleId="naiskr">
    <w:name w:val="naiskr"/>
    <w:basedOn w:val="Normal"/>
    <w:uiPriority w:val="99"/>
    <w:rsid w:val="00AF27DD"/>
    <w:pPr>
      <w:spacing w:before="100" w:beforeAutospacing="1" w:after="100" w:afterAutospacing="1"/>
    </w:pPr>
  </w:style>
  <w:style w:type="paragraph" w:styleId="Footer">
    <w:name w:val="footer"/>
    <w:basedOn w:val="Normal"/>
    <w:link w:val="FooterChar"/>
    <w:uiPriority w:val="99"/>
    <w:rsid w:val="004B5452"/>
    <w:pPr>
      <w:tabs>
        <w:tab w:val="center" w:pos="4153"/>
        <w:tab w:val="right" w:pos="8306"/>
      </w:tabs>
    </w:pPr>
  </w:style>
  <w:style w:type="character" w:customStyle="1" w:styleId="FooterChar">
    <w:name w:val="Footer Char"/>
    <w:basedOn w:val="DefaultParagraphFont"/>
    <w:link w:val="Footer"/>
    <w:uiPriority w:val="99"/>
    <w:locked/>
    <w:rsid w:val="004B5452"/>
    <w:rPr>
      <w:rFonts w:ascii="Times New Roman" w:hAnsi="Times New Roman"/>
      <w:sz w:val="24"/>
    </w:rPr>
  </w:style>
  <w:style w:type="paragraph" w:styleId="BodyTextIndent">
    <w:name w:val="Body Text Indent"/>
    <w:basedOn w:val="Normal"/>
    <w:link w:val="BodyTextIndentChar"/>
    <w:uiPriority w:val="99"/>
    <w:rsid w:val="00464A9B"/>
    <w:pPr>
      <w:spacing w:after="120"/>
      <w:ind w:left="283"/>
    </w:pPr>
  </w:style>
  <w:style w:type="character" w:customStyle="1" w:styleId="BodyTextIndentChar">
    <w:name w:val="Body Text Indent Char"/>
    <w:basedOn w:val="DefaultParagraphFont"/>
    <w:link w:val="BodyTextIndent"/>
    <w:uiPriority w:val="99"/>
    <w:locked/>
    <w:rsid w:val="00464A9B"/>
    <w:rPr>
      <w:rFonts w:ascii="Times New Roman" w:hAnsi="Times New Roman"/>
      <w:sz w:val="24"/>
    </w:rPr>
  </w:style>
  <w:style w:type="paragraph" w:styleId="Header">
    <w:name w:val="header"/>
    <w:basedOn w:val="Normal"/>
    <w:link w:val="HeaderChar"/>
    <w:uiPriority w:val="99"/>
    <w:rsid w:val="00F450E7"/>
    <w:pPr>
      <w:tabs>
        <w:tab w:val="center" w:pos="4153"/>
        <w:tab w:val="right" w:pos="8306"/>
      </w:tabs>
    </w:pPr>
  </w:style>
  <w:style w:type="character" w:customStyle="1" w:styleId="HeaderChar">
    <w:name w:val="Header Char"/>
    <w:basedOn w:val="DefaultParagraphFont"/>
    <w:link w:val="Header"/>
    <w:uiPriority w:val="99"/>
    <w:locked/>
    <w:rsid w:val="00F450E7"/>
    <w:rPr>
      <w:rFonts w:ascii="Times New Roman" w:hAnsi="Times New Roman"/>
      <w:sz w:val="24"/>
      <w:lang w:eastAsia="lv-LV"/>
    </w:rPr>
  </w:style>
  <w:style w:type="paragraph" w:styleId="BalloonText">
    <w:name w:val="Balloon Text"/>
    <w:basedOn w:val="Normal"/>
    <w:link w:val="BalloonTextChar"/>
    <w:uiPriority w:val="99"/>
    <w:semiHidden/>
    <w:rsid w:val="00F450E7"/>
    <w:rPr>
      <w:rFonts w:ascii="Tahoma" w:hAnsi="Tahoma"/>
      <w:sz w:val="16"/>
      <w:szCs w:val="16"/>
    </w:rPr>
  </w:style>
  <w:style w:type="character" w:customStyle="1" w:styleId="BalloonTextChar">
    <w:name w:val="Balloon Text Char"/>
    <w:basedOn w:val="DefaultParagraphFont"/>
    <w:link w:val="BalloonText"/>
    <w:uiPriority w:val="99"/>
    <w:semiHidden/>
    <w:locked/>
    <w:rsid w:val="00F450E7"/>
    <w:rPr>
      <w:rFonts w:ascii="Tahoma" w:hAnsi="Tahoma"/>
      <w:sz w:val="16"/>
      <w:lang w:eastAsia="lv-LV"/>
    </w:rPr>
  </w:style>
  <w:style w:type="paragraph" w:styleId="BodyText">
    <w:name w:val="Body Text"/>
    <w:basedOn w:val="Normal"/>
    <w:link w:val="BodyTextChar"/>
    <w:uiPriority w:val="99"/>
    <w:rsid w:val="00F957DA"/>
    <w:pPr>
      <w:spacing w:after="120"/>
    </w:pPr>
  </w:style>
  <w:style w:type="character" w:customStyle="1" w:styleId="BodyTextChar">
    <w:name w:val="Body Text Char"/>
    <w:basedOn w:val="DefaultParagraphFont"/>
    <w:link w:val="BodyText"/>
    <w:uiPriority w:val="99"/>
    <w:locked/>
    <w:rsid w:val="00F957DA"/>
    <w:rPr>
      <w:rFonts w:ascii="Times New Roman" w:hAnsi="Times New Roman"/>
      <w:sz w:val="24"/>
      <w:lang w:eastAsia="lv-LV"/>
    </w:rPr>
  </w:style>
  <w:style w:type="paragraph" w:customStyle="1" w:styleId="StyleRight">
    <w:name w:val="Style Right"/>
    <w:basedOn w:val="Normal"/>
    <w:uiPriority w:val="99"/>
    <w:rsid w:val="00F957DA"/>
    <w:pPr>
      <w:spacing w:after="120"/>
      <w:ind w:firstLine="720"/>
      <w:jc w:val="right"/>
    </w:pPr>
    <w:rPr>
      <w:sz w:val="28"/>
      <w:szCs w:val="28"/>
      <w:lang w:eastAsia="en-US"/>
    </w:rPr>
  </w:style>
  <w:style w:type="character" w:styleId="Hyperlink">
    <w:name w:val="Hyperlink"/>
    <w:basedOn w:val="DefaultParagraphFont"/>
    <w:uiPriority w:val="99"/>
    <w:rsid w:val="00F957DA"/>
    <w:rPr>
      <w:rFonts w:cs="Times New Roman"/>
      <w:color w:val="0000FF"/>
      <w:u w:val="single"/>
    </w:rPr>
  </w:style>
  <w:style w:type="paragraph" w:styleId="ListParagraph">
    <w:name w:val="List Paragraph"/>
    <w:basedOn w:val="Normal"/>
    <w:uiPriority w:val="99"/>
    <w:qFormat/>
    <w:rsid w:val="00EB2811"/>
    <w:pPr>
      <w:ind w:left="720"/>
      <w:contextualSpacing/>
    </w:pPr>
  </w:style>
  <w:style w:type="paragraph" w:customStyle="1" w:styleId="CharCharRakstzCharChar1RakstzCharChar1">
    <w:name w:val="Char Char Rakstz. Char Char1 Rakstz. Char Char1"/>
    <w:basedOn w:val="Normal"/>
    <w:next w:val="BlockText"/>
    <w:uiPriority w:val="99"/>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99"/>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F2CED"/>
    <w:rPr>
      <w:rFonts w:cs="Times New Roman"/>
      <w:sz w:val="16"/>
    </w:rPr>
  </w:style>
  <w:style w:type="paragraph" w:styleId="CommentText">
    <w:name w:val="annotation text"/>
    <w:basedOn w:val="Normal"/>
    <w:link w:val="CommentTextChar"/>
    <w:uiPriority w:val="99"/>
    <w:semiHidden/>
    <w:rsid w:val="000F2CED"/>
    <w:rPr>
      <w:sz w:val="20"/>
      <w:szCs w:val="20"/>
    </w:rPr>
  </w:style>
  <w:style w:type="character" w:customStyle="1" w:styleId="CommentTextChar">
    <w:name w:val="Comment Text Char"/>
    <w:basedOn w:val="DefaultParagraphFont"/>
    <w:link w:val="CommentText"/>
    <w:uiPriority w:val="99"/>
    <w:semiHidden/>
    <w:locked/>
    <w:rsid w:val="000F2CED"/>
    <w:rPr>
      <w:rFonts w:ascii="Times New Roman" w:hAnsi="Times New Roman"/>
    </w:rPr>
  </w:style>
  <w:style w:type="paragraph" w:styleId="CommentSubject">
    <w:name w:val="annotation subject"/>
    <w:basedOn w:val="CommentText"/>
    <w:next w:val="CommentText"/>
    <w:link w:val="CommentSubjectChar"/>
    <w:uiPriority w:val="99"/>
    <w:semiHidden/>
    <w:rsid w:val="000F2CED"/>
    <w:rPr>
      <w:b/>
      <w:bCs/>
    </w:rPr>
  </w:style>
  <w:style w:type="character" w:customStyle="1" w:styleId="CommentSubjectChar">
    <w:name w:val="Comment Subject Char"/>
    <w:basedOn w:val="CommentTextChar"/>
    <w:link w:val="CommentSubject"/>
    <w:uiPriority w:val="99"/>
    <w:semiHidden/>
    <w:locked/>
    <w:rsid w:val="000F2CED"/>
    <w:rPr>
      <w:rFonts w:ascii="Times New Roman" w:hAnsi="Times New Roman"/>
      <w:b/>
    </w:rPr>
  </w:style>
  <w:style w:type="paragraph" w:styleId="BodyText2">
    <w:name w:val="Body Text 2"/>
    <w:basedOn w:val="Normal"/>
    <w:link w:val="BodyText2Char"/>
    <w:uiPriority w:val="99"/>
    <w:semiHidden/>
    <w:rsid w:val="00C22A99"/>
    <w:pPr>
      <w:spacing w:after="120" w:line="480" w:lineRule="auto"/>
    </w:pPr>
  </w:style>
  <w:style w:type="character" w:customStyle="1" w:styleId="BodyText2Char">
    <w:name w:val="Body Text 2 Char"/>
    <w:basedOn w:val="DefaultParagraphFont"/>
    <w:link w:val="BodyText2"/>
    <w:uiPriority w:val="99"/>
    <w:semiHidden/>
    <w:locked/>
    <w:rsid w:val="00C22A99"/>
    <w:rPr>
      <w:rFonts w:ascii="Times New Roman" w:hAnsi="Times New Roman"/>
      <w:sz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locked/>
    <w:rsid w:val="00EB6DF1"/>
    <w:rPr>
      <w:rFonts w:ascii="Times New Roman" w:hAnsi="Times New Roman"/>
      <w:lang w:eastAsia="en-US"/>
    </w:rPr>
  </w:style>
  <w:style w:type="paragraph" w:styleId="NormalWeb">
    <w:name w:val="Normal (Web)"/>
    <w:basedOn w:val="Normal"/>
    <w:uiPriority w:val="99"/>
    <w:rsid w:val="00EB6DF1"/>
    <w:pPr>
      <w:spacing w:before="100" w:beforeAutospacing="1" w:after="100" w:afterAutospacing="1"/>
    </w:pPr>
    <w:rPr>
      <w:rFonts w:ascii="Verdana" w:hAnsi="Verdana"/>
      <w:sz w:val="18"/>
      <w:szCs w:val="18"/>
      <w:lang w:val="en-US" w:eastAsia="en-US"/>
    </w:rPr>
  </w:style>
  <w:style w:type="paragraph" w:customStyle="1" w:styleId="Default">
    <w:name w:val="Default"/>
    <w:uiPriority w:val="99"/>
    <w:rsid w:val="006A26D0"/>
    <w:pPr>
      <w:autoSpaceDE w:val="0"/>
      <w:autoSpaceDN w:val="0"/>
      <w:adjustRightInd w:val="0"/>
    </w:pPr>
    <w:rPr>
      <w:rFonts w:ascii="Times New Roman" w:hAnsi="Times New Roman" w:cs="Times New Roman"/>
      <w:color w:val="000000"/>
      <w:sz w:val="24"/>
      <w:szCs w:val="24"/>
    </w:rPr>
  </w:style>
  <w:style w:type="character" w:customStyle="1" w:styleId="CharChar">
    <w:name w:val="Char Char"/>
    <w:uiPriority w:val="99"/>
    <w:semiHidden/>
    <w:rsid w:val="005E22C2"/>
    <w:rPr>
      <w:rFonts w:ascii="Times New Roman" w:eastAsia="Times New Roman" w:hAnsi="Times New Roman"/>
      <w:lang w:eastAsia="en-US"/>
    </w:rPr>
  </w:style>
  <w:style w:type="character" w:styleId="FootnoteReference">
    <w:name w:val="footnote reference"/>
    <w:basedOn w:val="DefaultParagraphFont"/>
    <w:uiPriority w:val="99"/>
    <w:rsid w:val="005E22C2"/>
    <w:rPr>
      <w:vertAlign w:val="superscript"/>
    </w:rPr>
  </w:style>
  <w:style w:type="character" w:styleId="Strong">
    <w:name w:val="Strong"/>
    <w:uiPriority w:val="22"/>
    <w:qFormat/>
    <w:locked/>
    <w:rsid w:val="00B7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07A6-F9F0-4BFF-BEB5-D3BC30ED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5</Pages>
  <Words>8022</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Manager>Agrita Kiopa</Manager>
  <Company>Izglītības un zinātnes ministrija</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projekts</dc:subject>
  <dc:creator>Linda Upīte</dc:creator>
  <cp:lastModifiedBy>Linda Upīte</cp:lastModifiedBy>
  <cp:revision>38</cp:revision>
  <cp:lastPrinted>2014-02-10T08:33:00Z</cp:lastPrinted>
  <dcterms:created xsi:type="dcterms:W3CDTF">2017-01-26T11:32:00Z</dcterms:created>
  <dcterms:modified xsi:type="dcterms:W3CDTF">2018-02-07T14:28:00Z</dcterms:modified>
</cp:coreProperties>
</file>