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0.tif" ContentType="image/tiff"/>
  <Override PartName="/word/media/image8.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6491C" w:rsidRPr="002D2950" w:rsidP="00D91927" w14:paraId="49646B85" w14:textId="77777777">
      <w:pPr>
        <w:pStyle w:val="Title"/>
        <w:pBdr>
          <w:bottom w:val="none" w:sz="0" w:space="0" w:color="auto"/>
        </w:pBdr>
        <w:jc w:val="center"/>
        <w:rPr>
          <w:rFonts w:ascii="Times New Roman" w:hAnsi="Times New Roman" w:cs="Times New Roman"/>
          <w:b/>
          <w:color w:val="auto"/>
          <w:sz w:val="28"/>
          <w:szCs w:val="28"/>
        </w:rPr>
      </w:pPr>
      <w:bookmarkStart w:id="0" w:name="_Toc337815795"/>
      <w:bookmarkStart w:id="1" w:name="_Toc337816050"/>
      <w:bookmarkStart w:id="2" w:name="_Toc337816870"/>
      <w:bookmarkStart w:id="3" w:name="_Toc337817826"/>
      <w:bookmarkStart w:id="4" w:name="_Toc490660992"/>
      <w:bookmarkEnd w:id="0"/>
      <w:bookmarkEnd w:id="1"/>
      <w:bookmarkEnd w:id="2"/>
      <w:bookmarkEnd w:id="3"/>
    </w:p>
    <w:p w:rsidR="0036491C" w:rsidRPr="002D2950" w:rsidP="00D91927" w14:paraId="2C7DACA0"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6C5451C3"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79D1854C"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75F39E2E"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1E08485E"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3ECD0927"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5AE4F030"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1BDF452B"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5F6D5364"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00251C31"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2AB736C1"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51BC515F"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408A87C6" w14:textId="77777777">
      <w:pPr>
        <w:pStyle w:val="Title"/>
        <w:pBdr>
          <w:bottom w:val="none" w:sz="0" w:space="0" w:color="auto"/>
        </w:pBdr>
        <w:jc w:val="center"/>
        <w:rPr>
          <w:rFonts w:ascii="Times New Roman" w:hAnsi="Times New Roman" w:cs="Times New Roman"/>
          <w:b/>
          <w:color w:val="auto"/>
          <w:sz w:val="28"/>
          <w:szCs w:val="28"/>
        </w:rPr>
      </w:pPr>
    </w:p>
    <w:p w:rsidR="0036491C" w:rsidRPr="002D2950" w:rsidP="00D91927" w14:paraId="1D877DBD" w14:textId="77777777">
      <w:pPr>
        <w:pStyle w:val="Title"/>
        <w:pBdr>
          <w:bottom w:val="none" w:sz="0" w:space="0" w:color="auto"/>
        </w:pBdr>
        <w:jc w:val="center"/>
        <w:rPr>
          <w:rFonts w:ascii="Times New Roman" w:hAnsi="Times New Roman" w:cs="Times New Roman"/>
          <w:b/>
          <w:color w:val="auto"/>
          <w:sz w:val="32"/>
          <w:szCs w:val="32"/>
        </w:rPr>
      </w:pPr>
    </w:p>
    <w:p w:rsidR="00D91927" w:rsidRPr="002D2950" w:rsidP="00D91927" w14:paraId="59527AC5" w14:textId="77777777">
      <w:pPr>
        <w:pStyle w:val="Title"/>
        <w:pBdr>
          <w:bottom w:val="none" w:sz="0" w:space="0" w:color="auto"/>
        </w:pBdr>
        <w:jc w:val="center"/>
        <w:rPr>
          <w:rFonts w:ascii="Times New Roman" w:hAnsi="Times New Roman" w:cs="Times New Roman"/>
          <w:b/>
          <w:color w:val="auto"/>
          <w:sz w:val="32"/>
          <w:szCs w:val="32"/>
        </w:rPr>
      </w:pPr>
      <w:r w:rsidRPr="002D2950">
        <w:rPr>
          <w:rFonts w:ascii="Times New Roman" w:hAnsi="Times New Roman" w:cs="Times New Roman"/>
          <w:b/>
          <w:color w:val="auto"/>
          <w:sz w:val="32"/>
          <w:szCs w:val="32"/>
        </w:rPr>
        <w:t>Informatīvais ziņojums</w:t>
      </w:r>
    </w:p>
    <w:p w:rsidR="00D91927" w:rsidRPr="002D2950" w:rsidP="00D91927" w14:paraId="4C3CBDEB" w14:textId="79F16631">
      <w:pPr>
        <w:pStyle w:val="Title"/>
        <w:pBdr>
          <w:bottom w:val="none" w:sz="0" w:space="0" w:color="auto"/>
        </w:pBdr>
        <w:jc w:val="center"/>
        <w:rPr>
          <w:rFonts w:ascii="Times New Roman" w:hAnsi="Times New Roman" w:cs="Times New Roman"/>
          <w:b/>
          <w:color w:val="auto"/>
          <w:sz w:val="32"/>
          <w:szCs w:val="32"/>
        </w:rPr>
      </w:pPr>
      <w:r w:rsidRPr="002D2950">
        <w:rPr>
          <w:rFonts w:ascii="Times New Roman" w:hAnsi="Times New Roman" w:cs="Times New Roman"/>
          <w:b/>
          <w:color w:val="auto"/>
          <w:sz w:val="32"/>
          <w:szCs w:val="32"/>
        </w:rPr>
        <w:t>“</w:t>
      </w:r>
      <w:r w:rsidRPr="002D2950" w:rsidR="00781866">
        <w:rPr>
          <w:rFonts w:ascii="Times New Roman" w:hAnsi="Times New Roman" w:cs="Times New Roman"/>
          <w:b/>
          <w:color w:val="auto"/>
          <w:sz w:val="32"/>
          <w:szCs w:val="32"/>
        </w:rPr>
        <w:t>M</w:t>
      </w:r>
      <w:r w:rsidRPr="002D2950">
        <w:rPr>
          <w:rFonts w:ascii="Times New Roman" w:hAnsi="Times New Roman"/>
          <w:b/>
          <w:iCs/>
          <w:color w:val="auto"/>
          <w:sz w:val="32"/>
          <w:szCs w:val="32"/>
        </w:rPr>
        <w:t>ākoņd</w:t>
      </w:r>
      <w:r w:rsidRPr="002D2950" w:rsidR="00781866">
        <w:rPr>
          <w:rFonts w:ascii="Times New Roman" w:hAnsi="Times New Roman"/>
          <w:b/>
          <w:iCs/>
          <w:color w:val="auto"/>
          <w:sz w:val="32"/>
          <w:szCs w:val="32"/>
        </w:rPr>
        <w:t>atošanas</w:t>
      </w:r>
      <w:r w:rsidRPr="002D2950" w:rsidR="00781866">
        <w:rPr>
          <w:rFonts w:ascii="Times New Roman" w:hAnsi="Times New Roman"/>
          <w:b/>
          <w:iCs/>
          <w:color w:val="auto"/>
          <w:sz w:val="32"/>
          <w:szCs w:val="32"/>
        </w:rPr>
        <w:t xml:space="preserve"> pakalpojumu izmantošana</w:t>
      </w:r>
      <w:r w:rsidRPr="002D2950">
        <w:rPr>
          <w:rFonts w:ascii="Times New Roman" w:hAnsi="Times New Roman"/>
          <w:b/>
          <w:iCs/>
          <w:color w:val="auto"/>
          <w:sz w:val="32"/>
          <w:szCs w:val="32"/>
        </w:rPr>
        <w:t xml:space="preserve"> valsts pārvaldē</w:t>
      </w:r>
      <w:r w:rsidRPr="002D2950">
        <w:rPr>
          <w:rFonts w:ascii="Times New Roman" w:hAnsi="Times New Roman" w:cs="Times New Roman"/>
          <w:b/>
          <w:color w:val="auto"/>
          <w:sz w:val="32"/>
          <w:szCs w:val="32"/>
        </w:rPr>
        <w:t>”</w:t>
      </w:r>
    </w:p>
    <w:p w:rsidR="00D91927" w:rsidRPr="002D2950" w:rsidP="009F6676" w14:paraId="514EBEDB" w14:textId="77777777">
      <w:pPr>
        <w:pStyle w:val="Heading1"/>
        <w:ind w:left="0"/>
        <w:rPr>
          <w:color w:val="auto"/>
          <w:sz w:val="24"/>
          <w:szCs w:val="24"/>
        </w:rPr>
      </w:pPr>
    </w:p>
    <w:p w:rsidR="0036491C" w:rsidRPr="002D2950" w:rsidP="0036491C" w14:paraId="61092F1B" w14:textId="77777777">
      <w:pPr>
        <w:rPr>
          <w:lang w:eastAsia="en-US"/>
        </w:rPr>
      </w:pPr>
    </w:p>
    <w:p w:rsidR="0036491C" w:rsidRPr="002D2950" w:rsidP="0036491C" w14:paraId="38611486" w14:textId="77777777">
      <w:pPr>
        <w:rPr>
          <w:lang w:eastAsia="en-US"/>
        </w:rPr>
      </w:pPr>
    </w:p>
    <w:p w:rsidR="0036491C" w:rsidRPr="002D2950" w:rsidP="0036491C" w14:paraId="7F5D19DD" w14:textId="77777777">
      <w:pPr>
        <w:rPr>
          <w:lang w:eastAsia="en-US"/>
        </w:rPr>
      </w:pPr>
    </w:p>
    <w:p w:rsidR="0036491C" w:rsidRPr="002D2950" w:rsidP="0036491C" w14:paraId="31B6348A" w14:textId="77777777">
      <w:pPr>
        <w:rPr>
          <w:lang w:eastAsia="en-US"/>
        </w:rPr>
      </w:pPr>
    </w:p>
    <w:p w:rsidR="0036491C" w:rsidRPr="002D2950" w:rsidP="0036491C" w14:paraId="360A5259" w14:textId="77777777">
      <w:pPr>
        <w:rPr>
          <w:lang w:eastAsia="en-US"/>
        </w:rPr>
      </w:pPr>
    </w:p>
    <w:p w:rsidR="0036491C" w:rsidRPr="002D2950" w:rsidP="0036491C" w14:paraId="4505ED5C" w14:textId="77777777">
      <w:pPr>
        <w:rPr>
          <w:lang w:eastAsia="en-US"/>
        </w:rPr>
      </w:pPr>
    </w:p>
    <w:p w:rsidR="0036491C" w:rsidRPr="002D2950" w:rsidP="0036491C" w14:paraId="0F6FB1C6" w14:textId="77777777">
      <w:pPr>
        <w:rPr>
          <w:lang w:eastAsia="en-US"/>
        </w:rPr>
      </w:pPr>
    </w:p>
    <w:p w:rsidR="0036491C" w:rsidRPr="002D2950" w:rsidP="0036491C" w14:paraId="4B03BA1E" w14:textId="77777777">
      <w:pPr>
        <w:rPr>
          <w:lang w:eastAsia="en-US"/>
        </w:rPr>
      </w:pPr>
    </w:p>
    <w:p w:rsidR="0036491C" w:rsidRPr="002D2950" w:rsidP="0036491C" w14:paraId="6907EBC9" w14:textId="77777777">
      <w:pPr>
        <w:rPr>
          <w:lang w:eastAsia="en-US"/>
        </w:rPr>
      </w:pPr>
    </w:p>
    <w:p w:rsidR="0036491C" w:rsidRPr="002D2950" w:rsidP="0036491C" w14:paraId="6FED6485" w14:textId="77777777">
      <w:pPr>
        <w:rPr>
          <w:lang w:eastAsia="en-US"/>
        </w:rPr>
      </w:pPr>
    </w:p>
    <w:p w:rsidR="0036491C" w:rsidRPr="002D2950" w:rsidP="0036491C" w14:paraId="01362EBE" w14:textId="77777777">
      <w:pPr>
        <w:rPr>
          <w:lang w:eastAsia="en-US"/>
        </w:rPr>
      </w:pPr>
    </w:p>
    <w:p w:rsidR="0036491C" w:rsidRPr="002D2950" w:rsidP="0036491C" w14:paraId="16ABDC35" w14:textId="77777777">
      <w:pPr>
        <w:rPr>
          <w:lang w:eastAsia="en-US"/>
        </w:rPr>
      </w:pPr>
    </w:p>
    <w:p w:rsidR="0036491C" w:rsidRPr="002D2950" w:rsidP="0036491C" w14:paraId="5A2BA509" w14:textId="77777777">
      <w:pPr>
        <w:rPr>
          <w:lang w:eastAsia="en-US"/>
        </w:rPr>
      </w:pPr>
    </w:p>
    <w:p w:rsidR="0036491C" w:rsidRPr="002D2950" w:rsidP="0036491C" w14:paraId="5767300F" w14:textId="77777777">
      <w:pPr>
        <w:rPr>
          <w:lang w:eastAsia="en-US"/>
        </w:rPr>
      </w:pPr>
    </w:p>
    <w:p w:rsidR="0036491C" w:rsidRPr="002D2950" w:rsidP="0036491C" w14:paraId="2CAB9341" w14:textId="77777777">
      <w:pPr>
        <w:rPr>
          <w:lang w:eastAsia="en-US"/>
        </w:rPr>
      </w:pPr>
    </w:p>
    <w:p w:rsidR="00F77E85" w:rsidRPr="002D2950" w:rsidP="0036491C" w14:paraId="13AB5A6A" w14:textId="77777777">
      <w:pPr>
        <w:rPr>
          <w:lang w:eastAsia="en-US"/>
        </w:rPr>
      </w:pPr>
    </w:p>
    <w:p w:rsidR="0036491C" w:rsidRPr="002D2950" w:rsidP="0036491C" w14:paraId="4D3CFC5B" w14:textId="77777777">
      <w:pPr>
        <w:rPr>
          <w:lang w:eastAsia="en-US"/>
        </w:rPr>
      </w:pPr>
    </w:p>
    <w:p w:rsidR="000B3704" w:rsidRPr="002D2950" w:rsidP="0036491C" w14:paraId="0CFDAD9A" w14:textId="77777777">
      <w:pPr>
        <w:rPr>
          <w:lang w:eastAsia="en-US"/>
        </w:rPr>
      </w:pPr>
    </w:p>
    <w:p w:rsidR="000B3704" w:rsidRPr="002D2950" w:rsidP="0036491C" w14:paraId="7AF9A477" w14:textId="77777777">
      <w:pPr>
        <w:rPr>
          <w:lang w:eastAsia="en-US"/>
        </w:rPr>
      </w:pPr>
    </w:p>
    <w:p w:rsidR="000B3704" w:rsidRPr="002D2950" w:rsidP="0036491C" w14:paraId="597F8AD3" w14:textId="77777777">
      <w:pPr>
        <w:rPr>
          <w:lang w:eastAsia="en-US"/>
        </w:rPr>
      </w:pPr>
    </w:p>
    <w:p w:rsidR="0036491C" w:rsidRPr="002D2950" w:rsidP="0036491C" w14:paraId="0F6C6504" w14:textId="77777777">
      <w:pPr>
        <w:rPr>
          <w:lang w:eastAsia="en-US"/>
        </w:rPr>
      </w:pPr>
    </w:p>
    <w:p w:rsidR="0036491C" w:rsidRPr="002D2950" w:rsidP="0036491C" w14:paraId="298788F7" w14:textId="77777777">
      <w:pPr>
        <w:jc w:val="right"/>
      </w:pPr>
      <w:r w:rsidRPr="002D2950">
        <w:t>Sagatavoja:</w:t>
      </w:r>
    </w:p>
    <w:p w:rsidR="0036491C" w:rsidRPr="002D2950" w:rsidP="0036491C" w14:paraId="4F9E27D3" w14:textId="77777777">
      <w:pPr>
        <w:jc w:val="right"/>
      </w:pPr>
      <w:r w:rsidRPr="002D2950">
        <w:t>Vides aizsardzības un reģionālās attīstības ministrija</w:t>
      </w:r>
    </w:p>
    <w:p w:rsidR="0036491C" w:rsidRPr="002D2950" w:rsidP="0036491C" w14:paraId="3BD6351B" w14:textId="77777777"/>
    <w:p w:rsidR="000B3704" w:rsidRPr="002D2950" w:rsidP="0036491C" w14:paraId="562759EC" w14:textId="77777777"/>
    <w:p w:rsidR="000B3704" w:rsidRPr="002D2950" w:rsidP="0036491C" w14:paraId="3EB193C4" w14:textId="77777777"/>
    <w:p w:rsidR="0036491C" w:rsidRPr="002D2950" w:rsidP="0036491C" w14:paraId="23C032F0" w14:textId="5C686B9A">
      <w:pPr>
        <w:jc w:val="center"/>
      </w:pPr>
      <w:r w:rsidRPr="002D2950">
        <w:t>201</w:t>
      </w:r>
      <w:r w:rsidR="00D6243F">
        <w:t>8</w:t>
      </w:r>
      <w:r w:rsidRPr="002D2950">
        <w:t>.gads</w:t>
      </w:r>
    </w:p>
    <w:p w:rsidR="0036491C" w:rsidRPr="002D2950" w:rsidP="0036491C" w14:paraId="1F6EEAC5" w14:textId="77777777">
      <w:pPr>
        <w:jc w:val="center"/>
        <w:rPr>
          <w:sz w:val="28"/>
          <w:szCs w:val="28"/>
        </w:rPr>
      </w:pPr>
    </w:p>
    <w:p w:rsidR="0036491C" w:rsidRPr="002D2950" w:rsidP="0036491C" w14:paraId="4C6C0E30" w14:textId="77777777">
      <w:pPr>
        <w:rPr>
          <w:lang w:eastAsia="en-US"/>
        </w:rPr>
      </w:pPr>
    </w:p>
    <w:p w:rsidR="0036491C" w:rsidRPr="002D2950" w:rsidP="0036491C" w14:paraId="7D314946" w14:textId="77777777">
      <w:pPr>
        <w:rPr>
          <w:lang w:eastAsia="en-US"/>
        </w:rPr>
      </w:pPr>
    </w:p>
    <w:p w:rsidR="00A312A1" w:rsidRPr="002D2950" w:rsidP="00DA406A" w14:paraId="712BDC60" w14:textId="77777777">
      <w:pPr>
        <w:rPr>
          <w:lang w:eastAsia="en-US"/>
        </w:rPr>
      </w:pPr>
    </w:p>
    <w:sdt>
      <w:sdtPr>
        <w:rPr>
          <w:rFonts w:ascii="Times New Roman" w:eastAsia="Times New Roman" w:hAnsi="Times New Roman" w:cs="Times New Roman"/>
          <w:bCs w:val="0"/>
          <w:color w:val="auto"/>
          <w:sz w:val="24"/>
          <w:szCs w:val="24"/>
          <w:lang w:val="lv-LV" w:eastAsia="lv-LV"/>
        </w:rPr>
        <w:id w:val="1255425941"/>
        <w:docPartObj>
          <w:docPartGallery w:val="Table of Contents"/>
          <w:docPartUnique/>
        </w:docPartObj>
      </w:sdtPr>
      <w:sdtEndPr>
        <w:rPr>
          <w:b/>
        </w:rPr>
      </w:sdtEndPr>
      <w:sdtContent>
        <w:p w:rsidR="009C423A" w:rsidRPr="00624D77" w14:paraId="77D009DB" w14:textId="774D4852">
          <w:pPr>
            <w:pStyle w:val="TOCHeading"/>
            <w:rPr>
              <w:rFonts w:ascii="Times New Roman" w:hAnsi="Times New Roman" w:cs="Times New Roman"/>
              <w:b/>
              <w:color w:val="auto"/>
              <w:lang w:val="lv-LV"/>
            </w:rPr>
          </w:pPr>
          <w:r w:rsidRPr="00624D77">
            <w:rPr>
              <w:rFonts w:ascii="Times New Roman" w:hAnsi="Times New Roman" w:cs="Times New Roman"/>
              <w:b/>
              <w:color w:val="auto"/>
              <w:lang w:val="lv-LV"/>
            </w:rPr>
            <w:t>Saturs</w:t>
          </w:r>
        </w:p>
        <w:p>
          <w:pPr>
            <w:pStyle w:val="TOC2"/>
            <w:tabs>
              <w:tab w:val="right" w:leader="dot" w:pos="9061"/>
            </w:tabs>
            <w:rPr>
              <w:rFonts w:asciiTheme="minorHAnsi" w:hAnsiTheme="minorHAnsi"/>
              <w:noProof/>
              <w:sz w:val="22"/>
            </w:rPr>
          </w:pPr>
          <w:r w:rsidRPr="002D2950">
            <w:fldChar w:fldCharType="begin"/>
          </w:r>
          <w:r w:rsidRPr="002D2950">
            <w:instrText xml:space="preserve"> TOC \o "1-3" \h \z \u </w:instrText>
          </w:r>
          <w:r w:rsidRPr="002D2950">
            <w:fldChar w:fldCharType="separate"/>
          </w:r>
          <w:r>
            <w:fldChar w:fldCharType="begin"/>
          </w:r>
          <w:r>
            <w:instrText xml:space="preserve"> HYPERLINK \l "_Toc256000047" </w:instrText>
          </w:r>
          <w:r>
            <w:fldChar w:fldCharType="separate"/>
          </w:r>
          <w:r w:rsidRPr="002D2950">
            <w:rPr>
              <w:rStyle w:val="Hyperlink"/>
            </w:rPr>
            <w:t>Terminu un saīsinājumu skaidrojums</w:t>
          </w:r>
          <w:r>
            <w:tab/>
          </w:r>
          <w:r>
            <w:fldChar w:fldCharType="begin"/>
          </w:r>
          <w:r>
            <w:instrText xml:space="preserve"> PAGEREF _Toc256000047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"_Toc256000048" </w:instrText>
          </w:r>
          <w:r>
            <w:fldChar w:fldCharType="separate"/>
          </w:r>
          <w:r w:rsidRPr="002D2950">
            <w:rPr>
              <w:rStyle w:val="Hyperlink"/>
            </w:rPr>
            <w:t>1.</w:t>
          </w:r>
          <w:r w:rsidRPr="002D2950" w:rsidR="003C090E">
            <w:rPr>
              <w:rStyle w:val="Hyperlink"/>
            </w:rPr>
            <w:t xml:space="preserve"> </w:t>
          </w:r>
          <w:r w:rsidRPr="002D2950" w:rsidR="00112C2F">
            <w:rPr>
              <w:rStyle w:val="Hyperlink"/>
            </w:rPr>
            <w:t>Z</w:t>
          </w:r>
          <w:r w:rsidRPr="002D2950" w:rsidR="00A35D7B">
            <w:rPr>
              <w:rStyle w:val="Hyperlink"/>
            </w:rPr>
            <w:t>iņojuma mērķi un pamatojums ziņojuma sagatavošanai</w:t>
          </w:r>
          <w:r>
            <w:tab/>
          </w:r>
          <w:r>
            <w:fldChar w:fldCharType="begin"/>
          </w:r>
          <w:r>
            <w:instrText xml:space="preserve"> PAGEREF _Toc256000048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"_Toc256000049" </w:instrText>
          </w:r>
          <w:r>
            <w:fldChar w:fldCharType="separate"/>
          </w:r>
          <w:r w:rsidRPr="002D2950">
            <w:rPr>
              <w:rStyle w:val="Hyperlink"/>
            </w:rPr>
            <w:t>2. Latvi</w:t>
          </w:r>
          <w:r w:rsidRPr="002D2950" w:rsidR="00B52088">
            <w:rPr>
              <w:rStyle w:val="Hyperlink"/>
            </w:rPr>
            <w:t>jas izaicinājumi IKT pārvaldībā</w:t>
          </w:r>
          <w:r>
            <w:tab/>
          </w:r>
          <w:r>
            <w:fldChar w:fldCharType="begin"/>
          </w:r>
          <w:r>
            <w:instrText xml:space="preserve"> PAGEREF _Toc256000049 \h </w:instrText>
          </w:r>
          <w:r>
            <w:fldChar w:fldCharType="separate"/>
          </w:r>
          <w:r>
            <w:t>7</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"_Toc256000050" </w:instrText>
          </w:r>
          <w:r>
            <w:fldChar w:fldCharType="separate"/>
          </w:r>
          <w:r>
            <w:rPr>
              <w:rStyle w:val="Hyperlink"/>
            </w:rPr>
            <w:t>2.1.</w:t>
          </w:r>
          <w:r>
            <w:rPr>
              <w:rFonts w:asciiTheme="minorHAnsi" w:hAnsiTheme="minorHAnsi"/>
              <w:noProof/>
              <w:sz w:val="22"/>
            </w:rPr>
            <w:tab/>
          </w:r>
          <w:r w:rsidRPr="009D43D5">
            <w:rPr>
              <w:rStyle w:val="Hyperlink"/>
            </w:rPr>
            <w:t xml:space="preserve">IKT </w:t>
          </w:r>
          <w:r w:rsidRPr="009D43D5">
            <w:rPr>
              <w:rStyle w:val="Hyperlink"/>
            </w:rPr>
            <w:t>pārvaldības briedums</w:t>
          </w:r>
          <w:r>
            <w:tab/>
          </w:r>
          <w:r>
            <w:fldChar w:fldCharType="begin"/>
          </w:r>
          <w:r>
            <w:instrText xml:space="preserve"> PAGEREF _Toc256000050 \h </w:instrText>
          </w:r>
          <w:r>
            <w:fldChar w:fldCharType="separate"/>
          </w:r>
          <w:r>
            <w:t>8</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"_Toc256000051" </w:instrText>
          </w:r>
          <w:r>
            <w:fldChar w:fldCharType="separate"/>
          </w:r>
          <w:r>
            <w:rPr>
              <w:rStyle w:val="Hyperlink"/>
            </w:rPr>
            <w:t>2.1.1.</w:t>
          </w:r>
          <w:r>
            <w:rPr>
              <w:rFonts w:asciiTheme="minorHAnsi" w:hAnsiTheme="minorHAnsi"/>
              <w:noProof/>
              <w:sz w:val="22"/>
            </w:rPr>
            <w:tab/>
          </w:r>
          <w:r w:rsidRPr="009D43D5">
            <w:rPr>
              <w:rStyle w:val="Hyperlink"/>
            </w:rPr>
            <w:t>Normatīvais briedums</w:t>
          </w:r>
          <w:r>
            <w:tab/>
          </w:r>
          <w:r>
            <w:fldChar w:fldCharType="begin"/>
          </w:r>
          <w:r>
            <w:instrText xml:space="preserve"> PAGEREF _Toc256000051 \h </w:instrText>
          </w:r>
          <w:r>
            <w:fldChar w:fldCharType="separate"/>
          </w:r>
          <w:r>
            <w:t>8</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"_Toc256000052" </w:instrText>
          </w:r>
          <w:r>
            <w:fldChar w:fldCharType="separate"/>
          </w:r>
          <w:r>
            <w:rPr>
              <w:rStyle w:val="Hyperlink"/>
            </w:rPr>
            <w:t>2.1.2.</w:t>
          </w:r>
          <w:r>
            <w:rPr>
              <w:rFonts w:asciiTheme="minorHAnsi" w:hAnsiTheme="minorHAnsi"/>
              <w:noProof/>
              <w:sz w:val="22"/>
            </w:rPr>
            <w:tab/>
          </w:r>
          <w:r w:rsidRPr="002D2950">
            <w:rPr>
              <w:rStyle w:val="Hyperlink"/>
            </w:rPr>
            <w:t>Organizatoriskais briedums</w:t>
          </w:r>
          <w:r>
            <w:tab/>
          </w:r>
          <w:r>
            <w:fldChar w:fldCharType="begin"/>
          </w:r>
          <w:r>
            <w:instrText xml:space="preserve"> PAGEREF _Toc256000052 \h </w:instrText>
          </w:r>
          <w:r>
            <w:fldChar w:fldCharType="separate"/>
          </w:r>
          <w:r>
            <w:t>10</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"_Toc256000053" </w:instrText>
          </w:r>
          <w:r>
            <w:fldChar w:fldCharType="separate"/>
          </w:r>
          <w:r>
            <w:rPr>
              <w:rStyle w:val="Hyperlink"/>
            </w:rPr>
            <w:t>2.1.3.</w:t>
          </w:r>
          <w:r>
            <w:rPr>
              <w:rFonts w:asciiTheme="minorHAnsi" w:hAnsiTheme="minorHAnsi"/>
              <w:noProof/>
              <w:sz w:val="22"/>
            </w:rPr>
            <w:tab/>
          </w:r>
          <w:r w:rsidRPr="002D2950">
            <w:rPr>
              <w:rStyle w:val="Hyperlink"/>
            </w:rPr>
            <w:t>Semantiskais (informatīvais) briedums</w:t>
          </w:r>
          <w:r>
            <w:tab/>
          </w:r>
          <w:r>
            <w:fldChar w:fldCharType="begin"/>
          </w:r>
          <w:r>
            <w:instrText xml:space="preserve"> PAGEREF _Toc256000053 \h </w:instrText>
          </w:r>
          <w:r>
            <w:fldChar w:fldCharType="separate"/>
          </w:r>
          <w:r>
            <w:t>11</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"_Toc256000054" </w:instrText>
          </w:r>
          <w:r>
            <w:fldChar w:fldCharType="separate"/>
          </w:r>
          <w:r>
            <w:rPr>
              <w:rStyle w:val="Hyperlink"/>
            </w:rPr>
            <w:t>2.1.4.</w:t>
          </w:r>
          <w:r>
            <w:rPr>
              <w:rFonts w:asciiTheme="minorHAnsi" w:hAnsiTheme="minorHAnsi"/>
              <w:noProof/>
              <w:sz w:val="22"/>
            </w:rPr>
            <w:tab/>
          </w:r>
          <w:r w:rsidRPr="002D2950">
            <w:rPr>
              <w:rStyle w:val="Hyperlink"/>
            </w:rPr>
            <w:t>Tehnoloģiskais briedums</w:t>
          </w:r>
          <w:r>
            <w:tab/>
          </w:r>
          <w:r>
            <w:fldChar w:fldCharType="begin"/>
          </w:r>
          <w:r>
            <w:instrText xml:space="preserve"> PAGEREF _Toc256000054 \h </w:instrText>
          </w:r>
          <w:r>
            <w:fldChar w:fldCharType="separate"/>
          </w:r>
          <w:r>
            <w:t>12</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"_Toc256000055" </w:instrText>
          </w:r>
          <w:r>
            <w:fldChar w:fldCharType="separate"/>
          </w:r>
          <w:r>
            <w:rPr>
              <w:rStyle w:val="Hyperlink"/>
            </w:rPr>
            <w:t>2.2.</w:t>
          </w:r>
          <w:r>
            <w:rPr>
              <w:rFonts w:asciiTheme="minorHAnsi" w:hAnsiTheme="minorHAnsi"/>
              <w:noProof/>
              <w:sz w:val="22"/>
            </w:rPr>
            <w:tab/>
          </w:r>
          <w:r w:rsidRPr="002D2950">
            <w:rPr>
              <w:rStyle w:val="Hyperlink"/>
            </w:rPr>
            <w:t>Pieeja IKT finansēšanai</w:t>
          </w:r>
          <w:r>
            <w:tab/>
          </w:r>
          <w:r>
            <w:fldChar w:fldCharType="begin"/>
          </w:r>
          <w:r>
            <w:instrText xml:space="preserve"> PAGEREF _Toc256000055 \h </w:instrText>
          </w:r>
          <w:r>
            <w:fldChar w:fldCharType="separate"/>
          </w:r>
          <w:r>
            <w:t>13</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"_Toc256000056" </w:instrText>
          </w:r>
          <w:r>
            <w:fldChar w:fldCharType="separate"/>
          </w:r>
          <w:r>
            <w:rPr>
              <w:rStyle w:val="Hyperlink"/>
            </w:rPr>
            <w:t>3.</w:t>
          </w:r>
          <w:r>
            <w:rPr>
              <w:rFonts w:asciiTheme="minorHAnsi" w:hAnsiTheme="minorHAnsi"/>
              <w:noProof/>
              <w:sz w:val="22"/>
            </w:rPr>
            <w:tab/>
          </w:r>
          <w:r w:rsidRPr="002D2950">
            <w:rPr>
              <w:rStyle w:val="Hyperlink"/>
            </w:rPr>
            <w:t>Mākoņdatošanas</w:t>
          </w:r>
          <w:r w:rsidRPr="002D2950">
            <w:rPr>
              <w:rStyle w:val="Hyperlink"/>
            </w:rPr>
            <w:t xml:space="preserve"> pakalpojumu jēdziens</w:t>
          </w:r>
          <w:r>
            <w:tab/>
          </w:r>
          <w:r>
            <w:fldChar w:fldCharType="begin"/>
          </w:r>
          <w:r>
            <w:instrText xml:space="preserve"> PAGEREF _Toc256000056 \h </w:instrText>
          </w:r>
          <w:r>
            <w:fldChar w:fldCharType="separate"/>
          </w:r>
          <w:r>
            <w:t>14</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"_Toc256000057" </w:instrText>
          </w:r>
          <w:r>
            <w:fldChar w:fldCharType="separate"/>
          </w:r>
          <w:r w:rsidRPr="002D2950">
            <w:rPr>
              <w:rStyle w:val="Hyperlink"/>
            </w:rPr>
            <w:t xml:space="preserve">Vairums pasaules valstu savās pieejās </w:t>
          </w:r>
          <w:r w:rsidRPr="002D2950">
            <w:rPr>
              <w:rStyle w:val="Hyperlink"/>
            </w:rPr>
            <w:t>mākoņdatošanai</w:t>
          </w:r>
          <w:r w:rsidRPr="002D2950">
            <w:rPr>
              <w:rStyle w:val="Hyperlink"/>
            </w:rPr>
            <w:t xml:space="preserve"> izmanto NIST</w:t>
          </w:r>
          <w:r w:rsidRPr="002D2950">
            <w:rPr>
              <w:rStyle w:val="Hyperlink"/>
            </w:rPr>
            <w:t xml:space="preserve"> </w:t>
          </w:r>
          <w:r w:rsidRPr="002D2950" w:rsidR="004A3C31">
            <w:rPr>
              <w:rStyle w:val="Hyperlink"/>
            </w:rPr>
            <w:t xml:space="preserve"> </w:t>
          </w:r>
          <w:r w:rsidRPr="002D2950">
            <w:rPr>
              <w:rStyle w:val="Hyperlink"/>
            </w:rPr>
            <w:t>mākoņdatošanas</w:t>
          </w:r>
          <w:r w:rsidRPr="002D2950">
            <w:rPr>
              <w:rStyle w:val="Hyperlink"/>
            </w:rPr>
            <w:t xml:space="preserve"> definīciju</w:t>
          </w:r>
          <w:r w:rsidRPr="002D2950">
            <w:rPr>
              <w:rStyle w:val="Hyperlink"/>
            </w:rPr>
            <w:t>, kuras pamatprincipi ir izklāstīti sekojošajā sadaļā.</w:t>
          </w:r>
          <w:r>
            <w:tab/>
          </w:r>
          <w:r>
            <w:fldChar w:fldCharType="begin"/>
          </w:r>
          <w:r>
            <w:instrText xml:space="preserve"> PAGEREF _Toc256000057 \h </w:instrText>
          </w:r>
          <w:r>
            <w:fldChar w:fldCharType="separate"/>
          </w:r>
          <w:r>
            <w:t>14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"_Toc256000058" </w:instrText>
          </w:r>
          <w:r>
            <w:fldChar w:fldCharType="separate"/>
          </w:r>
          <w:r>
            <w:rPr>
              <w:rStyle w:val="Hyperlink"/>
            </w:rPr>
            <w:t>3.1.</w:t>
          </w:r>
          <w:r>
            <w:rPr>
              <w:rFonts w:asciiTheme="minorHAnsi" w:hAnsiTheme="minorHAnsi"/>
              <w:noProof/>
              <w:sz w:val="22"/>
            </w:rPr>
            <w:tab/>
          </w:r>
          <w:r w:rsidRPr="002D2950">
            <w:rPr>
              <w:rStyle w:val="Hyperlink"/>
            </w:rPr>
            <w:t>Mākoņdatošanas</w:t>
          </w:r>
          <w:r w:rsidRPr="002D2950">
            <w:rPr>
              <w:rStyle w:val="Hyperlink"/>
            </w:rPr>
            <w:t xml:space="preserve"> pakalpojumu pazīmes</w:t>
          </w:r>
          <w:r>
            <w:tab/>
          </w:r>
          <w:r>
            <w:fldChar w:fldCharType="begin"/>
          </w:r>
          <w:r>
            <w:instrText xml:space="preserve"> PAGEREF _Toc256000058 \h </w:instrText>
          </w:r>
          <w:r>
            <w:fldChar w:fldCharType="separate"/>
          </w:r>
          <w:r>
            <w:t>14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"_Toc256000059" </w:instrText>
          </w:r>
          <w:r>
            <w:fldChar w:fldCharType="separate"/>
          </w:r>
          <w:r>
            <w:rPr>
              <w:rStyle w:val="Hyperlink"/>
            </w:rPr>
            <w:t>3.2.</w:t>
          </w:r>
          <w:r>
            <w:rPr>
              <w:rFonts w:asciiTheme="minorHAnsi" w:hAnsiTheme="minorHAnsi"/>
              <w:noProof/>
              <w:sz w:val="22"/>
            </w:rPr>
            <w:tab/>
          </w:r>
          <w:r w:rsidRPr="002D2950">
            <w:rPr>
              <w:rStyle w:val="Hyperlink"/>
            </w:rPr>
            <w:t>Mākoņdatošanas</w:t>
          </w:r>
          <w:r w:rsidRPr="002D2950">
            <w:rPr>
              <w:rStyle w:val="Hyperlink"/>
            </w:rPr>
            <w:t xml:space="preserve"> pakalpojumu līmeņi</w:t>
          </w:r>
          <w:r>
            <w:tab/>
          </w:r>
          <w:r>
            <w:fldChar w:fldCharType="begin"/>
          </w:r>
          <w:r>
            <w:instrText xml:space="preserve"> PAGEREF _Toc256000059 \h </w:instrText>
          </w:r>
          <w:r>
            <w:fldChar w:fldCharType="separate"/>
          </w:r>
          <w:r>
            <w:t>15</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"_Toc256000060" </w:instrText>
          </w:r>
          <w:r>
            <w:fldChar w:fldCharType="separate"/>
          </w:r>
          <w:r>
            <w:rPr>
              <w:rStyle w:val="Hyperlink"/>
            </w:rPr>
            <w:t>3.2.1.</w:t>
          </w:r>
          <w:r>
            <w:rPr>
              <w:rFonts w:asciiTheme="minorHAnsi" w:hAnsiTheme="minorHAnsi"/>
              <w:noProof/>
              <w:sz w:val="22"/>
            </w:rPr>
            <w:tab/>
          </w:r>
          <w:r w:rsidRPr="002D2950">
            <w:rPr>
              <w:rStyle w:val="Hyperlink"/>
            </w:rPr>
            <w:t>Infrastruktūras līmeņa pakalpojumi (</w:t>
          </w:r>
          <w:r w:rsidRPr="002D2950">
            <w:rPr>
              <w:rStyle w:val="Hyperlink"/>
            </w:rPr>
            <w:t>IaaS</w:t>
          </w:r>
          <w:r w:rsidRPr="002D2950">
            <w:rPr>
              <w:rStyle w:val="Hyperlink"/>
            </w:rPr>
            <w:t>)</w:t>
          </w:r>
          <w:r>
            <w:tab/>
          </w:r>
          <w:r>
            <w:fldChar w:fldCharType="begin"/>
          </w:r>
          <w:r>
            <w:instrText xml:space="preserve"> PAGEREF _Toc256000060 \h </w:instrText>
          </w:r>
          <w:r>
            <w:fldChar w:fldCharType="separate"/>
          </w:r>
          <w:r>
            <w:t>15</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"_Toc256000061" </w:instrText>
          </w:r>
          <w:r>
            <w:fldChar w:fldCharType="separate"/>
          </w:r>
          <w:r>
            <w:rPr>
              <w:rStyle w:val="Hyperlink"/>
            </w:rPr>
            <w:t>3.2.2.</w:t>
          </w:r>
          <w:r>
            <w:rPr>
              <w:rFonts w:asciiTheme="minorHAnsi" w:hAnsiTheme="minorHAnsi"/>
              <w:noProof/>
              <w:sz w:val="22"/>
            </w:rPr>
            <w:tab/>
          </w:r>
          <w:r w:rsidRPr="002D2950">
            <w:rPr>
              <w:rStyle w:val="Hyperlink"/>
            </w:rPr>
            <w:t>Mākoņdatošanas</w:t>
          </w:r>
          <w:r w:rsidRPr="002D2950">
            <w:rPr>
              <w:rStyle w:val="Hyperlink"/>
            </w:rPr>
            <w:t xml:space="preserve"> platformu līmeņa pakalpojumi (</w:t>
          </w:r>
          <w:r w:rsidRPr="002D2950">
            <w:rPr>
              <w:rStyle w:val="Hyperlink"/>
            </w:rPr>
            <w:t>PaaS</w:t>
          </w:r>
          <w:r w:rsidRPr="002D2950">
            <w:rPr>
              <w:rStyle w:val="Hyperlink"/>
            </w:rPr>
            <w:t>)</w:t>
          </w:r>
          <w:r>
            <w:tab/>
          </w:r>
          <w:r>
            <w:fldChar w:fldCharType="begin"/>
          </w:r>
          <w:r>
            <w:instrText xml:space="preserve"> PAGEREF _Toc256000061 \h </w:instrText>
          </w:r>
          <w:r>
            <w:fldChar w:fldCharType="separate"/>
          </w:r>
          <w:r>
            <w:t>16</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"_Toc256000062" </w:instrText>
          </w:r>
          <w:r>
            <w:fldChar w:fldCharType="separate"/>
          </w:r>
          <w:r>
            <w:rPr>
              <w:rStyle w:val="Hyperlink"/>
            </w:rPr>
            <w:t>3.2.3.</w:t>
          </w:r>
          <w:r>
            <w:rPr>
              <w:rFonts w:asciiTheme="minorHAnsi" w:hAnsiTheme="minorHAnsi"/>
              <w:noProof/>
              <w:sz w:val="22"/>
            </w:rPr>
            <w:tab/>
          </w:r>
          <w:r w:rsidRPr="002D2950">
            <w:rPr>
              <w:rStyle w:val="Hyperlink"/>
            </w:rPr>
            <w:t>Mākoņdatošanas</w:t>
          </w:r>
          <w:r w:rsidRPr="002D2950">
            <w:rPr>
              <w:rStyle w:val="Hyperlink"/>
            </w:rPr>
            <w:t xml:space="preserve"> programmatū</w:t>
          </w:r>
          <w:r w:rsidRPr="002D2950" w:rsidR="00AD59F6">
            <w:rPr>
              <w:rStyle w:val="Hyperlink"/>
            </w:rPr>
            <w:t xml:space="preserve">ras un </w:t>
          </w:r>
          <w:r w:rsidRPr="002D2950">
            <w:rPr>
              <w:rStyle w:val="Hyperlink"/>
            </w:rPr>
            <w:t>lietojumu līmeņa pakalpojumi (</w:t>
          </w:r>
          <w:r w:rsidRPr="002D2950">
            <w:rPr>
              <w:rStyle w:val="Hyperlink"/>
            </w:rPr>
            <w:t>SaaS</w:t>
          </w:r>
          <w:r w:rsidRPr="002D2950">
            <w:rPr>
              <w:rStyle w:val="Hyperlink"/>
            </w:rPr>
            <w:t>)</w:t>
          </w:r>
          <w:r>
            <w:tab/>
          </w:r>
          <w:r>
            <w:fldChar w:fldCharType="begin"/>
          </w:r>
          <w:r>
            <w:instrText xml:space="preserve"> PAGEREF _Toc256000062 \h </w:instrText>
          </w:r>
          <w:r>
            <w:fldChar w:fldCharType="separate"/>
          </w:r>
          <w:r>
            <w:t>16</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"_Toc256000063" </w:instrText>
          </w:r>
          <w:r>
            <w:fldChar w:fldCharType="separate"/>
          </w:r>
          <w:r>
            <w:rPr>
              <w:rStyle w:val="Hyperlink"/>
            </w:rPr>
            <w:t>3.3.</w:t>
          </w:r>
          <w:r>
            <w:rPr>
              <w:rFonts w:asciiTheme="minorHAnsi" w:hAnsiTheme="minorHAnsi"/>
              <w:noProof/>
              <w:sz w:val="22"/>
            </w:rPr>
            <w:tab/>
          </w:r>
          <w:r w:rsidRPr="002D2950">
            <w:rPr>
              <w:rStyle w:val="Hyperlink"/>
            </w:rPr>
            <w:t>Mākoņdatošanas</w:t>
          </w:r>
          <w:r w:rsidRPr="002D2950">
            <w:rPr>
              <w:rStyle w:val="Hyperlink"/>
            </w:rPr>
            <w:t xml:space="preserve"> pakalpojumu piegādes modeļi</w:t>
          </w:r>
          <w:r>
            <w:tab/>
          </w:r>
          <w:r>
            <w:fldChar w:fldCharType="begin"/>
          </w:r>
          <w:r>
            <w:instrText xml:space="preserve"> PAGEREF _Toc256000063 \h </w:instrText>
          </w:r>
          <w:r>
            <w:fldChar w:fldCharType="separate"/>
          </w:r>
          <w:r>
            <w:t>17</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"_Toc256000064" </w:instrText>
          </w:r>
          <w:r>
            <w:fldChar w:fldCharType="separate"/>
          </w:r>
          <w:r>
            <w:rPr>
              <w:rStyle w:val="Hyperlink"/>
            </w:rPr>
            <w:t>4.</w:t>
          </w:r>
          <w:r>
            <w:rPr>
              <w:rFonts w:asciiTheme="minorHAnsi" w:hAnsiTheme="minorHAnsi"/>
              <w:noProof/>
              <w:sz w:val="22"/>
            </w:rPr>
            <w:tab/>
          </w:r>
          <w:r w:rsidRPr="002D2950">
            <w:rPr>
              <w:rStyle w:val="Hyperlink"/>
            </w:rPr>
            <w:t>Informācijas klasifikācija</w:t>
          </w:r>
          <w:r w:rsidRPr="002D2950">
            <w:rPr>
              <w:rStyle w:val="Hyperlink"/>
            </w:rPr>
            <w:t>s veidi</w:t>
          </w:r>
          <w:r>
            <w:tab/>
          </w:r>
          <w:r>
            <w:fldChar w:fldCharType="begin"/>
          </w:r>
          <w:r>
            <w:instrText xml:space="preserve"> PAGEREF _Toc256000064 \h </w:instrText>
          </w:r>
          <w:r>
            <w:fldChar w:fldCharType="separate"/>
          </w:r>
          <w:r>
            <w:t>17</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"_Toc256000065" </w:instrText>
          </w:r>
          <w:r>
            <w:fldChar w:fldCharType="separate"/>
          </w:r>
          <w:r>
            <w:rPr>
              <w:rStyle w:val="Hyperlink"/>
            </w:rPr>
            <w:t>4.1.</w:t>
          </w:r>
          <w:r>
            <w:rPr>
              <w:rFonts w:asciiTheme="minorHAnsi" w:hAnsiTheme="minorHAnsi"/>
              <w:noProof/>
              <w:sz w:val="22"/>
            </w:rPr>
            <w:tab/>
          </w:r>
          <w:r w:rsidRPr="002D2950">
            <w:rPr>
              <w:rStyle w:val="Hyperlink"/>
            </w:rPr>
            <w:t>Informācijas konfidencialitātes un integritātes dimensija</w:t>
          </w:r>
          <w:r>
            <w:tab/>
          </w:r>
          <w:r>
            <w:fldChar w:fldCharType="begin"/>
          </w:r>
          <w:r>
            <w:instrText xml:space="preserve"> PAGEREF _Toc256000065 \h </w:instrText>
          </w:r>
          <w:r>
            <w:fldChar w:fldCharType="separate"/>
          </w:r>
          <w:r>
            <w:t>18</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"_Toc256000066" </w:instrText>
          </w:r>
          <w:r>
            <w:fldChar w:fldCharType="separate"/>
          </w:r>
          <w:r>
            <w:rPr>
              <w:rStyle w:val="Hyperlink"/>
            </w:rPr>
            <w:t>4.2.</w:t>
          </w:r>
          <w:r>
            <w:rPr>
              <w:rFonts w:asciiTheme="minorHAnsi" w:hAnsiTheme="minorHAnsi"/>
              <w:noProof/>
              <w:sz w:val="22"/>
            </w:rPr>
            <w:tab/>
          </w:r>
          <w:r w:rsidRPr="002D2950">
            <w:rPr>
              <w:rStyle w:val="Hyperlink"/>
            </w:rPr>
            <w:t>Informācijas pieejamības</w:t>
          </w:r>
          <w:r w:rsidRPr="002D2950" w:rsidR="003941C1">
            <w:rPr>
              <w:rStyle w:val="Hyperlink"/>
            </w:rPr>
            <w:t xml:space="preserve"> un </w:t>
          </w:r>
          <w:r w:rsidRPr="002D2950">
            <w:rPr>
              <w:rStyle w:val="Hyperlink"/>
            </w:rPr>
            <w:t>atjaunošanas dimensija</w:t>
          </w:r>
          <w:r>
            <w:tab/>
          </w:r>
          <w:r>
            <w:fldChar w:fldCharType="begin"/>
          </w:r>
          <w:r>
            <w:instrText xml:space="preserve"> PAGEREF _Toc256000066 \h </w:instrText>
          </w:r>
          <w:r>
            <w:fldChar w:fldCharType="separate"/>
          </w:r>
          <w:r>
            <w:t>20</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"_Toc256000067" </w:instrText>
          </w:r>
          <w:r>
            <w:fldChar w:fldCharType="separate"/>
          </w:r>
          <w:r>
            <w:rPr>
              <w:rStyle w:val="Hyperlink"/>
            </w:rPr>
            <w:t>5.</w:t>
          </w:r>
          <w:r>
            <w:rPr>
              <w:rFonts w:asciiTheme="minorHAnsi" w:hAnsiTheme="minorHAnsi"/>
              <w:noProof/>
              <w:sz w:val="22"/>
            </w:rPr>
            <w:tab/>
          </w:r>
          <w:r>
            <w:rPr>
              <w:rStyle w:val="Hyperlink"/>
            </w:rPr>
            <w:t>Latvijas un s</w:t>
          </w:r>
          <w:r w:rsidRPr="002D2950" w:rsidR="00781866">
            <w:rPr>
              <w:rStyle w:val="Hyperlink"/>
            </w:rPr>
            <w:t>tarptautiskā pieredze</w:t>
          </w:r>
          <w:r>
            <w:tab/>
          </w:r>
          <w:r>
            <w:fldChar w:fldCharType="begin"/>
          </w:r>
          <w:r>
            <w:instrText xml:space="preserve"> PAGEREF _Toc256000067 \h </w:instrText>
          </w:r>
          <w:r>
            <w:fldChar w:fldCharType="separate"/>
          </w:r>
          <w:r>
            <w:t>20</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"_Toc256000068" </w:instrText>
          </w:r>
          <w:r>
            <w:fldChar w:fldCharType="separate"/>
          </w:r>
          <w:r>
            <w:rPr>
              <w:rStyle w:val="Hyperlink"/>
            </w:rPr>
            <w:t>5.1.</w:t>
          </w:r>
          <w:r>
            <w:rPr>
              <w:rFonts w:asciiTheme="minorHAnsi" w:hAnsiTheme="minorHAnsi"/>
              <w:noProof/>
              <w:sz w:val="22"/>
            </w:rPr>
            <w:tab/>
          </w:r>
          <w:r w:rsidRPr="002D2950">
            <w:rPr>
              <w:rStyle w:val="Hyperlink"/>
            </w:rPr>
            <w:t>ES pieredze kopumā</w:t>
          </w:r>
          <w:r>
            <w:tab/>
          </w:r>
          <w:r>
            <w:fldChar w:fldCharType="begin"/>
          </w:r>
          <w:r>
            <w:instrText xml:space="preserve"> PAGEREF _Toc256000068 \h </w:instrText>
          </w:r>
          <w:r>
            <w:fldChar w:fldCharType="separate"/>
          </w:r>
          <w:r>
            <w:t>20</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"_Toc256000069" </w:instrText>
          </w:r>
          <w:r>
            <w:fldChar w:fldCharType="separate"/>
          </w:r>
          <w:r>
            <w:rPr>
              <w:rStyle w:val="Hyperlink"/>
            </w:rPr>
            <w:t>5.2.</w:t>
          </w:r>
          <w:r>
            <w:rPr>
              <w:rFonts w:asciiTheme="minorHAnsi" w:hAnsiTheme="minorHAnsi"/>
              <w:noProof/>
              <w:sz w:val="22"/>
            </w:rPr>
            <w:tab/>
          </w:r>
          <w:r>
            <w:rPr>
              <w:rStyle w:val="Hyperlink"/>
            </w:rPr>
            <w:t>Mākoņdatošanas</w:t>
          </w:r>
          <w:r>
            <w:rPr>
              <w:rStyle w:val="Hyperlink"/>
            </w:rPr>
            <w:t xml:space="preserve"> pakalpojumu izmantošana Latvijā </w:t>
          </w:r>
          <w:r w:rsidR="00382562">
            <w:rPr>
              <w:rStyle w:val="Hyperlink"/>
            </w:rPr>
            <w:t>un citās valstīs</w:t>
          </w:r>
          <w:r>
            <w:tab/>
          </w:r>
          <w:r>
            <w:fldChar w:fldCharType="begin"/>
          </w:r>
          <w:r>
            <w:instrText xml:space="preserve"> PAGEREF _Toc256000069 \h </w:instrText>
          </w:r>
          <w:r>
            <w:fldChar w:fldCharType="separate"/>
          </w:r>
          <w:r>
            <w:t>21</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"_Toc256000070" </w:instrText>
          </w:r>
          <w:r>
            <w:fldChar w:fldCharType="separate"/>
          </w:r>
          <w:r>
            <w:rPr>
              <w:rStyle w:val="Hyperlink"/>
            </w:rPr>
            <w:t>5.2.1.</w:t>
          </w:r>
          <w:r>
            <w:rPr>
              <w:rFonts w:asciiTheme="minorHAnsi" w:hAnsiTheme="minorHAnsi"/>
              <w:noProof/>
              <w:sz w:val="22"/>
            </w:rPr>
            <w:tab/>
          </w:r>
          <w:r w:rsidRPr="002D2950">
            <w:rPr>
              <w:rStyle w:val="Hyperlink"/>
            </w:rPr>
            <w:t>Īrijas pieredze</w:t>
          </w:r>
          <w:r>
            <w:tab/>
          </w:r>
          <w:r>
            <w:fldChar w:fldCharType="begin"/>
          </w:r>
          <w:r>
            <w:instrText xml:space="preserve"> PAGEREF _Toc256000070 \h </w:instrText>
          </w:r>
          <w:r>
            <w:fldChar w:fldCharType="separate"/>
          </w:r>
          <w:r>
            <w:t>22</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"_Toc256000071" </w:instrText>
          </w:r>
          <w:r>
            <w:fldChar w:fldCharType="separate"/>
          </w:r>
          <w:r>
            <w:rPr>
              <w:rStyle w:val="Hyperlink"/>
            </w:rPr>
            <w:t>5.2.2.</w:t>
          </w:r>
          <w:r>
            <w:rPr>
              <w:rFonts w:asciiTheme="minorHAnsi" w:hAnsiTheme="minorHAnsi"/>
              <w:noProof/>
              <w:sz w:val="22"/>
            </w:rPr>
            <w:tab/>
          </w:r>
          <w:r w:rsidRPr="002D2950">
            <w:rPr>
              <w:rStyle w:val="Hyperlink"/>
            </w:rPr>
            <w:t>Austrālijas pieredze</w:t>
          </w:r>
          <w:r>
            <w:tab/>
          </w:r>
          <w:r>
            <w:fldChar w:fldCharType="begin"/>
          </w:r>
          <w:r>
            <w:instrText xml:space="preserve"> PAGEREF _Toc256000071 \h </w:instrText>
          </w:r>
          <w:r>
            <w:fldChar w:fldCharType="separate"/>
          </w:r>
          <w:r>
            <w:t>22</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"_Toc256000072" </w:instrText>
          </w:r>
          <w:r>
            <w:fldChar w:fldCharType="separate"/>
          </w:r>
          <w:r>
            <w:rPr>
              <w:rStyle w:val="Hyperlink"/>
            </w:rPr>
            <w:t>5.2.3.</w:t>
          </w:r>
          <w:r>
            <w:rPr>
              <w:rFonts w:asciiTheme="minorHAnsi" w:hAnsiTheme="minorHAnsi"/>
              <w:noProof/>
              <w:sz w:val="22"/>
            </w:rPr>
            <w:tab/>
          </w:r>
          <w:r w:rsidRPr="002D2950">
            <w:rPr>
              <w:rStyle w:val="Hyperlink"/>
            </w:rPr>
            <w:t>Lielbritānijas pieredze</w:t>
          </w:r>
          <w:r>
            <w:tab/>
          </w:r>
          <w:r>
            <w:fldChar w:fldCharType="begin"/>
          </w:r>
          <w:r>
            <w:instrText xml:space="preserve"> PAGEREF _Toc256000072 \h </w:instrText>
          </w:r>
          <w:r>
            <w:fldChar w:fldCharType="separate"/>
          </w:r>
          <w:r>
            <w:t>22</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"_Toc256000073" </w:instrText>
          </w:r>
          <w:r>
            <w:fldChar w:fldCharType="separate"/>
          </w:r>
          <w:r>
            <w:rPr>
              <w:rStyle w:val="Hyperlink"/>
            </w:rPr>
            <w:t>5.2.4.</w:t>
          </w:r>
          <w:r>
            <w:rPr>
              <w:rFonts w:asciiTheme="minorHAnsi" w:hAnsiTheme="minorHAnsi"/>
              <w:noProof/>
              <w:sz w:val="22"/>
            </w:rPr>
            <w:tab/>
          </w:r>
          <w:r>
            <w:rPr>
              <w:rStyle w:val="Hyperlink"/>
            </w:rPr>
            <w:t>Igaunijas pieredze</w:t>
          </w:r>
          <w:r>
            <w:tab/>
          </w:r>
          <w:r>
            <w:fldChar w:fldCharType="begin"/>
          </w:r>
          <w:r>
            <w:instrText xml:space="preserve"> PAGEREF _Toc256000073 \h </w:instrText>
          </w:r>
          <w:r>
            <w:fldChar w:fldCharType="separate"/>
          </w:r>
          <w:r>
            <w:t>23</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"_Toc256000074" </w:instrText>
          </w:r>
          <w:r>
            <w:fldChar w:fldCharType="separate"/>
          </w:r>
          <w:r>
            <w:rPr>
              <w:rStyle w:val="Hyperlink"/>
            </w:rPr>
            <w:t>5.3.</w:t>
          </w:r>
          <w:r>
            <w:rPr>
              <w:rFonts w:asciiTheme="minorHAnsi" w:hAnsiTheme="minorHAnsi"/>
              <w:noProof/>
              <w:sz w:val="22"/>
            </w:rPr>
            <w:tab/>
          </w:r>
          <w:r w:rsidRPr="002D2950">
            <w:rPr>
              <w:rStyle w:val="Hyperlink"/>
            </w:rPr>
            <w:t>Secinājumi</w:t>
          </w:r>
          <w:r>
            <w:tab/>
          </w:r>
          <w:r>
            <w:fldChar w:fldCharType="begin"/>
          </w:r>
          <w:r>
            <w:instrText xml:space="preserve"> PAGEREF _Toc256000074 \h </w:instrText>
          </w:r>
          <w:r>
            <w:fldChar w:fldCharType="separate"/>
          </w:r>
          <w:r>
            <w:t>23</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"_Toc256000075" </w:instrText>
          </w:r>
          <w:r>
            <w:fldChar w:fldCharType="separate"/>
          </w:r>
          <w:r>
            <w:rPr>
              <w:rStyle w:val="Hyperlink"/>
            </w:rPr>
            <w:t>6.</w:t>
          </w:r>
          <w:r>
            <w:rPr>
              <w:rFonts w:asciiTheme="minorHAnsi" w:hAnsiTheme="minorHAnsi"/>
              <w:noProof/>
              <w:sz w:val="22"/>
            </w:rPr>
            <w:tab/>
          </w:r>
          <w:r w:rsidRPr="002D2950">
            <w:rPr>
              <w:rStyle w:val="Hyperlink"/>
            </w:rPr>
            <w:t>M</w:t>
          </w:r>
          <w:r w:rsidRPr="002D2950" w:rsidR="00781866">
            <w:rPr>
              <w:rStyle w:val="Hyperlink"/>
            </w:rPr>
            <w:t>ākoņdatošanas</w:t>
          </w:r>
          <w:r w:rsidRPr="002D2950" w:rsidR="00781866">
            <w:rPr>
              <w:rStyle w:val="Hyperlink"/>
            </w:rPr>
            <w:t xml:space="preserve"> </w:t>
          </w:r>
          <w:r w:rsidR="00CB26C6">
            <w:rPr>
              <w:rStyle w:val="Hyperlink"/>
            </w:rPr>
            <w:t xml:space="preserve">pakalpojumu </w:t>
          </w:r>
          <w:r w:rsidRPr="002D2950" w:rsidR="00781866">
            <w:rPr>
              <w:rStyle w:val="Hyperlink"/>
            </w:rPr>
            <w:t>izmantošanas iespējas valsts pārvaldē</w:t>
          </w:r>
          <w:r>
            <w:tab/>
          </w:r>
          <w:r>
            <w:fldChar w:fldCharType="begin"/>
          </w:r>
          <w:r>
            <w:instrText xml:space="preserve"> PAGEREF _Toc256000075 \h </w:instrText>
          </w:r>
          <w:r>
            <w:fldChar w:fldCharType="separate"/>
          </w:r>
          <w:r>
            <w:t>24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"_Toc256000076" </w:instrText>
          </w:r>
          <w:r>
            <w:fldChar w:fldCharType="separate"/>
          </w:r>
          <w:r>
            <w:rPr>
              <w:rStyle w:val="Hyperlink"/>
            </w:rPr>
            <w:t>6.1.</w:t>
          </w:r>
          <w:r>
            <w:rPr>
              <w:rFonts w:asciiTheme="minorHAnsi" w:hAnsiTheme="minorHAnsi"/>
              <w:noProof/>
              <w:sz w:val="22"/>
            </w:rPr>
            <w:tab/>
          </w:r>
          <w:r w:rsidRPr="00071D3D">
            <w:rPr>
              <w:rStyle w:val="Hyperlink"/>
            </w:rPr>
            <w:t>Mākoņdatošanas</w:t>
          </w:r>
          <w:r w:rsidRPr="00071D3D">
            <w:rPr>
              <w:rStyle w:val="Hyperlink"/>
            </w:rPr>
            <w:t xml:space="preserve"> izmantošanas valsts pārvaldē ieguvumi</w:t>
          </w:r>
          <w:r>
            <w:tab/>
          </w:r>
          <w:r>
            <w:fldChar w:fldCharType="begin"/>
          </w:r>
          <w:r>
            <w:instrText xml:space="preserve"> PAGEREF _Toc256000076 \h </w:instrText>
          </w:r>
          <w:r>
            <w:fldChar w:fldCharType="separate"/>
          </w:r>
          <w:r>
            <w:t>24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"_Toc256000077" </w:instrText>
          </w:r>
          <w:r>
            <w:fldChar w:fldCharType="separate"/>
          </w:r>
          <w:r>
            <w:rPr>
              <w:rStyle w:val="Hyperlink"/>
            </w:rPr>
            <w:t>6.2.</w:t>
          </w:r>
          <w:r>
            <w:rPr>
              <w:rFonts w:asciiTheme="minorHAnsi" w:hAnsiTheme="minorHAnsi"/>
              <w:noProof/>
              <w:sz w:val="22"/>
            </w:rPr>
            <w:tab/>
          </w:r>
          <w:r w:rsidRPr="002D2950">
            <w:rPr>
              <w:rStyle w:val="Hyperlink"/>
            </w:rPr>
            <w:t>Mākoņdatošanas</w:t>
          </w:r>
          <w:r w:rsidRPr="002D2950">
            <w:rPr>
              <w:rStyle w:val="Hyperlink"/>
            </w:rPr>
            <w:t xml:space="preserve"> pakalpojumi kā pirmā izvēle</w:t>
          </w:r>
          <w:r>
            <w:tab/>
          </w:r>
          <w:r>
            <w:fldChar w:fldCharType="begin"/>
          </w:r>
          <w:r>
            <w:instrText xml:space="preserve"> PAGEREF _Toc256000077 \h </w:instrText>
          </w:r>
          <w:r>
            <w:fldChar w:fldCharType="separate"/>
          </w:r>
          <w:r>
            <w:t>25</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"_Toc256000078" </w:instrText>
          </w:r>
          <w:r>
            <w:fldChar w:fldCharType="separate"/>
          </w:r>
          <w:r>
            <w:rPr>
              <w:rStyle w:val="Hyperlink"/>
            </w:rPr>
            <w:t>6.3.</w:t>
          </w:r>
          <w:r>
            <w:rPr>
              <w:rFonts w:asciiTheme="minorHAnsi" w:hAnsiTheme="minorHAnsi"/>
              <w:noProof/>
              <w:sz w:val="22"/>
            </w:rPr>
            <w:tab/>
          </w:r>
          <w:r w:rsidRPr="00CB26C6">
            <w:rPr>
              <w:rStyle w:val="Hyperlink"/>
            </w:rPr>
            <w:t>Mākoņdatošanas</w:t>
          </w:r>
          <w:r w:rsidRPr="00CB26C6">
            <w:rPr>
              <w:rStyle w:val="Hyperlink"/>
            </w:rPr>
            <w:t xml:space="preserve"> pakalpojumu </w:t>
          </w:r>
          <w:r w:rsidRPr="00CB26C6" w:rsidR="00CB26C6">
            <w:rPr>
              <w:rStyle w:val="Hyperlink"/>
            </w:rPr>
            <w:t xml:space="preserve">nodrošināšanas un sagādes </w:t>
          </w:r>
          <w:r w:rsidRPr="00CB26C6">
            <w:rPr>
              <w:rStyle w:val="Hyperlink"/>
            </w:rPr>
            <w:t>pārvaldība</w:t>
          </w:r>
          <w:r>
            <w:tab/>
          </w:r>
          <w:r>
            <w:fldChar w:fldCharType="begin"/>
          </w:r>
          <w:r>
            <w:instrText xml:space="preserve"> PAGEREF _Toc256000078 \h </w:instrText>
          </w:r>
          <w:r>
            <w:fldChar w:fldCharType="separate"/>
          </w:r>
          <w:r>
            <w:t>26</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"_Toc256000079" </w:instrText>
          </w:r>
          <w:r>
            <w:fldChar w:fldCharType="separate"/>
          </w:r>
          <w:r>
            <w:rPr>
              <w:rStyle w:val="Hyperlink"/>
            </w:rPr>
            <w:t>6.4.</w:t>
          </w:r>
          <w:r>
            <w:rPr>
              <w:rFonts w:asciiTheme="minorHAnsi" w:hAnsiTheme="minorHAnsi"/>
              <w:noProof/>
              <w:sz w:val="22"/>
            </w:rPr>
            <w:tab/>
          </w:r>
          <w:r w:rsidRPr="002D2950">
            <w:rPr>
              <w:rStyle w:val="Hyperlink"/>
            </w:rPr>
            <w:t>Informācijas drošības apsvērumi</w:t>
          </w:r>
          <w:r>
            <w:tab/>
          </w:r>
          <w:r>
            <w:fldChar w:fldCharType="begin"/>
          </w:r>
          <w:r>
            <w:instrText xml:space="preserve"> PAGEREF _Toc256000079 \h </w:instrText>
          </w:r>
          <w:r>
            <w:fldChar w:fldCharType="separate"/>
          </w:r>
          <w:r>
            <w:t>28</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"_Toc256000080" </w:instrText>
          </w:r>
          <w:r>
            <w:fldChar w:fldCharType="separate"/>
          </w:r>
          <w:r>
            <w:rPr>
              <w:rStyle w:val="Hyperlink"/>
            </w:rPr>
            <w:t>6.5.</w:t>
          </w:r>
          <w:r>
            <w:rPr>
              <w:rFonts w:asciiTheme="minorHAnsi" w:hAnsiTheme="minorHAnsi"/>
              <w:noProof/>
              <w:sz w:val="22"/>
            </w:rPr>
            <w:tab/>
          </w:r>
          <w:r w:rsidRPr="002D2950">
            <w:rPr>
              <w:rStyle w:val="Hyperlink"/>
            </w:rPr>
            <w:t>Mākoņdatošanas</w:t>
          </w:r>
          <w:r w:rsidRPr="002D2950">
            <w:rPr>
              <w:rStyle w:val="Hyperlink"/>
            </w:rPr>
            <w:t xml:space="preserve"> </w:t>
          </w:r>
          <w:r w:rsidR="00CB26C6">
            <w:rPr>
              <w:rStyle w:val="Hyperlink"/>
            </w:rPr>
            <w:t xml:space="preserve">pakalpojumu </w:t>
          </w:r>
          <w:r w:rsidRPr="002D2950">
            <w:rPr>
              <w:rStyle w:val="Hyperlink"/>
            </w:rPr>
            <w:t>lietošanas paplašināšana valsts pārvaldē</w:t>
          </w:r>
          <w:r>
            <w:tab/>
          </w:r>
          <w:r>
            <w:fldChar w:fldCharType="begin"/>
          </w:r>
          <w:r>
            <w:instrText xml:space="preserve"> PAGEREF _Toc256000080 \h </w:instrText>
          </w:r>
          <w:r>
            <w:fldChar w:fldCharType="separate"/>
          </w:r>
          <w:r>
            <w:t>29</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"_Toc256000081" </w:instrText>
          </w:r>
          <w:r>
            <w:fldChar w:fldCharType="separate"/>
          </w:r>
          <w:r>
            <w:rPr>
              <w:rStyle w:val="Hyperlink"/>
            </w:rPr>
            <w:t>7.</w:t>
          </w:r>
          <w:r>
            <w:rPr>
              <w:rFonts w:asciiTheme="minorHAnsi" w:hAnsiTheme="minorHAnsi"/>
              <w:noProof/>
              <w:sz w:val="22"/>
            </w:rPr>
            <w:tab/>
          </w:r>
          <w:r w:rsidRPr="00CB26C6">
            <w:rPr>
              <w:rStyle w:val="Hyperlink"/>
            </w:rPr>
            <w:t>Mākoņdatošanas</w:t>
          </w:r>
          <w:r w:rsidRPr="00CB26C6">
            <w:rPr>
              <w:rStyle w:val="Hyperlink"/>
            </w:rPr>
            <w:t xml:space="preserve"> pakalpojumu pārvaldība</w:t>
          </w:r>
          <w:r>
            <w:tab/>
          </w:r>
          <w:r>
            <w:fldChar w:fldCharType="begin"/>
          </w:r>
          <w:r>
            <w:instrText xml:space="preserve"> PAGEREF _Toc256000081 \h </w:instrText>
          </w:r>
          <w:r>
            <w:fldChar w:fldCharType="separate"/>
          </w:r>
          <w:r>
            <w:t>30</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"_Toc256000082" </w:instrText>
          </w:r>
          <w:r>
            <w:fldChar w:fldCharType="separate"/>
          </w:r>
          <w:r>
            <w:rPr>
              <w:rStyle w:val="Hyperlink"/>
            </w:rPr>
            <w:t>7.1.</w:t>
          </w:r>
          <w:r>
            <w:rPr>
              <w:rFonts w:asciiTheme="minorHAnsi" w:hAnsiTheme="minorHAnsi"/>
              <w:noProof/>
              <w:sz w:val="22"/>
            </w:rPr>
            <w:tab/>
          </w:r>
          <w:r w:rsidRPr="002D2950">
            <w:rPr>
              <w:rStyle w:val="Hyperlink"/>
            </w:rPr>
            <w:t xml:space="preserve">Centralizēta </w:t>
          </w:r>
          <w:r w:rsidRPr="002D2950">
            <w:rPr>
              <w:rStyle w:val="Hyperlink"/>
            </w:rPr>
            <w:t>Mākoņdatošanas</w:t>
          </w:r>
          <w:r w:rsidRPr="002D2950">
            <w:rPr>
              <w:rStyle w:val="Hyperlink"/>
            </w:rPr>
            <w:t xml:space="preserve"> pakalpojumu </w:t>
          </w:r>
          <w:r w:rsidRPr="002D2950">
            <w:rPr>
              <w:rStyle w:val="Hyperlink"/>
            </w:rPr>
            <w:t>pārvaldība</w:t>
          </w:r>
          <w:r>
            <w:tab/>
          </w:r>
          <w:r>
            <w:fldChar w:fldCharType="begin"/>
          </w:r>
          <w:r>
            <w:instrText xml:space="preserve"> PAGEREF _Toc256000082 \h </w:instrText>
          </w:r>
          <w:r>
            <w:fldChar w:fldCharType="separate"/>
          </w:r>
          <w:r>
            <w:t>30</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"_Toc256000083" </w:instrText>
          </w:r>
          <w:r>
            <w:fldChar w:fldCharType="separate"/>
          </w:r>
          <w:r>
            <w:rPr>
              <w:rStyle w:val="Hyperlink"/>
            </w:rPr>
            <w:t>7.1.1.</w:t>
          </w:r>
          <w:r>
            <w:rPr>
              <w:rFonts w:asciiTheme="minorHAnsi" w:hAnsiTheme="minorHAnsi"/>
              <w:noProof/>
              <w:sz w:val="22"/>
            </w:rPr>
            <w:tab/>
          </w:r>
          <w:r w:rsidRPr="002D2950">
            <w:rPr>
              <w:rStyle w:val="Hyperlink"/>
            </w:rPr>
            <w:t>Funkcija: Uzraudzība un koordinācija</w:t>
          </w:r>
          <w:r>
            <w:tab/>
          </w:r>
          <w:r>
            <w:fldChar w:fldCharType="begin"/>
          </w:r>
          <w:r>
            <w:instrText xml:space="preserve"> PAGEREF _Toc256000083 \h </w:instrText>
          </w:r>
          <w:r>
            <w:fldChar w:fldCharType="separate"/>
          </w:r>
          <w:r>
            <w:t>31</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"_Toc256000084" </w:instrText>
          </w:r>
          <w:r>
            <w:fldChar w:fldCharType="separate"/>
          </w:r>
          <w:r>
            <w:rPr>
              <w:rStyle w:val="Hyperlink"/>
            </w:rPr>
            <w:t>7.1.2.</w:t>
          </w:r>
          <w:r>
            <w:rPr>
              <w:rFonts w:asciiTheme="minorHAnsi" w:hAnsiTheme="minorHAnsi"/>
              <w:noProof/>
              <w:sz w:val="22"/>
            </w:rPr>
            <w:tab/>
          </w:r>
          <w:r w:rsidRPr="002D2950">
            <w:rPr>
              <w:rStyle w:val="Hyperlink"/>
            </w:rPr>
            <w:t>Funkcija: Piekļuve un pašapkalpošanās</w:t>
          </w:r>
          <w:r>
            <w:tab/>
          </w:r>
          <w:r>
            <w:fldChar w:fldCharType="begin"/>
          </w:r>
          <w:r>
            <w:instrText xml:space="preserve"> PAGEREF _Toc256000084 \h </w:instrText>
          </w:r>
          <w:r>
            <w:fldChar w:fldCharType="separate"/>
          </w:r>
          <w:r>
            <w:t>31</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"_Toc256000085" </w:instrText>
          </w:r>
          <w:r>
            <w:fldChar w:fldCharType="separate"/>
          </w:r>
          <w:r>
            <w:rPr>
              <w:rStyle w:val="Hyperlink"/>
            </w:rPr>
            <w:t>7.1.3.</w:t>
          </w:r>
          <w:r>
            <w:rPr>
              <w:rFonts w:asciiTheme="minorHAnsi" w:hAnsiTheme="minorHAnsi"/>
              <w:noProof/>
              <w:sz w:val="22"/>
            </w:rPr>
            <w:tab/>
          </w:r>
          <w:r w:rsidRPr="002D2950">
            <w:rPr>
              <w:rStyle w:val="Hyperlink"/>
            </w:rPr>
            <w:t>Funkcija: Sagāde un iegāde</w:t>
          </w:r>
          <w:r>
            <w:tab/>
          </w:r>
          <w:r>
            <w:fldChar w:fldCharType="begin"/>
          </w:r>
          <w:r>
            <w:instrText xml:space="preserve"> PAGEREF _Toc256000085 \h </w:instrText>
          </w:r>
          <w:r>
            <w:fldChar w:fldCharType="separate"/>
          </w:r>
          <w:r>
            <w:t>32</w:t>
          </w:r>
          <w:r>
            <w:fldChar w:fldCharType="end"/>
          </w:r>
          <w:r>
            <w:fldChar w:fldCharType="end"/>
          </w:r>
        </w:p>
        <w:p>
          <w:pPr>
            <w:pStyle w:val="TOC3"/>
            <w:tabs>
              <w:tab w:val="left" w:pos="1320"/>
              <w:tab w:val="right" w:leader="dot" w:pos="9061"/>
            </w:tabs>
            <w:rPr>
              <w:rFonts w:asciiTheme="minorHAnsi" w:hAnsiTheme="minorHAnsi"/>
              <w:noProof/>
              <w:sz w:val="22"/>
            </w:rPr>
          </w:pPr>
          <w:r>
            <w:fldChar w:fldCharType="begin"/>
          </w:r>
          <w:r>
            <w:instrText xml:space="preserve"> HYPERLINK \l "_Toc256000086" </w:instrText>
          </w:r>
          <w:r>
            <w:fldChar w:fldCharType="separate"/>
          </w:r>
          <w:r>
            <w:rPr>
              <w:rStyle w:val="Hyperlink"/>
            </w:rPr>
            <w:t>7.1.4.</w:t>
          </w:r>
          <w:r>
            <w:rPr>
              <w:rFonts w:asciiTheme="minorHAnsi" w:hAnsiTheme="minorHAnsi"/>
              <w:noProof/>
              <w:sz w:val="22"/>
            </w:rPr>
            <w:tab/>
          </w:r>
          <w:r w:rsidRPr="002D2950">
            <w:rPr>
              <w:rStyle w:val="Hyperlink"/>
            </w:rPr>
            <w:t>Funkcija: Pakalpojumu kvalitāte un atbalsta organizēšana</w:t>
          </w:r>
          <w:r>
            <w:tab/>
          </w:r>
          <w:r>
            <w:fldChar w:fldCharType="begin"/>
          </w:r>
          <w:r>
            <w:instrText xml:space="preserve"> PAGEREF _Toc256000086 \h </w:instrText>
          </w:r>
          <w:r>
            <w:fldChar w:fldCharType="separate"/>
          </w:r>
          <w:r>
            <w:t>32</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"_Toc256000087" </w:instrText>
          </w:r>
          <w:r>
            <w:fldChar w:fldCharType="separate"/>
          </w:r>
          <w:r>
            <w:rPr>
              <w:rStyle w:val="Hyperlink"/>
            </w:rPr>
            <w:t>7.2.</w:t>
          </w:r>
          <w:r>
            <w:rPr>
              <w:rFonts w:asciiTheme="minorHAnsi" w:hAnsiTheme="minorHAnsi"/>
              <w:noProof/>
              <w:sz w:val="22"/>
            </w:rPr>
            <w:tab/>
          </w:r>
          <w:r w:rsidRPr="002D2950">
            <w:rPr>
              <w:rStyle w:val="Hyperlink"/>
            </w:rPr>
            <w:t>Mākoņdatošanas</w:t>
          </w:r>
          <w:r w:rsidRPr="002D2950">
            <w:rPr>
              <w:rStyle w:val="Hyperlink"/>
            </w:rPr>
            <w:t xml:space="preserve"> </w:t>
          </w:r>
          <w:r w:rsidR="00CB26C6">
            <w:rPr>
              <w:rStyle w:val="Hyperlink"/>
            </w:rPr>
            <w:t xml:space="preserve">pakalpojumu </w:t>
          </w:r>
          <w:r w:rsidRPr="002D2950">
            <w:rPr>
              <w:rStyle w:val="Hyperlink"/>
            </w:rPr>
            <w:t>nodrošināšanā paredzētās lomas</w:t>
          </w:r>
          <w:r>
            <w:tab/>
          </w:r>
          <w:r>
            <w:fldChar w:fldCharType="begin"/>
          </w:r>
          <w:r>
            <w:instrText xml:space="preserve"> PAGEREF _Toc256000087 \h </w:instrText>
          </w:r>
          <w:r>
            <w:fldChar w:fldCharType="separate"/>
          </w:r>
          <w:r>
            <w:t>32</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"_Toc256000088" </w:instrText>
          </w:r>
          <w:r>
            <w:fldChar w:fldCharType="separate"/>
          </w:r>
          <w:r>
            <w:rPr>
              <w:rStyle w:val="Hyperlink"/>
            </w:rPr>
            <w:t>7.3.</w:t>
          </w:r>
          <w:r>
            <w:rPr>
              <w:rFonts w:asciiTheme="minorHAnsi" w:hAnsiTheme="minorHAnsi"/>
              <w:noProof/>
              <w:sz w:val="22"/>
            </w:rPr>
            <w:tab/>
          </w:r>
          <w:r w:rsidRPr="002D2950">
            <w:rPr>
              <w:rStyle w:val="Hyperlink"/>
            </w:rPr>
            <w:t>Mākoņdatošanas</w:t>
          </w:r>
          <w:r w:rsidRPr="002D2950">
            <w:rPr>
              <w:rStyle w:val="Hyperlink"/>
            </w:rPr>
            <w:t xml:space="preserve"> pakalpojumu </w:t>
          </w:r>
          <w:r w:rsidRPr="002D2950">
            <w:rPr>
              <w:rStyle w:val="Hyperlink"/>
            </w:rPr>
            <w:t>Brokera funkcijas</w:t>
          </w:r>
          <w:r>
            <w:tab/>
          </w:r>
          <w:r>
            <w:fldChar w:fldCharType="begin"/>
          </w:r>
          <w:r>
            <w:instrText xml:space="preserve"> PAGEREF _Toc256000088 \h </w:instrText>
          </w:r>
          <w:r>
            <w:fldChar w:fldCharType="separate"/>
          </w:r>
          <w:r>
            <w:t>33</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"_Toc256000089" </w:instrText>
          </w:r>
          <w:r>
            <w:fldChar w:fldCharType="separate"/>
          </w:r>
          <w:r>
            <w:rPr>
              <w:rStyle w:val="Hyperlink"/>
            </w:rPr>
            <w:t>7.4.</w:t>
          </w:r>
          <w:r>
            <w:rPr>
              <w:rFonts w:asciiTheme="minorHAnsi" w:hAnsiTheme="minorHAnsi"/>
              <w:noProof/>
              <w:sz w:val="22"/>
            </w:rPr>
            <w:tab/>
          </w:r>
          <w:r w:rsidRPr="002D2950">
            <w:rPr>
              <w:rStyle w:val="Hyperlink"/>
            </w:rPr>
            <w:t>Mākoņdatošanas</w:t>
          </w:r>
          <w:r w:rsidRPr="002D2950">
            <w:rPr>
              <w:rStyle w:val="Hyperlink"/>
            </w:rPr>
            <w:t xml:space="preserve"> </w:t>
          </w:r>
          <w:r w:rsidR="005077F3">
            <w:rPr>
              <w:rStyle w:val="Hyperlink"/>
            </w:rPr>
            <w:t xml:space="preserve">pakalpojumu jomā vadošās iestādes (MDP brokera) funkciju </w:t>
          </w:r>
          <w:r w:rsidRPr="002D2950">
            <w:rPr>
              <w:rStyle w:val="Hyperlink"/>
            </w:rPr>
            <w:t>finansējums</w:t>
          </w:r>
          <w:r>
            <w:tab/>
          </w:r>
          <w:r>
            <w:fldChar w:fldCharType="begin"/>
          </w:r>
          <w:r>
            <w:instrText xml:space="preserve"> PAGEREF _Toc256000089 \h </w:instrText>
          </w:r>
          <w:r>
            <w:fldChar w:fldCharType="separate"/>
          </w:r>
          <w:r>
            <w:t>36</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"_Toc256000090" </w:instrText>
          </w:r>
          <w:r>
            <w:fldChar w:fldCharType="separate"/>
          </w:r>
          <w:r>
            <w:rPr>
              <w:rStyle w:val="Hyperlink"/>
            </w:rPr>
            <w:t>7.5.</w:t>
          </w:r>
          <w:r>
            <w:rPr>
              <w:rFonts w:asciiTheme="minorHAnsi" w:hAnsiTheme="minorHAnsi"/>
              <w:noProof/>
              <w:sz w:val="22"/>
            </w:rPr>
            <w:tab/>
          </w:r>
          <w:r w:rsidRPr="002D2950">
            <w:rPr>
              <w:rStyle w:val="Hyperlink"/>
            </w:rPr>
            <w:t>Pakalpojumu salīdzināmība</w:t>
          </w:r>
          <w:r>
            <w:tab/>
          </w:r>
          <w:r>
            <w:fldChar w:fldCharType="begin"/>
          </w:r>
          <w:r>
            <w:instrText xml:space="preserve"> PAGEREF _Toc256000090 \h </w:instrText>
          </w:r>
          <w:r>
            <w:fldChar w:fldCharType="separate"/>
          </w:r>
          <w:r>
            <w:t>36</w:t>
          </w:r>
          <w:r>
            <w:fldChar w:fldCharType="end"/>
          </w:r>
          <w:r>
            <w:fldChar w:fldCharType="end"/>
          </w:r>
        </w:p>
        <w:p>
          <w:pPr>
            <w:pStyle w:val="TOC1"/>
            <w:tabs>
              <w:tab w:val="left" w:pos="480"/>
              <w:tab w:val="right" w:leader="dot" w:pos="9061"/>
            </w:tabs>
            <w:rPr>
              <w:rFonts w:asciiTheme="minorHAnsi" w:hAnsiTheme="minorHAnsi"/>
              <w:noProof/>
              <w:sz w:val="22"/>
            </w:rPr>
          </w:pPr>
          <w:r>
            <w:fldChar w:fldCharType="begin"/>
          </w:r>
          <w:r>
            <w:instrText xml:space="preserve"> HYPERLINK \l "_Toc256000091" </w:instrText>
          </w:r>
          <w:r>
            <w:fldChar w:fldCharType="separate"/>
          </w:r>
          <w:r>
            <w:rPr>
              <w:rStyle w:val="Hyperlink"/>
            </w:rPr>
            <w:t>8.</w:t>
          </w:r>
          <w:r>
            <w:rPr>
              <w:rFonts w:asciiTheme="minorHAnsi" w:hAnsiTheme="minorHAnsi"/>
              <w:noProof/>
              <w:sz w:val="22"/>
            </w:rPr>
            <w:tab/>
          </w:r>
          <w:r w:rsidRPr="002D2950">
            <w:rPr>
              <w:rStyle w:val="Hyperlink"/>
            </w:rPr>
            <w:t>Rīcības plāns</w:t>
          </w:r>
          <w:r>
            <w:tab/>
          </w:r>
          <w:r>
            <w:fldChar w:fldCharType="begin"/>
          </w:r>
          <w:r>
            <w:instrText xml:space="preserve"> PAGEREF _Toc256000091 \h </w:instrText>
          </w:r>
          <w:r>
            <w:fldChar w:fldCharType="separate"/>
          </w:r>
          <w:r>
            <w:t>37</w:t>
          </w:r>
          <w:r>
            <w:fldChar w:fldCharType="end"/>
          </w:r>
          <w:r>
            <w:fldChar w:fldCharType="end"/>
          </w:r>
        </w:p>
        <w:p w:rsidRPr="002D2950">
          <w:pPr>
            <w:rPr>
              <w:b/>
              <w:bCs/>
            </w:rPr>
          </w:pPr>
          <w:r w:rsidRPr="002D2950">
            <w:rPr>
              <w:b/>
              <w:bCs/>
            </w:rPr>
            <w:fldChar w:fldCharType="end"/>
          </w:r>
        </w:p>
      </w:sdtContent>
    </w:sdt>
    <w:p w:rsidR="007937E7" w:rsidRPr="002D2950" w:rsidP="00DA406A" w14:paraId="3C345787" w14:textId="77777777">
      <w:pPr>
        <w:rPr>
          <w:lang w:eastAsia="en-US"/>
        </w:rPr>
      </w:pPr>
    </w:p>
    <w:p w:rsidR="00DA406A" w:rsidRPr="002D2950" w:rsidP="00DA406A" w14:paraId="3D967228" w14:textId="77777777">
      <w:pPr>
        <w:rPr>
          <w:lang w:eastAsia="en-US"/>
        </w:rPr>
      </w:pPr>
    </w:p>
    <w:p w:rsidR="00465D4E" w:rsidRPr="002D2950" w:rsidP="0036491C" w14:paraId="0CFB19FE" w14:textId="77777777">
      <w:pPr>
        <w:rPr>
          <w:lang w:eastAsia="en-US"/>
        </w:rPr>
      </w:pPr>
    </w:p>
    <w:p w:rsidR="0036491C" w:rsidRPr="002D2950" w:rsidP="0036491C" w14:paraId="65695690" w14:textId="77777777">
      <w:pPr>
        <w:rPr>
          <w:lang w:eastAsia="en-US"/>
        </w:rPr>
      </w:pPr>
    </w:p>
    <w:p w:rsidR="0036491C" w:rsidRPr="002D2950" w:rsidP="0036491C" w14:paraId="152AC2A2" w14:textId="77777777">
      <w:pPr>
        <w:rPr>
          <w:lang w:eastAsia="en-US"/>
        </w:rPr>
      </w:pPr>
    </w:p>
    <w:p w:rsidR="0036491C" w:rsidRPr="002D2950" w:rsidP="0036491C" w14:paraId="24797F0B" w14:textId="77777777">
      <w:pPr>
        <w:rPr>
          <w:lang w:eastAsia="en-US"/>
        </w:rPr>
      </w:pPr>
    </w:p>
    <w:p w:rsidR="0036491C" w:rsidRPr="002D2950" w:rsidP="0036491C" w14:paraId="640B99B1" w14:textId="77777777">
      <w:pPr>
        <w:rPr>
          <w:lang w:eastAsia="en-US"/>
        </w:rPr>
      </w:pPr>
    </w:p>
    <w:p w:rsidR="0036491C" w:rsidRPr="002D2950" w:rsidP="0036491C" w14:paraId="2C140D31" w14:textId="77777777">
      <w:pPr>
        <w:rPr>
          <w:lang w:eastAsia="en-US"/>
        </w:rPr>
      </w:pPr>
    </w:p>
    <w:p w:rsidR="0036491C" w:rsidRPr="002D2950" w:rsidP="0036491C" w14:paraId="184AEE3D" w14:textId="77777777">
      <w:pPr>
        <w:rPr>
          <w:lang w:eastAsia="en-US"/>
        </w:rPr>
      </w:pPr>
    </w:p>
    <w:p w:rsidR="007F691B" w:rsidRPr="002D2950" w:rsidP="0036491C" w14:paraId="58B622BB" w14:textId="77777777">
      <w:pPr>
        <w:rPr>
          <w:lang w:eastAsia="en-US"/>
        </w:rPr>
      </w:pPr>
    </w:p>
    <w:p w:rsidR="007F691B" w:rsidRPr="002D2950" w:rsidP="0036491C" w14:paraId="5E5F37AC" w14:textId="77777777">
      <w:pPr>
        <w:rPr>
          <w:lang w:eastAsia="en-US"/>
        </w:rPr>
      </w:pPr>
    </w:p>
    <w:p w:rsidR="007F691B" w:rsidRPr="002D2950" w:rsidP="0036491C" w14:paraId="05E7B63A" w14:textId="77777777">
      <w:pPr>
        <w:rPr>
          <w:lang w:eastAsia="en-US"/>
        </w:rPr>
      </w:pPr>
    </w:p>
    <w:p w:rsidR="007F691B" w:rsidRPr="002D2950" w:rsidP="0036491C" w14:paraId="25468266" w14:textId="77777777">
      <w:pPr>
        <w:rPr>
          <w:lang w:eastAsia="en-US"/>
        </w:rPr>
      </w:pPr>
    </w:p>
    <w:p w:rsidR="007F691B" w:rsidRPr="002D2950" w:rsidP="0036491C" w14:paraId="1D0546CB" w14:textId="77777777">
      <w:pPr>
        <w:rPr>
          <w:lang w:eastAsia="en-US"/>
        </w:rPr>
      </w:pPr>
    </w:p>
    <w:p w:rsidR="007F691B" w:rsidRPr="002D2950" w:rsidP="0036491C" w14:paraId="6E799503" w14:textId="77777777">
      <w:pPr>
        <w:rPr>
          <w:lang w:eastAsia="en-US"/>
        </w:rPr>
      </w:pPr>
    </w:p>
    <w:p w:rsidR="007F691B" w:rsidP="0036491C" w14:paraId="495687EE" w14:textId="77777777">
      <w:pPr>
        <w:rPr>
          <w:lang w:eastAsia="en-US"/>
        </w:rPr>
      </w:pPr>
    </w:p>
    <w:p w:rsidR="0023060B" w:rsidP="0036491C" w14:paraId="1175A1EA" w14:textId="77777777">
      <w:pPr>
        <w:rPr>
          <w:lang w:eastAsia="en-US"/>
        </w:rPr>
      </w:pPr>
    </w:p>
    <w:p w:rsidR="0023060B" w:rsidP="0036491C" w14:paraId="0C579385" w14:textId="77777777">
      <w:pPr>
        <w:rPr>
          <w:lang w:eastAsia="en-US"/>
        </w:rPr>
      </w:pPr>
    </w:p>
    <w:p w:rsidR="0023060B" w:rsidRPr="002D2950" w:rsidP="0036491C" w14:paraId="16C309EB" w14:textId="77777777">
      <w:pPr>
        <w:rPr>
          <w:lang w:eastAsia="en-US"/>
        </w:rPr>
      </w:pPr>
    </w:p>
    <w:p w:rsidR="007F691B" w:rsidRPr="002D2950" w:rsidP="0036491C" w14:paraId="17A98842" w14:textId="77777777">
      <w:pPr>
        <w:rPr>
          <w:lang w:eastAsia="en-US"/>
        </w:rPr>
      </w:pPr>
    </w:p>
    <w:p w:rsidR="007F691B" w:rsidRPr="002D2950" w:rsidP="0036491C" w14:paraId="5DDD1ACD" w14:textId="77777777">
      <w:pPr>
        <w:rPr>
          <w:lang w:eastAsia="en-US"/>
        </w:rPr>
      </w:pPr>
    </w:p>
    <w:p w:rsidR="00AE352D" w:rsidRPr="002D2950" w:rsidP="00AE352D" w14:paraId="4BD5A3F5" w14:textId="77777777">
      <w:pPr>
        <w:pStyle w:val="Heading2"/>
        <w:pBdr>
          <w:top w:val="nil"/>
          <w:left w:val="nil"/>
          <w:bottom w:val="nil"/>
          <w:right w:val="nil"/>
          <w:between w:val="nil"/>
        </w:pBdr>
        <w:spacing w:before="0" w:after="160" w:line="276" w:lineRule="auto"/>
        <w:ind w:left="0"/>
        <w:rPr>
          <w:sz w:val="24"/>
          <w:szCs w:val="24"/>
        </w:rPr>
      </w:pPr>
      <w:bookmarkStart w:id="5" w:name="_Toc496001907"/>
      <w:bookmarkStart w:id="6" w:name="_Toc497818711"/>
      <w:bookmarkStart w:id="7" w:name="_Toc497995255"/>
      <w:bookmarkStart w:id="8" w:name="_Toc498017010"/>
      <w:bookmarkStart w:id="9" w:name="_Toc498346655"/>
      <w:bookmarkStart w:id="10" w:name="_Toc505072484"/>
      <w:bookmarkStart w:id="11" w:name="_Toc256000001"/>
      <w:bookmarkStart w:id="12" w:name="_Toc256000047"/>
      <w:r w:rsidRPr="002D2950">
        <w:rPr>
          <w:sz w:val="24"/>
          <w:szCs w:val="24"/>
        </w:rPr>
        <w:t>Terminu un saīsinājumu skaidrojums</w:t>
      </w:r>
      <w:bookmarkEnd w:id="12"/>
      <w:bookmarkEnd w:id="11"/>
      <w:bookmarkEnd w:id="5"/>
      <w:bookmarkEnd w:id="6"/>
      <w:bookmarkEnd w:id="7"/>
      <w:bookmarkEnd w:id="8"/>
      <w:bookmarkEnd w:id="9"/>
      <w:bookmarkEnd w:id="1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977"/>
        <w:gridCol w:w="6383"/>
      </w:tblGrid>
      <w:tr w14:paraId="113B44BD" w14:textId="77777777" w:rsidTr="0044412C">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Ex>
        <w:trPr>
          <w:tblHeader/>
        </w:trPr>
        <w:tc>
          <w:tcPr>
            <w:tcW w:w="2977" w:type="dxa"/>
            <w:shd w:val="clear" w:color="auto" w:fill="auto"/>
            <w:tcMar>
              <w:top w:w="100" w:type="dxa"/>
              <w:left w:w="100" w:type="dxa"/>
              <w:bottom w:w="100" w:type="dxa"/>
              <w:right w:w="100" w:type="dxa"/>
            </w:tcMar>
          </w:tcPr>
          <w:p w:rsidR="00AE352D" w:rsidRPr="002D2950" w:rsidP="002D2950" w14:paraId="5DFFC9B7" w14:textId="77777777">
            <w:pPr>
              <w:widowControl w:val="0"/>
              <w:rPr>
                <w:b/>
              </w:rPr>
            </w:pPr>
            <w:r w:rsidRPr="002D2950">
              <w:rPr>
                <w:b/>
              </w:rPr>
              <w:t>Izmantotais apzīmējums / saīsinājums</w:t>
            </w:r>
          </w:p>
        </w:tc>
        <w:tc>
          <w:tcPr>
            <w:tcW w:w="6383" w:type="dxa"/>
            <w:shd w:val="clear" w:color="auto" w:fill="auto"/>
            <w:tcMar>
              <w:top w:w="100" w:type="dxa"/>
              <w:left w:w="100" w:type="dxa"/>
              <w:bottom w:w="100" w:type="dxa"/>
              <w:right w:w="100" w:type="dxa"/>
            </w:tcMar>
          </w:tcPr>
          <w:p w:rsidR="00AE352D" w:rsidRPr="002D2950" w:rsidP="002D2950" w14:paraId="38EA57E8" w14:textId="77777777">
            <w:pPr>
              <w:widowControl w:val="0"/>
              <w:rPr>
                <w:b/>
              </w:rPr>
            </w:pPr>
            <w:r w:rsidRPr="002D2950">
              <w:rPr>
                <w:b/>
              </w:rPr>
              <w:t>Skaidrojums</w:t>
            </w:r>
          </w:p>
        </w:tc>
      </w:tr>
      <w:tr w14:paraId="5FB5E3F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46BD034" w14:textId="77777777">
            <w:pPr>
              <w:widowControl w:val="0"/>
            </w:pPr>
            <w:r w:rsidRPr="002D2950">
              <w:t>ASV</w:t>
            </w:r>
          </w:p>
        </w:tc>
        <w:tc>
          <w:tcPr>
            <w:tcW w:w="6383" w:type="dxa"/>
            <w:shd w:val="clear" w:color="auto" w:fill="auto"/>
            <w:tcMar>
              <w:top w:w="100" w:type="dxa"/>
              <w:left w:w="100" w:type="dxa"/>
              <w:bottom w:w="100" w:type="dxa"/>
              <w:right w:w="100" w:type="dxa"/>
            </w:tcMar>
          </w:tcPr>
          <w:p w:rsidR="00AE352D" w:rsidRPr="002D2950" w:rsidP="002D2950" w14:paraId="571F1D5A" w14:textId="77777777">
            <w:pPr>
              <w:widowControl w:val="0"/>
            </w:pPr>
            <w:r w:rsidRPr="002D2950">
              <w:t>Amerikas Savienotās Valstis</w:t>
            </w:r>
          </w:p>
        </w:tc>
      </w:tr>
      <w:tr w14:paraId="026039C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CC5D06" w:rsidP="002D2950" w14:paraId="4857E1B7" w14:textId="4094B373">
            <w:pPr>
              <w:widowControl w:val="0"/>
            </w:pPr>
            <w:r>
              <w:t>BAE</w:t>
            </w:r>
          </w:p>
        </w:tc>
        <w:tc>
          <w:tcPr>
            <w:tcW w:w="6383" w:type="dxa"/>
            <w:shd w:val="clear" w:color="auto" w:fill="auto"/>
            <w:tcMar>
              <w:top w:w="100" w:type="dxa"/>
              <w:left w:w="100" w:type="dxa"/>
              <w:bottom w:w="100" w:type="dxa"/>
              <w:right w:w="100" w:type="dxa"/>
            </w:tcMar>
          </w:tcPr>
          <w:p w:rsidR="00CC5D06" w:rsidP="00253093" w14:paraId="6E7B11A1" w14:textId="5343EEB5">
            <w:pPr>
              <w:widowControl w:val="0"/>
            </w:pPr>
            <w:r>
              <w:t>Būtisks valsts vienotās IKT arhitektūras elements</w:t>
            </w:r>
          </w:p>
        </w:tc>
      </w:tr>
      <w:tr w14:paraId="53FFF5B0"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253093" w:rsidRPr="002D2950" w:rsidP="002D2950" w14:paraId="4F511577" w14:textId="6B18D72D">
            <w:pPr>
              <w:widowControl w:val="0"/>
            </w:pPr>
            <w:r>
              <w:t xml:space="preserve">Briedums (normatīvais, organizatoriskais, semantiskais, tehnoloģiskais) </w:t>
            </w:r>
          </w:p>
        </w:tc>
        <w:tc>
          <w:tcPr>
            <w:tcW w:w="6383" w:type="dxa"/>
            <w:shd w:val="clear" w:color="auto" w:fill="auto"/>
            <w:tcMar>
              <w:top w:w="100" w:type="dxa"/>
              <w:left w:w="100" w:type="dxa"/>
              <w:bottom w:w="100" w:type="dxa"/>
              <w:right w:w="100" w:type="dxa"/>
            </w:tcMar>
          </w:tcPr>
          <w:p w:rsidR="00253093" w:rsidRPr="002D2950" w:rsidP="00253093" w14:paraId="74B161C0" w14:textId="203C4E72">
            <w:pPr>
              <w:widowControl w:val="0"/>
            </w:pPr>
            <w:r>
              <w:t>IKT pārvaldības procesu brieduma līmeņi (</w:t>
            </w:r>
            <w:r w:rsidRPr="00253093">
              <w:rPr>
                <w:i/>
              </w:rPr>
              <w:t>maturity</w:t>
            </w:r>
            <w:r w:rsidRPr="00253093">
              <w:rPr>
                <w:i/>
              </w:rPr>
              <w:t xml:space="preserve"> </w:t>
            </w:r>
            <w:r w:rsidRPr="00253093">
              <w:rPr>
                <w:i/>
              </w:rPr>
              <w:t>level</w:t>
            </w:r>
            <w:r>
              <w:t>), kas tiek attiecināti uz IKT arhitektūras jomām, saskaņā ar Eiropas sadarbspējas satvara (</w:t>
            </w:r>
            <w:r w:rsidRPr="00253093">
              <w:rPr>
                <w:i/>
              </w:rPr>
              <w:t>European</w:t>
            </w:r>
            <w:r w:rsidRPr="00253093">
              <w:rPr>
                <w:i/>
              </w:rPr>
              <w:t xml:space="preserve"> </w:t>
            </w:r>
            <w:r w:rsidRPr="00253093">
              <w:rPr>
                <w:i/>
              </w:rPr>
              <w:t>Interoperability</w:t>
            </w:r>
            <w:r w:rsidRPr="00253093">
              <w:rPr>
                <w:i/>
              </w:rPr>
              <w:t xml:space="preserve"> </w:t>
            </w:r>
            <w:r w:rsidRPr="00253093">
              <w:rPr>
                <w:i/>
              </w:rPr>
              <w:t>Model</w:t>
            </w:r>
            <w:r>
              <w:t xml:space="preserve">) četrām dimensijām – normatīvo, organizatorisko, semantisko un tehnoloģisko </w:t>
            </w:r>
          </w:p>
        </w:tc>
      </w:tr>
      <w:tr w14:paraId="4BB34AE5"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9071BD" w:rsidRPr="002D2950" w:rsidP="002D2950" w14:paraId="5504C46D" w14:textId="384CFE58">
            <w:pPr>
              <w:widowControl w:val="0"/>
            </w:pPr>
            <w:r>
              <w:t>DC</w:t>
            </w:r>
          </w:p>
        </w:tc>
        <w:tc>
          <w:tcPr>
            <w:tcW w:w="6383" w:type="dxa"/>
            <w:shd w:val="clear" w:color="auto" w:fill="auto"/>
            <w:tcMar>
              <w:top w:w="100" w:type="dxa"/>
              <w:left w:w="100" w:type="dxa"/>
              <w:bottom w:w="100" w:type="dxa"/>
              <w:right w:w="100" w:type="dxa"/>
            </w:tcMar>
          </w:tcPr>
          <w:p w:rsidR="009071BD" w:rsidRPr="002D2950" w:rsidP="002D2950" w14:paraId="32F0672F" w14:textId="7CC656EC">
            <w:pPr>
              <w:widowControl w:val="0"/>
            </w:pPr>
            <w:r>
              <w:t>Datu centrs</w:t>
            </w:r>
          </w:p>
        </w:tc>
      </w:tr>
      <w:tr w14:paraId="37DF1D3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5FF6F4CF" w14:textId="77777777">
            <w:pPr>
              <w:widowControl w:val="0"/>
            </w:pPr>
            <w:r w:rsidRPr="002D2950">
              <w:t>EDS</w:t>
            </w:r>
          </w:p>
        </w:tc>
        <w:tc>
          <w:tcPr>
            <w:tcW w:w="6383" w:type="dxa"/>
            <w:shd w:val="clear" w:color="auto" w:fill="auto"/>
            <w:tcMar>
              <w:top w:w="100" w:type="dxa"/>
              <w:left w:w="100" w:type="dxa"/>
              <w:bottom w:w="100" w:type="dxa"/>
              <w:right w:w="100" w:type="dxa"/>
            </w:tcMar>
          </w:tcPr>
          <w:p w:rsidR="00AE352D" w:rsidRPr="002D2950" w:rsidP="002D2950" w14:paraId="201A9BFE" w14:textId="77777777">
            <w:pPr>
              <w:widowControl w:val="0"/>
            </w:pPr>
            <w:r w:rsidRPr="002D2950">
              <w:t>Elektroniskās deklarēšanas sistēma</w:t>
            </w:r>
          </w:p>
        </w:tc>
      </w:tr>
      <w:tr w14:paraId="762A75BC"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05718F52" w14:textId="77777777">
            <w:pPr>
              <w:widowControl w:val="0"/>
            </w:pPr>
            <w:r w:rsidRPr="002D2950">
              <w:t>EIS</w:t>
            </w:r>
          </w:p>
        </w:tc>
        <w:tc>
          <w:tcPr>
            <w:tcW w:w="6383" w:type="dxa"/>
            <w:shd w:val="clear" w:color="auto" w:fill="auto"/>
            <w:tcMar>
              <w:top w:w="100" w:type="dxa"/>
              <w:left w:w="100" w:type="dxa"/>
              <w:bottom w:w="100" w:type="dxa"/>
              <w:right w:w="100" w:type="dxa"/>
            </w:tcMar>
          </w:tcPr>
          <w:p w:rsidR="00AE352D" w:rsidRPr="002D2950" w:rsidP="002D2950" w14:paraId="7093EE50" w14:textId="77777777">
            <w:pPr>
              <w:widowControl w:val="0"/>
            </w:pPr>
            <w:r w:rsidRPr="002D2950">
              <w:t>Elektronisko iepirkumu sistēma</w:t>
            </w:r>
          </w:p>
        </w:tc>
      </w:tr>
      <w:tr w14:paraId="6CF3D27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55F3A51B" w14:textId="77777777">
            <w:pPr>
              <w:widowControl w:val="0"/>
            </w:pPr>
            <w:r w:rsidRPr="002D2950">
              <w:t>EM</w:t>
            </w:r>
          </w:p>
        </w:tc>
        <w:tc>
          <w:tcPr>
            <w:tcW w:w="6383" w:type="dxa"/>
            <w:shd w:val="clear" w:color="auto" w:fill="auto"/>
            <w:tcMar>
              <w:top w:w="100" w:type="dxa"/>
              <w:left w:w="100" w:type="dxa"/>
              <w:bottom w:w="100" w:type="dxa"/>
              <w:right w:w="100" w:type="dxa"/>
            </w:tcMar>
          </w:tcPr>
          <w:p w:rsidR="00AE352D" w:rsidRPr="002D2950" w:rsidP="002D2950" w14:paraId="7F11E7BA" w14:textId="77777777">
            <w:pPr>
              <w:widowControl w:val="0"/>
            </w:pPr>
            <w:r w:rsidRPr="002D2950">
              <w:t>Ekonomikas ministrija</w:t>
            </w:r>
          </w:p>
        </w:tc>
      </w:tr>
      <w:tr w14:paraId="06D0DA02"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60DEF26E" w14:textId="77777777">
            <w:pPr>
              <w:widowControl w:val="0"/>
            </w:pPr>
            <w:r w:rsidRPr="002D2950">
              <w:t>ERAF</w:t>
            </w:r>
          </w:p>
        </w:tc>
        <w:tc>
          <w:tcPr>
            <w:tcW w:w="6383" w:type="dxa"/>
            <w:shd w:val="clear" w:color="auto" w:fill="auto"/>
            <w:tcMar>
              <w:top w:w="100" w:type="dxa"/>
              <w:left w:w="100" w:type="dxa"/>
              <w:bottom w:w="100" w:type="dxa"/>
              <w:right w:w="100" w:type="dxa"/>
            </w:tcMar>
          </w:tcPr>
          <w:p w:rsidR="00AE352D" w:rsidRPr="002D2950" w:rsidP="002D2950" w14:paraId="64074AE3" w14:textId="77777777">
            <w:pPr>
              <w:widowControl w:val="0"/>
            </w:pPr>
            <w:r w:rsidRPr="002D2950">
              <w:t>Eiropas Reģionālās attīstības fonds</w:t>
            </w:r>
          </w:p>
        </w:tc>
      </w:tr>
      <w:tr w14:paraId="09368587"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CC5D06" w:rsidRPr="002D2950" w:rsidP="002D2950" w14:paraId="48DC5781" w14:textId="029BE9A6">
            <w:pPr>
              <w:widowControl w:val="0"/>
            </w:pPr>
            <w:r w:rsidRPr="00CC5D06">
              <w:t>ERAF plānošanas periods</w:t>
            </w:r>
          </w:p>
        </w:tc>
        <w:tc>
          <w:tcPr>
            <w:tcW w:w="6383" w:type="dxa"/>
            <w:shd w:val="clear" w:color="auto" w:fill="auto"/>
            <w:tcMar>
              <w:top w:w="100" w:type="dxa"/>
              <w:left w:w="100" w:type="dxa"/>
              <w:bottom w:w="100" w:type="dxa"/>
              <w:right w:w="100" w:type="dxa"/>
            </w:tcMar>
          </w:tcPr>
          <w:p w:rsidR="00CC5D06" w:rsidRPr="002D2950" w:rsidP="00CC5D06" w14:paraId="4815D91A" w14:textId="1C3CE867">
            <w:pPr>
              <w:widowControl w:val="0"/>
            </w:pPr>
            <w:r w:rsidRPr="00CC5D06">
              <w:t>Eiropas Savienības struktūrfondu un Kohēzijas fonda 2014.–</w:t>
            </w:r>
            <w:r w:rsidRPr="00CC5D06">
              <w:t>2020.gada</w:t>
            </w:r>
            <w:r w:rsidRPr="00CC5D06">
              <w:t xml:space="preserve"> plānošanas periods</w:t>
            </w:r>
          </w:p>
        </w:tc>
      </w:tr>
      <w:tr w14:paraId="220762A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154835A7" w14:textId="77777777">
            <w:pPr>
              <w:widowControl w:val="0"/>
            </w:pPr>
            <w:r w:rsidRPr="002D2950">
              <w:t>ES</w:t>
            </w:r>
          </w:p>
        </w:tc>
        <w:tc>
          <w:tcPr>
            <w:tcW w:w="6383" w:type="dxa"/>
            <w:shd w:val="clear" w:color="auto" w:fill="auto"/>
            <w:tcMar>
              <w:top w:w="100" w:type="dxa"/>
              <w:left w:w="100" w:type="dxa"/>
              <w:bottom w:w="100" w:type="dxa"/>
              <w:right w:w="100" w:type="dxa"/>
            </w:tcMar>
          </w:tcPr>
          <w:p w:rsidR="00AE352D" w:rsidRPr="002D2950" w:rsidP="002D2950" w14:paraId="0E3F009E" w14:textId="77777777">
            <w:pPr>
              <w:widowControl w:val="0"/>
            </w:pPr>
            <w:r w:rsidRPr="002D2950">
              <w:t>Eiropas Savienība</w:t>
            </w:r>
          </w:p>
        </w:tc>
      </w:tr>
      <w:tr w14:paraId="6BC8A4D7"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10613FF2" w14:textId="77777777">
            <w:pPr>
              <w:widowControl w:val="0"/>
            </w:pPr>
            <w:r w:rsidRPr="002D2950">
              <w:rPr>
                <w:highlight w:val="white"/>
              </w:rPr>
              <w:t>IaaS</w:t>
            </w:r>
          </w:p>
        </w:tc>
        <w:tc>
          <w:tcPr>
            <w:tcW w:w="6383" w:type="dxa"/>
            <w:shd w:val="clear" w:color="auto" w:fill="auto"/>
            <w:tcMar>
              <w:top w:w="100" w:type="dxa"/>
              <w:left w:w="100" w:type="dxa"/>
              <w:bottom w:w="100" w:type="dxa"/>
              <w:right w:w="100" w:type="dxa"/>
            </w:tcMar>
          </w:tcPr>
          <w:p w:rsidR="00AE352D" w:rsidRPr="002D2950" w:rsidP="002D2950" w14:paraId="7DDEEA1F" w14:textId="77777777">
            <w:pPr>
              <w:widowControl w:val="0"/>
            </w:pPr>
            <w:r w:rsidRPr="002D2950">
              <w:t>Mākoņdatošanas</w:t>
            </w:r>
            <w:r w:rsidRPr="002D2950">
              <w:t xml:space="preserve"> infrastruktūras līmeņa pakalpojumi (</w:t>
            </w:r>
            <w:r w:rsidRPr="002D2950">
              <w:rPr>
                <w:i/>
              </w:rPr>
              <w:t>Infrastructure</w:t>
            </w:r>
            <w:r w:rsidRPr="002D2950">
              <w:rPr>
                <w:i/>
              </w:rPr>
              <w:t xml:space="preserve"> as a </w:t>
            </w:r>
            <w:r w:rsidRPr="002D2950">
              <w:rPr>
                <w:i/>
              </w:rPr>
              <w:t>service</w:t>
            </w:r>
            <w:r w:rsidRPr="002D2950">
              <w:t>)</w:t>
            </w:r>
          </w:p>
        </w:tc>
      </w:tr>
      <w:tr w14:paraId="5B9661B2"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0B68B66F" w14:textId="77777777">
            <w:pPr>
              <w:widowControl w:val="0"/>
            </w:pPr>
            <w:r w:rsidRPr="002D2950">
              <w:t>IeM</w:t>
            </w:r>
          </w:p>
        </w:tc>
        <w:tc>
          <w:tcPr>
            <w:tcW w:w="6383" w:type="dxa"/>
            <w:shd w:val="clear" w:color="auto" w:fill="auto"/>
            <w:tcMar>
              <w:top w:w="100" w:type="dxa"/>
              <w:left w:w="100" w:type="dxa"/>
              <w:bottom w:w="100" w:type="dxa"/>
              <w:right w:w="100" w:type="dxa"/>
            </w:tcMar>
          </w:tcPr>
          <w:p w:rsidR="00AE352D" w:rsidRPr="002D2950" w:rsidP="002D2950" w14:paraId="4B2B6A35" w14:textId="77777777">
            <w:pPr>
              <w:widowControl w:val="0"/>
            </w:pPr>
            <w:r w:rsidRPr="002D2950">
              <w:t>Iekšlietu ministrija</w:t>
            </w:r>
          </w:p>
        </w:tc>
      </w:tr>
      <w:tr w14:paraId="4219A4D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332EDFD4" w14:textId="77777777">
            <w:pPr>
              <w:widowControl w:val="0"/>
            </w:pPr>
            <w:r w:rsidRPr="002D2950">
              <w:t>IeM IC</w:t>
            </w:r>
          </w:p>
        </w:tc>
        <w:tc>
          <w:tcPr>
            <w:tcW w:w="6383" w:type="dxa"/>
            <w:shd w:val="clear" w:color="auto" w:fill="auto"/>
            <w:tcMar>
              <w:top w:w="100" w:type="dxa"/>
              <w:left w:w="100" w:type="dxa"/>
              <w:bottom w:w="100" w:type="dxa"/>
              <w:right w:w="100" w:type="dxa"/>
            </w:tcMar>
          </w:tcPr>
          <w:p w:rsidR="00AE352D" w:rsidRPr="002D2950" w:rsidP="002D2950" w14:paraId="284D8CA7" w14:textId="77777777">
            <w:pPr>
              <w:widowControl w:val="0"/>
            </w:pPr>
            <w:r w:rsidRPr="002D2950">
              <w:t>Iekšlietu ministrijas Informācijas centrs</w:t>
            </w:r>
          </w:p>
        </w:tc>
      </w:tr>
      <w:tr w14:paraId="20E67A2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6CD541C3" w14:textId="77777777">
            <w:pPr>
              <w:widowControl w:val="0"/>
            </w:pPr>
            <w:r w:rsidRPr="002D2950">
              <w:t>IKT</w:t>
            </w:r>
          </w:p>
        </w:tc>
        <w:tc>
          <w:tcPr>
            <w:tcW w:w="6383" w:type="dxa"/>
            <w:shd w:val="clear" w:color="auto" w:fill="auto"/>
            <w:tcMar>
              <w:top w:w="100" w:type="dxa"/>
              <w:left w:w="100" w:type="dxa"/>
              <w:bottom w:w="100" w:type="dxa"/>
              <w:right w:w="100" w:type="dxa"/>
            </w:tcMar>
          </w:tcPr>
          <w:p w:rsidR="00AE352D" w:rsidRPr="002D2950" w:rsidP="002D2950" w14:paraId="4C48D37F" w14:textId="77777777">
            <w:pPr>
              <w:widowControl w:val="0"/>
            </w:pPr>
            <w:r w:rsidRPr="002D2950">
              <w:t>Informācijas un komunikācijas tehnoloģijas</w:t>
            </w:r>
          </w:p>
        </w:tc>
      </w:tr>
      <w:tr w14:paraId="6176EA13"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98025BD" w14:textId="77777777">
            <w:pPr>
              <w:widowControl w:val="0"/>
            </w:pPr>
            <w:r w:rsidRPr="002D2950">
              <w:t>IS</w:t>
            </w:r>
          </w:p>
        </w:tc>
        <w:tc>
          <w:tcPr>
            <w:tcW w:w="6383" w:type="dxa"/>
            <w:shd w:val="clear" w:color="auto" w:fill="auto"/>
            <w:tcMar>
              <w:top w:w="100" w:type="dxa"/>
              <w:left w:w="100" w:type="dxa"/>
              <w:bottom w:w="100" w:type="dxa"/>
              <w:right w:w="100" w:type="dxa"/>
            </w:tcMar>
          </w:tcPr>
          <w:p w:rsidR="00AE352D" w:rsidRPr="002D2950" w:rsidP="002D2950" w14:paraId="34349CFA" w14:textId="77777777">
            <w:pPr>
              <w:widowControl w:val="0"/>
            </w:pPr>
            <w:r w:rsidRPr="002D2950">
              <w:t>Informācijas sistēma</w:t>
            </w:r>
          </w:p>
        </w:tc>
      </w:tr>
      <w:tr w14:paraId="2C41809E"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9FED124" w14:textId="77777777">
            <w:pPr>
              <w:widowControl w:val="0"/>
            </w:pPr>
            <w:r w:rsidRPr="002D2950">
              <w:t>ITIL</w:t>
            </w:r>
          </w:p>
        </w:tc>
        <w:tc>
          <w:tcPr>
            <w:tcW w:w="6383" w:type="dxa"/>
            <w:shd w:val="clear" w:color="auto" w:fill="auto"/>
            <w:tcMar>
              <w:top w:w="100" w:type="dxa"/>
              <w:left w:w="100" w:type="dxa"/>
              <w:bottom w:w="100" w:type="dxa"/>
              <w:right w:w="100" w:type="dxa"/>
            </w:tcMar>
          </w:tcPr>
          <w:p w:rsidR="00AE352D" w:rsidRPr="002D2950" w:rsidP="002D2950" w14:paraId="2FAA1DAF" w14:textId="77777777">
            <w:pPr>
              <w:widowControl w:val="0"/>
            </w:pPr>
            <w:r w:rsidRPr="002D2950">
              <w:t>IT infrastruktūras Bibliotēka</w:t>
            </w:r>
            <w:r w:rsidRPr="002D2950">
              <w:rPr>
                <w:sz w:val="18"/>
                <w:szCs w:val="18"/>
              </w:rPr>
              <w:t xml:space="preserve"> (</w:t>
            </w:r>
            <w:r w:rsidRPr="002D2950">
              <w:rPr>
                <w:i/>
              </w:rPr>
              <w:t>Information</w:t>
            </w:r>
            <w:r w:rsidRPr="002D2950">
              <w:rPr>
                <w:i/>
              </w:rPr>
              <w:t xml:space="preserve"> </w:t>
            </w:r>
            <w:r w:rsidRPr="002D2950">
              <w:rPr>
                <w:i/>
              </w:rPr>
              <w:t>Technology</w:t>
            </w:r>
            <w:r w:rsidRPr="002D2950">
              <w:rPr>
                <w:i/>
              </w:rPr>
              <w:t xml:space="preserve"> </w:t>
            </w:r>
            <w:r w:rsidRPr="002D2950">
              <w:rPr>
                <w:i/>
              </w:rPr>
              <w:t>Infrastructure</w:t>
            </w:r>
            <w:r w:rsidRPr="002D2950">
              <w:rPr>
                <w:i/>
              </w:rPr>
              <w:t xml:space="preserve"> </w:t>
            </w:r>
            <w:r w:rsidRPr="002D2950">
              <w:rPr>
                <w:i/>
              </w:rPr>
              <w:t>Library</w:t>
            </w:r>
            <w:r w:rsidRPr="002D2950">
              <w:t>) - viens no</w:t>
            </w:r>
            <w:r w:rsidRPr="002D2950">
              <w:t xml:space="preserve">  </w:t>
            </w:r>
            <w:r w:rsidRPr="002D2950">
              <w:t>nozares standartiem IT procesu pārvaldībā</w:t>
            </w:r>
          </w:p>
        </w:tc>
      </w:tr>
      <w:tr w14:paraId="116DDE73"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67EFF028" w14:textId="77777777">
            <w:pPr>
              <w:widowControl w:val="0"/>
            </w:pPr>
            <w:r w:rsidRPr="002D2950">
              <w:t>LM</w:t>
            </w:r>
          </w:p>
        </w:tc>
        <w:tc>
          <w:tcPr>
            <w:tcW w:w="6383" w:type="dxa"/>
            <w:shd w:val="clear" w:color="auto" w:fill="auto"/>
            <w:tcMar>
              <w:top w:w="100" w:type="dxa"/>
              <w:left w:w="100" w:type="dxa"/>
              <w:bottom w:w="100" w:type="dxa"/>
              <w:right w:w="100" w:type="dxa"/>
            </w:tcMar>
          </w:tcPr>
          <w:p w:rsidR="00AE352D" w:rsidRPr="002D2950" w:rsidP="002D2950" w14:paraId="7ADD28A9" w14:textId="77777777">
            <w:pPr>
              <w:widowControl w:val="0"/>
            </w:pPr>
            <w:r w:rsidRPr="002D2950">
              <w:t>Labklājības ministrija</w:t>
            </w:r>
          </w:p>
        </w:tc>
      </w:tr>
      <w:tr w14:paraId="4102D603"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303F24" w:rsidRPr="002D2950" w:rsidP="002D2950" w14:paraId="5F21B2E0" w14:textId="24D90589">
            <w:pPr>
              <w:widowControl w:val="0"/>
            </w:pPr>
            <w:r>
              <w:t>LVDC</w:t>
            </w:r>
          </w:p>
        </w:tc>
        <w:tc>
          <w:tcPr>
            <w:tcW w:w="6383" w:type="dxa"/>
            <w:shd w:val="clear" w:color="auto" w:fill="auto"/>
            <w:tcMar>
              <w:top w:w="100" w:type="dxa"/>
              <w:left w:w="100" w:type="dxa"/>
              <w:bottom w:w="100" w:type="dxa"/>
              <w:right w:w="100" w:type="dxa"/>
            </w:tcMar>
          </w:tcPr>
          <w:p w:rsidR="00303F24" w:rsidRPr="002D2950" w:rsidP="007733D5" w14:paraId="2AD824A7" w14:textId="5265BF61">
            <w:pPr>
              <w:widowControl w:val="0"/>
            </w:pPr>
            <w:r>
              <w:t xml:space="preserve">Latvijas valsts pārvaldes loģiski vienotais datu centrs – fiziski attālināti novietotu, bet vienotā īpaši aizsargātā platjoslas datu </w:t>
            </w:r>
            <w:r w:rsidR="0060709F">
              <w:t>pārraides datu t</w:t>
            </w:r>
            <w:r>
              <w:t xml:space="preserve">īklā apvienotu datu centru kopums, kas tiek </w:t>
            </w:r>
            <w:r>
              <w:t xml:space="preserve">izmantots koplietošanas IKT pakalpojumu sniegšanai valsts pārvaldes </w:t>
            </w:r>
            <w:r w:rsidR="007733D5">
              <w:t>patērētāja</w:t>
            </w:r>
            <w:r>
              <w:t>m</w:t>
            </w:r>
            <w:r>
              <w:t xml:space="preserve">  </w:t>
            </w:r>
          </w:p>
        </w:tc>
      </w:tr>
      <w:tr w14:paraId="17975F30"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3EFB896A" w14:textId="77777777">
            <w:pPr>
              <w:widowControl w:val="0"/>
            </w:pPr>
            <w:r w:rsidRPr="002D2950">
              <w:t>LVRTC</w:t>
            </w:r>
          </w:p>
        </w:tc>
        <w:tc>
          <w:tcPr>
            <w:tcW w:w="6383" w:type="dxa"/>
            <w:shd w:val="clear" w:color="auto" w:fill="auto"/>
            <w:tcMar>
              <w:top w:w="100" w:type="dxa"/>
              <w:left w:w="100" w:type="dxa"/>
              <w:bottom w:w="100" w:type="dxa"/>
              <w:right w:w="100" w:type="dxa"/>
            </w:tcMar>
          </w:tcPr>
          <w:p w:rsidR="00AE352D" w:rsidRPr="002D2950" w:rsidP="009071BD" w14:paraId="52D384B8" w14:textId="7D52EAC1">
            <w:pPr>
              <w:widowControl w:val="0"/>
            </w:pPr>
            <w:r w:rsidRPr="002D2950">
              <w:t>V</w:t>
            </w:r>
            <w:r w:rsidR="009071BD">
              <w:t>alsts akciju sabiedrība</w:t>
            </w:r>
            <w:r w:rsidRPr="002D2950">
              <w:t xml:space="preserve"> ”Latvijas Valsts radio un televīzijas centrs”</w:t>
            </w:r>
          </w:p>
        </w:tc>
      </w:tr>
      <w:tr w14:paraId="31F192F7"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52B6DD6" w14:textId="77777777">
            <w:pPr>
              <w:widowControl w:val="0"/>
            </w:pPr>
            <w:r w:rsidRPr="002D2950">
              <w:t>MDP</w:t>
            </w:r>
          </w:p>
        </w:tc>
        <w:tc>
          <w:tcPr>
            <w:tcW w:w="6383" w:type="dxa"/>
            <w:shd w:val="clear" w:color="auto" w:fill="auto"/>
            <w:tcMar>
              <w:top w:w="100" w:type="dxa"/>
              <w:left w:w="100" w:type="dxa"/>
              <w:bottom w:w="100" w:type="dxa"/>
              <w:right w:w="100" w:type="dxa"/>
            </w:tcMar>
          </w:tcPr>
          <w:p w:rsidR="00AE352D" w:rsidRPr="002D2950" w:rsidP="002D2950" w14:paraId="0E216377" w14:textId="77777777">
            <w:pPr>
              <w:widowControl w:val="0"/>
            </w:pPr>
            <w:r w:rsidRPr="002D2950">
              <w:t>Mākoņdatošanas</w:t>
            </w:r>
            <w:r w:rsidRPr="002D2950">
              <w:t xml:space="preserve"> pakalpojumi</w:t>
            </w:r>
          </w:p>
        </w:tc>
      </w:tr>
      <w:tr w14:paraId="0975A640"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1B9FD331" w14:textId="77777777">
            <w:pPr>
              <w:widowControl w:val="0"/>
            </w:pPr>
            <w:r w:rsidRPr="002D2950">
              <w:t>MDP brokeris</w:t>
            </w:r>
          </w:p>
        </w:tc>
        <w:tc>
          <w:tcPr>
            <w:tcW w:w="6383" w:type="dxa"/>
            <w:shd w:val="clear" w:color="auto" w:fill="auto"/>
            <w:tcMar>
              <w:top w:w="100" w:type="dxa"/>
              <w:left w:w="100" w:type="dxa"/>
              <w:bottom w:w="100" w:type="dxa"/>
              <w:right w:w="100" w:type="dxa"/>
            </w:tcMar>
          </w:tcPr>
          <w:p w:rsidR="00AE352D" w:rsidRPr="002D2950" w:rsidP="00201D04" w14:paraId="5D75C0E3" w14:textId="23A25072">
            <w:pPr>
              <w:widowControl w:val="0"/>
            </w:pPr>
            <w:r>
              <w:t xml:space="preserve">Valsts pārvaldes iestāde </w:t>
            </w:r>
            <w:r w:rsidR="00201D04">
              <w:t>(</w:t>
            </w:r>
            <w:r w:rsidRPr="009A0AD5">
              <w:t>vai vairākas pārvaldes iestādes, kuras izpilda attiecīgās funkcijas), kas koordinē ar MDP</w:t>
            </w:r>
            <w:r w:rsidR="00201D04">
              <w:t xml:space="preserve"> pārvaldību </w:t>
            </w:r>
            <w:r w:rsidRPr="009A0AD5">
              <w:t>saistītās darbības</w:t>
            </w:r>
          </w:p>
        </w:tc>
      </w:tr>
      <w:tr w14:paraId="6909789E"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01779A4E" w14:textId="77777777">
            <w:pPr>
              <w:widowControl w:val="0"/>
            </w:pPr>
            <w:r w:rsidRPr="002D2950">
              <w:t>MK</w:t>
            </w:r>
          </w:p>
        </w:tc>
        <w:tc>
          <w:tcPr>
            <w:tcW w:w="6383" w:type="dxa"/>
            <w:shd w:val="clear" w:color="auto" w:fill="auto"/>
            <w:tcMar>
              <w:top w:w="100" w:type="dxa"/>
              <w:left w:w="100" w:type="dxa"/>
              <w:bottom w:w="100" w:type="dxa"/>
              <w:right w:w="100" w:type="dxa"/>
            </w:tcMar>
          </w:tcPr>
          <w:p w:rsidR="00AE352D" w:rsidRPr="002D2950" w:rsidP="002D2950" w14:paraId="64674686" w14:textId="77777777">
            <w:pPr>
              <w:widowControl w:val="0"/>
            </w:pPr>
            <w:r w:rsidRPr="002D2950">
              <w:t>Ministru kabinets</w:t>
            </w:r>
          </w:p>
        </w:tc>
      </w:tr>
      <w:tr w14:paraId="6E21B781"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B6526F5" w14:textId="77777777">
            <w:pPr>
              <w:widowControl w:val="0"/>
            </w:pPr>
            <w:r w:rsidRPr="002D2950">
              <w:t>NIST</w:t>
            </w:r>
          </w:p>
        </w:tc>
        <w:tc>
          <w:tcPr>
            <w:tcW w:w="6383" w:type="dxa"/>
            <w:shd w:val="clear" w:color="auto" w:fill="auto"/>
            <w:tcMar>
              <w:top w:w="100" w:type="dxa"/>
              <w:left w:w="100" w:type="dxa"/>
              <w:bottom w:w="100" w:type="dxa"/>
              <w:right w:w="100" w:type="dxa"/>
            </w:tcMar>
          </w:tcPr>
          <w:p w:rsidR="00AE352D" w:rsidRPr="002D2950" w:rsidP="002D2950" w14:paraId="62944B82" w14:textId="77777777">
            <w:pPr>
              <w:widowControl w:val="0"/>
            </w:pPr>
            <w:r w:rsidRPr="002D2950">
              <w:rPr>
                <w:highlight w:val="white"/>
              </w:rPr>
              <w:t>ASV Nacionālais standartu un tehnoloģijas institūts (</w:t>
            </w:r>
            <w:r w:rsidRPr="002D2950">
              <w:rPr>
                <w:i/>
              </w:rPr>
              <w:t>National</w:t>
            </w:r>
            <w:r w:rsidRPr="002D2950">
              <w:rPr>
                <w:i/>
              </w:rPr>
              <w:t xml:space="preserve"> </w:t>
            </w:r>
            <w:r w:rsidRPr="002D2950">
              <w:rPr>
                <w:i/>
              </w:rPr>
              <w:t>Institute</w:t>
            </w:r>
            <w:r w:rsidRPr="002D2950">
              <w:rPr>
                <w:i/>
              </w:rPr>
              <w:t xml:space="preserve"> </w:t>
            </w:r>
            <w:r w:rsidRPr="002D2950">
              <w:rPr>
                <w:i/>
              </w:rPr>
              <w:t>of</w:t>
            </w:r>
            <w:r w:rsidRPr="002D2950">
              <w:rPr>
                <w:i/>
              </w:rPr>
              <w:t xml:space="preserve"> </w:t>
            </w:r>
            <w:r w:rsidRPr="002D2950">
              <w:rPr>
                <w:i/>
              </w:rPr>
              <w:t>Standards</w:t>
            </w:r>
            <w:r w:rsidRPr="002D2950">
              <w:rPr>
                <w:i/>
              </w:rPr>
              <w:t xml:space="preserve"> </w:t>
            </w:r>
            <w:r w:rsidRPr="002D2950">
              <w:rPr>
                <w:i/>
              </w:rPr>
              <w:t>and</w:t>
            </w:r>
            <w:r w:rsidRPr="002D2950">
              <w:rPr>
                <w:i/>
              </w:rPr>
              <w:t xml:space="preserve"> </w:t>
            </w:r>
            <w:r w:rsidRPr="002D2950">
              <w:rPr>
                <w:i/>
              </w:rPr>
              <w:t>Technology</w:t>
            </w:r>
            <w:r w:rsidRPr="002D2950">
              <w:rPr>
                <w:highlight w:val="white"/>
              </w:rPr>
              <w:t xml:space="preserve">) </w:t>
            </w:r>
          </w:p>
        </w:tc>
      </w:tr>
      <w:tr w14:paraId="268877B7"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1E89C4AE" w14:textId="77777777">
            <w:pPr>
              <w:widowControl w:val="0"/>
            </w:pPr>
            <w:r w:rsidRPr="002D2950">
              <w:t>PaaS</w:t>
            </w:r>
          </w:p>
        </w:tc>
        <w:tc>
          <w:tcPr>
            <w:tcW w:w="6383" w:type="dxa"/>
            <w:shd w:val="clear" w:color="auto" w:fill="auto"/>
            <w:tcMar>
              <w:top w:w="100" w:type="dxa"/>
              <w:left w:w="100" w:type="dxa"/>
              <w:bottom w:w="100" w:type="dxa"/>
              <w:right w:w="100" w:type="dxa"/>
            </w:tcMar>
          </w:tcPr>
          <w:p w:rsidR="00AE352D" w:rsidRPr="002D2950" w:rsidP="002D2950" w14:paraId="264B0195" w14:textId="77777777">
            <w:pPr>
              <w:widowControl w:val="0"/>
            </w:pPr>
            <w:r w:rsidRPr="002D2950">
              <w:t>Mākoņdatošanas</w:t>
            </w:r>
            <w:r w:rsidRPr="002D2950">
              <w:t xml:space="preserve"> platformu līmeņa pakalpojumi (</w:t>
            </w:r>
            <w:r w:rsidRPr="002D2950">
              <w:rPr>
                <w:i/>
              </w:rPr>
              <w:t>Platform</w:t>
            </w:r>
            <w:r w:rsidRPr="002D2950">
              <w:rPr>
                <w:i/>
              </w:rPr>
              <w:t xml:space="preserve"> as a </w:t>
            </w:r>
            <w:r w:rsidRPr="002D2950">
              <w:rPr>
                <w:i/>
              </w:rPr>
              <w:t>service</w:t>
            </w:r>
            <w:r w:rsidRPr="002D2950">
              <w:t>)</w:t>
            </w:r>
          </w:p>
        </w:tc>
      </w:tr>
      <w:tr w14:paraId="1E352E56"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5C655F00" w14:textId="77777777">
            <w:pPr>
              <w:widowControl w:val="0"/>
            </w:pPr>
            <w:r w:rsidRPr="002D2950">
              <w:t>PSL</w:t>
            </w:r>
          </w:p>
        </w:tc>
        <w:tc>
          <w:tcPr>
            <w:tcW w:w="6383" w:type="dxa"/>
            <w:shd w:val="clear" w:color="auto" w:fill="auto"/>
            <w:tcMar>
              <w:top w:w="100" w:type="dxa"/>
              <w:left w:w="100" w:type="dxa"/>
              <w:bottom w:w="100" w:type="dxa"/>
              <w:right w:w="100" w:type="dxa"/>
            </w:tcMar>
          </w:tcPr>
          <w:p w:rsidR="00AE352D" w:rsidRPr="002D2950" w:rsidP="002D2950" w14:paraId="37FA73B1" w14:textId="77777777">
            <w:pPr>
              <w:widowControl w:val="0"/>
            </w:pPr>
            <w:r w:rsidRPr="002D2950">
              <w:t>Skatīt SLA</w:t>
            </w:r>
          </w:p>
        </w:tc>
      </w:tr>
      <w:tr w14:paraId="62DA5110"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414E6A" w:rsidRPr="009D43D5" w:rsidP="002D2950" w14:paraId="64AD29CB" w14:textId="0BABE109">
            <w:pPr>
              <w:widowControl w:val="0"/>
            </w:pPr>
            <w:r w:rsidRPr="009D43D5">
              <w:t>RPO</w:t>
            </w:r>
          </w:p>
        </w:tc>
        <w:tc>
          <w:tcPr>
            <w:tcW w:w="6383" w:type="dxa"/>
            <w:shd w:val="clear" w:color="auto" w:fill="auto"/>
            <w:tcMar>
              <w:top w:w="100" w:type="dxa"/>
              <w:left w:w="100" w:type="dxa"/>
              <w:bottom w:w="100" w:type="dxa"/>
              <w:right w:w="100" w:type="dxa"/>
            </w:tcMar>
          </w:tcPr>
          <w:p w:rsidR="00414E6A" w:rsidRPr="009D43D5" w:rsidP="00FC0197" w14:paraId="62293B71" w14:textId="1CB9A5E1">
            <w:r w:rsidRPr="009D43D5">
              <w:t xml:space="preserve">Maksimāli pieļaujamais datu zudums </w:t>
            </w:r>
            <w:r w:rsidRPr="009D43D5">
              <w:rPr>
                <w:i/>
                <w:iCs/>
              </w:rPr>
              <w:t>(</w:t>
            </w:r>
            <w:r w:rsidRPr="009D43D5">
              <w:rPr>
                <w:i/>
                <w:iCs/>
              </w:rPr>
              <w:t>Recovery</w:t>
            </w:r>
            <w:r w:rsidRPr="009D43D5">
              <w:rPr>
                <w:i/>
                <w:iCs/>
              </w:rPr>
              <w:t xml:space="preserve"> </w:t>
            </w:r>
            <w:r w:rsidRPr="009D43D5">
              <w:rPr>
                <w:i/>
                <w:iCs/>
              </w:rPr>
              <w:t>Point</w:t>
            </w:r>
            <w:r w:rsidRPr="009D43D5">
              <w:rPr>
                <w:i/>
                <w:iCs/>
              </w:rPr>
              <w:t xml:space="preserve"> </w:t>
            </w:r>
            <w:r w:rsidRPr="009D43D5">
              <w:rPr>
                <w:i/>
                <w:iCs/>
              </w:rPr>
              <w:t>Objective</w:t>
            </w:r>
            <w:r w:rsidRPr="009D43D5">
              <w:rPr>
                <w:i/>
                <w:iCs/>
              </w:rPr>
              <w:t>)</w:t>
            </w:r>
          </w:p>
        </w:tc>
      </w:tr>
      <w:tr w14:paraId="77E63D68"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414E6A" w:rsidRPr="009D43D5" w:rsidP="002D2950" w14:paraId="552FB742" w14:textId="5BE4CBB1">
            <w:pPr>
              <w:widowControl w:val="0"/>
            </w:pPr>
            <w:r w:rsidRPr="009D43D5">
              <w:t>RTO</w:t>
            </w:r>
          </w:p>
        </w:tc>
        <w:tc>
          <w:tcPr>
            <w:tcW w:w="6383" w:type="dxa"/>
            <w:shd w:val="clear" w:color="auto" w:fill="auto"/>
            <w:tcMar>
              <w:top w:w="100" w:type="dxa"/>
              <w:left w:w="100" w:type="dxa"/>
              <w:bottom w:w="100" w:type="dxa"/>
              <w:right w:w="100" w:type="dxa"/>
            </w:tcMar>
          </w:tcPr>
          <w:p w:rsidR="00414E6A" w:rsidRPr="009D43D5" w:rsidP="00FC0197" w14:paraId="229637C5" w14:textId="542C89DF">
            <w:r w:rsidRPr="009D43D5">
              <w:t>Maksimāli pieļaujamā dīkstāve</w:t>
            </w:r>
            <w:r w:rsidRPr="009D43D5">
              <w:rPr>
                <w:i/>
                <w:iCs/>
              </w:rPr>
              <w:t xml:space="preserve"> (</w:t>
            </w:r>
            <w:r w:rsidRPr="009D43D5">
              <w:rPr>
                <w:i/>
                <w:iCs/>
              </w:rPr>
              <w:t>Recovery</w:t>
            </w:r>
            <w:r w:rsidRPr="009D43D5">
              <w:rPr>
                <w:i/>
                <w:iCs/>
              </w:rPr>
              <w:t xml:space="preserve"> </w:t>
            </w:r>
            <w:r w:rsidRPr="009D43D5">
              <w:rPr>
                <w:i/>
                <w:iCs/>
              </w:rPr>
              <w:t>Time</w:t>
            </w:r>
            <w:r w:rsidRPr="009D43D5">
              <w:rPr>
                <w:i/>
                <w:iCs/>
              </w:rPr>
              <w:t xml:space="preserve"> </w:t>
            </w:r>
            <w:r w:rsidRPr="009D43D5">
              <w:rPr>
                <w:i/>
                <w:iCs/>
              </w:rPr>
              <w:t>Objective</w:t>
            </w:r>
            <w:r w:rsidRPr="009D43D5">
              <w:rPr>
                <w:i/>
                <w:iCs/>
              </w:rPr>
              <w:t>)</w:t>
            </w:r>
          </w:p>
        </w:tc>
      </w:tr>
      <w:tr w14:paraId="231532D9"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793F5555" w14:textId="77777777">
            <w:pPr>
              <w:widowControl w:val="0"/>
            </w:pPr>
            <w:r w:rsidRPr="002D2950">
              <w:t>SaaS</w:t>
            </w:r>
          </w:p>
        </w:tc>
        <w:tc>
          <w:tcPr>
            <w:tcW w:w="6383" w:type="dxa"/>
            <w:shd w:val="clear" w:color="auto" w:fill="auto"/>
            <w:tcMar>
              <w:top w:w="100" w:type="dxa"/>
              <w:left w:w="100" w:type="dxa"/>
              <w:bottom w:w="100" w:type="dxa"/>
              <w:right w:w="100" w:type="dxa"/>
            </w:tcMar>
          </w:tcPr>
          <w:p w:rsidR="00AE352D" w:rsidRPr="002D2950" w:rsidP="002D2950" w14:paraId="0DB991A6" w14:textId="77777777">
            <w:pPr>
              <w:widowControl w:val="0"/>
            </w:pPr>
            <w:r w:rsidRPr="002D2950">
              <w:t>Mākoņdatošanas</w:t>
            </w:r>
            <w:r w:rsidRPr="002D2950">
              <w:t xml:space="preserve"> programmatūras līmeņa pakalpojumi (</w:t>
            </w:r>
            <w:r w:rsidRPr="002D2950">
              <w:rPr>
                <w:i/>
              </w:rPr>
              <w:t>Software</w:t>
            </w:r>
            <w:r w:rsidRPr="002D2950">
              <w:rPr>
                <w:i/>
              </w:rPr>
              <w:t xml:space="preserve"> as a </w:t>
            </w:r>
            <w:r w:rsidRPr="002D2950">
              <w:rPr>
                <w:i/>
              </w:rPr>
              <w:t>service</w:t>
            </w:r>
            <w:r w:rsidRPr="002D2950">
              <w:t>)</w:t>
            </w:r>
          </w:p>
        </w:tc>
      </w:tr>
      <w:tr w14:paraId="7F9979D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7F4C6261" w14:textId="77777777">
            <w:pPr>
              <w:widowControl w:val="0"/>
            </w:pPr>
            <w:r w:rsidRPr="002D2950">
              <w:t>SKLOIS</w:t>
            </w:r>
          </w:p>
        </w:tc>
        <w:tc>
          <w:tcPr>
            <w:tcW w:w="6383" w:type="dxa"/>
            <w:shd w:val="clear" w:color="auto" w:fill="auto"/>
            <w:tcMar>
              <w:top w:w="100" w:type="dxa"/>
              <w:left w:w="100" w:type="dxa"/>
              <w:bottom w:w="100" w:type="dxa"/>
              <w:right w:w="100" w:type="dxa"/>
            </w:tcMar>
          </w:tcPr>
          <w:p w:rsidR="00AE352D" w:rsidRPr="002D2950" w:rsidP="002D2950" w14:paraId="3067223E" w14:textId="77777777">
            <w:pPr>
              <w:widowControl w:val="0"/>
            </w:pPr>
            <w:r w:rsidRPr="002D2950">
              <w:t>Starptautiskās kravu loģistikas un ostu informācijas sistēma</w:t>
            </w:r>
          </w:p>
        </w:tc>
      </w:tr>
      <w:tr w14:paraId="7BAF4EF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3DE50F38" w14:textId="77777777">
            <w:pPr>
              <w:widowControl w:val="0"/>
            </w:pPr>
            <w:r w:rsidRPr="002D2950">
              <w:t>SLA</w:t>
            </w:r>
          </w:p>
        </w:tc>
        <w:tc>
          <w:tcPr>
            <w:tcW w:w="6383" w:type="dxa"/>
            <w:shd w:val="clear" w:color="auto" w:fill="auto"/>
            <w:tcMar>
              <w:top w:w="100" w:type="dxa"/>
              <w:left w:w="100" w:type="dxa"/>
              <w:bottom w:w="100" w:type="dxa"/>
              <w:right w:w="100" w:type="dxa"/>
            </w:tcMar>
          </w:tcPr>
          <w:p w:rsidR="00AE352D" w:rsidRPr="002D2950" w:rsidP="002D2950" w14:paraId="17859B9B" w14:textId="77777777">
            <w:pPr>
              <w:widowControl w:val="0"/>
            </w:pPr>
            <w:r w:rsidRPr="002D2950">
              <w:t>Pakalpojumu sniegšanas līgums (</w:t>
            </w:r>
            <w:r w:rsidRPr="002D2950">
              <w:rPr>
                <w:i/>
              </w:rPr>
              <w:t>Service</w:t>
            </w:r>
            <w:r w:rsidRPr="002D2950">
              <w:rPr>
                <w:i/>
              </w:rPr>
              <w:t xml:space="preserve"> </w:t>
            </w:r>
            <w:r w:rsidRPr="002D2950">
              <w:rPr>
                <w:i/>
              </w:rPr>
              <w:t>Level</w:t>
            </w:r>
            <w:r w:rsidRPr="002D2950">
              <w:rPr>
                <w:i/>
              </w:rPr>
              <w:t xml:space="preserve"> </w:t>
            </w:r>
            <w:r w:rsidRPr="002D2950">
              <w:rPr>
                <w:i/>
              </w:rPr>
              <w:t>Agreement</w:t>
            </w:r>
            <w:r w:rsidRPr="002D2950">
              <w:t>)</w:t>
            </w:r>
          </w:p>
        </w:tc>
      </w:tr>
      <w:tr w14:paraId="4F3474AB"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0F763D45" w14:textId="77777777">
            <w:pPr>
              <w:widowControl w:val="0"/>
            </w:pPr>
            <w:r w:rsidRPr="002D2950">
              <w:t>SSL</w:t>
            </w:r>
          </w:p>
        </w:tc>
        <w:tc>
          <w:tcPr>
            <w:tcW w:w="6383" w:type="dxa"/>
            <w:shd w:val="clear" w:color="auto" w:fill="auto"/>
            <w:tcMar>
              <w:top w:w="100" w:type="dxa"/>
              <w:left w:w="100" w:type="dxa"/>
              <w:bottom w:w="100" w:type="dxa"/>
              <w:right w:w="100" w:type="dxa"/>
            </w:tcMar>
          </w:tcPr>
          <w:p w:rsidR="00AE352D" w:rsidRPr="002D2950" w:rsidP="002D2950" w14:paraId="46192F32" w14:textId="57484799">
            <w:pPr>
              <w:widowControl w:val="0"/>
            </w:pPr>
            <w:r>
              <w:t>D</w:t>
            </w:r>
            <w:r w:rsidRPr="00FA5ACF">
              <w:t>rošligzdu slānis</w:t>
            </w:r>
            <w:r>
              <w:t xml:space="preserve"> (</w:t>
            </w:r>
            <w:r w:rsidRPr="00FA5ACF">
              <w:rPr>
                <w:i/>
              </w:rPr>
              <w:t>Secure</w:t>
            </w:r>
            <w:r w:rsidRPr="00FA5ACF">
              <w:rPr>
                <w:i/>
              </w:rPr>
              <w:t xml:space="preserve"> </w:t>
            </w:r>
            <w:r w:rsidRPr="00FA5ACF">
              <w:rPr>
                <w:i/>
              </w:rPr>
              <w:t>Sockets</w:t>
            </w:r>
            <w:r w:rsidRPr="00FA5ACF">
              <w:rPr>
                <w:i/>
              </w:rPr>
              <w:t xml:space="preserve"> </w:t>
            </w:r>
            <w:r w:rsidRPr="00FA5ACF">
              <w:rPr>
                <w:i/>
              </w:rPr>
              <w:t>Layer</w:t>
            </w:r>
            <w:r>
              <w:t>)</w:t>
            </w:r>
          </w:p>
        </w:tc>
      </w:tr>
      <w:tr w14:paraId="3D1384C7"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A6CA65B" w14:textId="77777777">
            <w:pPr>
              <w:widowControl w:val="0"/>
            </w:pPr>
            <w:r w:rsidRPr="002D2950">
              <w:t>TM</w:t>
            </w:r>
          </w:p>
        </w:tc>
        <w:tc>
          <w:tcPr>
            <w:tcW w:w="6383" w:type="dxa"/>
            <w:shd w:val="clear" w:color="auto" w:fill="auto"/>
            <w:tcMar>
              <w:top w:w="100" w:type="dxa"/>
              <w:left w:w="100" w:type="dxa"/>
              <w:bottom w:w="100" w:type="dxa"/>
              <w:right w:w="100" w:type="dxa"/>
            </w:tcMar>
          </w:tcPr>
          <w:p w:rsidR="00AE352D" w:rsidRPr="002D2950" w:rsidP="002D2950" w14:paraId="2536A98E" w14:textId="77777777">
            <w:pPr>
              <w:widowControl w:val="0"/>
            </w:pPr>
            <w:r w:rsidRPr="002D2950">
              <w:t>Tieslietu ministrija</w:t>
            </w:r>
          </w:p>
        </w:tc>
      </w:tr>
      <w:tr w14:paraId="3280FFF5"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9071BD" w:rsidRPr="002D2950" w:rsidP="002D2950" w14:paraId="695825C6" w14:textId="19E829A8">
            <w:pPr>
              <w:widowControl w:val="0"/>
            </w:pPr>
            <w:r>
              <w:t>TNA</w:t>
            </w:r>
          </w:p>
        </w:tc>
        <w:tc>
          <w:tcPr>
            <w:tcW w:w="6383" w:type="dxa"/>
            <w:shd w:val="clear" w:color="auto" w:fill="auto"/>
            <w:tcMar>
              <w:top w:w="100" w:type="dxa"/>
              <w:left w:w="100" w:type="dxa"/>
              <w:bottom w:w="100" w:type="dxa"/>
              <w:right w:w="100" w:type="dxa"/>
            </w:tcMar>
          </w:tcPr>
          <w:p w:rsidR="009071BD" w:rsidRPr="002D2950" w:rsidP="002D2950" w14:paraId="75AE15A3" w14:textId="2A7A60B7">
            <w:pPr>
              <w:widowControl w:val="0"/>
            </w:pPr>
            <w:r>
              <w:t>Valsts akciju sabiedrība “Tiesu namu aģentūra”</w:t>
            </w:r>
          </w:p>
        </w:tc>
      </w:tr>
      <w:tr w14:paraId="67DC1F4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30D9981E" w14:textId="77777777">
            <w:pPr>
              <w:widowControl w:val="0"/>
            </w:pPr>
            <w:r w:rsidRPr="002D2950">
              <w:t>VARAM</w:t>
            </w:r>
          </w:p>
        </w:tc>
        <w:tc>
          <w:tcPr>
            <w:tcW w:w="6383" w:type="dxa"/>
            <w:shd w:val="clear" w:color="auto" w:fill="auto"/>
            <w:tcMar>
              <w:top w:w="100" w:type="dxa"/>
              <w:left w:w="100" w:type="dxa"/>
              <w:bottom w:w="100" w:type="dxa"/>
              <w:right w:w="100" w:type="dxa"/>
            </w:tcMar>
          </w:tcPr>
          <w:p w:rsidR="00AE352D" w:rsidRPr="002D2950" w:rsidP="002D2950" w14:paraId="26AD77DD" w14:textId="77777777">
            <w:pPr>
              <w:widowControl w:val="0"/>
            </w:pPr>
            <w:r w:rsidRPr="002D2950">
              <w:t>Vides aizsardzības un reģionālās attīstības ministrija</w:t>
            </w:r>
          </w:p>
        </w:tc>
      </w:tr>
      <w:tr w14:paraId="1ECC357F"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02A86692" w14:textId="77777777">
            <w:pPr>
              <w:widowControl w:val="0"/>
            </w:pPr>
            <w:r w:rsidRPr="002D2950">
              <w:t>VAS</w:t>
            </w:r>
          </w:p>
        </w:tc>
        <w:tc>
          <w:tcPr>
            <w:tcW w:w="6383" w:type="dxa"/>
            <w:shd w:val="clear" w:color="auto" w:fill="auto"/>
            <w:tcMar>
              <w:top w:w="100" w:type="dxa"/>
              <w:left w:w="100" w:type="dxa"/>
              <w:bottom w:w="100" w:type="dxa"/>
              <w:right w:w="100" w:type="dxa"/>
            </w:tcMar>
          </w:tcPr>
          <w:p w:rsidR="00AE352D" w:rsidRPr="002D2950" w:rsidP="002D2950" w14:paraId="1173B3FA" w14:textId="77777777">
            <w:pPr>
              <w:widowControl w:val="0"/>
            </w:pPr>
            <w:r w:rsidRPr="002D2950">
              <w:t>Valsts akciju sabiedrība</w:t>
            </w:r>
          </w:p>
        </w:tc>
      </w:tr>
      <w:tr w14:paraId="1F7419E0"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1B2D120B" w14:textId="77777777">
            <w:pPr>
              <w:widowControl w:val="0"/>
            </w:pPr>
            <w:r w:rsidRPr="002D2950">
              <w:t>VDAR</w:t>
            </w:r>
          </w:p>
        </w:tc>
        <w:tc>
          <w:tcPr>
            <w:tcW w:w="6383" w:type="dxa"/>
            <w:shd w:val="clear" w:color="auto" w:fill="auto"/>
            <w:tcMar>
              <w:top w:w="100" w:type="dxa"/>
              <w:left w:w="100" w:type="dxa"/>
              <w:bottom w:w="100" w:type="dxa"/>
              <w:right w:w="100" w:type="dxa"/>
            </w:tcMar>
          </w:tcPr>
          <w:p w:rsidR="00AE352D" w:rsidRPr="002D2950" w:rsidP="002D2950" w14:paraId="2B19FFB9" w14:textId="77777777">
            <w:pPr>
              <w:widowControl w:val="0"/>
            </w:pPr>
            <w:r w:rsidRPr="002D2950">
              <w:t>Vispārīgā datu aizsardzības regula</w:t>
            </w:r>
          </w:p>
        </w:tc>
      </w:tr>
      <w:tr w14:paraId="0179DD99"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44116CA8" w14:textId="77777777">
            <w:pPr>
              <w:widowControl w:val="0"/>
            </w:pPr>
            <w:r w:rsidRPr="002D2950">
              <w:t>VESPC</w:t>
            </w:r>
          </w:p>
        </w:tc>
        <w:tc>
          <w:tcPr>
            <w:tcW w:w="6383" w:type="dxa"/>
            <w:shd w:val="clear" w:color="auto" w:fill="auto"/>
            <w:tcMar>
              <w:top w:w="100" w:type="dxa"/>
              <w:left w:w="100" w:type="dxa"/>
              <w:bottom w:w="100" w:type="dxa"/>
              <w:right w:w="100" w:type="dxa"/>
            </w:tcMar>
          </w:tcPr>
          <w:p w:rsidR="00AE352D" w:rsidRPr="002D2950" w:rsidP="002D2950" w14:paraId="6B825167" w14:textId="77777777">
            <w:pPr>
              <w:widowControl w:val="0"/>
            </w:pPr>
            <w:r w:rsidRPr="002D2950">
              <w:t>Valsts elektronisko sakaru pakalpojumu centrs</w:t>
            </w:r>
          </w:p>
        </w:tc>
      </w:tr>
      <w:tr w14:paraId="07D7E0CF"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3B36EFC1" w14:textId="77777777">
            <w:pPr>
              <w:widowControl w:val="0"/>
            </w:pPr>
            <w:r w:rsidRPr="002D2950">
              <w:t>VID</w:t>
            </w:r>
          </w:p>
        </w:tc>
        <w:tc>
          <w:tcPr>
            <w:tcW w:w="6383" w:type="dxa"/>
            <w:shd w:val="clear" w:color="auto" w:fill="auto"/>
            <w:tcMar>
              <w:top w:w="100" w:type="dxa"/>
              <w:left w:w="100" w:type="dxa"/>
              <w:bottom w:w="100" w:type="dxa"/>
              <w:right w:w="100" w:type="dxa"/>
            </w:tcMar>
          </w:tcPr>
          <w:p w:rsidR="00AE352D" w:rsidRPr="002D2950" w:rsidP="002D2950" w14:paraId="4598894B" w14:textId="77777777">
            <w:pPr>
              <w:widowControl w:val="0"/>
            </w:pPr>
            <w:r w:rsidRPr="002D2950">
              <w:t>Valsts ieņēmumu dienests</w:t>
            </w:r>
          </w:p>
        </w:tc>
      </w:tr>
      <w:tr w14:paraId="5F3F74C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7FD82183" w14:textId="77777777">
            <w:pPr>
              <w:widowControl w:val="0"/>
            </w:pPr>
            <w:r w:rsidRPr="002D2950">
              <w:t>VISS</w:t>
            </w:r>
          </w:p>
        </w:tc>
        <w:tc>
          <w:tcPr>
            <w:tcW w:w="6383" w:type="dxa"/>
            <w:shd w:val="clear" w:color="auto" w:fill="auto"/>
            <w:tcMar>
              <w:top w:w="100" w:type="dxa"/>
              <w:left w:w="100" w:type="dxa"/>
              <w:bottom w:w="100" w:type="dxa"/>
              <w:right w:w="100" w:type="dxa"/>
            </w:tcMar>
          </w:tcPr>
          <w:p w:rsidR="00AE352D" w:rsidRPr="002D2950" w:rsidP="002D2950" w14:paraId="218AA743" w14:textId="77777777">
            <w:pPr>
              <w:widowControl w:val="0"/>
            </w:pPr>
            <w:r w:rsidRPr="002D2950">
              <w:t>Valsts informācijas sistēmu savietotājs</w:t>
            </w:r>
          </w:p>
        </w:tc>
      </w:tr>
      <w:tr w14:paraId="7C42B01F"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070D6E8" w14:textId="211E3D89">
            <w:pPr>
              <w:widowControl w:val="0"/>
            </w:pPr>
            <w:r w:rsidRPr="002D2950">
              <w:t>VK</w:t>
            </w:r>
            <w:r w:rsidR="009071BD">
              <w:t>E</w:t>
            </w:r>
          </w:p>
        </w:tc>
        <w:tc>
          <w:tcPr>
            <w:tcW w:w="6383" w:type="dxa"/>
            <w:shd w:val="clear" w:color="auto" w:fill="auto"/>
            <w:tcMar>
              <w:top w:w="100" w:type="dxa"/>
              <w:left w:w="100" w:type="dxa"/>
              <w:bottom w:w="100" w:type="dxa"/>
              <w:right w:w="100" w:type="dxa"/>
            </w:tcMar>
          </w:tcPr>
          <w:p w:rsidR="00AE352D" w:rsidRPr="002D2950" w:rsidP="002D2950" w14:paraId="23F1547B" w14:textId="77777777">
            <w:pPr>
              <w:widowControl w:val="0"/>
            </w:pPr>
            <w:r w:rsidRPr="002D2950">
              <w:t>Valsts kase</w:t>
            </w:r>
          </w:p>
        </w:tc>
      </w:tr>
      <w:tr w14:paraId="6BBE0D3D"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256B935E" w14:textId="77777777">
            <w:pPr>
              <w:widowControl w:val="0"/>
            </w:pPr>
            <w:r w:rsidRPr="002D2950">
              <w:t>VM</w:t>
            </w:r>
          </w:p>
        </w:tc>
        <w:tc>
          <w:tcPr>
            <w:tcW w:w="6383" w:type="dxa"/>
            <w:shd w:val="clear" w:color="auto" w:fill="auto"/>
            <w:tcMar>
              <w:top w:w="100" w:type="dxa"/>
              <w:left w:w="100" w:type="dxa"/>
              <w:bottom w:w="100" w:type="dxa"/>
              <w:right w:w="100" w:type="dxa"/>
            </w:tcMar>
          </w:tcPr>
          <w:p w:rsidR="00AE352D" w:rsidRPr="002D2950" w:rsidP="002D2950" w14:paraId="2B014B9A" w14:textId="77777777">
            <w:pPr>
              <w:widowControl w:val="0"/>
            </w:pPr>
            <w:r w:rsidRPr="002D2950">
              <w:t>Veselības ministrija</w:t>
            </w:r>
          </w:p>
        </w:tc>
      </w:tr>
      <w:tr w14:paraId="6D0F1E1B"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750EC322" w14:textId="77777777">
            <w:pPr>
              <w:widowControl w:val="0"/>
            </w:pPr>
            <w:r w:rsidRPr="002D2950">
              <w:t>VRAA</w:t>
            </w:r>
          </w:p>
        </w:tc>
        <w:tc>
          <w:tcPr>
            <w:tcW w:w="6383" w:type="dxa"/>
            <w:shd w:val="clear" w:color="auto" w:fill="auto"/>
            <w:tcMar>
              <w:top w:w="100" w:type="dxa"/>
              <w:left w:w="100" w:type="dxa"/>
              <w:bottom w:w="100" w:type="dxa"/>
              <w:right w:w="100" w:type="dxa"/>
            </w:tcMar>
          </w:tcPr>
          <w:p w:rsidR="00AE352D" w:rsidRPr="002D2950" w:rsidP="002D2950" w14:paraId="5260F7CC" w14:textId="77777777">
            <w:pPr>
              <w:widowControl w:val="0"/>
            </w:pPr>
            <w:r w:rsidRPr="002D2950">
              <w:t>Valsts reģionālās attīstības aģentūra</w:t>
            </w:r>
          </w:p>
        </w:tc>
      </w:tr>
      <w:tr w14:paraId="4702DE7F"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7802D935" w14:textId="77777777">
            <w:pPr>
              <w:widowControl w:val="0"/>
            </w:pPr>
            <w:r w:rsidRPr="002D2950">
              <w:t>UK</w:t>
            </w:r>
          </w:p>
        </w:tc>
        <w:tc>
          <w:tcPr>
            <w:tcW w:w="6383" w:type="dxa"/>
            <w:shd w:val="clear" w:color="auto" w:fill="auto"/>
            <w:tcMar>
              <w:top w:w="100" w:type="dxa"/>
              <w:left w:w="100" w:type="dxa"/>
              <w:bottom w:w="100" w:type="dxa"/>
              <w:right w:w="100" w:type="dxa"/>
            </w:tcMar>
          </w:tcPr>
          <w:p w:rsidR="00AE352D" w:rsidRPr="002D2950" w:rsidP="002D2950" w14:paraId="2053B992" w14:textId="77777777">
            <w:pPr>
              <w:widowControl w:val="0"/>
            </w:pPr>
            <w:r w:rsidRPr="002D2950">
              <w:t>United</w:t>
            </w:r>
            <w:r w:rsidRPr="002D2950">
              <w:t xml:space="preserve"> </w:t>
            </w:r>
            <w:r w:rsidRPr="002D2950">
              <w:t>Kingdom</w:t>
            </w:r>
            <w:r w:rsidRPr="002D2950">
              <w:t xml:space="preserve"> - Apvienotā Karaliste</w:t>
            </w:r>
          </w:p>
        </w:tc>
      </w:tr>
      <w:tr w14:paraId="49EE03F4" w14:textId="77777777" w:rsidTr="0044412C">
        <w:tblPrEx>
          <w:tblW w:w="9360" w:type="dxa"/>
          <w:tblInd w:w="100" w:type="dxa"/>
          <w:tblLayout w:type="fixed"/>
          <w:tblCellMar>
            <w:top w:w="100" w:type="dxa"/>
            <w:left w:w="100" w:type="dxa"/>
            <w:bottom w:w="100" w:type="dxa"/>
            <w:right w:w="100" w:type="dxa"/>
          </w:tblCellMar>
          <w:tblLook w:val="0600"/>
        </w:tblPrEx>
        <w:tc>
          <w:tcPr>
            <w:tcW w:w="2977" w:type="dxa"/>
            <w:shd w:val="clear" w:color="auto" w:fill="auto"/>
            <w:tcMar>
              <w:top w:w="100" w:type="dxa"/>
              <w:left w:w="100" w:type="dxa"/>
              <w:bottom w:w="100" w:type="dxa"/>
              <w:right w:w="100" w:type="dxa"/>
            </w:tcMar>
          </w:tcPr>
          <w:p w:rsidR="00AE352D" w:rsidRPr="002D2950" w:rsidP="002D2950" w14:paraId="541E7A6A" w14:textId="77777777">
            <w:pPr>
              <w:widowControl w:val="0"/>
            </w:pPr>
            <w:r w:rsidRPr="002D2950">
              <w:t>ZM</w:t>
            </w:r>
          </w:p>
        </w:tc>
        <w:tc>
          <w:tcPr>
            <w:tcW w:w="6383" w:type="dxa"/>
            <w:shd w:val="clear" w:color="auto" w:fill="auto"/>
            <w:tcMar>
              <w:top w:w="100" w:type="dxa"/>
              <w:left w:w="100" w:type="dxa"/>
              <w:bottom w:w="100" w:type="dxa"/>
              <w:right w:w="100" w:type="dxa"/>
            </w:tcMar>
          </w:tcPr>
          <w:p w:rsidR="00AE352D" w:rsidRPr="002D2950" w:rsidP="002D2950" w14:paraId="304B0AE7" w14:textId="77777777">
            <w:pPr>
              <w:widowControl w:val="0"/>
            </w:pPr>
            <w:r w:rsidRPr="002D2950">
              <w:t>Zemkopības ministrija</w:t>
            </w:r>
          </w:p>
        </w:tc>
      </w:tr>
    </w:tbl>
    <w:p w:rsidR="00AE352D" w:rsidRPr="002D2950" w:rsidP="00AE352D" w14:paraId="4B1A7EC8" w14:textId="77777777"/>
    <w:p w:rsidR="0023060B" w:rsidP="0023060B" w14:paraId="395CC053" w14:textId="77777777">
      <w:pPr>
        <w:rPr>
          <w:lang w:eastAsia="en-US"/>
        </w:rPr>
      </w:pPr>
    </w:p>
    <w:p w:rsidR="0023060B" w:rsidP="0023060B" w14:paraId="364AF0E4" w14:textId="77777777">
      <w:pPr>
        <w:rPr>
          <w:lang w:eastAsia="en-US"/>
        </w:rPr>
      </w:pPr>
    </w:p>
    <w:p w:rsidR="0023060B" w:rsidRPr="0023060B" w:rsidP="0023060B" w14:paraId="74083244" w14:textId="77777777">
      <w:pPr>
        <w:rPr>
          <w:lang w:eastAsia="en-US"/>
        </w:rPr>
      </w:pPr>
    </w:p>
    <w:p w:rsidR="000F2474" w:rsidRPr="002D2950" w:rsidP="009C423A" w14:paraId="4E026337" w14:textId="09513A9C">
      <w:pPr>
        <w:pStyle w:val="Heading1"/>
      </w:pPr>
      <w:bookmarkStart w:id="13" w:name="_Toc505072485"/>
      <w:bookmarkStart w:id="14" w:name="_Toc256000002"/>
      <w:bookmarkStart w:id="15" w:name="_Toc256000048"/>
      <w:r w:rsidRPr="002D2950">
        <w:t>1.</w:t>
      </w:r>
      <w:r w:rsidRPr="002D2950" w:rsidR="003C090E">
        <w:t xml:space="preserve"> </w:t>
      </w:r>
      <w:r w:rsidRPr="002D2950" w:rsidR="00112C2F">
        <w:t>Z</w:t>
      </w:r>
      <w:r w:rsidRPr="002D2950" w:rsidR="00A35D7B">
        <w:t>iņojuma mērķi un pamatojums ziņojuma sagatavošanai</w:t>
      </w:r>
      <w:bookmarkEnd w:id="15"/>
      <w:bookmarkEnd w:id="14"/>
      <w:bookmarkEnd w:id="4"/>
      <w:bookmarkEnd w:id="13"/>
    </w:p>
    <w:p w:rsidR="00AF2D55" w:rsidRPr="002D2950" w:rsidP="00FF7370" w14:paraId="30E50BCB" w14:textId="61DC75D9">
      <w:pPr>
        <w:spacing w:before="120" w:after="120"/>
        <w:ind w:firstLine="720"/>
        <w:jc w:val="both"/>
      </w:pPr>
      <w:r w:rsidRPr="002D2950">
        <w:t>Informatīvais ziņojums “</w:t>
      </w:r>
      <w:r w:rsidRPr="002D2950" w:rsidR="00781866">
        <w:t>M</w:t>
      </w:r>
      <w:r w:rsidRPr="002D2950">
        <w:t>ākoņdatošanas</w:t>
      </w:r>
      <w:r w:rsidRPr="002D2950">
        <w:t xml:space="preserve"> pakalpojumu izmantošanu valsts pārvaldē” (turpmāk – ziņojums) ir izstrādāts, īstenojot Informācijas sabiedrības attīstības pamatnostādņu 2014.-</w:t>
      </w:r>
      <w:r w:rsidRPr="002D2950">
        <w:t>2020.gadam</w:t>
      </w:r>
      <w:r w:rsidRPr="002D2950">
        <w:t xml:space="preserve"> 3.mērķi “Moderna un efektīva publiskā pārvalde”. Tas ir nākošais secīgais solis pasākuma izpildē pēc informatīvā ziņojuma “Par publiskās pārvaldes informācijas sistēmu konceptuālo arhitektūru”, kas tika saskaņots Ministru Kabinetā 2015. gada 10. martā (turpmāk – konceptuālā arhitektūra), </w:t>
      </w:r>
      <w:r w:rsidRPr="002D2950">
        <w:t>un</w:t>
      </w:r>
      <w:r w:rsidRPr="002D2950">
        <w:t xml:space="preserve"> kas tiek balstīts uz konceptuālajā arhitektūrā ietvertajām rekomendācijām, tās izvēršot un precizējot attiecībā uz valsts pārvaldes informācijas un tehnoloģiju atbalsta organizēšanu informācijas un komunikācijas tehnoloģiju infrastruktūras un augstākas pievienotas vērtības pakalpojumu jomās. </w:t>
      </w:r>
    </w:p>
    <w:p w:rsidR="00AF2D55" w:rsidRPr="002D2950" w:rsidP="009B7B45" w14:paraId="5E022676" w14:textId="3736761C">
      <w:pPr>
        <w:jc w:val="both"/>
      </w:pPr>
      <w:r w:rsidRPr="002D2950">
        <w:t>Ziņojuma</w:t>
      </w:r>
      <w:r w:rsidRPr="002D2950">
        <w:t xml:space="preserve"> mērķi ir:</w:t>
      </w:r>
    </w:p>
    <w:p w:rsidR="00B401E9" w:rsidP="00C9180C" w14:paraId="2DC68243" w14:textId="4BE333BB">
      <w:pPr>
        <w:numPr>
          <w:ilvl w:val="0"/>
          <w:numId w:val="4"/>
        </w:numPr>
        <w:pBdr>
          <w:top w:val="nil"/>
          <w:left w:val="nil"/>
          <w:bottom w:val="nil"/>
          <w:right w:val="nil"/>
          <w:between w:val="nil"/>
        </w:pBdr>
        <w:spacing w:before="120"/>
        <w:contextualSpacing/>
        <w:jc w:val="both"/>
      </w:pPr>
      <w:r>
        <w:t>Pievērst valsts pārvaldes institūciju uzmanību tam, ka viens no veidiem, kā paaugstināt pieejamo resursu un kompetenču efektīvu izmant</w:t>
      </w:r>
      <w:r w:rsidR="00902DB0">
        <w:t>o</w:t>
      </w:r>
      <w:r>
        <w:t xml:space="preserve">šanu tieši institūcijai deleģēto funkciju izpildei, ir pēc iespējas augstākas pievienotās vērtības IKT pakalpojumu (tajā skaitā </w:t>
      </w:r>
      <w:r>
        <w:t>mākoņdatošanas</w:t>
      </w:r>
      <w:r>
        <w:t xml:space="preserve"> pakalpojumu (turpmāk – MDP)) izmantoša</w:t>
      </w:r>
      <w:r w:rsidR="00E23B7E">
        <w:t>na;</w:t>
      </w:r>
      <w:r>
        <w:t xml:space="preserve"> </w:t>
      </w:r>
    </w:p>
    <w:p w:rsidR="00AF2D55" w:rsidRPr="002D2950" w:rsidP="00C9180C" w14:paraId="138A7428" w14:textId="69CCEB1B">
      <w:pPr>
        <w:numPr>
          <w:ilvl w:val="0"/>
          <w:numId w:val="4"/>
        </w:numPr>
        <w:pBdr>
          <w:top w:val="nil"/>
          <w:left w:val="nil"/>
          <w:bottom w:val="nil"/>
          <w:right w:val="nil"/>
          <w:between w:val="nil"/>
        </w:pBdr>
        <w:spacing w:before="120"/>
        <w:contextualSpacing/>
        <w:jc w:val="both"/>
      </w:pPr>
      <w:r w:rsidRPr="002D2950">
        <w:t xml:space="preserve">Identificēt iespējamos ieguvumus un riskus, izmantojot </w:t>
      </w:r>
      <w:r w:rsidR="0044412C">
        <w:t>MDP</w:t>
      </w:r>
      <w:r w:rsidRPr="002D2950">
        <w:t xml:space="preserve"> Latvijas valsts pārvaldē;</w:t>
      </w:r>
    </w:p>
    <w:p w:rsidR="00AF2D55" w:rsidRPr="002D2950" w:rsidP="00C9180C" w14:paraId="5399D104" w14:textId="17AD88A1">
      <w:pPr>
        <w:numPr>
          <w:ilvl w:val="0"/>
          <w:numId w:val="4"/>
        </w:numPr>
        <w:pBdr>
          <w:top w:val="nil"/>
          <w:left w:val="nil"/>
          <w:bottom w:val="nil"/>
          <w:right w:val="nil"/>
          <w:between w:val="nil"/>
        </w:pBdr>
        <w:spacing w:before="120"/>
        <w:contextualSpacing/>
        <w:jc w:val="both"/>
      </w:pPr>
      <w:r w:rsidRPr="002D2950">
        <w:t xml:space="preserve">Noteikt </w:t>
      </w:r>
      <w:r w:rsidR="00B401E9">
        <w:t xml:space="preserve">vispārējas </w:t>
      </w:r>
      <w:r w:rsidRPr="002D2950">
        <w:t xml:space="preserve">vadlīnijas </w:t>
      </w:r>
      <w:r w:rsidR="00B401E9">
        <w:t xml:space="preserve">MDP </w:t>
      </w:r>
      <w:r w:rsidRPr="002D2950" w:rsidR="005F53D5">
        <w:t>lietošanai</w:t>
      </w:r>
      <w:r w:rsidRPr="002D2950">
        <w:t xml:space="preserve"> Latvijas valsts pārvaldē</w:t>
      </w:r>
      <w:r w:rsidR="00B401E9">
        <w:t>, tajā skaitā s</w:t>
      </w:r>
      <w:r w:rsidRPr="002D2950">
        <w:t>nie</w:t>
      </w:r>
      <w:r w:rsidR="00B401E9">
        <w:t>dzot</w:t>
      </w:r>
      <w:r w:rsidRPr="002D2950">
        <w:t xml:space="preserve"> </w:t>
      </w:r>
      <w:r w:rsidR="00B401E9">
        <w:t>ieteikumus</w:t>
      </w:r>
      <w:r w:rsidRPr="002D2950">
        <w:t xml:space="preserve"> specifiskos lietojumu scenārijos, informācijas un informācijas sistēmu izvietošanas jautājumos, palīdzot valsts iestādēm pieņemt pamatotus lēmumus par </w:t>
      </w:r>
      <w:r w:rsidR="00E23B7E">
        <w:t xml:space="preserve">MDP izmantošanu; </w:t>
      </w:r>
    </w:p>
    <w:p w:rsidR="00E23B7E" w:rsidP="00C9180C" w14:paraId="7DB980E0" w14:textId="22B0191B">
      <w:pPr>
        <w:numPr>
          <w:ilvl w:val="0"/>
          <w:numId w:val="4"/>
        </w:numPr>
        <w:pBdr>
          <w:top w:val="nil"/>
          <w:left w:val="nil"/>
          <w:bottom w:val="nil"/>
          <w:right w:val="nil"/>
          <w:between w:val="nil"/>
        </w:pBdr>
        <w:spacing w:before="120" w:after="120"/>
        <w:contextualSpacing/>
        <w:jc w:val="both"/>
      </w:pPr>
      <w:r>
        <w:t xml:space="preserve">MDP izmantošanas kontekstā identificēt iespējamās </w:t>
      </w:r>
      <w:r w:rsidRPr="002D2950">
        <w:t>galvenās lomas un funkcija</w:t>
      </w:r>
      <w:r>
        <w:t>s pakalpojumu izmatotāju pusē, kā arī šo pakalpojumu sagādes un pārvaldības organizēšanas alternatīvās iespējas Latvijas valsts pārvaldē;</w:t>
      </w:r>
    </w:p>
    <w:p w:rsidR="00AF2D55" w:rsidRPr="002D2950" w:rsidP="00C9180C" w14:paraId="13328B7C" w14:textId="421BC939">
      <w:pPr>
        <w:numPr>
          <w:ilvl w:val="0"/>
          <w:numId w:val="4"/>
        </w:numPr>
        <w:pBdr>
          <w:top w:val="nil"/>
          <w:left w:val="nil"/>
          <w:bottom w:val="nil"/>
          <w:right w:val="nil"/>
          <w:between w:val="nil"/>
        </w:pBdr>
        <w:spacing w:before="120" w:after="240"/>
        <w:ind w:left="714" w:hanging="357"/>
        <w:contextualSpacing/>
        <w:jc w:val="both"/>
      </w:pPr>
      <w:r>
        <w:t xml:space="preserve">Piedāvāt turpmāko darbību plānu </w:t>
      </w:r>
      <w:r w:rsidR="004510CA">
        <w:t xml:space="preserve">valsts pārvaldes gatavības </w:t>
      </w:r>
      <w:r>
        <w:t>MDP efektīv</w:t>
      </w:r>
      <w:r w:rsidR="004510CA">
        <w:t xml:space="preserve">ai izmantošanai </w:t>
      </w:r>
      <w:r w:rsidR="00A91619">
        <w:t xml:space="preserve">uzlabojumiem, kas ietver arī </w:t>
      </w:r>
      <w:r w:rsidR="004510CA">
        <w:t>finansi</w:t>
      </w:r>
      <w:r w:rsidR="00A91619">
        <w:t xml:space="preserve">āli pamatotu priekšlikumu sagatavošanu izvēlēto MDP pārvaldības funkciju centralizēšanai. </w:t>
      </w:r>
    </w:p>
    <w:p w:rsidR="00C9180C" w:rsidP="00C9180C" w14:paraId="2438AEF3" w14:textId="77777777">
      <w:pPr>
        <w:spacing w:before="120"/>
        <w:jc w:val="both"/>
      </w:pPr>
    </w:p>
    <w:p w:rsidR="00AF2D55" w:rsidRPr="002D2950" w:rsidP="00C9180C" w14:paraId="151DDCCE" w14:textId="10A44755">
      <w:pPr>
        <w:spacing w:before="120"/>
        <w:jc w:val="both"/>
      </w:pPr>
      <w:r w:rsidRPr="002D2950">
        <w:t xml:space="preserve">Kā būtiskākos aspektus </w:t>
      </w:r>
      <w:r w:rsidRPr="002D2950">
        <w:t>mākoņdatošanas</w:t>
      </w:r>
      <w:r w:rsidRPr="002D2950">
        <w:t xml:space="preserve"> pakalpojumu lietošanā valsts pārvaldē </w:t>
      </w:r>
      <w:r w:rsidRPr="002D2950" w:rsidR="006B3BED">
        <w:t xml:space="preserve">Latvijā </w:t>
      </w:r>
      <w:r w:rsidR="00A91619">
        <w:t xml:space="preserve">ziņojums </w:t>
      </w:r>
      <w:r w:rsidRPr="002D2950">
        <w:t>izvirza:</w:t>
      </w:r>
    </w:p>
    <w:p w:rsidR="00AF2D55" w:rsidP="009B7B45" w14:paraId="35AC8CA0" w14:textId="1555E362">
      <w:pPr>
        <w:numPr>
          <w:ilvl w:val="0"/>
          <w:numId w:val="5"/>
        </w:numPr>
        <w:pBdr>
          <w:top w:val="nil"/>
          <w:left w:val="nil"/>
          <w:bottom w:val="nil"/>
          <w:right w:val="nil"/>
          <w:between w:val="nil"/>
        </w:pBdr>
        <w:contextualSpacing/>
        <w:jc w:val="both"/>
      </w:pPr>
      <w:r>
        <w:t xml:space="preserve">Ņemot vērā potenciālos ieguvumus ierobežoto resursu un kompetenču efektīvai izmantošanai, </w:t>
      </w:r>
      <w:r w:rsidRPr="002D2950">
        <w:t xml:space="preserve">valsts pārvaldē, </w:t>
      </w:r>
      <w:r w:rsidRPr="002D2950">
        <w:t>plānojot jaunu IKT r</w:t>
      </w:r>
      <w:r>
        <w:t xml:space="preserve">isinājumu </w:t>
      </w:r>
      <w:r w:rsidRPr="002D2950">
        <w:t>izveidi</w:t>
      </w:r>
      <w:r>
        <w:t xml:space="preserve"> vai </w:t>
      </w:r>
      <w:r w:rsidRPr="002D2950">
        <w:t xml:space="preserve">esošo </w:t>
      </w:r>
      <w:r>
        <w:t>risinājumu būtisku pilnveidošanu</w:t>
      </w:r>
      <w:r>
        <w:t xml:space="preserve"> </w:t>
      </w:r>
      <w:r w:rsidRPr="002D2950">
        <w:t>primāri ir jāizsver iespēja izmantot MDP;</w:t>
      </w:r>
    </w:p>
    <w:p w:rsidR="00C9180C" w:rsidRPr="002D2950" w:rsidP="00C9180C" w14:paraId="3C68FD06" w14:textId="0D4F1E42">
      <w:pPr>
        <w:numPr>
          <w:ilvl w:val="0"/>
          <w:numId w:val="5"/>
        </w:numPr>
        <w:pBdr>
          <w:top w:val="nil"/>
          <w:left w:val="nil"/>
          <w:bottom w:val="nil"/>
          <w:right w:val="nil"/>
          <w:between w:val="nil"/>
        </w:pBdr>
        <w:contextualSpacing/>
        <w:jc w:val="both"/>
      </w:pPr>
      <w:r>
        <w:t>Tiek rekomendēta e</w:t>
      </w:r>
      <w:r w:rsidRPr="00C9180C">
        <w:t>konomiski pamatota Virzība uz augstākas pievienotās vērtības programmatūras līmeņa (kā pirmā izvēle gala lietotāju risinājumos) un platformu līmeņa (kā pirmā izvēle integrētu biznesa specifisku risinājumu izstrādē) pakalpojumiem, kā primārajiem MDP pakalpojumiem, samazinot tiešu infrastruktūras līmeņa pakalpojumu lietošanu</w:t>
      </w:r>
      <w:r>
        <w:t>;</w:t>
      </w:r>
    </w:p>
    <w:p w:rsidR="00AF2D55" w:rsidRPr="002D2950" w:rsidP="009B7B45" w14:paraId="379B9C09" w14:textId="3FEA71C2">
      <w:pPr>
        <w:numPr>
          <w:ilvl w:val="0"/>
          <w:numId w:val="5"/>
        </w:numPr>
        <w:pBdr>
          <w:top w:val="nil"/>
          <w:left w:val="nil"/>
          <w:bottom w:val="nil"/>
          <w:right w:val="nil"/>
          <w:between w:val="nil"/>
        </w:pBdr>
        <w:contextualSpacing/>
        <w:jc w:val="both"/>
      </w:pPr>
      <w:r w:rsidRPr="002D2950">
        <w:t>Izvēloties nepieciešamo MDP vai tā elementu, ir jāņem vērā konkrētā IKT r</w:t>
      </w:r>
      <w:r w:rsidR="00430FE8">
        <w:t>isinājumā apstrādājamo</w:t>
      </w:r>
      <w:r w:rsidRPr="002D2950">
        <w:t xml:space="preserve"> datu saturs</w:t>
      </w:r>
      <w:r w:rsidR="00C9180C">
        <w:t xml:space="preserve"> (t.sk. informācijas klasifikācija)</w:t>
      </w:r>
      <w:r w:rsidRPr="002D2950">
        <w:t xml:space="preserve"> un </w:t>
      </w:r>
      <w:r w:rsidR="00430FE8">
        <w:t xml:space="preserve">nepieciešamā </w:t>
      </w:r>
      <w:r w:rsidRPr="002D2950">
        <w:t>drošības pakāpe;</w:t>
      </w:r>
    </w:p>
    <w:p w:rsidR="009B7B45" w:rsidRPr="00430FE8" w:rsidP="00430FE8" w14:paraId="2E56FB81" w14:textId="72BF0213">
      <w:pPr>
        <w:numPr>
          <w:ilvl w:val="0"/>
          <w:numId w:val="5"/>
        </w:numPr>
        <w:pBdr>
          <w:top w:val="nil"/>
          <w:left w:val="nil"/>
          <w:bottom w:val="nil"/>
          <w:right w:val="nil"/>
          <w:between w:val="nil"/>
        </w:pBdr>
        <w:contextualSpacing/>
        <w:jc w:val="both"/>
      </w:pPr>
      <w:r w:rsidRPr="00430FE8">
        <w:t xml:space="preserve">Attīstot </w:t>
      </w:r>
      <w:r w:rsidRPr="00430FE8" w:rsidR="00AF2D55">
        <w:t xml:space="preserve">MDP </w:t>
      </w:r>
      <w:r w:rsidRPr="00430FE8">
        <w:t>pārvaldību</w:t>
      </w:r>
      <w:r w:rsidRPr="00430FE8" w:rsidR="00AF2D55">
        <w:t xml:space="preserve"> ir jā</w:t>
      </w:r>
      <w:r w:rsidRPr="00430FE8">
        <w:t>nodrošina gan efektīvu valsts pārvaldes rīcībā esošo resursu un kompetenču izmantošanu, gan brīvas un godīgas konkurences apstākļus MDP tirgus dalībniekiem.</w:t>
      </w:r>
    </w:p>
    <w:p w:rsidR="00B52088" w:rsidP="00FF7370" w14:paraId="7C4DBD3E" w14:textId="61C71EDB">
      <w:pPr>
        <w:spacing w:before="120"/>
        <w:jc w:val="both"/>
      </w:pPr>
      <w:r w:rsidRPr="002D2950">
        <w:t>Ziņojum</w:t>
      </w:r>
      <w:r w:rsidRPr="002D2950" w:rsidR="005331CC">
        <w:t>s</w:t>
      </w:r>
      <w:r w:rsidRPr="002D2950">
        <w:t xml:space="preserve"> sagatavots, izmantojot </w:t>
      </w:r>
      <w:r w:rsidR="00D12467">
        <w:t>sabiedrības ar ierobežotu atbildību</w:t>
      </w:r>
      <w:r w:rsidRPr="002D2950" w:rsidR="00D12467">
        <w:t xml:space="preserve"> </w:t>
      </w:r>
      <w:r w:rsidRPr="002D2950">
        <w:t>“ANALYTICA” pēc Vides aiz</w:t>
      </w:r>
      <w:r w:rsidRPr="002D2950" w:rsidR="002D2950">
        <w:t>sardzības un reģionālās attīstī</w:t>
      </w:r>
      <w:r w:rsidRPr="002D2950">
        <w:t>bas ministrijas (turpmāk – VARAM) pasūtījuma veiktā pētījuma “</w:t>
      </w:r>
      <w:r w:rsidRPr="002D2950">
        <w:t>Mākoņdatošanas</w:t>
      </w:r>
      <w:r w:rsidRPr="002D2950">
        <w:t xml:space="preserve"> iespēju izmantošana publisko pakalpojumu pilnveidei” nodevumus</w:t>
      </w:r>
      <w:r w:rsidR="00323024">
        <w:t xml:space="preserve"> </w:t>
      </w:r>
      <w:r w:rsidR="00323024">
        <w:t>(</w:t>
      </w:r>
      <w:r w:rsidR="00323024">
        <w:t>skat. VARAM tīmekļa vietnes sadaļā “pētījumi e-pārvaldes jomā”)</w:t>
      </w:r>
      <w:r w:rsidRPr="002D2950">
        <w:t xml:space="preserve">. </w:t>
      </w:r>
      <w:r w:rsidRPr="002D2950" w:rsidR="00990A39">
        <w:t xml:space="preserve"> </w:t>
      </w:r>
      <w:bookmarkStart w:id="16" w:name="_n83mq3y42va3" w:colFirst="0" w:colLast="0"/>
      <w:bookmarkEnd w:id="16"/>
    </w:p>
    <w:p w:rsidR="00C9180C" w:rsidP="00FF7370" w14:paraId="2F487A62" w14:textId="77777777">
      <w:pPr>
        <w:spacing w:before="120"/>
        <w:jc w:val="both"/>
      </w:pPr>
    </w:p>
    <w:p w:rsidR="00D12467" w:rsidRPr="002D2950" w:rsidP="009B7B45" w14:paraId="23C3662E" w14:textId="77777777">
      <w:pPr>
        <w:jc w:val="both"/>
      </w:pPr>
    </w:p>
    <w:p w:rsidR="00781866" w:rsidRPr="002D2950" w:rsidP="00990A39" w14:paraId="1173D1C4" w14:textId="1839A86E">
      <w:pPr>
        <w:pStyle w:val="Heading1"/>
        <w:keepLines/>
        <w:pBdr>
          <w:top w:val="nil"/>
          <w:left w:val="nil"/>
          <w:bottom w:val="nil"/>
          <w:right w:val="nil"/>
          <w:between w:val="nil"/>
        </w:pBdr>
        <w:spacing w:before="0" w:after="200" w:line="276" w:lineRule="auto"/>
        <w:ind w:left="0"/>
        <w:contextualSpacing/>
        <w:jc w:val="left"/>
        <w:rPr>
          <w:color w:val="auto"/>
        </w:rPr>
      </w:pPr>
      <w:bookmarkStart w:id="17" w:name="_Toc505072486"/>
      <w:bookmarkStart w:id="18" w:name="_Toc256000003"/>
      <w:bookmarkStart w:id="19" w:name="_Toc256000049"/>
      <w:r w:rsidRPr="002D2950">
        <w:rPr>
          <w:color w:val="auto"/>
        </w:rPr>
        <w:t>2. Latvi</w:t>
      </w:r>
      <w:r w:rsidRPr="002D2950" w:rsidR="00B52088">
        <w:rPr>
          <w:color w:val="auto"/>
        </w:rPr>
        <w:t>jas izaicinājumi IKT pārvaldībā</w:t>
      </w:r>
      <w:bookmarkEnd w:id="19"/>
      <w:bookmarkEnd w:id="18"/>
      <w:bookmarkEnd w:id="17"/>
    </w:p>
    <w:p w:rsidR="00781866" w:rsidRPr="002D2950" w:rsidP="00781866" w14:paraId="2342FF28" w14:textId="2D9DEC98">
      <w:pPr>
        <w:spacing w:after="120"/>
      </w:pPr>
      <w:r w:rsidRPr="002D2950">
        <w:t>Š</w:t>
      </w:r>
      <w:r w:rsidRPr="002D2950" w:rsidR="00D04C52">
        <w:t>obrīd pastāv</w:t>
      </w:r>
      <w:r w:rsidRPr="002D2950">
        <w:t xml:space="preserve"> virkne apstākļu, kas liek pārskatīt valsts pārvades IKT attīstību:</w:t>
      </w:r>
    </w:p>
    <w:p w:rsidR="00781866" w:rsidRPr="002D2950" w:rsidP="00E40A97" w14:paraId="5C4368C9" w14:textId="77777777">
      <w:pPr>
        <w:numPr>
          <w:ilvl w:val="0"/>
          <w:numId w:val="30"/>
        </w:numPr>
        <w:pBdr>
          <w:top w:val="nil"/>
          <w:left w:val="nil"/>
          <w:bottom w:val="nil"/>
          <w:right w:val="nil"/>
          <w:between w:val="nil"/>
        </w:pBdr>
        <w:spacing w:after="400" w:line="276" w:lineRule="auto"/>
        <w:contextualSpacing/>
        <w:jc w:val="both"/>
      </w:pPr>
      <w:r w:rsidRPr="002D2950">
        <w:t>IKT loma valsts pārvaldē nemitīgi pieaug, kas prasa arvien jaunus resursus, tādējādi vairojot kompetenču un finanšu slogu, bet reālās prasības valsts iestādēm ir samazināt finanšu un cilvēkresursus. Valsts</w:t>
      </w:r>
      <w:r w:rsidRPr="002D2950">
        <w:t xml:space="preserve">  </w:t>
      </w:r>
      <w:r w:rsidRPr="002D2950">
        <w:t>iestādēm ir būtiski koncentrēt savus centienus uz savu pamatdarbību un meklēt iespējas atbalsta un pamatdarbību nodrošinošo funkciju (kāda citu starpā ir IKT darbināšana) sašaurināšanā;</w:t>
      </w:r>
    </w:p>
    <w:p w:rsidR="00781866" w:rsidRPr="002D2950" w:rsidP="00E40A97" w14:paraId="2117DD42" w14:textId="2F717769">
      <w:pPr>
        <w:numPr>
          <w:ilvl w:val="0"/>
          <w:numId w:val="30"/>
        </w:numPr>
        <w:pBdr>
          <w:top w:val="nil"/>
          <w:left w:val="nil"/>
          <w:bottom w:val="nil"/>
          <w:right w:val="nil"/>
          <w:between w:val="nil"/>
        </w:pBdr>
        <w:spacing w:after="400" w:line="276" w:lineRule="auto"/>
        <w:contextualSpacing/>
        <w:jc w:val="both"/>
      </w:pPr>
      <w:r w:rsidRPr="002D2950">
        <w:t>MDP, kā tehnoloģisks risinājums, nodrošina IT sistēmu elastību, t.i.</w:t>
      </w:r>
      <w:r w:rsidRPr="002D2950" w:rsidR="00D82AA8">
        <w:t>,</w:t>
      </w:r>
      <w:r w:rsidRPr="002D2950">
        <w:t xml:space="preserve"> to pielāgošanu aktuālajām lietotāju vajadzībām. Ar MDP</w:t>
      </w:r>
      <w:r w:rsidRPr="002D2950">
        <w:t xml:space="preserve">  </w:t>
      </w:r>
      <w:r w:rsidRPr="002D2950">
        <w:t>palīdzību gala lietotājiem nav nepieciešams sākotnēji noteikt precīzas skaitļošanas resursu prasības. Tā vietā viņi pieprasa un lieto skaitļošanas resursus atbilstoši faktiskajai nepieciešamībai. Izmantojot MDP, valsts pārvaldes iestādēm vairs nav nepieciešams veidot un uzturēt savu datu centra infrastruktūru, lai nodrošinātu tiešo funkciju izpildi un apkalpotu savus klientus;</w:t>
      </w:r>
    </w:p>
    <w:p w:rsidR="00781866" w:rsidRPr="002D2950" w:rsidP="00E40A97" w14:paraId="2B8FF895" w14:textId="5BBB2A9D">
      <w:pPr>
        <w:numPr>
          <w:ilvl w:val="0"/>
          <w:numId w:val="30"/>
        </w:numPr>
        <w:pBdr>
          <w:top w:val="nil"/>
          <w:left w:val="nil"/>
          <w:bottom w:val="nil"/>
          <w:right w:val="nil"/>
          <w:between w:val="nil"/>
        </w:pBdr>
        <w:spacing w:after="400" w:line="276" w:lineRule="auto"/>
        <w:contextualSpacing/>
        <w:jc w:val="both"/>
      </w:pPr>
      <w:r w:rsidRPr="002D2950">
        <w:t xml:space="preserve">IKT projekti tiek ieviesti lēni un </w:t>
      </w:r>
      <w:r w:rsidRPr="002D2950" w:rsidR="00E65CA9">
        <w:t>nereti</w:t>
      </w:r>
      <w:r w:rsidRPr="002D2950">
        <w:t xml:space="preserve"> tiek kavēti sākotnējie ieviešanas plāni. Kā pamats tam bieži ir ar tehnisko resursu ieviešanu</w:t>
      </w:r>
      <w:r w:rsidRPr="002D2950" w:rsidR="00340FA4">
        <w:t xml:space="preserve"> un </w:t>
      </w:r>
      <w:r w:rsidRPr="002D2950">
        <w:t xml:space="preserve">iegādi saistītas problēmas, testa un </w:t>
      </w:r>
      <w:r w:rsidRPr="002D2950">
        <w:t>pirmsprodukcijas</w:t>
      </w:r>
      <w:r w:rsidRPr="002D2950">
        <w:t xml:space="preserve"> </w:t>
      </w:r>
      <w:r w:rsidRPr="002D2950" w:rsidR="00D82AA8">
        <w:t>vides</w:t>
      </w:r>
      <w:r w:rsidRPr="002D2950">
        <w:t xml:space="preserve"> nepieejamība, ierobežoti laika un cilvēkresursi, kas ir nepieciešami platformu sagatavošanā; </w:t>
      </w:r>
    </w:p>
    <w:p w:rsidR="00781866" w:rsidRPr="002D2950" w:rsidP="00E40A97" w14:paraId="4D402A2B" w14:textId="3DDCA376">
      <w:pPr>
        <w:numPr>
          <w:ilvl w:val="0"/>
          <w:numId w:val="30"/>
        </w:numPr>
        <w:pBdr>
          <w:top w:val="nil"/>
          <w:left w:val="nil"/>
          <w:bottom w:val="nil"/>
          <w:right w:val="nil"/>
          <w:between w:val="nil"/>
        </w:pBdr>
        <w:spacing w:after="400" w:line="276" w:lineRule="auto"/>
        <w:contextualSpacing/>
        <w:jc w:val="both"/>
      </w:pPr>
      <w:r w:rsidRPr="002D2950">
        <w:t xml:space="preserve">Lietotāju saskarnes un ierīces kļūst arvien vairāk uz patērētāju orientētas, kā rezultātā palielinās </w:t>
      </w:r>
      <w:r w:rsidRPr="002D2950" w:rsidR="00E65CA9">
        <w:t xml:space="preserve">kompleksu biznesa pakalpojumu </w:t>
      </w:r>
      <w:r w:rsidRPr="002D2950">
        <w:t>piedāvājums un pieprasījums</w:t>
      </w:r>
      <w:r w:rsidRPr="002D2950" w:rsidR="00E65CA9">
        <w:t>.</w:t>
      </w:r>
      <w:r w:rsidRPr="002D2950">
        <w:t xml:space="preserve"> Vienlaikus serveru saskarnes un IT sistēmas kļūst arvien komplicētākas un strauji tiek papildinātas ar jauniem pakalpojumiem (piemēram: </w:t>
      </w:r>
      <w:r w:rsidRPr="002D2950">
        <w:t>mašīn-mācīšanās,</w:t>
      </w:r>
      <w:r w:rsidRPr="002D2950">
        <w:t xml:space="preserve"> lielu datu kopu analītikas rīki, kiberdrošības risinājumi u.c.)</w:t>
      </w:r>
      <w:r>
        <w:rPr>
          <w:vertAlign w:val="superscript"/>
        </w:rPr>
        <w:footnoteReference w:id="2"/>
      </w:r>
      <w:r w:rsidRPr="002D2950">
        <w:t>, kā rezultātā pieaug nepieciešamo prasmju līmeņi IKT risinājumu izstrādei un uzturēšanai;</w:t>
      </w:r>
    </w:p>
    <w:p w:rsidR="00781866" w:rsidRPr="002D2950" w:rsidP="00E40A97" w14:paraId="319E9CBF" w14:textId="77777777">
      <w:pPr>
        <w:numPr>
          <w:ilvl w:val="0"/>
          <w:numId w:val="30"/>
        </w:numPr>
        <w:pBdr>
          <w:top w:val="nil"/>
          <w:left w:val="nil"/>
          <w:bottom w:val="nil"/>
          <w:right w:val="nil"/>
          <w:between w:val="nil"/>
        </w:pBdr>
        <w:spacing w:after="400" w:line="276" w:lineRule="auto"/>
        <w:contextualSpacing/>
        <w:jc w:val="both"/>
      </w:pPr>
      <w:r w:rsidRPr="002D2950">
        <w:t>Valsts pārvaldei ir problemātiski nodrošināt pietiekamu IKT personālu dažādu funkciju veikšanai;</w:t>
      </w:r>
    </w:p>
    <w:p w:rsidR="00781866" w:rsidRPr="002D2950" w:rsidP="00E40A97" w14:paraId="2CF01F28" w14:textId="77777777">
      <w:pPr>
        <w:numPr>
          <w:ilvl w:val="0"/>
          <w:numId w:val="30"/>
        </w:numPr>
        <w:pBdr>
          <w:top w:val="nil"/>
          <w:left w:val="nil"/>
          <w:bottom w:val="nil"/>
          <w:right w:val="nil"/>
          <w:between w:val="nil"/>
        </w:pBdr>
        <w:spacing w:after="400" w:line="276" w:lineRule="auto"/>
        <w:contextualSpacing/>
        <w:jc w:val="both"/>
      </w:pPr>
      <w:r w:rsidRPr="002D2950">
        <w:t>Valsts pārvaldē ir virkne kopīgu procesu, kurus var risināt ar centralizētiem IKT risinājumiem un koplietojamiem IKT pakalpojumiem, tostarp pašas IKT nozares darbības nodrošināšanai;</w:t>
      </w:r>
    </w:p>
    <w:p w:rsidR="00781866" w:rsidRPr="009D43D5" w:rsidP="00E40A97" w14:paraId="12E81E38" w14:textId="546AC58F">
      <w:pPr>
        <w:numPr>
          <w:ilvl w:val="0"/>
          <w:numId w:val="30"/>
        </w:numPr>
        <w:pBdr>
          <w:top w:val="nil"/>
          <w:left w:val="nil"/>
          <w:bottom w:val="nil"/>
          <w:right w:val="nil"/>
          <w:between w:val="nil"/>
        </w:pBdr>
        <w:spacing w:after="400" w:line="276" w:lineRule="auto"/>
        <w:contextualSpacing/>
        <w:jc w:val="both"/>
      </w:pPr>
      <w:r w:rsidRPr="009D43D5">
        <w:t>Latvija MDP lietošanas indeksā atpaliek no pārējām ES valstīm</w:t>
      </w:r>
      <w:r>
        <w:rPr>
          <w:vertAlign w:val="superscript"/>
        </w:rPr>
        <w:footnoteReference w:id="3"/>
      </w:r>
      <w:r w:rsidRPr="009D43D5">
        <w:t xml:space="preserve"> (201</w:t>
      </w:r>
      <w:r w:rsidRPr="009D43D5" w:rsidR="005C0E24">
        <w:t>6</w:t>
      </w:r>
      <w:r w:rsidRPr="009D43D5">
        <w:t xml:space="preserve">. gadā tikai </w:t>
      </w:r>
      <w:r w:rsidRPr="009D43D5" w:rsidR="00DC7D1A">
        <w:t>12</w:t>
      </w:r>
      <w:r w:rsidRPr="009D43D5">
        <w:t xml:space="preserve">% no Latvijas uzņēmumiem ir izmantojuši MDP, bet, </w:t>
      </w:r>
      <w:r w:rsidRPr="009D43D5">
        <w:t>piemēram</w:t>
      </w:r>
      <w:r w:rsidRPr="009D43D5">
        <w:t xml:space="preserve"> Igaunijā un Lietuvā šis rādītājs ir bijis attiecīgi 23% un 17%), un tā kā valsts pārvaldē MDP lietošana parasti atpaliek no </w:t>
      </w:r>
      <w:r w:rsidRPr="009D43D5">
        <w:t>komercsektora</w:t>
      </w:r>
      <w:r>
        <w:rPr>
          <w:vertAlign w:val="superscript"/>
        </w:rPr>
        <w:footnoteReference w:id="4"/>
      </w:r>
      <w:r w:rsidRPr="009D43D5">
        <w:t xml:space="preserve">, arī bez atsevišķiem pētījumiem var apgalvot, ka Latvijas valsts pārvaldes sektorā </w:t>
      </w:r>
      <w:r w:rsidRPr="009D43D5">
        <w:t>mākoņdatošanas</w:t>
      </w:r>
      <w:r w:rsidRPr="009D43D5" w:rsidR="005B16BA">
        <w:t xml:space="preserve"> lietošana ir vēl zemākā līmenī kā </w:t>
      </w:r>
      <w:r w:rsidRPr="009D43D5" w:rsidR="005B16BA">
        <w:t>komercsektorā</w:t>
      </w:r>
      <w:r w:rsidRPr="009D43D5" w:rsidR="005B16BA">
        <w:t>, savukārt</w:t>
      </w:r>
      <w:r w:rsidRPr="009D43D5">
        <w:t xml:space="preserve"> </w:t>
      </w:r>
      <w:r w:rsidRPr="009D43D5" w:rsidR="00DC7D1A">
        <w:t xml:space="preserve">strauji pieaugošā </w:t>
      </w:r>
      <w:r w:rsidRPr="009D43D5">
        <w:t xml:space="preserve">MDP </w:t>
      </w:r>
      <w:r w:rsidRPr="009D43D5" w:rsidR="00DC7D1A">
        <w:t xml:space="preserve">izmantošana </w:t>
      </w:r>
      <w:r w:rsidRPr="009D43D5" w:rsidR="00DC7D1A">
        <w:t>komercsektorā</w:t>
      </w:r>
      <w:r w:rsidRPr="009D43D5" w:rsidR="00DC7D1A">
        <w:t xml:space="preserve"> </w:t>
      </w:r>
      <w:r w:rsidRPr="009D43D5">
        <w:t xml:space="preserve">norāda uz </w:t>
      </w:r>
      <w:r w:rsidRPr="009D43D5" w:rsidR="00DC7D1A">
        <w:t>MDP</w:t>
      </w:r>
      <w:r w:rsidRPr="009D43D5">
        <w:t xml:space="preserve"> ekonomisko izdevīgumu;</w:t>
      </w:r>
    </w:p>
    <w:p w:rsidR="00781866" w:rsidRPr="009D43D5" w:rsidP="00FE28CF" w14:paraId="6DDC1844" w14:textId="6EA8AA70">
      <w:pPr>
        <w:numPr>
          <w:ilvl w:val="0"/>
          <w:numId w:val="30"/>
        </w:numPr>
        <w:pBdr>
          <w:top w:val="nil"/>
          <w:left w:val="nil"/>
          <w:bottom w:val="nil"/>
          <w:right w:val="nil"/>
          <w:between w:val="nil"/>
        </w:pBdr>
        <w:spacing w:after="200" w:line="276" w:lineRule="auto"/>
        <w:jc w:val="both"/>
      </w:pPr>
      <w:r w:rsidRPr="009D43D5">
        <w:t>Valsts pārvaldē ir uzkrāta pirmā pieredze IKT centralizācijā, kas ir ļāvis uzlabot IKT pārvaldību, tajā skaitā IKT izmaksu kontroles jomā.</w:t>
      </w:r>
      <w:r w:rsidRPr="009D43D5" w:rsidR="00FE28CF">
        <w:t xml:space="preserve"> Tomēr iestāžu IKT saimniecība daudzviet </w:t>
      </w:r>
      <w:r w:rsidRPr="009D43D5" w:rsidR="00C9180C">
        <w:t xml:space="preserve">vēl arvien </w:t>
      </w:r>
      <w:r w:rsidRPr="009D43D5" w:rsidR="00FE28CF">
        <w:t xml:space="preserve">ir </w:t>
      </w:r>
      <w:r w:rsidRPr="009D43D5" w:rsidR="00C9180C">
        <w:t xml:space="preserve">nepamatoti </w:t>
      </w:r>
      <w:r w:rsidRPr="009D43D5" w:rsidR="00FE28CF">
        <w:t>sadrumstalota</w:t>
      </w:r>
      <w:r w:rsidRPr="009D43D5" w:rsidR="00C9180C">
        <w:t>.</w:t>
      </w:r>
      <w:r w:rsidRPr="009D43D5">
        <w:t xml:space="preserve"> </w:t>
      </w:r>
    </w:p>
    <w:p w:rsidR="00781866" w:rsidRPr="009D43D5" w:rsidP="00E40A97" w14:paraId="2F9BE54F" w14:textId="29129A77">
      <w:pPr>
        <w:pStyle w:val="Heading2"/>
        <w:numPr>
          <w:ilvl w:val="1"/>
          <w:numId w:val="12"/>
        </w:numPr>
        <w:pBdr>
          <w:top w:val="nil"/>
          <w:left w:val="nil"/>
          <w:bottom w:val="nil"/>
          <w:right w:val="nil"/>
          <w:between w:val="nil"/>
        </w:pBdr>
        <w:spacing w:before="0" w:after="160" w:line="276" w:lineRule="auto"/>
        <w:rPr>
          <w:sz w:val="24"/>
          <w:szCs w:val="24"/>
        </w:rPr>
      </w:pPr>
      <w:bookmarkStart w:id="20" w:name="_Toc496001864"/>
      <w:bookmarkStart w:id="21" w:name="_Toc497818660"/>
      <w:bookmarkStart w:id="22" w:name="_Toc497995193"/>
      <w:bookmarkStart w:id="23" w:name="_Toc498016951"/>
      <w:bookmarkStart w:id="24" w:name="_Toc498346596"/>
      <w:bookmarkStart w:id="25" w:name="_Toc505072487"/>
      <w:bookmarkStart w:id="26" w:name="_Toc256000004"/>
      <w:bookmarkStart w:id="27" w:name="_Toc256000050"/>
      <w:r w:rsidRPr="009D43D5">
        <w:rPr>
          <w:sz w:val="24"/>
          <w:szCs w:val="24"/>
        </w:rPr>
        <w:t xml:space="preserve">IKT </w:t>
      </w:r>
      <w:bookmarkEnd w:id="20"/>
      <w:bookmarkEnd w:id="21"/>
      <w:r w:rsidRPr="009D43D5">
        <w:rPr>
          <w:sz w:val="24"/>
          <w:szCs w:val="24"/>
        </w:rPr>
        <w:t>pārvaldības briedums</w:t>
      </w:r>
      <w:bookmarkEnd w:id="27"/>
      <w:bookmarkEnd w:id="26"/>
      <w:bookmarkEnd w:id="22"/>
      <w:bookmarkEnd w:id="23"/>
      <w:bookmarkEnd w:id="24"/>
      <w:bookmarkEnd w:id="25"/>
    </w:p>
    <w:p w:rsidR="00781866" w:rsidRPr="009D43D5" w:rsidP="00382562" w14:paraId="0AB8E43D" w14:textId="31AB7EB4">
      <w:pPr>
        <w:ind w:firstLine="720"/>
        <w:jc w:val="both"/>
      </w:pPr>
      <w:r w:rsidRPr="009D43D5">
        <w:t>Situācija Latvijā ir vērtēta</w:t>
      </w:r>
      <w:r w:rsidRPr="009D43D5" w:rsidR="005B16BA">
        <w:t xml:space="preserve">, ņemot vērā </w:t>
      </w:r>
      <w:r w:rsidRPr="009D43D5">
        <w:t>vairāk</w:t>
      </w:r>
      <w:r w:rsidRPr="009D43D5" w:rsidR="005B16BA">
        <w:t>us</w:t>
      </w:r>
      <w:r w:rsidRPr="009D43D5">
        <w:t xml:space="preserve"> aspekt</w:t>
      </w:r>
      <w:r w:rsidRPr="009D43D5" w:rsidR="005B16BA">
        <w:t>us</w:t>
      </w:r>
      <w:r w:rsidRPr="009D43D5">
        <w:t>,</w:t>
      </w:r>
      <w:r w:rsidRPr="009D43D5" w:rsidR="005B16BA">
        <w:t xml:space="preserve"> kā arī, </w:t>
      </w:r>
      <w:r w:rsidRPr="009D43D5">
        <w:t>vadoties</w:t>
      </w:r>
      <w:r w:rsidRPr="009D43D5" w:rsidR="005B16BA">
        <w:t xml:space="preserve"> no</w:t>
      </w:r>
      <w:r w:rsidRPr="009D43D5">
        <w:t xml:space="preserve"> Eiropas sadarbspēj</w:t>
      </w:r>
      <w:r w:rsidRPr="009D43D5" w:rsidR="005B16BA">
        <w:t>as satvara rekomendētajiem skat</w:t>
      </w:r>
      <w:r w:rsidRPr="009D43D5">
        <w:t>punktiem.</w:t>
      </w:r>
    </w:p>
    <w:p w:rsidR="00D04C52" w:rsidRPr="009D43D5" w:rsidP="00781866" w14:paraId="7CDE6A60" w14:textId="77777777"/>
    <w:p w:rsidR="00781866" w:rsidRPr="009D43D5" w:rsidP="00E40A97" w14:paraId="7218B825" w14:textId="0ECD56C4">
      <w:pPr>
        <w:pStyle w:val="Heading3"/>
        <w:numPr>
          <w:ilvl w:val="2"/>
          <w:numId w:val="12"/>
        </w:numPr>
        <w:pBdr>
          <w:top w:val="nil"/>
          <w:left w:val="nil"/>
          <w:bottom w:val="nil"/>
          <w:right w:val="nil"/>
          <w:between w:val="nil"/>
        </w:pBdr>
        <w:spacing w:before="0" w:line="276" w:lineRule="auto"/>
      </w:pPr>
      <w:bookmarkStart w:id="28" w:name="_Toc496001865"/>
      <w:bookmarkStart w:id="29" w:name="_Toc497818661"/>
      <w:bookmarkStart w:id="30" w:name="_Toc497995194"/>
      <w:bookmarkStart w:id="31" w:name="_Toc498016952"/>
      <w:bookmarkStart w:id="32" w:name="_Toc498346597"/>
      <w:bookmarkStart w:id="33" w:name="_Toc505072488"/>
      <w:bookmarkStart w:id="34" w:name="_Toc256000005"/>
      <w:bookmarkStart w:id="35" w:name="_Toc256000051"/>
      <w:r w:rsidRPr="009D43D5">
        <w:t>Normatīvais briedums</w:t>
      </w:r>
      <w:bookmarkEnd w:id="35"/>
      <w:bookmarkEnd w:id="34"/>
      <w:bookmarkEnd w:id="28"/>
      <w:bookmarkEnd w:id="29"/>
      <w:bookmarkEnd w:id="30"/>
      <w:bookmarkEnd w:id="31"/>
      <w:bookmarkEnd w:id="32"/>
      <w:bookmarkEnd w:id="33"/>
    </w:p>
    <w:p w:rsidR="00781866" w:rsidRPr="009D43D5" w:rsidP="00EF589A" w14:paraId="395D684A" w14:textId="1B08AFE8">
      <w:pPr>
        <w:spacing w:before="120"/>
        <w:ind w:firstLine="720"/>
        <w:jc w:val="both"/>
      </w:pPr>
      <w:r w:rsidRPr="009D43D5">
        <w:t xml:space="preserve">Latvijā spēkā esošais normatīvo </w:t>
      </w:r>
      <w:r w:rsidRPr="009D43D5" w:rsidR="00F4185B">
        <w:t xml:space="preserve">aktu </w:t>
      </w:r>
      <w:r w:rsidRPr="009D43D5">
        <w:t xml:space="preserve">kopums speciāli un tieši nereglamentē MDP, to sniegšanu vai lietošanu. No tā izriet – ja nepieciešams, tad IKT infrastruktūras koplietošanas pakalpojumu sniegšanas normatīvā regulējuma izveidošana ir attiecīgā pakalpojuma sniedzēja atbildība. Ja pakalpojumu plānots attīstīt ar IKT </w:t>
      </w:r>
      <w:r w:rsidRPr="009D43D5" w:rsidR="004608CA">
        <w:t>ERAF</w:t>
      </w:r>
      <w:r w:rsidRPr="009D43D5">
        <w:t xml:space="preserve"> līdzfinansējumu, tad šāda regulējuma esamība un attīstības plāni projekta laikā (ja attīstība ir nepieciešama) ir viens no aspektiem, ko VARAM izvērtē projekta detalizētajos aprakstos.</w:t>
      </w:r>
    </w:p>
    <w:p w:rsidR="009071BD" w:rsidRPr="009D43D5" w:rsidP="00EF589A" w14:paraId="6C3F7976" w14:textId="08DBFCD0">
      <w:pPr>
        <w:spacing w:before="120"/>
        <w:ind w:firstLine="720"/>
        <w:jc w:val="both"/>
      </w:pPr>
      <w:r w:rsidRPr="009D43D5">
        <w:t>Vispārīgā un atsevišķu valsts informācijas resursu līmenī MDP lietošanai tomēr ir saistoša noteikta IKT normatīvu kopa – piemēram, Valsts informācijas sistēmu likums, Fizisko personu datu aizsardzības likums, M</w:t>
      </w:r>
      <w:r w:rsidRPr="009D43D5" w:rsidR="00FB5EA0">
        <w:t>inistru kabineta</w:t>
      </w:r>
      <w:r w:rsidR="0052505D">
        <w:t xml:space="preserve"> </w:t>
      </w:r>
      <w:r w:rsidRPr="009D43D5" w:rsidR="0052505D">
        <w:t>(turpmāk – MK)</w:t>
      </w:r>
      <w:r w:rsidRPr="009D43D5">
        <w:t xml:space="preserve"> </w:t>
      </w:r>
      <w:r w:rsidRPr="009D43D5" w:rsidR="0052505D">
        <w:t>2012.gada</w:t>
      </w:r>
      <w:r w:rsidRPr="009D43D5" w:rsidR="0052505D">
        <w:t xml:space="preserve"> 19.jūnija </w:t>
      </w:r>
      <w:r w:rsidRPr="009D43D5" w:rsidR="000B0C02">
        <w:t xml:space="preserve"> </w:t>
      </w:r>
      <w:r w:rsidRPr="009D43D5">
        <w:t>noteikumi Nr.421</w:t>
      </w:r>
      <w:r w:rsidRPr="009D43D5" w:rsidR="00FB5EA0">
        <w:t xml:space="preserve"> “Valsts informācijas sistēmu savietotāju un integrēto valsts informācijas sistēmu aizsardzības prasības”</w:t>
      </w:r>
      <w:r w:rsidRPr="009D43D5" w:rsidR="0067541C">
        <w:t xml:space="preserve"> (turpmāk - noteikumi Nr.421)</w:t>
      </w:r>
      <w:r w:rsidRPr="009D43D5" w:rsidR="00E16D96">
        <w:t xml:space="preserve"> </w:t>
      </w:r>
      <w:r w:rsidRPr="009D43D5">
        <w:t xml:space="preserve">utt. </w:t>
      </w:r>
    </w:p>
    <w:p w:rsidR="009071BD" w:rsidRPr="009D43D5" w:rsidP="00EF589A" w14:paraId="215E53DE" w14:textId="11637C24">
      <w:pPr>
        <w:spacing w:before="120"/>
        <w:ind w:firstLine="720"/>
        <w:jc w:val="both"/>
      </w:pPr>
      <w:r w:rsidRPr="009D43D5">
        <w:t xml:space="preserve">Ar 2018. gada 1. janvāri stājas spēkā </w:t>
      </w:r>
      <w:r w:rsidR="00B2422F">
        <w:t>2017.gada</w:t>
      </w:r>
      <w:r w:rsidRPr="009D43D5">
        <w:t xml:space="preserve"> 20. jū</w:t>
      </w:r>
      <w:r w:rsidRPr="009D43D5" w:rsidR="00A22531">
        <w:t>n</w:t>
      </w:r>
      <w:r w:rsidRPr="009D43D5">
        <w:t xml:space="preserve">ijā </w:t>
      </w:r>
      <w:r w:rsidR="0052505D">
        <w:t>MK</w:t>
      </w:r>
      <w:r w:rsidRPr="009D43D5">
        <w:t xml:space="preserve"> apstiprinātie grozījumi instrukcijā “Tiesību akta projekta sākotnējās ietekmes novērtēšanas kārtība”, kas paredz turpmāk anotācijās norādīt paredzēto pakalpojumu nosaukumus, ja projekts paredz ieviest jaunus pakalpojumus vai jaunas informācijas un komunikāciju tehnoloģiju sistēmas vai pilnveidot esošās, kā arī to, vai pakalpojums tiks sniegts elektroniski. Minētie grozījumi pilnveido informācijas un komunikācijas tehnoloģiju pārvaldības sistēmu Latvijā, sniedzot iespēju lēmumu pieņemšanu balstīt pierādījumos un pilnvērtīgā sākotnējās ietekmes analīzē, kā arī Vides aizsardzības un reģionālās attīstības ministrijai – sniegt atzinumus ekonomiskākai un efektīvākai e-pakalpojumu un IKT sistēmu izmantošanai.</w:t>
      </w:r>
    </w:p>
    <w:p w:rsidR="00781866" w:rsidRPr="009D43D5" w:rsidP="00EF589A" w14:paraId="4F76BAAB" w14:textId="309E19B1">
      <w:pPr>
        <w:spacing w:before="120"/>
        <w:ind w:firstLine="720"/>
        <w:jc w:val="both"/>
      </w:pPr>
      <w:r w:rsidRPr="009D43D5">
        <w:t>Savukārt</w:t>
      </w:r>
      <w:r w:rsidRPr="009D43D5">
        <w:t xml:space="preserve"> MDP attīstības un lietošanas pamatprincipi valsts pārvaldē ir noteikti </w:t>
      </w:r>
      <w:r w:rsidRPr="009D43D5">
        <w:t>informatīvajā ziņojumā “P</w:t>
      </w:r>
      <w:r w:rsidRPr="009D43D5">
        <w:t>ar publiskās pārvaldes informācijas sistēmu konceptuālo arhitektūru</w:t>
      </w:r>
      <w:r w:rsidRPr="009D43D5">
        <w:t>” (M</w:t>
      </w:r>
      <w:r w:rsidRPr="009D43D5" w:rsidR="008E65A0">
        <w:t xml:space="preserve">K </w:t>
      </w:r>
      <w:r w:rsidRPr="009D43D5" w:rsidR="0052505D">
        <w:t>2015.gada</w:t>
      </w:r>
      <w:r w:rsidRPr="009D43D5" w:rsidR="0052505D">
        <w:t xml:space="preserve"> 10.aprīļa </w:t>
      </w:r>
      <w:r w:rsidRPr="009D43D5" w:rsidR="008E65A0">
        <w:t xml:space="preserve">sēdes protokols Nr.14, </w:t>
      </w:r>
      <w:bookmarkStart w:id="36" w:name="22"/>
      <w:r w:rsidRPr="009D43D5" w:rsidR="008E65A0">
        <w:t>22.§</w:t>
      </w:r>
      <w:bookmarkEnd w:id="36"/>
      <w:r w:rsidRPr="009D43D5" w:rsidR="008E65A0">
        <w:t>)</w:t>
      </w:r>
      <w:r w:rsidRPr="009D43D5">
        <w:t>. Cita starpā konceptuālā arhitektūra nosaka arī MDP ieviešanas un lietošanas attīstības prioritātes.</w:t>
      </w:r>
    </w:p>
    <w:p w:rsidR="00781866" w:rsidRPr="009D43D5" w:rsidP="00EF589A" w14:paraId="18E41F85" w14:textId="3C4C6003">
      <w:pPr>
        <w:spacing w:before="120"/>
        <w:ind w:firstLine="720"/>
        <w:jc w:val="both"/>
      </w:pPr>
      <w:r w:rsidRPr="009D43D5">
        <w:t xml:space="preserve">Lai arī Latvijā spēkā esošais normatīvo </w:t>
      </w:r>
      <w:r w:rsidR="0052505D">
        <w:t>aktu</w:t>
      </w:r>
      <w:r w:rsidRPr="009D43D5">
        <w:t xml:space="preserve"> kopums speciāli un tieši nereglamentē MDP, to sniegšanu vai lietošanu, tomēr MDP iegāde </w:t>
      </w:r>
      <w:r w:rsidRPr="009D43D5">
        <w:t xml:space="preserve">ir iespējama, un šādi piedāvājumi jau eksistē (tiek izmantoti), piemēram, e-iepirkumu platformā (Elektronisko Iepirkumu Sistēma - EIS) ir pieejama </w:t>
      </w:r>
      <w:r w:rsidRPr="009D43D5">
        <w:t>mākoņd</w:t>
      </w:r>
      <w:r w:rsidRPr="009D43D5" w:rsidR="00586D20">
        <w:t>atošanas</w:t>
      </w:r>
      <w:r w:rsidRPr="009D43D5" w:rsidR="00586D20">
        <w:t xml:space="preserve"> risinājumu iegāde (sk.</w:t>
      </w:r>
      <w:r w:rsidRPr="009D43D5">
        <w:t xml:space="preserve"> piemēr</w:t>
      </w:r>
      <w:r w:rsidRPr="009D43D5" w:rsidR="000B4E32">
        <w:t>am</w:t>
      </w:r>
      <w:r>
        <w:rPr>
          <w:rStyle w:val="FootnoteReference"/>
        </w:rPr>
        <w:footnoteReference w:id="5"/>
      </w:r>
      <w:r w:rsidRPr="009D43D5" w:rsidR="000B4E32">
        <w:t xml:space="preserve"> )</w:t>
      </w:r>
      <w:r w:rsidRPr="009D43D5" w:rsidR="000B4E32">
        <w:t>.</w:t>
      </w:r>
      <w:r w:rsidRPr="009D43D5">
        <w:t xml:space="preserve"> Tomēr </w:t>
      </w:r>
      <w:r w:rsidRPr="009D43D5" w:rsidR="00F4185B">
        <w:t>esošais</w:t>
      </w:r>
      <w:r w:rsidRPr="009D43D5" w:rsidR="00F4185B">
        <w:t xml:space="preserve">  </w:t>
      </w:r>
      <w:r w:rsidRPr="009D43D5">
        <w:t xml:space="preserve">publisko iepirkumu </w:t>
      </w:r>
      <w:r w:rsidRPr="009D43D5" w:rsidR="00586D20">
        <w:t>regulējums</w:t>
      </w:r>
      <w:r w:rsidRPr="009D43D5">
        <w:t xml:space="preserve">, kā arī MDP e-iepirkumu platforma pagaidām vairāk ir orientēta uz preču centralizētiem iepirkumiem, kas atsevišķos gadījumos ierobežo pakalpojumu un MDP iegādi. To apliecina arī intervijas ar iestādēm, kurās vairākkārtīgi ir pieminēti gadījumi, kad, veicot pakalpojumu un produktu </w:t>
      </w:r>
      <w:r w:rsidRPr="009D43D5" w:rsidR="00586D20">
        <w:t>iegādi, izmatojot</w:t>
      </w:r>
      <w:r w:rsidRPr="009D43D5">
        <w:t xml:space="preserve"> EIS, tas nav bijis </w:t>
      </w:r>
      <w:r w:rsidRPr="009D43D5" w:rsidR="00586D20">
        <w:t xml:space="preserve">iespējams (jo ražotāja produkts vai </w:t>
      </w:r>
      <w:r w:rsidRPr="009D43D5">
        <w:t>pakalpojums nav pieejams) vai arī mākslīgi ir pirkti citi pakalpojumi</w:t>
      </w:r>
      <w:r w:rsidRPr="009D43D5" w:rsidR="00586D20">
        <w:t xml:space="preserve"> vai </w:t>
      </w:r>
      <w:r w:rsidRPr="009D43D5">
        <w:t xml:space="preserve">produkti (jo ir mainījusies produkta versija vai licencēšanas politika, vai produkts kopumā). Līdz ar to var apgalvot, ka pašreizējais normatīvais regulējums pieļauj MDP izmantošanu publiskā sektora IKT pārvaldībā, taču skaidri nenosaka, kad var un kad nevar izmantot MDP, kā arī nenodrošina pietiekami skaidrus principus, kas varētu tikt izmantoti, lai attiecībā uz konkrētu informācijas </w:t>
      </w:r>
      <w:r w:rsidRPr="009D43D5" w:rsidR="005D2309">
        <w:t>sistēmu</w:t>
      </w:r>
      <w:r w:rsidRPr="009D43D5">
        <w:t xml:space="preserve"> objektīvi novērtētu iespējamību to izvietot MDP. Papildus tam esošais normatīvais regulējums ir ierobežots savā spējā interpretēt dažādu informācijas </w:t>
      </w:r>
      <w:r w:rsidRPr="009D43D5" w:rsidR="005D2309">
        <w:t>sistēmu</w:t>
      </w:r>
      <w:r w:rsidRPr="009D43D5">
        <w:t xml:space="preserve"> aizsardzības prasības </w:t>
      </w:r>
      <w:r w:rsidRPr="009D43D5" w:rsidR="004F1357">
        <w:t xml:space="preserve">no konfidencialitātes un </w:t>
      </w:r>
      <w:r w:rsidRPr="009D43D5">
        <w:t>integritātes viedokļa, kā arī tikai daļēji nosaka pieejamības</w:t>
      </w:r>
      <w:r w:rsidRPr="009D43D5" w:rsidR="004F1357">
        <w:t xml:space="preserve"> un </w:t>
      </w:r>
      <w:r w:rsidRPr="009D43D5">
        <w:t>atjaunošanas prasības.  Esošais regulējums piedāvā šādu informācijas klasifikāciju:</w:t>
      </w:r>
    </w:p>
    <w:p w:rsidR="00781866" w:rsidRPr="009D43D5" w:rsidP="00E40A97" w14:paraId="0299EC4A" w14:textId="77777777">
      <w:pPr>
        <w:numPr>
          <w:ilvl w:val="0"/>
          <w:numId w:val="31"/>
        </w:numPr>
        <w:pBdr>
          <w:top w:val="nil"/>
          <w:left w:val="nil"/>
          <w:bottom w:val="nil"/>
          <w:right w:val="nil"/>
          <w:between w:val="nil"/>
        </w:pBdr>
        <w:spacing w:after="400" w:line="276" w:lineRule="auto"/>
        <w:contextualSpacing/>
        <w:jc w:val="both"/>
      </w:pPr>
      <w:r w:rsidRPr="009D43D5">
        <w:t>Informācijas atklātības likums informāciju klasificē tikai divās grupās: kā vispārpieejamu un ierobežotas pieejamības informāciju;</w:t>
      </w:r>
    </w:p>
    <w:p w:rsidR="00781866" w:rsidRPr="009D43D5" w:rsidP="00670CEB" w14:paraId="660A847C" w14:textId="590C1C38">
      <w:pPr>
        <w:numPr>
          <w:ilvl w:val="0"/>
          <w:numId w:val="31"/>
        </w:numPr>
        <w:pBdr>
          <w:top w:val="nil"/>
          <w:left w:val="nil"/>
          <w:bottom w:val="nil"/>
          <w:right w:val="nil"/>
          <w:between w:val="nil"/>
        </w:pBdr>
        <w:spacing w:after="100" w:afterAutospacing="1" w:line="276" w:lineRule="auto"/>
        <w:ind w:hanging="357"/>
        <w:contextualSpacing/>
        <w:jc w:val="both"/>
      </w:pPr>
      <w:r w:rsidRPr="009D43D5">
        <w:t xml:space="preserve">MK </w:t>
      </w:r>
      <w:r w:rsidRPr="009D43D5" w:rsidR="00F74D42">
        <w:t>2015.gada</w:t>
      </w:r>
      <w:r w:rsidRPr="009D43D5" w:rsidR="00F74D42">
        <w:t xml:space="preserve"> 28.jūlija </w:t>
      </w:r>
      <w:r w:rsidRPr="009D43D5">
        <w:t>noteikumi</w:t>
      </w:r>
      <w:r w:rsidRPr="009D43D5" w:rsidR="004F1357">
        <w:t xml:space="preserve"> Nr.442 “</w:t>
      </w:r>
      <w:r>
        <w:fldChar w:fldCharType="begin"/>
      </w:r>
      <w:r>
        <w:instrText xml:space="preserve"> HYPERLINK "https://likumi.lv/ta/id/275671-kartiba-kada-tiek-nodrosinata-informacijas-un-komunikacijas-tehnologiju-sistemu-atbilstiba-minimalajam-drosibas-prasibam" </w:instrText>
      </w:r>
      <w:r>
        <w:fldChar w:fldCharType="separate"/>
      </w:r>
      <w:r w:rsidRPr="009D43D5">
        <w:t>Kārtība, kādā tiek nodrošināta informācijas un komunikācijas tehnoloģiju sistēmu atbilstība minimālajām drošības prasībām</w:t>
      </w:r>
      <w:r>
        <w:fldChar w:fldCharType="end"/>
      </w:r>
      <w:r w:rsidRPr="009D43D5" w:rsidR="004F1357">
        <w:t>”</w:t>
      </w:r>
      <w:r w:rsidRPr="009D43D5">
        <w:t xml:space="preserve"> ir ar šādiem ierobežojumiem:</w:t>
      </w:r>
    </w:p>
    <w:p w:rsidR="00781866" w:rsidRPr="009D43D5" w:rsidP="00EC2676" w14:paraId="3C896C54" w14:textId="323D7C22">
      <w:pPr>
        <w:pStyle w:val="ListParagraph"/>
        <w:numPr>
          <w:ilvl w:val="1"/>
          <w:numId w:val="31"/>
        </w:numPr>
        <w:pBdr>
          <w:top w:val="nil"/>
          <w:left w:val="nil"/>
          <w:bottom w:val="nil"/>
          <w:right w:val="nil"/>
          <w:between w:val="nil"/>
        </w:pBdr>
        <w:spacing w:after="100" w:afterAutospacing="1" w:line="276" w:lineRule="auto"/>
        <w:ind w:hanging="357"/>
        <w:jc w:val="both"/>
      </w:pPr>
      <w:r w:rsidRPr="009D43D5">
        <w:t xml:space="preserve">tie klasificē tikai </w:t>
      </w:r>
      <w:r w:rsidRPr="009D43D5" w:rsidR="0067541C">
        <w:t>IS</w:t>
      </w:r>
      <w:r w:rsidRPr="009D43D5">
        <w:t xml:space="preserve"> (</w:t>
      </w:r>
      <w:r w:rsidRPr="009D43D5" w:rsidR="0067541C">
        <w:t>nav attiecināms uz</w:t>
      </w:r>
      <w:r w:rsidRPr="009D43D5">
        <w:t xml:space="preserve"> pašu informāciju un informācijas resursiem);</w:t>
      </w:r>
    </w:p>
    <w:p w:rsidR="00781866" w:rsidRPr="009D43D5" w:rsidP="00EC2676" w14:paraId="7F0DB6D7" w14:textId="184E51DC">
      <w:pPr>
        <w:pStyle w:val="ListParagraph"/>
        <w:numPr>
          <w:ilvl w:val="1"/>
          <w:numId w:val="31"/>
        </w:numPr>
        <w:pBdr>
          <w:top w:val="nil"/>
          <w:left w:val="nil"/>
          <w:bottom w:val="nil"/>
          <w:right w:val="nil"/>
          <w:between w:val="nil"/>
        </w:pBdr>
        <w:spacing w:after="100" w:afterAutospacing="1" w:line="276" w:lineRule="auto"/>
        <w:ind w:hanging="357"/>
        <w:jc w:val="both"/>
      </w:pPr>
      <w:r w:rsidRPr="009D43D5">
        <w:t xml:space="preserve">tie klasificē </w:t>
      </w:r>
      <w:r w:rsidRPr="009D43D5" w:rsidR="0067541C">
        <w:t>IS</w:t>
      </w:r>
      <w:r w:rsidRPr="009D43D5">
        <w:t xml:space="preserve"> tikai divās kategorijās: pamata un paaugstinātas drošības </w:t>
      </w:r>
      <w:r w:rsidRPr="009D43D5" w:rsidR="0067541C">
        <w:t>IS</w:t>
      </w:r>
      <w:r w:rsidRPr="009D43D5">
        <w:t>.</w:t>
      </w:r>
    </w:p>
    <w:p w:rsidR="00781866" w:rsidRPr="009D43D5" w:rsidP="00670CEB" w14:paraId="4C2C5EA0" w14:textId="5EFDC3F6">
      <w:pPr>
        <w:numPr>
          <w:ilvl w:val="0"/>
          <w:numId w:val="31"/>
        </w:numPr>
        <w:pBdr>
          <w:top w:val="nil"/>
          <w:left w:val="nil"/>
          <w:bottom w:val="nil"/>
          <w:right w:val="nil"/>
          <w:between w:val="nil"/>
        </w:pBdr>
        <w:spacing w:after="100" w:afterAutospacing="1" w:line="276" w:lineRule="auto"/>
        <w:ind w:hanging="357"/>
        <w:contextualSpacing/>
        <w:jc w:val="both"/>
      </w:pPr>
      <w:r w:rsidRPr="009D43D5">
        <w:t xml:space="preserve">Atsevišķi tiek definēti jēdzieni “valsts informācijas sistēmas”, “integrētās valsts informācijas sistēmas” un “valsts informācijas sistēmu savietotāji”, ar papildus izvirzītām aizsardzības prasībām </w:t>
      </w:r>
      <w:r w:rsidRPr="009D43D5">
        <w:t>(</w:t>
      </w:r>
      <w:r w:rsidRPr="009D43D5">
        <w:t xml:space="preserve">avoti: </w:t>
      </w:r>
      <w:r>
        <w:fldChar w:fldCharType="begin"/>
      </w:r>
      <w:r>
        <w:instrText xml:space="preserve"> HYPERLINK "https://likumi.lv/ta/id/62324-valsts-informacijas-sistemu-likums" \l "p16" </w:instrText>
      </w:r>
      <w:r>
        <w:fldChar w:fldCharType="separate"/>
      </w:r>
      <w:r w:rsidRPr="009D43D5">
        <w:t>Valsts informācijas sistēmu likums</w:t>
      </w:r>
      <w:r>
        <w:fldChar w:fldCharType="end"/>
      </w:r>
      <w:r w:rsidRPr="009D43D5">
        <w:t xml:space="preserve">, </w:t>
      </w:r>
      <w:r w:rsidRPr="009D43D5" w:rsidR="00B00490">
        <w:t xml:space="preserve">noteikumi </w:t>
      </w:r>
      <w:r w:rsidRPr="009D43D5" w:rsidR="00B00490">
        <w:t>Nr.421,</w:t>
      </w:r>
      <w:r w:rsidRPr="009D43D5">
        <w:t xml:space="preserve"> kas cita starpā nosaka, ka valsts </w:t>
      </w:r>
      <w:r w:rsidRPr="009D43D5" w:rsidR="00B00490">
        <w:t>IS</w:t>
      </w:r>
      <w:r w:rsidRPr="009D43D5">
        <w:t xml:space="preserve"> savietotāju un integrēto valsts </w:t>
      </w:r>
      <w:r w:rsidRPr="009D43D5" w:rsidR="00B00490">
        <w:t>IS</w:t>
      </w:r>
      <w:r w:rsidRPr="009D43D5">
        <w:t xml:space="preserve"> darbināšanā ir pieļaujami tikai valsts pārvaldes institūciju sniegti MDP;</w:t>
      </w:r>
    </w:p>
    <w:p w:rsidR="00781866" w:rsidRPr="009D43D5" w:rsidP="00670CEB" w14:paraId="5D36F82A" w14:textId="17779891">
      <w:pPr>
        <w:numPr>
          <w:ilvl w:val="0"/>
          <w:numId w:val="31"/>
        </w:numPr>
        <w:pBdr>
          <w:top w:val="nil"/>
          <w:left w:val="nil"/>
          <w:bottom w:val="nil"/>
          <w:right w:val="nil"/>
          <w:between w:val="nil"/>
        </w:pBdr>
        <w:spacing w:after="100" w:afterAutospacing="1" w:line="276" w:lineRule="auto"/>
        <w:ind w:hanging="357"/>
        <w:contextualSpacing/>
        <w:jc w:val="both"/>
      </w:pPr>
      <w:r w:rsidRPr="009D43D5">
        <w:rPr>
          <w:rStyle w:val="Strong"/>
          <w:b w:val="0"/>
        </w:rPr>
        <w:t>Eiropas Parlamenta un</w:t>
      </w:r>
      <w:r w:rsidRPr="009D43D5" w:rsidR="0019657C">
        <w:rPr>
          <w:rStyle w:val="Strong"/>
          <w:b w:val="0"/>
        </w:rPr>
        <w:t xml:space="preserve"> Padomes Direktīva 2013/37/ES (2013. gada 26. jūnijs</w:t>
      </w:r>
      <w:r w:rsidRPr="009D43D5">
        <w:rPr>
          <w:rStyle w:val="Strong"/>
          <w:b w:val="0"/>
        </w:rPr>
        <w:t xml:space="preserve">), ar ko groza Direktīvu 2003/98/EK par valsts sektora informācijas </w:t>
      </w:r>
      <w:r w:rsidRPr="009D43D5">
        <w:rPr>
          <w:rStyle w:val="Strong"/>
          <w:b w:val="0"/>
        </w:rPr>
        <w:t>atka</w:t>
      </w:r>
      <w:r w:rsidRPr="009D43D5" w:rsidR="0019657C">
        <w:rPr>
          <w:rStyle w:val="Strong"/>
          <w:b w:val="0"/>
        </w:rPr>
        <w:t>lizmantošanu</w:t>
      </w:r>
      <w:r w:rsidRPr="009D43D5" w:rsidR="0019657C">
        <w:rPr>
          <w:rStyle w:val="Strong"/>
          <w:b w:val="0"/>
        </w:rPr>
        <w:t>.</w:t>
      </w:r>
    </w:p>
    <w:p w:rsidR="00781866" w:rsidRPr="004736E1" w:rsidP="00D04C52" w14:paraId="20DB4D82" w14:textId="77777777">
      <w:pPr>
        <w:spacing w:before="240"/>
        <w:jc w:val="both"/>
      </w:pPr>
    </w:p>
    <w:p w:rsidR="00781866" w:rsidRPr="002D2950" w:rsidP="00482559" w14:paraId="18393D6F" w14:textId="1E638DD1">
      <w:pPr>
        <w:ind w:firstLine="360"/>
        <w:jc w:val="both"/>
      </w:pPr>
      <w:r w:rsidRPr="002D2950">
        <w:t xml:space="preserve">Tā rezultātā par </w:t>
      </w:r>
      <w:r w:rsidRPr="002D2950" w:rsidR="005D2309">
        <w:t>IS</w:t>
      </w:r>
      <w:r w:rsidRPr="002D2950">
        <w:t xml:space="preserve"> atbildīgajām personām ir sarežģīti pieņemt racionālus lēmumus par to, kāda informācijas drošības (kā minimums konfidencialitātes</w:t>
      </w:r>
      <w:r w:rsidRPr="002D2950" w:rsidR="00FB24DE">
        <w:t xml:space="preserve"> un </w:t>
      </w:r>
      <w:r w:rsidRPr="002D2950">
        <w:t>integritātes</w:t>
      </w:r>
      <w:r w:rsidRPr="002D2950" w:rsidR="00FB24DE">
        <w:t xml:space="preserve">, </w:t>
      </w:r>
      <w:r w:rsidRPr="002D2950">
        <w:t>pieejamības</w:t>
      </w:r>
      <w:r w:rsidRPr="002D2950" w:rsidR="00FB24DE">
        <w:t xml:space="preserve"> un </w:t>
      </w:r>
      <w:r w:rsidRPr="002D2950">
        <w:t xml:space="preserve">atjaunojamības) klasifikācija ir jāpiešķir konkrētai informācijai un konkrētai </w:t>
      </w:r>
      <w:r w:rsidRPr="002D2950" w:rsidR="00FB24DE">
        <w:t>IS</w:t>
      </w:r>
      <w:r w:rsidRPr="002D2950">
        <w:t xml:space="preserve">. Līdz ar to </w:t>
      </w:r>
      <w:r w:rsidRPr="002D2950" w:rsidR="00FB24DE">
        <w:t>galvenokārt ir izšķirami</w:t>
      </w:r>
      <w:r w:rsidRPr="002D2950">
        <w:t xml:space="preserve"> divi scenāriji:</w:t>
      </w:r>
    </w:p>
    <w:p w:rsidR="00781866" w:rsidRPr="002D2950" w:rsidP="00E40A97" w14:paraId="66F6908E" w14:textId="7FCB486E">
      <w:pPr>
        <w:numPr>
          <w:ilvl w:val="0"/>
          <w:numId w:val="32"/>
        </w:numPr>
        <w:pBdr>
          <w:top w:val="nil"/>
          <w:left w:val="nil"/>
          <w:bottom w:val="nil"/>
          <w:right w:val="nil"/>
          <w:between w:val="nil"/>
        </w:pBdr>
        <w:spacing w:after="400" w:line="276" w:lineRule="auto"/>
        <w:contextualSpacing/>
        <w:jc w:val="both"/>
      </w:pPr>
      <w:r w:rsidRPr="002D2950">
        <w:t xml:space="preserve">Pārlieku </w:t>
      </w:r>
      <w:r w:rsidRPr="002D2950" w:rsidR="005D2309">
        <w:t>augstas</w:t>
      </w:r>
      <w:r w:rsidRPr="002D2950">
        <w:t xml:space="preserve"> aizsardzības klases piešķiršana, kas būtiski palielina budžeta izmaksas;</w:t>
      </w:r>
    </w:p>
    <w:p w:rsidR="00781866" w:rsidRPr="002D2950" w:rsidP="00E40A97" w14:paraId="1C14917F" w14:textId="77777777">
      <w:pPr>
        <w:numPr>
          <w:ilvl w:val="0"/>
          <w:numId w:val="32"/>
        </w:numPr>
        <w:pBdr>
          <w:top w:val="nil"/>
          <w:left w:val="nil"/>
          <w:bottom w:val="nil"/>
          <w:right w:val="nil"/>
          <w:between w:val="nil"/>
        </w:pBdr>
        <w:spacing w:after="400" w:line="276" w:lineRule="auto"/>
        <w:contextualSpacing/>
        <w:jc w:val="both"/>
      </w:pPr>
      <w:r w:rsidRPr="002D2950">
        <w:t>Nepietiekamas aizsardzības klases piešķiršana, kas rada būtiskus drošības riskus.</w:t>
      </w:r>
    </w:p>
    <w:p w:rsidR="00781866" w:rsidRPr="002D2950" w:rsidP="00D04C52" w14:paraId="5C1E7CEB" w14:textId="6B6A890E">
      <w:pPr>
        <w:spacing w:after="120"/>
        <w:jc w:val="both"/>
      </w:pPr>
      <w:r w:rsidRPr="002D2950">
        <w:t>Pat pieņemot korektu lēmumu par atbilstošas klases piešķiršanu, atbilstoš</w:t>
      </w:r>
      <w:r w:rsidRPr="002D2950" w:rsidR="005D2309">
        <w:t xml:space="preserve">ās IS </w:t>
      </w:r>
      <w:r w:rsidRPr="002D2950">
        <w:t>pārzinim nav iespējas pārliecināties par savu pieņēmumu pareizību un saglabājas iespējas to apšaubīt.</w:t>
      </w:r>
    </w:p>
    <w:p w:rsidR="00781866" w:rsidRPr="002D2950" w:rsidP="00CB173C" w14:paraId="18AB1DAA" w14:textId="736E1C6E">
      <w:pPr>
        <w:spacing w:after="120"/>
        <w:ind w:firstLine="720"/>
        <w:jc w:val="both"/>
      </w:pPr>
      <w:r w:rsidRPr="00CB173C">
        <w:t xml:space="preserve">Ņemot vērā šos faktorus, būtiski ir uzlabot normatīvo regulējumu gan papildinot to ar trūkstošo regulējumu </w:t>
      </w:r>
      <w:r>
        <w:t xml:space="preserve">MDP </w:t>
      </w:r>
      <w:r w:rsidRPr="00CB173C">
        <w:t xml:space="preserve">kontekstā, gan kopumā harmonizējot ar ES atvērto datu direktīvu, gan aizstājot aizsardzības klases ar racionālāk pielietojamu drošības prasību klasifikācijas modeli, gan nosakot biežāku informācijas atjaunošanu par MDP EIS sistēmā, gan kritisko e-pakalpojumu </w:t>
      </w:r>
      <w:r w:rsidRPr="00CB173C">
        <w:t>atkopes</w:t>
      </w:r>
      <w:r w:rsidRPr="00CB173C">
        <w:t xml:space="preserve"> spēju ārpus valsts robežām.</w:t>
      </w:r>
      <w:r w:rsidRPr="002D2950">
        <w:t xml:space="preserve"> </w:t>
      </w:r>
    </w:p>
    <w:p w:rsidR="003F4E57" w:rsidRPr="002D2950" w:rsidP="00D04C52" w14:paraId="2A45247F" w14:textId="77777777">
      <w:pPr>
        <w:spacing w:after="120"/>
        <w:jc w:val="both"/>
      </w:pPr>
    </w:p>
    <w:p w:rsidR="00781866" w:rsidRPr="002D2950" w:rsidP="00E40A97" w14:paraId="779DB183" w14:textId="77777777">
      <w:pPr>
        <w:pStyle w:val="Heading3"/>
        <w:numPr>
          <w:ilvl w:val="2"/>
          <w:numId w:val="12"/>
        </w:numPr>
        <w:pBdr>
          <w:top w:val="nil"/>
          <w:left w:val="nil"/>
          <w:bottom w:val="nil"/>
          <w:right w:val="nil"/>
          <w:between w:val="nil"/>
        </w:pBdr>
        <w:spacing w:before="0" w:line="276" w:lineRule="auto"/>
        <w:jc w:val="both"/>
      </w:pPr>
      <w:bookmarkStart w:id="37" w:name="_Toc496001866"/>
      <w:bookmarkStart w:id="38" w:name="_Toc497818662"/>
      <w:bookmarkStart w:id="39" w:name="_Toc497995195"/>
      <w:bookmarkStart w:id="40" w:name="_Toc498016953"/>
      <w:bookmarkStart w:id="41" w:name="_Toc498346598"/>
      <w:bookmarkStart w:id="42" w:name="_Toc505072489"/>
      <w:bookmarkStart w:id="43" w:name="_Toc256000006"/>
      <w:bookmarkStart w:id="44" w:name="_Toc256000052"/>
      <w:r w:rsidRPr="002D2950">
        <w:t>Organizatoriskais briedums</w:t>
      </w:r>
      <w:bookmarkEnd w:id="44"/>
      <w:bookmarkEnd w:id="43"/>
      <w:bookmarkEnd w:id="37"/>
      <w:bookmarkEnd w:id="38"/>
      <w:bookmarkEnd w:id="39"/>
      <w:bookmarkEnd w:id="40"/>
      <w:bookmarkEnd w:id="41"/>
      <w:bookmarkEnd w:id="42"/>
    </w:p>
    <w:p w:rsidR="00781866" w:rsidRPr="002D2950" w:rsidP="00EF589A" w14:paraId="77AFD59D" w14:textId="77777777">
      <w:pPr>
        <w:spacing w:before="120"/>
        <w:ind w:firstLine="720"/>
        <w:jc w:val="both"/>
      </w:pPr>
      <w:r w:rsidRPr="002D2950">
        <w:t xml:space="preserve">Esošā valsts pārvaldes institūciju organizatoriskā struktūra, personāla kompetence, kā arī MDP lietošanas prakse, galvenokārt, ir orientēta uz lokālu IKT risinājumu izveidi, darbināšanu un uzturēšanu. Līdz ar to institūciju organizatoriskā gatavība plašai MDP lietošanai ir ļoti atšķirīga, sākot no mērķtiecīgi orientētas (piemēram, TM) līdz zemai, </w:t>
      </w:r>
      <w:r w:rsidRPr="002D2950">
        <w:t>t.i.</w:t>
      </w:r>
      <w:r w:rsidRPr="002D2950">
        <w:t xml:space="preserve"> plānveida virzība uz MDP nav vērtēta.</w:t>
      </w:r>
    </w:p>
    <w:p w:rsidR="00781866" w:rsidP="00EF589A" w14:paraId="164FCDF2" w14:textId="7BC67C30">
      <w:pPr>
        <w:spacing w:before="120"/>
        <w:ind w:firstLine="720"/>
        <w:jc w:val="both"/>
      </w:pPr>
      <w:r w:rsidRPr="002D2950">
        <w:t>Vienlaicīgi šobrīd noris pāreja uz jaunu valsts pārvaldes institūciju IKT pārvaldības modeli (M</w:t>
      </w:r>
      <w:r w:rsidRPr="002D2950" w:rsidR="00133921">
        <w:t>K</w:t>
      </w:r>
      <w:r w:rsidRPr="002D2950">
        <w:t xml:space="preserve"> </w:t>
      </w:r>
      <w:r w:rsidRPr="002D2950" w:rsidR="00670CEB">
        <w:t>2013.gada</w:t>
      </w:r>
      <w:r w:rsidRPr="002D2950" w:rsidR="00670CEB">
        <w:t xml:space="preserve"> 19.februāra </w:t>
      </w:r>
      <w:r w:rsidRPr="002D2950">
        <w:t xml:space="preserve">rīkojums Nr.57 </w:t>
      </w:r>
      <w:r w:rsidRPr="002D2950" w:rsidR="00A77328">
        <w:t>k</w:t>
      </w:r>
      <w:r w:rsidRPr="002D2950" w:rsidR="00133921">
        <w:t>oncepcijas projekts</w:t>
      </w:r>
      <w:r w:rsidRPr="002D2950">
        <w:t xml:space="preserve"> “Valsts informācijas un komunikācijas tehnoloģiju pārvaldības organizatoriskais modelis</w:t>
      </w:r>
      <w:r w:rsidRPr="002D2950" w:rsidR="00133921">
        <w:t>”</w:t>
      </w:r>
      <w:r w:rsidRPr="002D2950" w:rsidR="00B862F7">
        <w:t xml:space="preserve"> (turpmāk – MK rīkojums Nr.57</w:t>
      </w:r>
      <w:r w:rsidRPr="002D2950">
        <w:t>), kas cita starpā ir vērsts uz vienotu pārvaldības principu un vadlīniju noteikšanu un organizēšanu, kas tieši ietekmē MDP efektīvu izmantošanu. Viens no šī modeļa stūrakmeņiem ir horizontālā sadarbība starp valsts IKT pārvaldībā iesaistītajām struktūrvienībām gan valsts, gan nozaru</w:t>
      </w:r>
      <w:r w:rsidR="00C81310">
        <w:t xml:space="preserve"> un </w:t>
      </w:r>
      <w:r w:rsidRPr="002D2950">
        <w:t>resoru līmenī, un infrastruktūras koplietošana</w:t>
      </w:r>
      <w:r w:rsidR="00CB173C">
        <w:t xml:space="preserve">, </w:t>
      </w:r>
      <w:r w:rsidRPr="00CB173C" w:rsidR="00CB173C">
        <w:t>t.i.</w:t>
      </w:r>
      <w:r w:rsidRPr="00CB173C" w:rsidR="00CB173C">
        <w:t xml:space="preserve"> koplietojams starpresoru publiskā sektora MDP, iespējami arī kombinācijās ar ārējiem MDP iezīmējas kā viens no galvenajiem prioritārajiem virzieniem.</w:t>
      </w:r>
      <w:r w:rsidR="00CB173C">
        <w:t xml:space="preserve"> </w:t>
      </w:r>
      <w:r w:rsidRPr="002D2950">
        <w:t>To apliecina virkne ministriju</w:t>
      </w:r>
      <w:r w:rsidRPr="002D2950" w:rsidR="00FA178E">
        <w:t xml:space="preserve"> īstenoto</w:t>
      </w:r>
      <w:r w:rsidRPr="002D2950">
        <w:t xml:space="preserve"> ERAF projektu (piemēram, </w:t>
      </w:r>
      <w:r w:rsidRPr="002D2950" w:rsidR="00A77328">
        <w:t>IeM</w:t>
      </w:r>
      <w:r w:rsidR="008C2349">
        <w:t xml:space="preserve"> </w:t>
      </w:r>
      <w:r w:rsidRPr="002D2950" w:rsidR="00A77328">
        <w:t>IC</w:t>
      </w:r>
      <w:r w:rsidRPr="002D2950" w:rsidR="00DA0AF3">
        <w:t xml:space="preserve"> </w:t>
      </w:r>
      <w:r w:rsidRPr="002D2950" w:rsidR="00FA178E">
        <w:t>projekts</w:t>
      </w:r>
      <w:r w:rsidRPr="002D2950">
        <w:t xml:space="preserve"> </w:t>
      </w:r>
      <w:r w:rsidRPr="002D2950" w:rsidR="00FA178E">
        <w:t>“</w:t>
      </w:r>
      <w:r w:rsidRPr="002D2950">
        <w:t>Loģiski vienotais datu centrs (1.kārta)</w:t>
      </w:r>
      <w:r w:rsidRPr="002D2950" w:rsidR="00FA178E">
        <w:t>”</w:t>
      </w:r>
      <w:r w:rsidRPr="002D2950">
        <w:t xml:space="preserve">; </w:t>
      </w:r>
      <w:r w:rsidRPr="002D2950" w:rsidR="00A77328">
        <w:t>VM</w:t>
      </w:r>
      <w:r w:rsidRPr="002D2950" w:rsidR="00E86C65">
        <w:t xml:space="preserve"> </w:t>
      </w:r>
      <w:r w:rsidRPr="002D2950" w:rsidR="00FA178E">
        <w:t>projekts</w:t>
      </w:r>
      <w:r w:rsidRPr="002D2950">
        <w:t xml:space="preserve"> </w:t>
      </w:r>
      <w:r w:rsidRPr="002D2950" w:rsidR="00FA178E">
        <w:t>“</w:t>
      </w:r>
      <w:r w:rsidRPr="002D2950">
        <w:t>Veselības ministrijas un padotības iestāžu IKT centralizācijas atbalsts</w:t>
      </w:r>
      <w:r w:rsidRPr="002D2950" w:rsidR="00FA178E">
        <w:t>”</w:t>
      </w:r>
      <w:r w:rsidRPr="002D2950">
        <w:t xml:space="preserve">; </w:t>
      </w:r>
      <w:r w:rsidRPr="002D2950" w:rsidR="00E86C65">
        <w:t xml:space="preserve">ZM </w:t>
      </w:r>
      <w:r w:rsidRPr="002D2950" w:rsidR="00FA178E">
        <w:t>projekts “</w:t>
      </w:r>
      <w:r w:rsidRPr="002D2950">
        <w:t>Zemkopības ministrijas un tās padotībā esošo iestāžu informācijas un komunikāciju tehnoloģiju attīstība</w:t>
      </w:r>
      <w:r w:rsidRPr="002D2950" w:rsidR="00FA178E">
        <w:t>”</w:t>
      </w:r>
      <w:r w:rsidR="00E77285">
        <w:t xml:space="preserve">, </w:t>
      </w:r>
      <w:r w:rsidRPr="00E77285" w:rsidR="00E77285">
        <w:t>VAS “Latvijas Valsts radio un televīzijas centrs” realizēt</w:t>
      </w:r>
      <w:r w:rsidR="00E77285">
        <w:t>ais</w:t>
      </w:r>
      <w:r w:rsidRPr="00E77285" w:rsidR="00E77285">
        <w:t xml:space="preserve"> projekt</w:t>
      </w:r>
      <w:r w:rsidR="00E77285">
        <w:t>s</w:t>
      </w:r>
      <w:r w:rsidRPr="00E77285" w:rsidR="00E77285">
        <w:t xml:space="preserve"> “LVDC tīkls, drošības platforma un LVDC koplietošanas daļa”</w:t>
      </w:r>
      <w:r w:rsidRPr="002D2950">
        <w:t xml:space="preserve"> u.c.), kuru viens no mērķiem ir infrastruktūras koplietošanas</w:t>
      </w:r>
      <w:r w:rsidRPr="002D2950">
        <w:t xml:space="preserve">  </w:t>
      </w:r>
      <w:r w:rsidRPr="002D2950">
        <w:t>pakalpojumu izveide un sniegšana</w:t>
      </w:r>
      <w:r w:rsidRPr="002D2950" w:rsidR="0073374F">
        <w:t xml:space="preserve"> nozares valsts pārvaldes iestādēm. </w:t>
      </w:r>
      <w:r w:rsidRPr="002D2950">
        <w:t xml:space="preserve">Tādējādi tiek turpināti </w:t>
      </w:r>
      <w:r w:rsidRPr="002D2950">
        <w:t>2009.gadā</w:t>
      </w:r>
      <w:r w:rsidRPr="002D2950">
        <w:t xml:space="preserve"> aizsāktie</w:t>
      </w:r>
      <w:r w:rsidRPr="002D2950" w:rsidR="0073374F">
        <w:t xml:space="preserve"> </w:t>
      </w:r>
      <w:r w:rsidRPr="002D2950">
        <w:t>IKT resursu izmantošanas efektivitātes uzlabošanas un līdzekļu ekonomijas pasākumi.</w:t>
      </w:r>
    </w:p>
    <w:p w:rsidR="00095D43" w:rsidRPr="002D2950" w:rsidP="00EF589A" w14:paraId="76D81D6B" w14:textId="50A2C085">
      <w:pPr>
        <w:spacing w:before="120"/>
        <w:ind w:firstLine="720"/>
        <w:jc w:val="both"/>
      </w:pPr>
      <w:r>
        <w:t>Būtisku, bet vēl nepietiekami novērtētu</w:t>
      </w:r>
      <w:r w:rsidR="00F74D42">
        <w:t>,</w:t>
      </w:r>
      <w:r>
        <w:t xml:space="preserve"> lomu </w:t>
      </w:r>
      <w:r w:rsidR="002C2C10">
        <w:t xml:space="preserve">citu valsts pārvaldes institūciju un pašvaldību nodrošināšanā ar IKT koplietošanas pakalpojumiem spēlē VID. Lai arī </w:t>
      </w:r>
      <w:r w:rsidRPr="002C2C10" w:rsidR="002C2C10">
        <w:t xml:space="preserve">VID </w:t>
      </w:r>
      <w:r w:rsidR="002C2C10">
        <w:t xml:space="preserve">koplietošanas pakalpojumu nodrošināšanas </w:t>
      </w:r>
      <w:r w:rsidRPr="002C2C10" w:rsidR="002C2C10">
        <w:t xml:space="preserve">infrastruktūrā </w:t>
      </w:r>
      <w:r w:rsidR="002C2C10">
        <w:t xml:space="preserve">līdz šim </w:t>
      </w:r>
      <w:r w:rsidRPr="002C2C10" w:rsidR="002C2C10">
        <w:t>n</w:t>
      </w:r>
      <w:r w:rsidR="002C2C10">
        <w:t>etika</w:t>
      </w:r>
      <w:r w:rsidRPr="002C2C10" w:rsidR="002C2C10">
        <w:t xml:space="preserve"> ieguldīti būtiski ERAF projektu līdzekļi, izmantojot VID Elektronisko deklarēšanas sistēmu (turpmāk – EDS), ir iespējams saņemt citu valsts iestāžu pakalpojumus, piemēram, elektroniskās darba nespējas lapas, elektroniskās darba grāmatiņas u.c. VID </w:t>
      </w:r>
      <w:r w:rsidRPr="002C2C10" w:rsidR="002C2C10">
        <w:t>uz doto brīdi</w:t>
      </w:r>
      <w:r w:rsidRPr="002C2C10" w:rsidR="002C2C10">
        <w:t xml:space="preserve"> sniedz arī datu analītikas pakalpojumus aptuveni 30 valsts iestādēm, tai skaitā arī atbalstu Korupcijas novēršanas un apkarošanas biroja darbam. VID informācijas sistēmas ir integrētas ar Eiropas Komisijas informācijas sistēmām un VID datu centrā ir izvietota vārteja uz Eiropas Komisijas sistēmām, kuru lieto arī citas valsts iestādes.</w:t>
      </w:r>
      <w:r>
        <w:t xml:space="preserve">  </w:t>
      </w:r>
    </w:p>
    <w:p w:rsidR="00781866" w:rsidRPr="002D2950" w:rsidP="00EF589A" w14:paraId="0E9C8333" w14:textId="4DDBBB66">
      <w:pPr>
        <w:spacing w:before="120"/>
        <w:ind w:firstLine="720"/>
        <w:jc w:val="both"/>
      </w:pPr>
      <w:r w:rsidRPr="002D2950">
        <w:t xml:space="preserve">IKT infrastruktūras resursu centralizācijas projektu rezultātā veidojas jaunas </w:t>
      </w:r>
      <w:r w:rsidRPr="002D2950" w:rsidR="00E02426">
        <w:t>iestāžu</w:t>
      </w:r>
      <w:r w:rsidRPr="002D2950">
        <w:t xml:space="preserve"> sadarbības formas, no kā izriet nepieciešamība izmainīt institūciju IKT pakalpojumu sniegšanas organizāciju, veidojot savas attiecības uz IKT PSL</w:t>
      </w:r>
      <w:r w:rsidRPr="00143472" w:rsidR="00143472">
        <w:t xml:space="preserve"> </w:t>
      </w:r>
      <w:r w:rsidRPr="002D2950" w:rsidR="00143472">
        <w:t>pamata</w:t>
      </w:r>
      <w:r w:rsidRPr="002D2950">
        <w:t xml:space="preserve">, kas IKT vidē </w:t>
      </w:r>
      <w:r w:rsidR="006B77B9">
        <w:t xml:space="preserve">ir </w:t>
      </w:r>
      <w:r w:rsidRPr="002D2950">
        <w:t>zinām</w:t>
      </w:r>
      <w:r w:rsidR="006B77B9">
        <w:t>s k</w:t>
      </w:r>
      <w:r w:rsidRPr="002D2950">
        <w:t>ā SLA (</w:t>
      </w:r>
      <w:r w:rsidR="006B77B9">
        <w:rPr>
          <w:i/>
          <w:iCs/>
        </w:rPr>
        <w:t>S</w:t>
      </w:r>
      <w:r w:rsidRPr="002D2950">
        <w:rPr>
          <w:i/>
          <w:iCs/>
        </w:rPr>
        <w:t>ervice</w:t>
      </w:r>
      <w:r w:rsidRPr="002D2950">
        <w:rPr>
          <w:i/>
          <w:iCs/>
        </w:rPr>
        <w:t xml:space="preserve"> </w:t>
      </w:r>
      <w:r w:rsidR="006B77B9">
        <w:rPr>
          <w:i/>
          <w:iCs/>
        </w:rPr>
        <w:t>L</w:t>
      </w:r>
      <w:r w:rsidRPr="002D2950">
        <w:rPr>
          <w:i/>
          <w:iCs/>
        </w:rPr>
        <w:t>evel</w:t>
      </w:r>
      <w:r w:rsidRPr="002D2950">
        <w:rPr>
          <w:i/>
          <w:iCs/>
        </w:rPr>
        <w:t xml:space="preserve"> </w:t>
      </w:r>
      <w:r w:rsidR="006B77B9">
        <w:rPr>
          <w:i/>
          <w:iCs/>
        </w:rPr>
        <w:t>A</w:t>
      </w:r>
      <w:r w:rsidRPr="002D2950">
        <w:rPr>
          <w:i/>
          <w:iCs/>
        </w:rPr>
        <w:t>greement</w:t>
      </w:r>
      <w:r w:rsidRPr="002D2950">
        <w:t>). Tomēr praksē ir gadījumi, kad PSL netiek formalizēti, no kā savukārt cieš pakalpojumu kvalitāte.</w:t>
      </w:r>
    </w:p>
    <w:p w:rsidR="00781866" w:rsidRPr="002D2950" w:rsidP="00EF589A" w14:paraId="2561FD8B" w14:textId="73F13779">
      <w:pPr>
        <w:spacing w:before="120"/>
        <w:ind w:firstLine="720"/>
        <w:jc w:val="both"/>
      </w:pPr>
      <w:r w:rsidRPr="002D2950">
        <w:t>Papildus ar organizatoriskajiem jautājumiem saistīta problēma ir IKT speciālistu pieprasījuma straujais pieaugums, kas būtiski ierobežo iespējas valsts pārvaldē piesaistīt kompetentus speciālistus</w:t>
      </w:r>
      <w:r w:rsidR="00CB173C">
        <w:t xml:space="preserve"> (skat. dažādus info. avotus, piemēram</w:t>
      </w:r>
      <w:r w:rsidRPr="002D2950">
        <w:t xml:space="preserve"> </w:t>
      </w:r>
      <w:r>
        <w:rPr>
          <w:rStyle w:val="FootnoteReference"/>
        </w:rPr>
        <w:footnoteReference w:id="6"/>
      </w:r>
      <w:r w:rsidR="00CB173C">
        <w:t xml:space="preserve">.). </w:t>
      </w:r>
    </w:p>
    <w:p w:rsidR="00AA3559" w:rsidRPr="002D2950" w:rsidP="00FB7314" w14:paraId="6162AEF7" w14:textId="77777777">
      <w:pPr>
        <w:ind w:firstLine="720"/>
        <w:jc w:val="both"/>
      </w:pPr>
    </w:p>
    <w:p w:rsidR="00781866" w:rsidRPr="002D2950" w:rsidP="00E40A97" w14:paraId="3B4871F2" w14:textId="77777777">
      <w:pPr>
        <w:pStyle w:val="Heading3"/>
        <w:numPr>
          <w:ilvl w:val="2"/>
          <w:numId w:val="12"/>
        </w:numPr>
        <w:pBdr>
          <w:top w:val="nil"/>
          <w:left w:val="nil"/>
          <w:bottom w:val="nil"/>
          <w:right w:val="nil"/>
          <w:between w:val="nil"/>
        </w:pBdr>
        <w:spacing w:before="0" w:line="276" w:lineRule="auto"/>
        <w:jc w:val="both"/>
      </w:pPr>
      <w:bookmarkStart w:id="45" w:name="_Toc496001867"/>
      <w:bookmarkStart w:id="46" w:name="_Toc497818663"/>
      <w:bookmarkStart w:id="47" w:name="_Toc497995196"/>
      <w:bookmarkStart w:id="48" w:name="_Toc498016954"/>
      <w:bookmarkStart w:id="49" w:name="_Toc498346599"/>
      <w:bookmarkStart w:id="50" w:name="_Toc505072490"/>
      <w:bookmarkStart w:id="51" w:name="_Toc256000007"/>
      <w:bookmarkStart w:id="52" w:name="_Toc256000053"/>
      <w:r w:rsidRPr="002D2950">
        <w:t>Semantiskais (informatīvais) briedums</w:t>
      </w:r>
      <w:bookmarkEnd w:id="52"/>
      <w:bookmarkEnd w:id="51"/>
      <w:bookmarkEnd w:id="45"/>
      <w:bookmarkEnd w:id="46"/>
      <w:bookmarkEnd w:id="47"/>
      <w:bookmarkEnd w:id="48"/>
      <w:bookmarkEnd w:id="49"/>
      <w:bookmarkEnd w:id="50"/>
    </w:p>
    <w:p w:rsidR="00781866" w:rsidRPr="002D2950" w:rsidP="00B03500" w14:paraId="65483072" w14:textId="409DACB2">
      <w:pPr>
        <w:spacing w:after="120"/>
        <w:ind w:firstLine="720"/>
        <w:jc w:val="both"/>
      </w:pPr>
      <w:r w:rsidRPr="002D2950">
        <w:t>Būtisks aspekts efektīvai IKT</w:t>
      </w:r>
      <w:r w:rsidRPr="002D2950" w:rsidR="00AA3559">
        <w:t xml:space="preserve"> jomai</w:t>
      </w:r>
      <w:r w:rsidRPr="002D2950">
        <w:t>, tai</w:t>
      </w:r>
      <w:r w:rsidRPr="002D2950">
        <w:t xml:space="preserve"> skaitā </w:t>
      </w:r>
      <w:r w:rsidRPr="002D2950">
        <w:t>mākoņd</w:t>
      </w:r>
      <w:r w:rsidRPr="002D2950" w:rsidR="00AA3559">
        <w:t>atošanas</w:t>
      </w:r>
      <w:r w:rsidRPr="002D2950" w:rsidR="00AA3559">
        <w:t xml:space="preserve"> pakalpojumu ieviešanai, </w:t>
      </w:r>
      <w:r w:rsidRPr="002D2950">
        <w:t>informācijas aprites kontekstā ir viennozīmīga izpratne un sadarbspēja, kas ietver:</w:t>
      </w:r>
    </w:p>
    <w:p w:rsidR="00781866" w:rsidRPr="002D2950" w:rsidP="00E40A97" w14:paraId="1D7775F5" w14:textId="77777777">
      <w:pPr>
        <w:numPr>
          <w:ilvl w:val="0"/>
          <w:numId w:val="33"/>
        </w:numPr>
        <w:pBdr>
          <w:top w:val="nil"/>
          <w:left w:val="nil"/>
          <w:bottom w:val="nil"/>
          <w:right w:val="nil"/>
          <w:between w:val="nil"/>
        </w:pBdr>
        <w:spacing w:after="400" w:line="276" w:lineRule="auto"/>
        <w:contextualSpacing/>
        <w:jc w:val="both"/>
      </w:pPr>
      <w:r w:rsidRPr="002D2950">
        <w:t>vienota jēdzieniska lietoto terminu izpratne (</w:t>
      </w:r>
      <w:r w:rsidRPr="002D2950">
        <w:t>t.i.</w:t>
      </w:r>
      <w:r w:rsidRPr="002D2950">
        <w:t xml:space="preserve"> semantiskā saderība);</w:t>
      </w:r>
    </w:p>
    <w:p w:rsidR="00781866" w:rsidRPr="002D2950" w:rsidP="00E40A97" w14:paraId="0AF50B1A" w14:textId="4D5E9A48">
      <w:pPr>
        <w:numPr>
          <w:ilvl w:val="0"/>
          <w:numId w:val="33"/>
        </w:numPr>
        <w:pBdr>
          <w:top w:val="nil"/>
          <w:left w:val="nil"/>
          <w:bottom w:val="nil"/>
          <w:right w:val="nil"/>
          <w:between w:val="nil"/>
        </w:pBdr>
        <w:spacing w:after="400" w:line="276" w:lineRule="auto"/>
        <w:contextualSpacing/>
        <w:jc w:val="both"/>
      </w:pPr>
      <w:r w:rsidRPr="002D2950">
        <w:t>vienots valsts pārv</w:t>
      </w:r>
      <w:r w:rsidRPr="002D2950" w:rsidR="008577D6">
        <w:t xml:space="preserve">aldē pieejamo MDP klasifikators un </w:t>
      </w:r>
      <w:r w:rsidRPr="002D2950">
        <w:t>saraksts</w:t>
      </w:r>
      <w:r w:rsidRPr="002D2950" w:rsidR="008577D6">
        <w:t xml:space="preserve">, </w:t>
      </w:r>
      <w:r w:rsidRPr="002D2950">
        <w:t>un detalizēta informācija par pakalpojumu sniedzējiem, saturu, lietošanas nosacījumiem;</w:t>
      </w:r>
    </w:p>
    <w:p w:rsidR="00781866" w:rsidRPr="002D2950" w:rsidP="00E40A97" w14:paraId="75B7A8C7" w14:textId="77777777">
      <w:pPr>
        <w:numPr>
          <w:ilvl w:val="0"/>
          <w:numId w:val="33"/>
        </w:numPr>
        <w:pBdr>
          <w:top w:val="nil"/>
          <w:left w:val="nil"/>
          <w:bottom w:val="nil"/>
          <w:right w:val="nil"/>
          <w:between w:val="nil"/>
        </w:pBdr>
        <w:spacing w:after="400" w:line="276" w:lineRule="auto"/>
        <w:contextualSpacing/>
        <w:jc w:val="both"/>
      </w:pPr>
      <w:r w:rsidRPr="002D2950">
        <w:t xml:space="preserve">MDP izvēles kritēriji un pamatojums, </w:t>
      </w:r>
      <w:r w:rsidRPr="002D2950">
        <w:t>t.i.</w:t>
      </w:r>
      <w:r w:rsidRPr="002D2950">
        <w:t xml:space="preserve"> atkarībā no institūcijas IKT resursu rādītājiem (apjomi, drošības prasības utt.) tiek izvēlēti atbilstošie MDP;</w:t>
      </w:r>
    </w:p>
    <w:p w:rsidR="000276BA" w:rsidP="00E40A97" w14:paraId="515B5000" w14:textId="77777777">
      <w:pPr>
        <w:numPr>
          <w:ilvl w:val="0"/>
          <w:numId w:val="33"/>
        </w:numPr>
        <w:pBdr>
          <w:top w:val="nil"/>
          <w:left w:val="nil"/>
          <w:bottom w:val="nil"/>
          <w:right w:val="nil"/>
          <w:between w:val="nil"/>
        </w:pBdr>
        <w:spacing w:after="360" w:line="276" w:lineRule="auto"/>
        <w:contextualSpacing/>
        <w:jc w:val="both"/>
      </w:pPr>
      <w:r w:rsidRPr="002D2950">
        <w:t>standartizētas prasības MDP sniedzēju kvalifikācijai (PSL, drošības prasības, tehnoloģiskā savietojamība u.c.)</w:t>
      </w:r>
      <w:r>
        <w:t>;</w:t>
      </w:r>
    </w:p>
    <w:p w:rsidR="00781866" w:rsidRPr="002D2950" w:rsidP="000276BA" w14:paraId="21D2CD4F" w14:textId="4F564BC2">
      <w:pPr>
        <w:numPr>
          <w:ilvl w:val="0"/>
          <w:numId w:val="33"/>
        </w:numPr>
        <w:pBdr>
          <w:top w:val="nil"/>
          <w:left w:val="nil"/>
          <w:bottom w:val="nil"/>
          <w:right w:val="nil"/>
          <w:between w:val="nil"/>
        </w:pBdr>
        <w:spacing w:after="360" w:line="276" w:lineRule="auto"/>
        <w:contextualSpacing/>
        <w:jc w:val="both"/>
      </w:pPr>
      <w:r w:rsidRPr="000276BA">
        <w:t xml:space="preserve">standartizēta MDP pakalpojumu kvalitātes metrika un normatīvs (SLA parametri – pieejamība, RPO, RTO, pieļaujamais lietojuma saskarnes latentums, minimāli nodrošināmais pilnas avārijas </w:t>
      </w:r>
      <w:r w:rsidRPr="000276BA">
        <w:t>atkopes</w:t>
      </w:r>
      <w:r w:rsidRPr="000276BA">
        <w:t xml:space="preserve"> laiks</w:t>
      </w:r>
      <w:r>
        <w:t xml:space="preserve"> u.c.</w:t>
      </w:r>
      <w:r w:rsidRPr="000276BA">
        <w:t>)</w:t>
      </w:r>
      <w:r w:rsidRPr="002D2950">
        <w:t>.</w:t>
      </w:r>
    </w:p>
    <w:p w:rsidR="00781866" w:rsidRPr="002D2950" w:rsidP="00EF589A" w14:paraId="3F0CF0B4" w14:textId="77777777">
      <w:pPr>
        <w:spacing w:before="120"/>
        <w:ind w:firstLine="360"/>
        <w:jc w:val="both"/>
      </w:pPr>
      <w:r w:rsidRPr="002D2950">
        <w:t>Šādas informācijas pieejamība un apstrāde šobrīd valsts pārvaldē ir katras institūcijas atbildībā un vienotas informācijas nav. Tā rezultātā tiek ierobežota MDP izmantošana, jo organizācijas aktīvi darbojas jau to rīcībā esošo tehnoloģiju attīstīšanai, vai arī tā iegūst stingri ierobežotu raksturu un ilgtermiņā nav savietojama ar citu valsts iestāžu infrastruktūru, platformām un programmatūru.</w:t>
      </w:r>
    </w:p>
    <w:p w:rsidR="00781866" w:rsidRPr="002D2950" w:rsidP="00EF589A" w14:paraId="6E7AFE48" w14:textId="07BBBF37">
      <w:pPr>
        <w:spacing w:before="120"/>
        <w:ind w:firstLine="360"/>
        <w:jc w:val="both"/>
      </w:pPr>
      <w:r w:rsidRPr="002D2950">
        <w:t>Lai nodrošinātu ERAF 2014.-</w:t>
      </w:r>
      <w:r w:rsidRPr="002D2950">
        <w:t>2020.</w:t>
      </w:r>
      <w:r w:rsidRPr="002D2950" w:rsidR="000950A6">
        <w:t>gada</w:t>
      </w:r>
      <w:r w:rsidRPr="002D2950" w:rsidR="000950A6">
        <w:t xml:space="preserve"> plānošanas periodā </w:t>
      </w:r>
      <w:r w:rsidRPr="002D2950">
        <w:t>līdzfinansēto IKT projektu savstarpējo saskaņotību, būtiskāko centralizēto platformu projektēšanu un īstenošanu, kā arī veicinātu sabiedrības spējas un ieinteresētību efektīvi izmantot radītos IKT risinājumus, projekta “Publiskās pārvaldes informācijas un komunikācijas tehnoloģiju arhitektūras pārvaldības sistēma” ietvaros ir uzsākts veidot vienotu IKT resursu uzskaiti</w:t>
      </w:r>
      <w:r>
        <w:rPr>
          <w:rStyle w:val="FootnoteReference"/>
        </w:rPr>
        <w:footnoteReference w:id="7"/>
      </w:r>
      <w:r w:rsidRPr="002D2950">
        <w:t>.</w:t>
      </w:r>
    </w:p>
    <w:p w:rsidR="00781866" w:rsidRPr="002D2950" w:rsidP="00EF589A" w14:paraId="7F7A08A3" w14:textId="6A5F9C45">
      <w:pPr>
        <w:spacing w:before="120"/>
        <w:jc w:val="both"/>
      </w:pPr>
      <w:r w:rsidRPr="002D2950">
        <w:t xml:space="preserve">Tāpat jāatzīmē, ka šobrīd informācijas klasifikācijas principi uzglabājamajai un apstrādājamajai informācijai nav pietiekami skaidri definēti, lai tos efektīvi pielietotu informācijas resursu klasifikācijai </w:t>
      </w:r>
      <w:r w:rsidRPr="002D2950">
        <w:t>mākoņdatošanas</w:t>
      </w:r>
      <w:r w:rsidRPr="002D2950">
        <w:t xml:space="preserve"> pakalpojumos un objektīvi novērtētu konkrētu informācijas resursu iespējamību izvietot tos </w:t>
      </w:r>
      <w:r w:rsidRPr="002D2950">
        <w:t>mākoņdatošanas</w:t>
      </w:r>
      <w:r w:rsidRPr="002D2950">
        <w:t xml:space="preserve"> pakalpojumos.</w:t>
      </w:r>
    </w:p>
    <w:p w:rsidR="000950A6" w:rsidRPr="002D2950" w:rsidP="00D04C52" w14:paraId="7EBDDAB4" w14:textId="77777777">
      <w:pPr>
        <w:jc w:val="both"/>
      </w:pPr>
    </w:p>
    <w:p w:rsidR="00781866" w:rsidRPr="002D2950" w:rsidP="00E40A97" w14:paraId="07AA586B" w14:textId="77777777">
      <w:pPr>
        <w:pStyle w:val="Heading3"/>
        <w:numPr>
          <w:ilvl w:val="2"/>
          <w:numId w:val="12"/>
        </w:numPr>
        <w:pBdr>
          <w:top w:val="nil"/>
          <w:left w:val="nil"/>
          <w:bottom w:val="nil"/>
          <w:right w:val="nil"/>
          <w:between w:val="nil"/>
        </w:pBdr>
        <w:spacing w:before="0" w:line="276" w:lineRule="auto"/>
      </w:pPr>
      <w:bookmarkStart w:id="53" w:name="_Toc497818664"/>
      <w:bookmarkStart w:id="54" w:name="_Toc497995197"/>
      <w:bookmarkStart w:id="55" w:name="_Toc498016955"/>
      <w:bookmarkStart w:id="56" w:name="_Toc498346600"/>
      <w:bookmarkStart w:id="57" w:name="_Toc505072491"/>
      <w:bookmarkStart w:id="58" w:name="_Toc256000008"/>
      <w:bookmarkStart w:id="59" w:name="_Toc256000054"/>
      <w:r w:rsidRPr="002D2950">
        <w:t>Tehnoloģiskais briedums</w:t>
      </w:r>
      <w:bookmarkEnd w:id="59"/>
      <w:bookmarkEnd w:id="58"/>
      <w:bookmarkEnd w:id="53"/>
      <w:bookmarkEnd w:id="54"/>
      <w:bookmarkEnd w:id="55"/>
      <w:bookmarkEnd w:id="56"/>
      <w:bookmarkEnd w:id="57"/>
    </w:p>
    <w:p w:rsidR="00781866" w:rsidRPr="002D2950" w:rsidP="00EF589A" w14:paraId="2D0EB672" w14:textId="15DABDDA">
      <w:pPr>
        <w:ind w:firstLine="360"/>
        <w:jc w:val="both"/>
      </w:pPr>
      <w:r w:rsidRPr="002D2950">
        <w:t>2017.gada</w:t>
      </w:r>
      <w:r w:rsidRPr="002D2950">
        <w:t xml:space="preserve"> pavasarī veiktās</w:t>
      </w:r>
      <w:r w:rsidRPr="002D2950" w:rsidR="0073374F">
        <w:t xml:space="preserve"> nozaru ministriju IKT vadītāju </w:t>
      </w:r>
      <w:r w:rsidRPr="002D2950">
        <w:t xml:space="preserve">aptaujas datu analīze ļauj izdarīt šādus secinājumus (grupējot pa </w:t>
      </w:r>
      <w:r w:rsidRPr="002D2950">
        <w:t>mākoņdatošanas</w:t>
      </w:r>
      <w:r w:rsidRPr="002D2950">
        <w:t xml:space="preserve"> pakalpojumu veidiem):</w:t>
      </w:r>
    </w:p>
    <w:p w:rsidR="00781866" w:rsidRPr="002D2950" w:rsidP="00E40A97" w14:paraId="287A0862" w14:textId="1552A53F">
      <w:pPr>
        <w:numPr>
          <w:ilvl w:val="0"/>
          <w:numId w:val="34"/>
        </w:numPr>
        <w:pBdr>
          <w:top w:val="nil"/>
          <w:left w:val="nil"/>
          <w:bottom w:val="nil"/>
          <w:right w:val="nil"/>
          <w:between w:val="nil"/>
        </w:pBdr>
        <w:spacing w:after="400" w:line="276" w:lineRule="auto"/>
        <w:contextualSpacing/>
        <w:jc w:val="both"/>
      </w:pPr>
      <w:r w:rsidRPr="002D2950">
        <w:t>IaaS</w:t>
      </w:r>
      <w:r w:rsidRPr="002D2950">
        <w:t xml:space="preserve"> datu apraides, datēšanas jaudu, datu glabāšanas (tai sk. izmitināšanas) un apstrādes, datu rezerves kopēšanas atjaunošanas pakalpojumi. No </w:t>
      </w:r>
      <w:r w:rsidRPr="002D2950">
        <w:t>2011.gada</w:t>
      </w:r>
      <w:r w:rsidRPr="002D2950">
        <w:t xml:space="preserve"> ir aizsākusies virzība uz nozaru infrastruktūras resursu centralizāciju (piemēri: IeM, LM, TM. Sākoties jaunajam ERAF </w:t>
      </w:r>
      <w:r w:rsidRPr="002D2950" w:rsidR="006057CE">
        <w:t>plānošanas periodam</w:t>
      </w:r>
      <w:r w:rsidRPr="002D2950">
        <w:t xml:space="preserve">, šī virzība tiek paplašināta un attīstīta (ZM, EM, VM). </w:t>
      </w:r>
      <w:r w:rsidRPr="002D2950">
        <w:t>Vienlaicīgi ir</w:t>
      </w:r>
      <w:r w:rsidRPr="002D2950">
        <w:t xml:space="preserve"> izveidojušies spēcīgi specifisku </w:t>
      </w:r>
      <w:r w:rsidRPr="002D2950">
        <w:t>IaaS</w:t>
      </w:r>
      <w:r w:rsidRPr="002D2950" w:rsidR="00DA0AF3">
        <w:t xml:space="preserve"> </w:t>
      </w:r>
      <w:r w:rsidRPr="002D2950">
        <w:t>pakalpojumu centri –</w:t>
      </w:r>
      <w:r w:rsidRPr="002D2950" w:rsidR="006F6F4B">
        <w:t xml:space="preserve"> </w:t>
      </w:r>
      <w:r w:rsidRPr="002D2950">
        <w:t>LVRTC, IeM IC, kas nodrošina infrastruktūras pakalpojumus dažādām valsts pārvaldes sistēmām drošai datu glabāšanai;</w:t>
      </w:r>
    </w:p>
    <w:p w:rsidR="00781866" w:rsidRPr="002D2950" w:rsidP="00E40A97" w14:paraId="6CA070B0" w14:textId="17C1B422">
      <w:pPr>
        <w:numPr>
          <w:ilvl w:val="0"/>
          <w:numId w:val="34"/>
        </w:numPr>
        <w:pBdr>
          <w:top w:val="nil"/>
          <w:left w:val="nil"/>
          <w:bottom w:val="nil"/>
          <w:right w:val="nil"/>
          <w:between w:val="nil"/>
        </w:pBdr>
        <w:spacing w:after="400" w:line="276" w:lineRule="auto"/>
        <w:contextualSpacing/>
        <w:jc w:val="both"/>
      </w:pPr>
      <w:r w:rsidRPr="002D2950">
        <w:t>PaaS</w:t>
      </w:r>
      <w:r w:rsidRPr="002D2950">
        <w:t xml:space="preserve"> nacionālā mēroga koplietojamie savietotāji (VISS, </w:t>
      </w:r>
      <w:r>
        <w:fldChar w:fldCharType="begin"/>
      </w:r>
      <w:r>
        <w:instrText xml:space="preserve"> HYPERLINK "http://www.latvija.lv" </w:instrText>
      </w:r>
      <w:r>
        <w:fldChar w:fldCharType="separate"/>
      </w:r>
      <w:r w:rsidRPr="00E14647" w:rsidR="00391BF8">
        <w:rPr>
          <w:rStyle w:val="Hyperlink"/>
        </w:rPr>
        <w:t>www.latvija.lv</w:t>
      </w:r>
      <w:r>
        <w:fldChar w:fldCharType="end"/>
      </w:r>
      <w:r w:rsidR="00391BF8">
        <w:t>, arī daļa no VID EDS funkcionalitātes</w:t>
      </w:r>
      <w:r w:rsidRPr="002D2950">
        <w:t xml:space="preserve">) - sadarbspējas nodrošināšanas funkcionalitāte tiek aktīvi lietota (piemēram, autentifikācijas modulis) un attīstīta. </w:t>
      </w:r>
      <w:r w:rsidR="00420A11">
        <w:t>Turpmāka koplietošanas risinājumu attīstība notiek</w:t>
      </w:r>
      <w:r w:rsidRPr="002D2950">
        <w:t xml:space="preserve"> </w:t>
      </w:r>
      <w:r w:rsidRPr="002D2950" w:rsidR="0085773C">
        <w:t>ERAF 2014.-</w:t>
      </w:r>
      <w:r w:rsidRPr="002D2950" w:rsidR="0085773C">
        <w:t>2020.gada</w:t>
      </w:r>
      <w:r w:rsidRPr="002D2950" w:rsidR="0085773C">
        <w:t xml:space="preserve"> plānošanas period</w:t>
      </w:r>
      <w:r w:rsidR="00420A11">
        <w:t xml:space="preserve">a 2.2.1.1. pasākuma (sarunvalodā - IKT ERAF) </w:t>
      </w:r>
      <w:r w:rsidRPr="002D2950">
        <w:t xml:space="preserve">projektos. </w:t>
      </w:r>
    </w:p>
    <w:p w:rsidR="00B0001F" w:rsidRPr="002D2950" w:rsidP="00E40A97" w14:paraId="570E47F7" w14:textId="202B685E">
      <w:pPr>
        <w:numPr>
          <w:ilvl w:val="0"/>
          <w:numId w:val="34"/>
        </w:numPr>
        <w:pBdr>
          <w:top w:val="nil"/>
          <w:left w:val="nil"/>
          <w:bottom w:val="nil"/>
          <w:right w:val="nil"/>
          <w:between w:val="nil"/>
        </w:pBdr>
        <w:spacing w:after="400" w:line="276" w:lineRule="auto"/>
        <w:contextualSpacing/>
        <w:jc w:val="both"/>
      </w:pPr>
      <w:r w:rsidRPr="002D2950">
        <w:t>PaaS</w:t>
      </w:r>
      <w:r w:rsidRPr="002D2950">
        <w:t xml:space="preserve"> nozaru vai starpnozaru savietotāji (SKLOIS, VID sistēmu savietotājs, e-veselības savietotājs, </w:t>
      </w:r>
      <w:r w:rsidRPr="002D2950">
        <w:t>VK</w:t>
      </w:r>
      <w:r w:rsidR="009071BD">
        <w:t>E</w:t>
      </w:r>
      <w:r w:rsidRPr="002D2950">
        <w:t xml:space="preserve">) </w:t>
      </w:r>
      <w:r w:rsidRPr="002D2950">
        <w:t xml:space="preserve">maksājumu sistēmas platformas saskarne) specifisku funkciju veikšanai - sadarbspējas nodrošināšanas funkcionalitāte un lietojamība tiek aktīvi lietota (piemēram, autentifikācijas modulis) un attīstīta. </w:t>
      </w:r>
    </w:p>
    <w:p w:rsidR="00781866" w:rsidRPr="002D2950" w:rsidP="00391BF8" w14:paraId="1D1CE8B1" w14:textId="08818324">
      <w:pPr>
        <w:numPr>
          <w:ilvl w:val="0"/>
          <w:numId w:val="34"/>
        </w:numPr>
        <w:pBdr>
          <w:top w:val="nil"/>
          <w:left w:val="nil"/>
          <w:bottom w:val="nil"/>
          <w:right w:val="nil"/>
          <w:between w:val="nil"/>
        </w:pBdr>
        <w:spacing w:after="400" w:line="276" w:lineRule="auto"/>
        <w:contextualSpacing/>
        <w:jc w:val="both"/>
      </w:pPr>
      <w:r w:rsidRPr="002D2950">
        <w:t>SaaS</w:t>
      </w:r>
      <w:r w:rsidRPr="002D2950">
        <w:t xml:space="preserve"> plašākie lietojumi ir komerciālo </w:t>
      </w:r>
      <w:r w:rsidRPr="002D2950">
        <w:t>mākoņdatošanas</w:t>
      </w:r>
      <w:r w:rsidRPr="002D2950">
        <w:t xml:space="preserve"> pakalpojumu jomā, kur šādi pakalpojumi ir pieejami kā biznesa procesu pārvaldības, lietvedības, e-pastu platformas (piemēri: EIS platforma valsts iepirkumiem, </w:t>
      </w:r>
      <w:r w:rsidRPr="002D2950" w:rsidR="00E42180">
        <w:t>VK</w:t>
      </w:r>
      <w:r w:rsidR="009071BD">
        <w:t>E</w:t>
      </w:r>
      <w:r w:rsidRPr="002D2950">
        <w:t xml:space="preserve"> </w:t>
      </w:r>
      <w:r w:rsidRPr="002D2950">
        <w:t>eKase</w:t>
      </w:r>
      <w:r w:rsidRPr="002D2950">
        <w:t xml:space="preserve">, TM un VRAA e-pasta pakalpojumu nodrošināšana, izmantojot </w:t>
      </w:r>
      <w:r w:rsidRPr="002D2950">
        <w:t>SaaS</w:t>
      </w:r>
      <w:r w:rsidRPr="002D2950">
        <w:t xml:space="preserve"> risinājumu) un personāla sadarbspējas, darba nodrošināšanas pakalpojumi (lietotāju direktorija, biroja programmatūra).</w:t>
      </w:r>
      <w:r w:rsidR="00391BF8">
        <w:t xml:space="preserve"> Par </w:t>
      </w:r>
      <w:r w:rsidR="00391BF8">
        <w:t>SaaS</w:t>
      </w:r>
      <w:r w:rsidR="00391BF8">
        <w:t xml:space="preserve"> tipa koplietošanas pakalpojumiem ir uzskatāmi arī VID nodrošinātie </w:t>
      </w:r>
      <w:r w:rsidRPr="00391BF8" w:rsidR="00391BF8">
        <w:t>Datu Noliktavas sistēmu (DNS), Valsts amatpersonu deklarāciju informācijas sistēmu (VADIS) un Darba laika uzskaites sistēmu (DLUS)</w:t>
      </w:r>
      <w:r w:rsidR="00391BF8">
        <w:t xml:space="preserve"> pakalpojumi citām valsts pārvaldes institūcijām un pašvaldībām. </w:t>
      </w:r>
    </w:p>
    <w:p w:rsidR="00781866" w:rsidRPr="002D2950" w:rsidP="00D04C52" w14:paraId="791798C7" w14:textId="77777777">
      <w:pPr>
        <w:ind w:left="360"/>
        <w:jc w:val="both"/>
      </w:pPr>
    </w:p>
    <w:p w:rsidR="00781866" w:rsidRPr="002D2950" w:rsidP="001561BF" w14:paraId="390359A1" w14:textId="77777777">
      <w:pPr>
        <w:ind w:firstLine="720"/>
        <w:jc w:val="both"/>
      </w:pPr>
      <w:r w:rsidRPr="002D2950">
        <w:t xml:space="preserve">Šobrīd tehniskie resursi ir izvietoti </w:t>
      </w:r>
      <w:r w:rsidRPr="002D2950">
        <w:t>vairāk kā</w:t>
      </w:r>
      <w:r w:rsidRPr="002D2950">
        <w:t xml:space="preserve"> 30 dažādās </w:t>
      </w:r>
      <w:r w:rsidRPr="002D2950">
        <w:t>servertelpās</w:t>
      </w:r>
      <w:r w:rsidRPr="002D2950">
        <w:t xml:space="preserve">. Tehniskie resursi ir izvietoti gan valsts pārvaldes iestāžu serveru telpās, gan privāto pakalpojumu sniedzēju telpās. Valsts pārvaldes iestāžu serveru telpās izvietotie resursi bieži vien ir izvietoti telpās, kas neatbilst datortehnikas izvietošanas prasībām kā arī nav aizsargātas gan no piekļuves, gan darbības nepārtrauktības viedokļa. Vispārējām prasībām atbilstošu datu centru uzturēšana ir ar </w:t>
      </w:r>
      <w:r w:rsidRPr="002D2950">
        <w:t>lielām izmaksām saistīta un pēc pasaules prakses atmaksājas pie noteikta darbības mēroga, kas organizācijām ar tikai dažām datortehnikas statnēm</w:t>
      </w:r>
      <w:r w:rsidRPr="002D2950">
        <w:t xml:space="preserve">  </w:t>
      </w:r>
      <w:r w:rsidRPr="002D2950">
        <w:t>nav sasniedzams.</w:t>
      </w:r>
    </w:p>
    <w:p w:rsidR="000E3FEC" w:rsidRPr="002D2950" w:rsidP="000E3FEC" w14:paraId="78561B41" w14:textId="77777777">
      <w:pPr>
        <w:ind w:firstLine="360"/>
        <w:jc w:val="both"/>
      </w:pPr>
    </w:p>
    <w:p w:rsidR="00781866" w:rsidRPr="002D2950" w:rsidP="00E40A97" w14:paraId="50924A9B"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60" w:name="_Toc496001869"/>
      <w:bookmarkStart w:id="61" w:name="_Toc497818665"/>
      <w:bookmarkStart w:id="62" w:name="_Toc497995198"/>
      <w:bookmarkStart w:id="63" w:name="_Toc498016956"/>
      <w:bookmarkStart w:id="64" w:name="_Toc498346601"/>
      <w:bookmarkStart w:id="65" w:name="_Toc505072492"/>
      <w:bookmarkStart w:id="66" w:name="_Toc256000009"/>
      <w:bookmarkStart w:id="67" w:name="_Toc256000055"/>
      <w:r w:rsidRPr="002D2950">
        <w:rPr>
          <w:sz w:val="24"/>
          <w:szCs w:val="24"/>
        </w:rPr>
        <w:t>Pieeja IKT finansēšanai</w:t>
      </w:r>
      <w:bookmarkEnd w:id="67"/>
      <w:bookmarkEnd w:id="66"/>
      <w:bookmarkEnd w:id="60"/>
      <w:bookmarkEnd w:id="61"/>
      <w:bookmarkEnd w:id="62"/>
      <w:bookmarkEnd w:id="63"/>
      <w:bookmarkEnd w:id="64"/>
      <w:bookmarkEnd w:id="65"/>
    </w:p>
    <w:p w:rsidR="00781866" w:rsidRPr="002D2950" w:rsidP="00B03500" w14:paraId="3976AB78" w14:textId="1A062075">
      <w:pPr>
        <w:spacing w:after="240"/>
        <w:ind w:firstLine="720"/>
        <w:jc w:val="both"/>
      </w:pPr>
      <w:r w:rsidRPr="002D2950">
        <w:t xml:space="preserve">Budžets bieži vien ierobežo iespēju veikt plānveida investīcijas vai prasa lielu finansiālo disciplīnu. Galvenais iemesls ir aparatūras nolietošanās periodā starp 48 un 60 mēnešiem, savukārt budžets tiek plānots katru gadu. </w:t>
      </w:r>
      <w:r w:rsidRPr="002D2950" w:rsidR="00F850A8">
        <w:t xml:space="preserve">Uzņēmējdarbībā </w:t>
      </w:r>
      <w:r w:rsidRPr="002D2950">
        <w:t xml:space="preserve">atbilstošais nolietojums </w:t>
      </w:r>
      <w:r w:rsidRPr="002D2950" w:rsidR="00F850A8">
        <w:t xml:space="preserve">tiek </w:t>
      </w:r>
      <w:r w:rsidRPr="002D2950">
        <w:t>uzskaitīts pamatlīdzekļ</w:t>
      </w:r>
      <w:r w:rsidRPr="002D2950" w:rsidR="001B66F4">
        <w:t>os un operatīvos</w:t>
      </w:r>
      <w:r w:rsidRPr="002D2950">
        <w:t xml:space="preserve"> izdevum</w:t>
      </w:r>
      <w:r w:rsidRPr="002D2950" w:rsidR="001B66F4">
        <w:t>os</w:t>
      </w:r>
      <w:r w:rsidRPr="002D2950">
        <w:t xml:space="preserve"> (investīcijas plānotas ar noteiktu regularitāti: piemēram reizi 5 gados), valsts budžeta gadījumā tas ir piesaistīts konkrētam finanšu gadam un tā neizmantošana (no naudas plūsmas viedokļa) konkrētā finanšu gadā samazina tā pieejamību </w:t>
      </w:r>
      <w:r w:rsidRPr="002D2950">
        <w:t>nāko</w:t>
      </w:r>
      <w:r w:rsidRPr="002D2950" w:rsidR="00F850A8">
        <w:t>šajos plānošanas periodos</w:t>
      </w:r>
      <w:r w:rsidRPr="002D2950" w:rsidR="00F850A8">
        <w:t xml:space="preserve"> (jo Latvijā</w:t>
      </w:r>
      <w:r w:rsidRPr="002D2950">
        <w:t xml:space="preserve"> tiek izmantota bāzes budžeta pieeja, kurā nākošo gadu budžets balstās uz iepriekšējo gadu budžetu un faktiskajiem tēriņiem).</w:t>
      </w:r>
    </w:p>
    <w:p w:rsidR="00781866" w:rsidRPr="002D2950" w:rsidP="00D04C52" w14:paraId="189CDE08" w14:textId="49F27AF0">
      <w:pPr>
        <w:spacing w:after="240"/>
        <w:jc w:val="both"/>
      </w:pPr>
      <w:r w:rsidRPr="002D2950">
        <w:t>MDP gadījumā ir atšķ</w:t>
      </w:r>
      <w:r w:rsidRPr="002D2950" w:rsidR="00AD470B">
        <w:t>irīgs finansēšanas modelis un galvenokārt to var iedalīt</w:t>
      </w:r>
      <w:r w:rsidRPr="002D2950">
        <w:t xml:space="preserve"> 3 grupās:</w:t>
      </w:r>
    </w:p>
    <w:p w:rsidR="00781866" w:rsidRPr="002D2950" w:rsidP="00E40A97" w14:paraId="54FE9EAA" w14:textId="25AD0084">
      <w:pPr>
        <w:pStyle w:val="ListParagraph"/>
        <w:numPr>
          <w:ilvl w:val="0"/>
          <w:numId w:val="35"/>
        </w:numPr>
        <w:pBdr>
          <w:top w:val="nil"/>
          <w:left w:val="nil"/>
          <w:bottom w:val="nil"/>
          <w:right w:val="nil"/>
          <w:between w:val="nil"/>
        </w:pBdr>
        <w:spacing w:after="240" w:line="276" w:lineRule="auto"/>
        <w:contextualSpacing w:val="0"/>
        <w:jc w:val="both"/>
      </w:pPr>
      <w:r w:rsidRPr="002D2950">
        <w:t>Fiksēta maksa noteiktā laika periodā (abonēšanas maksa) – mēnesī, ceturksnī vai gadā</w:t>
      </w:r>
      <w:r w:rsidR="0014165C">
        <w:t>;</w:t>
      </w:r>
    </w:p>
    <w:p w:rsidR="00781866" w:rsidRPr="002D2950" w:rsidP="00E40A97" w14:paraId="4719BDB8" w14:textId="4C3339A4">
      <w:pPr>
        <w:pStyle w:val="ListParagraph"/>
        <w:numPr>
          <w:ilvl w:val="0"/>
          <w:numId w:val="35"/>
        </w:numPr>
        <w:pBdr>
          <w:top w:val="nil"/>
          <w:left w:val="nil"/>
          <w:bottom w:val="nil"/>
          <w:right w:val="nil"/>
          <w:between w:val="nil"/>
        </w:pBdr>
        <w:spacing w:after="240" w:line="276" w:lineRule="auto"/>
        <w:contextualSpacing w:val="0"/>
        <w:jc w:val="both"/>
      </w:pPr>
      <w:r w:rsidRPr="002D2950">
        <w:t>Mainīga pakalpojuma maksa fiksētā norēķinu periodā (mēnesī, ceturksnī vai gadā), atkarībā no izmantoto resursu apjoma vai lietotāju skaita</w:t>
      </w:r>
      <w:r w:rsidR="0014165C">
        <w:t>;</w:t>
      </w:r>
    </w:p>
    <w:p w:rsidR="00781866" w:rsidRPr="002D2950" w:rsidP="00E40A97" w14:paraId="41900D24" w14:textId="77777777">
      <w:pPr>
        <w:pStyle w:val="ListParagraph"/>
        <w:numPr>
          <w:ilvl w:val="0"/>
          <w:numId w:val="35"/>
        </w:numPr>
        <w:pBdr>
          <w:top w:val="nil"/>
          <w:left w:val="nil"/>
          <w:bottom w:val="nil"/>
          <w:right w:val="nil"/>
          <w:between w:val="nil"/>
        </w:pBdr>
        <w:spacing w:after="240" w:line="276" w:lineRule="auto"/>
        <w:contextualSpacing w:val="0"/>
        <w:jc w:val="both"/>
      </w:pPr>
      <w:r w:rsidRPr="002D2950">
        <w:t xml:space="preserve">Abu iepriekš minēto modeļu kombinācija, </w:t>
      </w:r>
      <w:r w:rsidRPr="002D2950">
        <w:t>maksājot fiksētu apjomu</w:t>
      </w:r>
      <w:r w:rsidRPr="002D2950">
        <w:t xml:space="preserve"> par noteiktu resursu apjomu un papildus maksu par resursu izmantošanu virs noteiktā apjoma.</w:t>
      </w:r>
    </w:p>
    <w:p w:rsidR="00781866" w:rsidRPr="002D2950" w:rsidP="00EF589A" w14:paraId="4A2FA8E7" w14:textId="77777777">
      <w:pPr>
        <w:spacing w:after="240"/>
        <w:ind w:firstLine="720"/>
        <w:jc w:val="both"/>
      </w:pPr>
      <w:r w:rsidRPr="002D2950">
        <w:t xml:space="preserve">Negatīvais iespaids no iespējas kopā ar dažādu platformu attīstību iegādāties arī aparatūru, kas </w:t>
      </w:r>
      <w:r w:rsidRPr="002D2950">
        <w:t>vienlaicīgi paredz</w:t>
      </w:r>
      <w:r w:rsidRPr="002D2950">
        <w:t xml:space="preserve"> vairākus ierobežojumus:</w:t>
      </w:r>
    </w:p>
    <w:p w:rsidR="00781866" w:rsidRPr="002D2950" w:rsidP="00E40A97" w14:paraId="216F8381" w14:textId="0F1726C3">
      <w:pPr>
        <w:numPr>
          <w:ilvl w:val="0"/>
          <w:numId w:val="36"/>
        </w:numPr>
        <w:pBdr>
          <w:top w:val="nil"/>
          <w:left w:val="nil"/>
          <w:bottom w:val="nil"/>
          <w:right w:val="nil"/>
          <w:between w:val="nil"/>
        </w:pBdr>
        <w:spacing w:after="400" w:line="276" w:lineRule="auto"/>
        <w:contextualSpacing/>
        <w:jc w:val="both"/>
      </w:pPr>
      <w:r w:rsidRPr="002D2950">
        <w:t xml:space="preserve">Iespēja to izmantot tikai </w:t>
      </w:r>
      <w:r w:rsidRPr="002D2950" w:rsidR="0073374F">
        <w:t xml:space="preserve">vienas </w:t>
      </w:r>
      <w:r w:rsidRPr="002D2950">
        <w:t>konkrētas sistēm</w:t>
      </w:r>
      <w:r w:rsidRPr="002D2950" w:rsidR="009569C5">
        <w:t xml:space="preserve">as un </w:t>
      </w:r>
      <w:r w:rsidRPr="002D2950">
        <w:t>platformas darbināšanai,</w:t>
      </w:r>
      <w:r w:rsidRPr="002D2950" w:rsidR="0073374F">
        <w:t xml:space="preserve"> kuras resursu vajadzību prognoze </w:t>
      </w:r>
      <w:r w:rsidRPr="002D2950">
        <w:t>60 mēnešu period</w:t>
      </w:r>
      <w:r w:rsidRPr="002D2950" w:rsidR="0073374F">
        <w:t xml:space="preserve">am var izrādīties ļoti neprecīza, tādējādi nonākot </w:t>
      </w:r>
      <w:r w:rsidRPr="002D2950">
        <w:t>resursu pārslogotība</w:t>
      </w:r>
      <w:r w:rsidRPr="002D2950" w:rsidR="0073374F">
        <w:t>s</w:t>
      </w:r>
      <w:r w:rsidRPr="002D2950">
        <w:t xml:space="preserve"> (</w:t>
      </w:r>
      <w:r w:rsidRPr="002D2950">
        <w:rPr>
          <w:i/>
          <w:iCs/>
        </w:rPr>
        <w:t>overuse</w:t>
      </w:r>
      <w:r w:rsidRPr="002D2950">
        <w:t>) vai ilgstoša</w:t>
      </w:r>
      <w:r w:rsidRPr="002D2950" w:rsidR="0073374F">
        <w:t>s</w:t>
      </w:r>
      <w:r w:rsidRPr="002D2950">
        <w:t xml:space="preserve"> neefektīva</w:t>
      </w:r>
      <w:r w:rsidR="0014165C">
        <w:t>s</w:t>
      </w:r>
      <w:r w:rsidRPr="002D2950">
        <w:t xml:space="preserve"> izmantošana</w:t>
      </w:r>
      <w:r w:rsidRPr="002D2950" w:rsidR="0073374F">
        <w:t>s</w:t>
      </w:r>
      <w:r w:rsidRPr="002D2950">
        <w:t xml:space="preserve"> (</w:t>
      </w:r>
      <w:r w:rsidRPr="002D2950">
        <w:rPr>
          <w:i/>
          <w:iCs/>
        </w:rPr>
        <w:t>underuse</w:t>
      </w:r>
      <w:r w:rsidRPr="002D2950">
        <w:t>)</w:t>
      </w:r>
      <w:r w:rsidRPr="002D2950" w:rsidR="0073374F">
        <w:t xml:space="preserve"> situācijās</w:t>
      </w:r>
      <w:r w:rsidRPr="002D2950">
        <w:t>;</w:t>
      </w:r>
    </w:p>
    <w:p w:rsidR="00781866" w:rsidRPr="002D2950" w:rsidP="00E40A97" w14:paraId="4E14C0AE" w14:textId="33DFDE7C">
      <w:pPr>
        <w:numPr>
          <w:ilvl w:val="0"/>
          <w:numId w:val="36"/>
        </w:numPr>
        <w:pBdr>
          <w:top w:val="nil"/>
          <w:left w:val="nil"/>
          <w:bottom w:val="nil"/>
          <w:right w:val="nil"/>
          <w:between w:val="nil"/>
        </w:pBdr>
        <w:spacing w:after="400" w:line="276" w:lineRule="auto"/>
        <w:contextualSpacing/>
        <w:jc w:val="both"/>
      </w:pPr>
      <w:r w:rsidRPr="002D2950">
        <w:t xml:space="preserve">Prasība izmantot </w:t>
      </w:r>
      <w:r w:rsidRPr="002D2950" w:rsidR="006508D9">
        <w:t xml:space="preserve">konkrētās iekārtas tikai konkrētām vajadzībām </w:t>
      </w:r>
      <w:r w:rsidRPr="002D2950">
        <w:t>60 mēneš</w:t>
      </w:r>
      <w:r w:rsidRPr="002D2950" w:rsidR="006508D9">
        <w:t>us un</w:t>
      </w:r>
      <w:r w:rsidRPr="002D2950" w:rsidR="006508D9">
        <w:t xml:space="preserve"> </w:t>
      </w:r>
      <w:r w:rsidRPr="002D2950">
        <w:t xml:space="preserve"> </w:t>
      </w:r>
      <w:r w:rsidRPr="002D2950">
        <w:t>ierobežojumi uzturēšanas izmaksās</w:t>
      </w:r>
      <w:r w:rsidRPr="002D2950" w:rsidR="006508D9">
        <w:t xml:space="preserve">, kas noved pie tā, ka </w:t>
      </w:r>
      <w:r w:rsidRPr="002D2950">
        <w:t xml:space="preserve"> bieži netiek uzrādītas </w:t>
      </w:r>
      <w:r w:rsidRPr="002D2950" w:rsidR="006508D9">
        <w:t xml:space="preserve">pilnas </w:t>
      </w:r>
      <w:r w:rsidRPr="002D2950">
        <w:t>faktiskās uzturēšanas izmaksas vai tās tiek aprēķinātas nepilnvērtīgi, neņemot vērā dažādas netiešās izmaksas kā piemēram aparatūras patērēto elektrību, aparatūras un programmatūras iekšējās administrēšanas izmaksas.</w:t>
      </w:r>
    </w:p>
    <w:p w:rsidR="00781866" w:rsidRPr="002D2950" w:rsidP="00D04C52" w14:paraId="0D30C4BB" w14:textId="77777777">
      <w:pPr>
        <w:ind w:left="720"/>
        <w:jc w:val="both"/>
      </w:pPr>
    </w:p>
    <w:p w:rsidR="00781866" w:rsidP="00B03500" w14:paraId="22F7F488" w14:textId="77777777">
      <w:pPr>
        <w:spacing w:before="120" w:after="240"/>
        <w:ind w:firstLine="720"/>
        <w:jc w:val="both"/>
      </w:pPr>
      <w:r w:rsidRPr="002D2950">
        <w:t xml:space="preserve">Pašreizējā </w:t>
      </w:r>
      <w:r w:rsidRPr="002D2950" w:rsidR="00B528DB">
        <w:t>ERAF 2014.-</w:t>
      </w:r>
      <w:r w:rsidRPr="002D2950" w:rsidR="00B528DB">
        <w:t>2010.gada</w:t>
      </w:r>
      <w:r w:rsidRPr="002D2950" w:rsidR="00B528DB">
        <w:t xml:space="preserve"> </w:t>
      </w:r>
      <w:r w:rsidRPr="002D2950">
        <w:t xml:space="preserve">plānošanas periodā ERAF projektos ir noteikti ierobežojumi attiecībā </w:t>
      </w:r>
      <w:r w:rsidRPr="002D2950" w:rsidR="00B528DB">
        <w:t>uz aparatūras iegādi, līdz ar t</w:t>
      </w:r>
      <w:r w:rsidRPr="002D2950">
        <w:t>o daļu esošās infrastruktūras nav iespējams atjaunināt un tas rada nepieciešamību izskatīt tādas alternatīvas IT sistēmu izmantošanas iespējas kā resursu kons</w:t>
      </w:r>
      <w:r w:rsidRPr="002D2950" w:rsidR="00B528DB">
        <w:t>olidācija, t.sk. virtualizācija</w:t>
      </w:r>
      <w:r w:rsidRPr="002D2950">
        <w:t xml:space="preserve"> un MDP.</w:t>
      </w:r>
    </w:p>
    <w:p w:rsidR="00382562" w:rsidP="00B03500" w14:paraId="52EF87F7" w14:textId="77777777">
      <w:pPr>
        <w:spacing w:before="120" w:after="240"/>
        <w:ind w:firstLine="720"/>
        <w:jc w:val="both"/>
      </w:pPr>
    </w:p>
    <w:p w:rsidR="005F6728" w:rsidRPr="002D2950" w:rsidP="00B03500" w14:paraId="5388CF03" w14:textId="77777777">
      <w:pPr>
        <w:spacing w:before="120" w:after="240"/>
        <w:ind w:firstLine="720"/>
        <w:jc w:val="both"/>
      </w:pPr>
    </w:p>
    <w:p w:rsidR="00781866" w:rsidRPr="002D2950" w:rsidP="00E40A97" w14:paraId="1D6CBA88" w14:textId="6D6800A2">
      <w:pPr>
        <w:pStyle w:val="Heading1"/>
        <w:keepLines/>
        <w:numPr>
          <w:ilvl w:val="0"/>
          <w:numId w:val="12"/>
        </w:numPr>
        <w:pBdr>
          <w:top w:val="nil"/>
          <w:left w:val="nil"/>
          <w:bottom w:val="nil"/>
          <w:right w:val="nil"/>
          <w:between w:val="nil"/>
        </w:pBdr>
        <w:spacing w:before="0" w:after="200" w:line="276" w:lineRule="auto"/>
        <w:contextualSpacing/>
      </w:pPr>
      <w:bookmarkStart w:id="68" w:name="_eowmigv41l3x" w:colFirst="0" w:colLast="0"/>
      <w:bookmarkStart w:id="69" w:name="_m4eau068bmmp" w:colFirst="0" w:colLast="0"/>
      <w:bookmarkStart w:id="70" w:name="_Toc497995201"/>
      <w:bookmarkStart w:id="71" w:name="_Toc498016959"/>
      <w:bookmarkStart w:id="72" w:name="_Toc498346604"/>
      <w:bookmarkStart w:id="73" w:name="_Toc505072493"/>
      <w:bookmarkEnd w:id="68"/>
      <w:bookmarkEnd w:id="69"/>
      <w:bookmarkStart w:id="74" w:name="_Toc256000010"/>
      <w:bookmarkStart w:id="75" w:name="_Toc256000056"/>
      <w:r w:rsidRPr="002D2950">
        <w:t>Mākoņdatošanas</w:t>
      </w:r>
      <w:r w:rsidRPr="002D2950">
        <w:t xml:space="preserve"> pakalpojumu jēdziens</w:t>
      </w:r>
      <w:bookmarkEnd w:id="75"/>
      <w:bookmarkEnd w:id="74"/>
      <w:bookmarkEnd w:id="70"/>
      <w:bookmarkEnd w:id="71"/>
      <w:bookmarkEnd w:id="72"/>
      <w:bookmarkEnd w:id="73"/>
      <w:r w:rsidRPr="002D2950">
        <w:t xml:space="preserve"> </w:t>
      </w:r>
    </w:p>
    <w:p w:rsidR="00781866" w:rsidRPr="002D2950" w:rsidP="00EF589A" w14:paraId="6F3CC4ED" w14:textId="2A6EACFF">
      <w:pPr>
        <w:spacing w:before="120"/>
        <w:ind w:firstLine="720"/>
        <w:jc w:val="both"/>
      </w:pPr>
      <w:r w:rsidRPr="002D2950">
        <w:t>MDP</w:t>
      </w:r>
      <w:r w:rsidRPr="002D2950">
        <w:t xml:space="preserve"> ir nostabilizējusies tendence IKT tehnisko, platformas un programmatūras resursu nodrošināšanā. Ņemot vērā tās izplatību, kā arī praktiskos ieguvumus, ko tā piedāvā gan privātajam, gan valsts sektoram, to nevar atļauties ignorēt un ir nepieciešams skaidri izvirzīt rekomendācijas tās izmantošanai valsts pārvald</w:t>
      </w:r>
      <w:r w:rsidRPr="002D2950" w:rsidR="00490A09">
        <w:t>ē</w:t>
      </w:r>
      <w:r w:rsidRPr="002D2950">
        <w:t>, ņemot vērā esošās tendences un problemātiku.</w:t>
      </w:r>
    </w:p>
    <w:p w:rsidR="00781866" w:rsidRPr="002D2950" w:rsidP="00EF589A" w14:paraId="095BA9EB" w14:textId="5E29B073">
      <w:pPr>
        <w:spacing w:before="120"/>
        <w:ind w:firstLine="720"/>
        <w:jc w:val="both"/>
      </w:pPr>
      <w:r w:rsidRPr="002D2950">
        <w:t xml:space="preserve">IKT atbalsta un pārvaldības resursus var optimizēt, pārejot uz pēc iespējas augstākas pievienotās vērtības atbalsta pakalpojumu izmantošanu. Tas pilnā mērā atbilst arī pasaules tendencēm IKT atbalsta organizācijas jomā, pārejot uz augstākas pievienotas vērtības pakalpojumiem ne tikai standarta, bet arī specializētu IKT risinājumu jomās. </w:t>
      </w:r>
      <w:r w:rsidR="00143472">
        <w:t xml:space="preserve">Kā viens no biežāk izmantotiem piemēriem ir </w:t>
      </w:r>
      <w:r w:rsidRPr="002D2950">
        <w:t xml:space="preserve">datu apstrādes jaudu izvietošanas, </w:t>
      </w:r>
      <w:r w:rsidR="00143472">
        <w:t xml:space="preserve">apstrādes </w:t>
      </w:r>
      <w:r w:rsidRPr="002D2950">
        <w:t xml:space="preserve">jaudas kā pakalpojuma iegāde un vēl augstākas pievienotās vērtības pakalpojumi, grupējot tos četros </w:t>
      </w:r>
      <w:r w:rsidRPr="002D2950" w:rsidR="00490A09">
        <w:t xml:space="preserve">līmeņos (Fiziskā infrastruktūra un </w:t>
      </w:r>
      <w:r w:rsidRPr="002D2950">
        <w:t xml:space="preserve">izmitināšana, </w:t>
      </w:r>
      <w:r w:rsidRPr="002D2950">
        <w:t>IaaS</w:t>
      </w:r>
      <w:r w:rsidRPr="002D2950">
        <w:t xml:space="preserve">, </w:t>
      </w:r>
      <w:r w:rsidRPr="002D2950">
        <w:t>PaaS</w:t>
      </w:r>
      <w:r w:rsidRPr="002D2950">
        <w:t xml:space="preserve"> un </w:t>
      </w:r>
      <w:r w:rsidRPr="002D2950">
        <w:t>SaaS</w:t>
      </w:r>
      <w:r w:rsidRPr="002D2950">
        <w:t xml:space="preserve"> - skatīt sadaļu</w:t>
      </w:r>
      <w:r w:rsidRPr="002D2950">
        <w:rPr>
          <w:color w:val="1155CC"/>
          <w:u w:val="single"/>
        </w:rPr>
        <w:t xml:space="preserve">: </w:t>
      </w:r>
      <w:r w:rsidRPr="00143472" w:rsidR="00143472">
        <w:t>Mākoņdatošanas</w:t>
      </w:r>
      <w:r w:rsidRPr="00143472" w:rsidR="00143472">
        <w:t xml:space="preserve"> pakalpojumu līmeņi</w:t>
      </w:r>
      <w:r w:rsidRPr="002D2950">
        <w:t>).</w:t>
      </w:r>
    </w:p>
    <w:p w:rsidR="00781866" w:rsidRPr="002D2950" w:rsidP="00EF589A" w14:paraId="1C924C8D" w14:textId="18659864">
      <w:pPr>
        <w:spacing w:before="120"/>
        <w:ind w:firstLine="720"/>
        <w:jc w:val="both"/>
      </w:pPr>
      <w:r w:rsidRPr="002D2950">
        <w:t xml:space="preserve">Pievēršoties </w:t>
      </w:r>
      <w:r w:rsidRPr="002D2950" w:rsidR="004A3C31">
        <w:t>MDP</w:t>
      </w:r>
      <w:r w:rsidRPr="002D2950">
        <w:t xml:space="preserve">, būtiski ir ieviest skaidru un viennozīmīgu terminoloģiju un izpratni par </w:t>
      </w:r>
      <w:r w:rsidRPr="002D2950">
        <w:t>mākoņdatošanas</w:t>
      </w:r>
      <w:r w:rsidRPr="002D2950">
        <w:t xml:space="preserve"> būtību. </w:t>
      </w:r>
    </w:p>
    <w:p w:rsidR="00781866" w:rsidRPr="002D2950" w:rsidP="00EF589A" w14:paraId="338F8F32" w14:textId="3826A654">
      <w:pPr>
        <w:pStyle w:val="Heading3"/>
        <w:spacing w:before="120" w:after="0"/>
        <w:ind w:left="0" w:firstLine="720"/>
        <w:jc w:val="both"/>
        <w:rPr>
          <w:b w:val="0"/>
        </w:rPr>
      </w:pPr>
      <w:bookmarkStart w:id="76" w:name="_Toc502316408"/>
      <w:bookmarkStart w:id="77" w:name="_Toc505072494"/>
      <w:bookmarkStart w:id="78" w:name="_Toc256000011"/>
      <w:bookmarkStart w:id="79" w:name="_Toc256000057"/>
      <w:r w:rsidRPr="002D2950">
        <w:rPr>
          <w:b w:val="0"/>
        </w:rPr>
        <w:t xml:space="preserve">Vairums pasaules valstu savās pieejās </w:t>
      </w:r>
      <w:r w:rsidRPr="002D2950">
        <w:rPr>
          <w:b w:val="0"/>
        </w:rPr>
        <w:t>mākoņdatošanai</w:t>
      </w:r>
      <w:r w:rsidRPr="002D2950">
        <w:rPr>
          <w:b w:val="0"/>
        </w:rPr>
        <w:t xml:space="preserve"> izmanto NIST</w:t>
      </w:r>
      <w:r w:rsidRPr="002D2950">
        <w:rPr>
          <w:b w:val="0"/>
        </w:rPr>
        <w:t xml:space="preserve"> </w:t>
      </w:r>
      <w:r w:rsidRPr="002D2950" w:rsidR="004A3C31">
        <w:rPr>
          <w:b w:val="0"/>
        </w:rPr>
        <w:t xml:space="preserve"> </w:t>
      </w:r>
      <w:r w:rsidRPr="002D2950">
        <w:rPr>
          <w:b w:val="0"/>
        </w:rPr>
        <w:t>mākoņdatošanas</w:t>
      </w:r>
      <w:r w:rsidRPr="002D2950">
        <w:rPr>
          <w:b w:val="0"/>
        </w:rPr>
        <w:t xml:space="preserve"> definīciju</w:t>
      </w:r>
      <w:r>
        <w:rPr>
          <w:b w:val="0"/>
          <w:vertAlign w:val="superscript"/>
        </w:rPr>
        <w:footnoteReference w:id="8"/>
      </w:r>
      <w:r w:rsidRPr="002D2950">
        <w:rPr>
          <w:b w:val="0"/>
        </w:rPr>
        <w:t>, kuras pamatprincipi ir izklāstīti sekojošajā sadaļā.</w:t>
      </w:r>
      <w:bookmarkEnd w:id="79"/>
      <w:bookmarkEnd w:id="78"/>
      <w:bookmarkEnd w:id="76"/>
      <w:bookmarkEnd w:id="77"/>
    </w:p>
    <w:p w:rsidR="004A3C31" w:rsidRPr="002D2950" w:rsidP="00065DE7" w14:paraId="564B95FC" w14:textId="77777777">
      <w:pPr>
        <w:jc w:val="both"/>
      </w:pPr>
    </w:p>
    <w:p w:rsidR="00781866" w:rsidRPr="002D2950" w:rsidP="00E40A97" w14:paraId="25754011"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80" w:name="_Toc497995202"/>
      <w:bookmarkStart w:id="81" w:name="_Toc498016960"/>
      <w:bookmarkStart w:id="82" w:name="_Toc498346605"/>
      <w:bookmarkStart w:id="83" w:name="_Toc502316409"/>
      <w:bookmarkStart w:id="84" w:name="_Toc505072495"/>
      <w:bookmarkStart w:id="85" w:name="_Toc256000012"/>
      <w:bookmarkStart w:id="86" w:name="_Toc256000058"/>
      <w:r w:rsidRPr="002D2950">
        <w:rPr>
          <w:sz w:val="24"/>
          <w:szCs w:val="24"/>
        </w:rPr>
        <w:t>Mākoņdatošanas</w:t>
      </w:r>
      <w:r w:rsidRPr="002D2950">
        <w:rPr>
          <w:sz w:val="24"/>
          <w:szCs w:val="24"/>
        </w:rPr>
        <w:t xml:space="preserve"> pakalpojumu pazīmes</w:t>
      </w:r>
      <w:bookmarkEnd w:id="86"/>
      <w:bookmarkEnd w:id="85"/>
      <w:bookmarkEnd w:id="80"/>
      <w:bookmarkEnd w:id="81"/>
      <w:bookmarkEnd w:id="82"/>
      <w:bookmarkEnd w:id="83"/>
      <w:bookmarkEnd w:id="84"/>
    </w:p>
    <w:p w:rsidR="00781866" w:rsidRPr="002D2950" w:rsidP="00B03500" w14:paraId="1E2789EB" w14:textId="4A9EFD38">
      <w:pPr>
        <w:ind w:firstLine="720"/>
        <w:jc w:val="both"/>
      </w:pPr>
      <w:r w:rsidRPr="002D2950">
        <w:t>MDP</w:t>
      </w:r>
      <w:r w:rsidRPr="002D2950">
        <w:t xml:space="preserve"> kopumā raksturo šādas pazīmes:</w:t>
      </w:r>
    </w:p>
    <w:p w:rsidR="00781866" w:rsidRPr="00215C52" w:rsidP="00EF589A" w14:paraId="6DE2C99F" w14:textId="77777777">
      <w:pPr>
        <w:numPr>
          <w:ilvl w:val="0"/>
          <w:numId w:val="37"/>
        </w:numPr>
        <w:pBdr>
          <w:top w:val="nil"/>
          <w:left w:val="nil"/>
          <w:bottom w:val="nil"/>
          <w:right w:val="nil"/>
          <w:between w:val="nil"/>
        </w:pBdr>
        <w:spacing w:before="120" w:after="400" w:line="276" w:lineRule="auto"/>
        <w:ind w:left="1077" w:hanging="357"/>
        <w:contextualSpacing/>
        <w:jc w:val="both"/>
        <w:rPr>
          <w:b/>
          <w:bCs/>
        </w:rPr>
      </w:pPr>
      <w:r w:rsidRPr="00215C52">
        <w:rPr>
          <w:b/>
          <w:bCs/>
        </w:rPr>
        <w:t>Pašapkalpošanās pēc pieprasījuma.</w:t>
      </w:r>
    </w:p>
    <w:p w:rsidR="00781866" w:rsidRPr="002D2950" w:rsidP="00EF589A" w14:paraId="305DBD04" w14:textId="77777777">
      <w:pPr>
        <w:ind w:left="1440"/>
        <w:jc w:val="both"/>
      </w:pPr>
      <w:r w:rsidRPr="002D2950">
        <w:t xml:space="preserve">Patērētājs var vienpusēji noteikt nepieciešamās </w:t>
      </w:r>
      <w:r w:rsidRPr="002D2950">
        <w:t>datošanas</w:t>
      </w:r>
      <w:r w:rsidRPr="002D2950">
        <w:t xml:space="preserve"> iespējas, piemēram, servera jaudas, pēc nepieciešamības automātiski mainot tās bez pakalpojuma sniedzēju personāla mijiedarbības;</w:t>
      </w:r>
    </w:p>
    <w:p w:rsidR="00781866" w:rsidRPr="00215C52" w:rsidP="00EF589A" w14:paraId="17291DCB" w14:textId="77777777">
      <w:pPr>
        <w:numPr>
          <w:ilvl w:val="0"/>
          <w:numId w:val="37"/>
        </w:numPr>
        <w:pBdr>
          <w:top w:val="nil"/>
          <w:left w:val="nil"/>
          <w:bottom w:val="nil"/>
          <w:right w:val="nil"/>
          <w:between w:val="nil"/>
        </w:pBdr>
        <w:spacing w:after="400" w:line="276" w:lineRule="auto"/>
        <w:ind w:left="1080"/>
        <w:contextualSpacing/>
        <w:jc w:val="both"/>
        <w:rPr>
          <w:b/>
          <w:bCs/>
        </w:rPr>
      </w:pPr>
      <w:r w:rsidRPr="00215C52">
        <w:rPr>
          <w:b/>
          <w:bCs/>
        </w:rPr>
        <w:t>Daudzveidīga piekļuve tīklam.</w:t>
      </w:r>
    </w:p>
    <w:p w:rsidR="00781866" w:rsidRPr="002D2950" w:rsidP="00EF589A" w14:paraId="1F68B855" w14:textId="77777777">
      <w:pPr>
        <w:ind w:left="1440"/>
        <w:jc w:val="both"/>
      </w:pPr>
      <w:r w:rsidRPr="002D2950">
        <w:t>Risinājumi ir pieejami tīklā un ar dažādiem standarta mehānismiem un tehnoloģiskām platformām (piemēram, mobilie telefoni, planšetdatori, klēpjdatoros un darbstacijas);</w:t>
      </w:r>
    </w:p>
    <w:p w:rsidR="00781866" w:rsidRPr="00215C52" w:rsidP="00EF589A" w14:paraId="0F746894" w14:textId="77777777">
      <w:pPr>
        <w:numPr>
          <w:ilvl w:val="0"/>
          <w:numId w:val="37"/>
        </w:numPr>
        <w:pBdr>
          <w:top w:val="nil"/>
          <w:left w:val="nil"/>
          <w:bottom w:val="nil"/>
          <w:right w:val="nil"/>
          <w:between w:val="nil"/>
        </w:pBdr>
        <w:spacing w:after="400" w:line="276" w:lineRule="auto"/>
        <w:ind w:left="1080"/>
        <w:contextualSpacing/>
        <w:jc w:val="both"/>
        <w:rPr>
          <w:b/>
          <w:bCs/>
        </w:rPr>
      </w:pPr>
      <w:r w:rsidRPr="00215C52">
        <w:rPr>
          <w:b/>
          <w:bCs/>
        </w:rPr>
        <w:t>Resursu apvienošana.</w:t>
      </w:r>
    </w:p>
    <w:p w:rsidR="00781866" w:rsidRPr="002D2950" w:rsidP="00EF589A" w14:paraId="7FDCA51E" w14:textId="1D4A95A3">
      <w:pPr>
        <w:ind w:left="1440"/>
        <w:jc w:val="both"/>
      </w:pPr>
      <w:r w:rsidRPr="002D2950">
        <w:t>MDP</w:t>
      </w:r>
      <w:r w:rsidRPr="002D2950">
        <w:t xml:space="preserve"> sniedzēja skaitļošanas resursi tiek apvienoti, lai apkalpotu daudzus patērētājus, izmantojot daudzu nomnieku modeli, </w:t>
      </w:r>
      <w:r w:rsidRPr="000276BA" w:rsidR="000276BA">
        <w:t xml:space="preserve">realizējot pilnībā </w:t>
      </w:r>
      <w:r w:rsidRPr="000276BA" w:rsidR="000276BA">
        <w:t>segregētas</w:t>
      </w:r>
      <w:r w:rsidRPr="000276BA" w:rsidR="000276BA">
        <w:t xml:space="preserve"> drošības zonas un tīklus, dinamiski piešķirot fiziskos un virtuālos resursus atbilstoši patērētāju </w:t>
      </w:r>
      <w:r w:rsidRPr="000276BA" w:rsidR="000276BA">
        <w:t>pieprasījumiemam</w:t>
      </w:r>
      <w:r w:rsidRPr="000276BA" w:rsidR="000276BA">
        <w:t>, vai</w:t>
      </w:r>
      <w:r w:rsidRPr="000276BA" w:rsidR="000276BA">
        <w:t xml:space="preserve"> pat dinamiski paplašinot resursus</w:t>
      </w:r>
      <w:r w:rsidRPr="000276BA" w:rsidR="000276BA">
        <w:t>, ja platforma spēj nodrošināt automātisku m</w:t>
      </w:r>
      <w:r w:rsidR="000276BA">
        <w:t>ērogojamību atkarībā no slodzes</w:t>
      </w:r>
      <w:r w:rsidRPr="002D2950">
        <w:t>;</w:t>
      </w:r>
    </w:p>
    <w:p w:rsidR="00781866" w:rsidRPr="00215C52" w:rsidP="00EF589A" w14:paraId="4EB7684F" w14:textId="77777777">
      <w:pPr>
        <w:numPr>
          <w:ilvl w:val="0"/>
          <w:numId w:val="37"/>
        </w:numPr>
        <w:pBdr>
          <w:top w:val="nil"/>
          <w:left w:val="nil"/>
          <w:bottom w:val="nil"/>
          <w:right w:val="nil"/>
          <w:between w:val="nil"/>
        </w:pBdr>
        <w:spacing w:after="400" w:line="276" w:lineRule="auto"/>
        <w:ind w:left="1080"/>
        <w:contextualSpacing/>
        <w:jc w:val="both"/>
        <w:rPr>
          <w:b/>
          <w:bCs/>
        </w:rPr>
      </w:pPr>
      <w:r w:rsidRPr="00215C52">
        <w:rPr>
          <w:b/>
          <w:bCs/>
        </w:rPr>
        <w:t xml:space="preserve">Dinamiska elastība. </w:t>
      </w:r>
    </w:p>
    <w:p w:rsidR="00781866" w:rsidRPr="002D2950" w:rsidP="00EF589A" w14:paraId="6D2974A4" w14:textId="4922084E">
      <w:pPr>
        <w:ind w:left="1440"/>
        <w:jc w:val="both"/>
      </w:pPr>
      <w:r w:rsidRPr="002D2950">
        <w:t xml:space="preserve">Risinājumi, dažkārt automātiski, tiek nodrošināti un piegādāti </w:t>
      </w:r>
      <w:r w:rsidR="00B4330C">
        <w:t>atbilstoši</w:t>
      </w:r>
      <w:r w:rsidRPr="002D2950" w:rsidR="00B4330C">
        <w:t xml:space="preserve"> </w:t>
      </w:r>
      <w:r w:rsidRPr="002D2950">
        <w:t>pieprasījumiem. Patērētājiem šādas iespējas bieži vien tiek uzrādītas kā neierobežotas ikvienā laika vienībā</w:t>
      </w:r>
      <w:r w:rsidR="00EF589A">
        <w:t>;</w:t>
      </w:r>
      <w:r w:rsidRPr="002D2950">
        <w:t xml:space="preserve"> </w:t>
      </w:r>
    </w:p>
    <w:p w:rsidR="00D72690" w:rsidRPr="00215C52" w:rsidP="00EF589A" w14:paraId="3C05F871" w14:textId="77777777">
      <w:pPr>
        <w:numPr>
          <w:ilvl w:val="0"/>
          <w:numId w:val="37"/>
        </w:numPr>
        <w:pBdr>
          <w:top w:val="nil"/>
          <w:left w:val="nil"/>
          <w:bottom w:val="nil"/>
          <w:right w:val="nil"/>
          <w:between w:val="nil"/>
        </w:pBdr>
        <w:spacing w:after="400" w:line="276" w:lineRule="auto"/>
        <w:ind w:left="1080"/>
        <w:contextualSpacing/>
        <w:jc w:val="both"/>
        <w:rPr>
          <w:b/>
        </w:rPr>
      </w:pPr>
      <w:r w:rsidRPr="00215C52">
        <w:rPr>
          <w:b/>
          <w:bCs/>
        </w:rPr>
        <w:t>Mērāmība</w:t>
      </w:r>
      <w:r w:rsidRPr="00215C52">
        <w:rPr>
          <w:b/>
          <w:bCs/>
        </w:rPr>
        <w:t xml:space="preserve">. </w:t>
      </w:r>
    </w:p>
    <w:p w:rsidR="00781866" w:rsidP="00EF589A" w14:paraId="6A6C9E87" w14:textId="4C18EE14">
      <w:pPr>
        <w:ind w:left="1440"/>
        <w:jc w:val="both"/>
      </w:pPr>
      <w:r w:rsidRPr="002D2950">
        <w:t>Mākoņdatošanas</w:t>
      </w:r>
      <w:r w:rsidRPr="002D2950">
        <w:t xml:space="preserve"> sistēmas automātiski kontrolē un optimizē resursu lietošanu, nodrošinot šo resursu monitoringu, kontroli un rezultātu nodošanu gan piegādātājam, gan patērētājam.</w:t>
      </w:r>
    </w:p>
    <w:p w:rsidR="00EF589A" w:rsidRPr="002D2950" w:rsidP="00D72690" w14:paraId="39A57745" w14:textId="77777777">
      <w:pPr>
        <w:ind w:left="720"/>
        <w:jc w:val="both"/>
      </w:pPr>
    </w:p>
    <w:p w:rsidR="00781866" w:rsidRPr="002D2950" w:rsidP="00E40A97" w14:paraId="046BDB7F"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87" w:name="_Mākoņdatošanas_pakalpojumu_līmeņi"/>
      <w:bookmarkStart w:id="88" w:name="_Toc497995203"/>
      <w:bookmarkStart w:id="89" w:name="_Toc498016961"/>
      <w:bookmarkStart w:id="90" w:name="_Toc498346606"/>
      <w:bookmarkStart w:id="91" w:name="_Toc502316410"/>
      <w:bookmarkStart w:id="92" w:name="_Toc505072496"/>
      <w:bookmarkEnd w:id="87"/>
      <w:bookmarkStart w:id="93" w:name="_Toc256000013"/>
      <w:bookmarkStart w:id="94" w:name="_Toc256000059"/>
      <w:r w:rsidRPr="002D2950">
        <w:rPr>
          <w:sz w:val="24"/>
          <w:szCs w:val="24"/>
        </w:rPr>
        <w:t>Mākoņdatošanas</w:t>
      </w:r>
      <w:r w:rsidRPr="002D2950">
        <w:rPr>
          <w:sz w:val="24"/>
          <w:szCs w:val="24"/>
        </w:rPr>
        <w:t xml:space="preserve"> pakalpojumu līmeņi</w:t>
      </w:r>
      <w:bookmarkEnd w:id="94"/>
      <w:bookmarkEnd w:id="93"/>
      <w:bookmarkEnd w:id="88"/>
      <w:bookmarkEnd w:id="89"/>
      <w:bookmarkEnd w:id="90"/>
      <w:bookmarkEnd w:id="91"/>
      <w:bookmarkEnd w:id="92"/>
    </w:p>
    <w:p w:rsidR="00781866" w:rsidRPr="002D2950" w:rsidP="00B03500" w14:paraId="38D051F5" w14:textId="5A5AAA19">
      <w:pPr>
        <w:ind w:firstLine="720"/>
        <w:jc w:val="both"/>
      </w:pPr>
      <w:r w:rsidRPr="002D2950">
        <w:t>MDP pēc to pielieto</w:t>
      </w:r>
      <w:r w:rsidRPr="002D2950" w:rsidR="00966BB5">
        <w:t>juma iedalās trīs pamata grupās</w:t>
      </w:r>
      <w:r w:rsidRPr="002D2950">
        <w:t xml:space="preserve"> jeb līmeņos</w:t>
      </w:r>
      <w:r w:rsidRPr="002D2950" w:rsidR="00966BB5">
        <w:t>:</w:t>
      </w:r>
    </w:p>
    <w:p w:rsidR="00781866" w:rsidRPr="002D2950" w:rsidP="00E40A97" w14:paraId="2AE4EE09" w14:textId="77777777">
      <w:pPr>
        <w:pStyle w:val="ListParagraph"/>
        <w:numPr>
          <w:ilvl w:val="0"/>
          <w:numId w:val="38"/>
        </w:numPr>
        <w:pBdr>
          <w:top w:val="nil"/>
          <w:left w:val="nil"/>
          <w:bottom w:val="nil"/>
          <w:right w:val="nil"/>
          <w:between w:val="nil"/>
        </w:pBdr>
        <w:spacing w:after="400" w:line="276" w:lineRule="auto"/>
        <w:jc w:val="both"/>
      </w:pPr>
      <w:r w:rsidRPr="002D2950">
        <w:t xml:space="preserve">Lietojums kā pakalpojums – </w:t>
      </w:r>
      <w:r w:rsidRPr="002D2950">
        <w:t>SaaS</w:t>
      </w:r>
      <w:r w:rsidRPr="002D2950">
        <w:t xml:space="preserve"> (</w:t>
      </w:r>
      <w:r w:rsidRPr="002D2950">
        <w:rPr>
          <w:i/>
          <w:iCs/>
        </w:rPr>
        <w:t>Software</w:t>
      </w:r>
      <w:r w:rsidRPr="002D2950">
        <w:rPr>
          <w:i/>
          <w:iCs/>
        </w:rPr>
        <w:t xml:space="preserve"> as a </w:t>
      </w:r>
      <w:r w:rsidRPr="002D2950">
        <w:rPr>
          <w:i/>
          <w:iCs/>
        </w:rPr>
        <w:t>Service</w:t>
      </w:r>
      <w:r w:rsidRPr="002D2950">
        <w:t>)</w:t>
      </w:r>
    </w:p>
    <w:p w:rsidR="00781866" w:rsidRPr="002D2950" w:rsidP="00E40A97" w14:paraId="2B8C946E" w14:textId="77777777">
      <w:pPr>
        <w:pStyle w:val="ListParagraph"/>
        <w:numPr>
          <w:ilvl w:val="0"/>
          <w:numId w:val="38"/>
        </w:numPr>
        <w:pBdr>
          <w:top w:val="nil"/>
          <w:left w:val="nil"/>
          <w:bottom w:val="nil"/>
          <w:right w:val="nil"/>
          <w:between w:val="nil"/>
        </w:pBdr>
        <w:spacing w:after="400" w:line="276" w:lineRule="auto"/>
        <w:jc w:val="both"/>
      </w:pPr>
      <w:r w:rsidRPr="002D2950">
        <w:t xml:space="preserve">Platforma kā pakalpojums – </w:t>
      </w:r>
      <w:r w:rsidRPr="002D2950">
        <w:t>PaaS</w:t>
      </w:r>
      <w:r w:rsidRPr="002D2950">
        <w:t xml:space="preserve"> (</w:t>
      </w:r>
      <w:r w:rsidRPr="002D2950">
        <w:rPr>
          <w:i/>
          <w:iCs/>
        </w:rPr>
        <w:t>Platform</w:t>
      </w:r>
      <w:r w:rsidRPr="002D2950">
        <w:rPr>
          <w:i/>
          <w:iCs/>
        </w:rPr>
        <w:t xml:space="preserve"> as a </w:t>
      </w:r>
      <w:r w:rsidRPr="002D2950">
        <w:rPr>
          <w:i/>
          <w:iCs/>
        </w:rPr>
        <w:t>Service</w:t>
      </w:r>
      <w:r w:rsidRPr="002D2950">
        <w:t>)</w:t>
      </w:r>
    </w:p>
    <w:p w:rsidR="00781866" w:rsidRPr="002D2950" w:rsidP="00E40A97" w14:paraId="4B270C8A" w14:textId="0D846E40">
      <w:pPr>
        <w:pStyle w:val="ListParagraph"/>
        <w:numPr>
          <w:ilvl w:val="0"/>
          <w:numId w:val="38"/>
        </w:numPr>
        <w:pBdr>
          <w:top w:val="nil"/>
          <w:left w:val="nil"/>
          <w:bottom w:val="nil"/>
          <w:right w:val="nil"/>
          <w:between w:val="nil"/>
        </w:pBdr>
        <w:spacing w:after="120" w:line="276" w:lineRule="auto"/>
        <w:jc w:val="both"/>
      </w:pPr>
      <w:r w:rsidRPr="002D2950">
        <w:t xml:space="preserve">Infrastruktūra kā pakalpojums </w:t>
      </w:r>
      <w:r w:rsidRPr="002D2950">
        <w:t>IaaS</w:t>
      </w:r>
      <w:r w:rsidRPr="002D2950">
        <w:t xml:space="preserve"> (</w:t>
      </w:r>
      <w:r w:rsidRPr="002D2950">
        <w:rPr>
          <w:i/>
          <w:iCs/>
        </w:rPr>
        <w:t>Infrastructure</w:t>
      </w:r>
      <w:r w:rsidRPr="002D2950">
        <w:rPr>
          <w:i/>
          <w:iCs/>
        </w:rPr>
        <w:t xml:space="preserve"> as a </w:t>
      </w:r>
      <w:r w:rsidRPr="002D2950">
        <w:rPr>
          <w:i/>
          <w:iCs/>
        </w:rPr>
        <w:t>Service</w:t>
      </w:r>
      <w:r w:rsidRPr="002D2950" w:rsidR="00DB0E27">
        <w:t>).</w:t>
      </w:r>
    </w:p>
    <w:p w:rsidR="00987C2A" w:rsidP="00DB0E27" w14:paraId="7B531D96" w14:textId="77777777">
      <w:pPr>
        <w:tabs>
          <w:tab w:val="left" w:pos="0"/>
        </w:tabs>
        <w:spacing w:after="120"/>
        <w:jc w:val="both"/>
      </w:pPr>
      <w:r w:rsidRPr="002D2950">
        <w:t>Attēlā Nr.</w:t>
      </w:r>
      <w:r w:rsidRPr="002D2950" w:rsidR="00781866">
        <w:t>1 ir shematisk</w:t>
      </w:r>
      <w:r w:rsidRPr="002D2950" w:rsidR="00EC6CC9">
        <w:t>i attēlot</w:t>
      </w:r>
      <w:r w:rsidR="00B4330C">
        <w:t>s</w:t>
      </w:r>
      <w:r w:rsidRPr="002D2950" w:rsidR="00EC6CC9">
        <w:t xml:space="preserve"> </w:t>
      </w:r>
      <w:r w:rsidRPr="002D2950" w:rsidR="00EC6CC9">
        <w:t>mākoņdatošanas</w:t>
      </w:r>
      <w:r w:rsidRPr="002D2950" w:rsidR="00EC6CC9">
        <w:t xml:space="preserve"> </w:t>
      </w:r>
      <w:r w:rsidRPr="002D2950" w:rsidR="00781866">
        <w:t xml:space="preserve">pakalpojumu </w:t>
      </w:r>
      <w:r w:rsidRPr="002D2950" w:rsidR="00EC6CC9">
        <w:t xml:space="preserve">ietvars un līmeņi. </w:t>
      </w:r>
    </w:p>
    <w:p w:rsidR="00781866" w:rsidRPr="002D2950" w:rsidP="00DB0E27" w14:paraId="37D7F12F" w14:textId="3EA2EF50">
      <w:pPr>
        <w:tabs>
          <w:tab w:val="left" w:pos="0"/>
        </w:tabs>
        <w:spacing w:after="120"/>
        <w:jc w:val="both"/>
      </w:pPr>
      <w:r w:rsidRPr="002D2950">
        <w:rPr>
          <w:noProof/>
        </w:rPr>
        <w:drawing>
          <wp:inline distT="0" distB="0" distL="0" distR="0">
            <wp:extent cx="5759183" cy="3020060"/>
            <wp:effectExtent l="0" t="0" r="0" b="8890"/>
            <wp:docPr id="3" name="Attēls 3" descr="C:\Users\laurisl\AppData\Local\Microsoft\Windows\INetCache\Content.Word\MDP līmeņ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94924" name="Picture 1" descr="C:\Users\laurisl\AppData\Local\Microsoft\Windows\INetCache\Content.Word\MDP līmeņi (1).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6709" cy="3024007"/>
                    </a:xfrm>
                    <a:prstGeom prst="rect">
                      <a:avLst/>
                    </a:prstGeom>
                    <a:noFill/>
                    <a:ln>
                      <a:noFill/>
                    </a:ln>
                  </pic:spPr>
                </pic:pic>
              </a:graphicData>
            </a:graphic>
          </wp:inline>
        </w:drawing>
      </w:r>
    </w:p>
    <w:p w:rsidR="00781866" w:rsidRPr="002D2950" w:rsidP="00781866" w14:paraId="724C70B6" w14:textId="1190B5AC">
      <w:pPr>
        <w:pStyle w:val="Caption"/>
        <w:spacing w:line="276" w:lineRule="auto"/>
        <w:jc w:val="center"/>
      </w:pPr>
      <w:bookmarkStart w:id="95" w:name="_Ref498091596"/>
      <w:bookmarkStart w:id="96" w:name="_Ref498091639"/>
      <w:r w:rsidRPr="002D2950">
        <w:t>Attēls Nr.</w:t>
      </w:r>
      <w:r>
        <w:fldChar w:fldCharType="begin"/>
      </w:r>
      <w:r>
        <w:instrText xml:space="preserve"> SEQ Attēls_Nr. \* ARABIC \s 1 </w:instrText>
      </w:r>
      <w:r>
        <w:fldChar w:fldCharType="separate"/>
      </w:r>
      <w:r>
        <w:t>1</w:t>
      </w:r>
      <w:r w:rsidR="00B2422F">
        <w:rPr>
          <w:noProof/>
        </w:rPr>
        <w:fldChar w:fldCharType="end"/>
      </w:r>
      <w:bookmarkEnd w:id="95"/>
      <w:r w:rsidRPr="002D2950">
        <w:t xml:space="preserve"> </w:t>
      </w:r>
      <w:r w:rsidRPr="002D2950">
        <w:t>Mākoņdatošanas</w:t>
      </w:r>
      <w:r w:rsidRPr="002D2950">
        <w:t xml:space="preserve"> pakalpojumu ietvars</w:t>
      </w:r>
      <w:bookmarkEnd w:id="96"/>
    </w:p>
    <w:p w:rsidR="00781866" w:rsidRPr="002D2950" w:rsidP="00E40A97" w14:paraId="798CF1BF" w14:textId="77777777">
      <w:pPr>
        <w:pStyle w:val="Heading3"/>
        <w:numPr>
          <w:ilvl w:val="2"/>
          <w:numId w:val="12"/>
        </w:numPr>
        <w:pBdr>
          <w:top w:val="nil"/>
          <w:left w:val="nil"/>
          <w:bottom w:val="nil"/>
          <w:right w:val="nil"/>
          <w:between w:val="nil"/>
        </w:pBdr>
        <w:spacing w:before="0" w:line="276" w:lineRule="auto"/>
        <w:rPr>
          <w:color w:val="434343"/>
        </w:rPr>
      </w:pPr>
      <w:bookmarkStart w:id="97" w:name="_Toc496001875"/>
      <w:bookmarkStart w:id="98" w:name="_Toc497818671"/>
      <w:bookmarkStart w:id="99" w:name="_Toc497995204"/>
      <w:bookmarkStart w:id="100" w:name="_Toc498016962"/>
      <w:bookmarkStart w:id="101" w:name="_Toc498346607"/>
      <w:bookmarkStart w:id="102" w:name="_Toc505072497"/>
      <w:bookmarkStart w:id="103" w:name="_Toc256000014"/>
      <w:bookmarkStart w:id="104" w:name="_Toc256000060"/>
      <w:r w:rsidRPr="002D2950">
        <w:t>Infrastruktūras līmeņa pakalpojumi (</w:t>
      </w:r>
      <w:r w:rsidRPr="002D2950">
        <w:t>IaaS</w:t>
      </w:r>
      <w:r w:rsidRPr="002D2950">
        <w:rPr>
          <w:color w:val="666666"/>
        </w:rPr>
        <w:t>)</w:t>
      </w:r>
      <w:bookmarkEnd w:id="104"/>
      <w:bookmarkEnd w:id="103"/>
      <w:bookmarkEnd w:id="97"/>
      <w:bookmarkEnd w:id="98"/>
      <w:bookmarkEnd w:id="99"/>
      <w:bookmarkEnd w:id="100"/>
      <w:bookmarkEnd w:id="101"/>
      <w:bookmarkEnd w:id="102"/>
    </w:p>
    <w:p w:rsidR="00781866" w:rsidRPr="002D2950" w:rsidP="00B03500" w14:paraId="2F232180" w14:textId="698D3ADC">
      <w:pPr>
        <w:spacing w:after="240"/>
        <w:ind w:firstLine="720"/>
        <w:jc w:val="both"/>
      </w:pPr>
      <w:r w:rsidRPr="002D2950">
        <w:t>Galvenokārt</w:t>
      </w:r>
      <w:r w:rsidRPr="002D2950">
        <w:t xml:space="preserve"> </w:t>
      </w:r>
      <w:r w:rsidR="00B4330C">
        <w:t xml:space="preserve">tiek izmantota </w:t>
      </w:r>
      <w:r w:rsidRPr="002D2950">
        <w:t xml:space="preserve">virtuālo mašīnu darbināšanai – pakalpojuma lietotājam tiek nodrošināti skaitļošanas, datu glabāšanas, tīkla un citi pamata skaitļošanas resursi, kur lietotājam ir iespējams izvietot un darbināt brīvi izvēlētu programmatūru, ieskaitot operētājsistēmas un aplikācijas. Pakalpojuma lietotājs neadministrē un nekontrolē </w:t>
      </w:r>
      <w:r w:rsidRPr="002D2950">
        <w:t>mākoņdatošanas</w:t>
      </w:r>
      <w:r w:rsidRPr="002D2950">
        <w:t xml:space="preserve"> pakalpojuma fizisko infrastruktūru, bet tam ir kontrole pār operētājsistēmu, datu glabātuvi un izvietoto programmatūru un </w:t>
      </w:r>
      <w:r w:rsidRPr="002D2950">
        <w:t>iespējams ierobežota kontrole</w:t>
      </w:r>
      <w:r w:rsidRPr="002D2950">
        <w:t xml:space="preserve"> pār noteiktām tīkla komponentēm (piemēram, ugunsmūri). Pie infrastruktūras līmeņa pakalpojumiem ir pieskaitāmi arī virtualizācijas konteineru risinājumi (piemēram, </w:t>
      </w:r>
      <w:r w:rsidRPr="002D2950">
        <w:t>Docker</w:t>
      </w:r>
      <w:r>
        <w:rPr>
          <w:vertAlign w:val="superscript"/>
        </w:rPr>
        <w:footnoteReference w:id="9"/>
      </w:r>
      <w:r w:rsidRPr="002D2950">
        <w:t>).</w:t>
      </w:r>
    </w:p>
    <w:p w:rsidR="00781866" w:rsidRPr="002D2950" w:rsidP="00E40A97" w14:paraId="71C901BD" w14:textId="77777777">
      <w:pPr>
        <w:pStyle w:val="Heading3"/>
        <w:numPr>
          <w:ilvl w:val="2"/>
          <w:numId w:val="12"/>
        </w:numPr>
        <w:pBdr>
          <w:top w:val="nil"/>
          <w:left w:val="nil"/>
          <w:bottom w:val="nil"/>
          <w:right w:val="nil"/>
          <w:between w:val="nil"/>
        </w:pBdr>
        <w:spacing w:before="0" w:line="276" w:lineRule="auto"/>
        <w:jc w:val="both"/>
        <w:rPr>
          <w:color w:val="434343"/>
        </w:rPr>
      </w:pPr>
      <w:bookmarkStart w:id="105" w:name="_Toc496001876"/>
      <w:bookmarkStart w:id="106" w:name="_Toc497818672"/>
      <w:bookmarkStart w:id="107" w:name="_Toc497995205"/>
      <w:bookmarkStart w:id="108" w:name="_Toc498016963"/>
      <w:bookmarkStart w:id="109" w:name="_Toc498346608"/>
      <w:bookmarkStart w:id="110" w:name="_Toc505072498"/>
      <w:bookmarkStart w:id="111" w:name="_Toc256000015"/>
      <w:bookmarkStart w:id="112" w:name="_Toc256000061"/>
      <w:r w:rsidRPr="002D2950">
        <w:t>Mākoņdatošanas</w:t>
      </w:r>
      <w:r w:rsidRPr="002D2950">
        <w:t xml:space="preserve"> platformu līmeņa pakalpojumi (</w:t>
      </w:r>
      <w:r w:rsidRPr="002D2950">
        <w:t>PaaS</w:t>
      </w:r>
      <w:r w:rsidRPr="002D2950">
        <w:rPr>
          <w:color w:val="666666"/>
        </w:rPr>
        <w:t>)</w:t>
      </w:r>
      <w:bookmarkEnd w:id="112"/>
      <w:bookmarkEnd w:id="111"/>
      <w:bookmarkEnd w:id="105"/>
      <w:bookmarkEnd w:id="106"/>
      <w:bookmarkEnd w:id="107"/>
      <w:bookmarkEnd w:id="108"/>
      <w:bookmarkEnd w:id="109"/>
      <w:bookmarkEnd w:id="110"/>
    </w:p>
    <w:p w:rsidR="00781866" w:rsidRPr="002D2950" w:rsidP="00B03500" w14:paraId="4754B27C" w14:textId="0E95F1C9">
      <w:pPr>
        <w:spacing w:after="240"/>
        <w:ind w:firstLine="720"/>
        <w:jc w:val="both"/>
      </w:pPr>
      <w:r w:rsidRPr="002D2950">
        <w:t xml:space="preserve">Tiek </w:t>
      </w:r>
      <w:r w:rsidRPr="002D2950">
        <w:t>izmantota programmu</w:t>
      </w:r>
      <w:r w:rsidRPr="002D2950">
        <w:t xml:space="preserve"> un datu bāžu darbināšanai – izmantota gadījumos, kad ir jāveido jauni pakalpojumi, kuri nav pieejami kā gatavi pakalpojumi un ir iespēja vai </w:t>
      </w:r>
      <w:r w:rsidRPr="002D2950">
        <w:t xml:space="preserve">nepieciešamība izmantot gatavas iestrādes, lai paātrinātu izstrādi. Pakalpojuma lietotājam tiek nodrošināta iespēja izvietot </w:t>
      </w:r>
      <w:r w:rsidRPr="002D2950">
        <w:t>mākoņdat</w:t>
      </w:r>
      <w:r w:rsidRPr="002D2950" w:rsidR="00AD59F6">
        <w:t>ošanas</w:t>
      </w:r>
      <w:r w:rsidRPr="002D2950" w:rsidR="00AD59F6">
        <w:t xml:space="preserve"> infrastruktūrā lietotāja </w:t>
      </w:r>
      <w:r w:rsidRPr="002D2950">
        <w:t>veidotu vai iegūtu programmatūru, kas ir veidota</w:t>
      </w:r>
      <w:r w:rsidRPr="002D2950" w:rsidR="00AD59F6">
        <w:t>,</w:t>
      </w:r>
      <w:r w:rsidRPr="002D2950">
        <w:t xml:space="preserve"> izmantojot pakalpojuma sniedzēja atbalstītas programmēšanas valodas, bibliotēkas un rīkus. Pakalpojuma lietotājam nav kontroles pār </w:t>
      </w:r>
      <w:r w:rsidRPr="002D2950">
        <w:t>mākoņdatošanas</w:t>
      </w:r>
      <w:r w:rsidRPr="002D2950">
        <w:t xml:space="preserve"> infrastruktūru, tajā skaitā tīkla infrastruktūru, serveriem, operētājsistēmu vai datu glabātuvi. Pakalpojuma lietotājam ir kontrole pār izvietoto aplikāciju un aplikācijas izvietošanas vides konfigurācijas iestatījumiem. Pie platformas līmeņa pakalpojumiem pieskaitāmi arī tā dēvētie </w:t>
      </w:r>
      <w:r w:rsidRPr="002D2950">
        <w:t>bezserveru</w:t>
      </w:r>
      <w:r w:rsidRPr="002D2950">
        <w:t xml:space="preserve"> (</w:t>
      </w:r>
      <w:r w:rsidRPr="002D2950">
        <w:rPr>
          <w:i/>
        </w:rPr>
        <w:t>serverless</w:t>
      </w:r>
      <w:r w:rsidRPr="002D2950">
        <w:t>) MDP (piemēram, AWS Lambda</w:t>
      </w:r>
      <w:r>
        <w:rPr>
          <w:vertAlign w:val="superscript"/>
        </w:rPr>
        <w:footnoteReference w:id="10"/>
      </w:r>
      <w:r w:rsidRPr="002D2950">
        <w:t>).</w:t>
      </w:r>
    </w:p>
    <w:p w:rsidR="00781866" w:rsidRPr="002D2950" w:rsidP="00E40A97" w14:paraId="17501E95" w14:textId="78FA877A">
      <w:pPr>
        <w:pStyle w:val="Heading3"/>
        <w:numPr>
          <w:ilvl w:val="2"/>
          <w:numId w:val="12"/>
        </w:numPr>
        <w:pBdr>
          <w:top w:val="nil"/>
          <w:left w:val="nil"/>
          <w:bottom w:val="nil"/>
          <w:right w:val="nil"/>
          <w:between w:val="nil"/>
        </w:pBdr>
        <w:spacing w:before="0" w:line="276" w:lineRule="auto"/>
        <w:jc w:val="both"/>
        <w:rPr>
          <w:color w:val="434343"/>
        </w:rPr>
      </w:pPr>
      <w:bookmarkStart w:id="113" w:name="_Toc496001877"/>
      <w:bookmarkStart w:id="114" w:name="_Toc497818673"/>
      <w:bookmarkStart w:id="115" w:name="_Toc497995206"/>
      <w:bookmarkStart w:id="116" w:name="_Toc498016964"/>
      <w:bookmarkStart w:id="117" w:name="_Toc498346609"/>
      <w:bookmarkStart w:id="118" w:name="_Toc505072499"/>
      <w:bookmarkStart w:id="119" w:name="_Toc256000016"/>
      <w:bookmarkStart w:id="120" w:name="_Toc256000062"/>
      <w:r w:rsidRPr="002D2950">
        <w:t>Mākoņdatošanas</w:t>
      </w:r>
      <w:r w:rsidRPr="002D2950">
        <w:t xml:space="preserve"> programmatū</w:t>
      </w:r>
      <w:r w:rsidRPr="002D2950" w:rsidR="00AD59F6">
        <w:t xml:space="preserve">ras un </w:t>
      </w:r>
      <w:r w:rsidRPr="002D2950">
        <w:t>lietojumu līmeņa pakalpojumi (</w:t>
      </w:r>
      <w:r w:rsidRPr="002D2950">
        <w:t>SaaS</w:t>
      </w:r>
      <w:r w:rsidRPr="002D2950">
        <w:rPr>
          <w:color w:val="666666"/>
        </w:rPr>
        <w:t>)</w:t>
      </w:r>
      <w:bookmarkEnd w:id="120"/>
      <w:bookmarkEnd w:id="119"/>
      <w:bookmarkEnd w:id="113"/>
      <w:bookmarkEnd w:id="114"/>
      <w:bookmarkEnd w:id="115"/>
      <w:bookmarkEnd w:id="116"/>
      <w:bookmarkEnd w:id="117"/>
      <w:bookmarkEnd w:id="118"/>
    </w:p>
    <w:p w:rsidR="00781866" w:rsidRPr="002D2950" w:rsidP="00B03500" w14:paraId="77B2044E" w14:textId="340CA4B9">
      <w:pPr>
        <w:ind w:firstLine="720"/>
        <w:jc w:val="both"/>
      </w:pPr>
      <w:r w:rsidRPr="002D2950">
        <w:t xml:space="preserve">Apraksta gatavu pakalpojumu izmantošanu, kuru pats gala lietotājs pieprasa un darbina bez papildu administratoru un izstrādātāju iesaistes. Pakalpojuma lietotājam tiek nodrošināta iespēja lietot pakalpojuma sniedzēja aplikācijas, kas ir izvietotas uz </w:t>
      </w:r>
      <w:r w:rsidRPr="002D2950">
        <w:t>mākoņdatošanas</w:t>
      </w:r>
      <w:r w:rsidRPr="002D2950">
        <w:t xml:space="preserve"> resursiem. Aplikācijām tiek nodrošināta piekļuve</w:t>
      </w:r>
      <w:r w:rsidRPr="002D2950" w:rsidR="00AD59F6">
        <w:t>,</w:t>
      </w:r>
      <w:r w:rsidRPr="002D2950">
        <w:t xml:space="preserve"> izmantojot interneta pārlūku vai programmatūras saskarni. Pakalpojuma lietotājam nav kontroles pār </w:t>
      </w:r>
      <w:r w:rsidRPr="002D2950">
        <w:t>mākoņdatošanas</w:t>
      </w:r>
      <w:r w:rsidRPr="002D2950">
        <w:t xml:space="preserve"> infrastruktūru, tajā skaitā pār tīkla infrastruktūru, serveriem, operētājsistēmu, datu glabātuvi vai pat atsevišķām aplikācijas </w:t>
      </w:r>
      <w:r w:rsidRPr="002D2950">
        <w:t>funkcionalitātēm</w:t>
      </w:r>
      <w:r w:rsidRPr="002D2950">
        <w:t xml:space="preserve">, izņemot ierobežotus, lietotāja specifiskus konfigurācijas iestatījumus. </w:t>
      </w:r>
    </w:p>
    <w:p w:rsidR="00191383" w:rsidRPr="002D2950" w:rsidP="00065DE7" w14:paraId="0D867376" w14:textId="77777777">
      <w:pPr>
        <w:jc w:val="both"/>
      </w:pPr>
    </w:p>
    <w:p w:rsidR="00781866" w:rsidRPr="002D2950" w:rsidP="00B03500" w14:paraId="035C1DCC" w14:textId="1E4C6A97">
      <w:pPr>
        <w:ind w:firstLine="720"/>
        <w:jc w:val="both"/>
      </w:pPr>
      <w:r w:rsidRPr="002D2950">
        <w:t>Attēlā Nr.</w:t>
      </w:r>
      <w:r w:rsidRPr="002D2950">
        <w:t xml:space="preserve">2 ir </w:t>
      </w:r>
      <w:r w:rsidRPr="002D2950">
        <w:t>atspoguļots</w:t>
      </w:r>
      <w:r w:rsidRPr="002D2950">
        <w:t xml:space="preserve"> </w:t>
      </w:r>
      <w:r w:rsidRPr="002D2950">
        <w:t>MDP</w:t>
      </w:r>
      <w:r w:rsidRPr="002D2950">
        <w:t xml:space="preserve"> salīdzinājums pēc pakalpojuma komponenšu pārvaldības atbildības</w:t>
      </w:r>
      <w:r w:rsidR="00B4330C">
        <w:t>.</w:t>
      </w:r>
    </w:p>
    <w:p w:rsidR="00781866" w:rsidRPr="002D2950" w:rsidP="00781866" w14:paraId="7FEFDF84" w14:textId="77777777">
      <w:pPr>
        <w:keepNext/>
        <w:jc w:val="center"/>
      </w:pPr>
      <w:r w:rsidRPr="002D2950">
        <w:rPr>
          <w:noProof/>
        </w:rPr>
        <w:drawing>
          <wp:inline distT="0" distB="0" distL="0" distR="0">
            <wp:extent cx="5952958" cy="3609975"/>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14591" name="aaS salīdzinājums v2 (1).pn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970043" cy="3620336"/>
                    </a:xfrm>
                    <a:prstGeom prst="rect">
                      <a:avLst/>
                    </a:prstGeom>
                  </pic:spPr>
                </pic:pic>
              </a:graphicData>
            </a:graphic>
          </wp:inline>
        </w:drawing>
      </w:r>
    </w:p>
    <w:p w:rsidR="00781866" w:rsidRPr="002D2950" w:rsidP="00781866" w14:paraId="305EC4F0" w14:textId="508F318B">
      <w:pPr>
        <w:pStyle w:val="Caption"/>
        <w:spacing w:line="276" w:lineRule="auto"/>
        <w:jc w:val="center"/>
      </w:pPr>
      <w:r w:rsidRPr="002D2950">
        <w:t>Attēls Nr.</w:t>
      </w:r>
      <w:r>
        <w:fldChar w:fldCharType="begin"/>
      </w:r>
      <w:r>
        <w:instrText xml:space="preserve"> SEQ Attēls_Nr. \* ARABIC \s 1 </w:instrText>
      </w:r>
      <w:r>
        <w:fldChar w:fldCharType="separate"/>
      </w:r>
      <w:r>
        <w:t>2</w:t>
      </w:r>
      <w:r w:rsidR="00B2422F">
        <w:rPr>
          <w:noProof/>
        </w:rPr>
        <w:fldChar w:fldCharType="end"/>
      </w:r>
      <w:r w:rsidRPr="002D2950">
        <w:t xml:space="preserve"> </w:t>
      </w:r>
      <w:r w:rsidRPr="002D2950">
        <w:t>Mākoņdatošanas</w:t>
      </w:r>
      <w:r w:rsidRPr="002D2950">
        <w:t xml:space="preserve"> pakalpojumu pārvaldības salīdzinājums</w:t>
      </w:r>
    </w:p>
    <w:p w:rsidR="00781866" w:rsidRPr="002D2950" w:rsidP="00E40A97" w14:paraId="3EB5F9F0" w14:textId="77777777">
      <w:pPr>
        <w:pStyle w:val="Heading2"/>
        <w:numPr>
          <w:ilvl w:val="1"/>
          <w:numId w:val="12"/>
        </w:numPr>
        <w:pBdr>
          <w:top w:val="nil"/>
          <w:left w:val="nil"/>
          <w:bottom w:val="nil"/>
          <w:right w:val="nil"/>
          <w:between w:val="nil"/>
        </w:pBdr>
        <w:spacing w:before="0" w:after="160" w:line="276" w:lineRule="auto"/>
        <w:rPr>
          <w:sz w:val="24"/>
          <w:szCs w:val="24"/>
        </w:rPr>
      </w:pPr>
      <w:bookmarkStart w:id="121" w:name="_Toc496001878"/>
      <w:bookmarkStart w:id="122" w:name="_Toc497818674"/>
      <w:bookmarkStart w:id="123" w:name="_Toc497995207"/>
      <w:bookmarkStart w:id="124" w:name="_Toc498016965"/>
      <w:bookmarkStart w:id="125" w:name="_Toc498346610"/>
      <w:bookmarkStart w:id="126" w:name="_Toc505072500"/>
      <w:bookmarkStart w:id="127" w:name="_Toc256000017"/>
      <w:bookmarkStart w:id="128" w:name="_Toc256000063"/>
      <w:r w:rsidRPr="002D2950">
        <w:rPr>
          <w:sz w:val="24"/>
          <w:szCs w:val="24"/>
        </w:rPr>
        <w:t>Mākoņdatošanas</w:t>
      </w:r>
      <w:r w:rsidRPr="002D2950">
        <w:rPr>
          <w:sz w:val="24"/>
          <w:szCs w:val="24"/>
        </w:rPr>
        <w:t xml:space="preserve"> pakalpojumu piegādes modeļi</w:t>
      </w:r>
      <w:bookmarkEnd w:id="128"/>
      <w:bookmarkEnd w:id="127"/>
      <w:bookmarkEnd w:id="121"/>
      <w:bookmarkEnd w:id="122"/>
      <w:bookmarkEnd w:id="123"/>
      <w:bookmarkEnd w:id="124"/>
      <w:bookmarkEnd w:id="125"/>
      <w:bookmarkEnd w:id="126"/>
    </w:p>
    <w:p w:rsidR="00781866" w:rsidRPr="002D2950" w:rsidP="00B03500" w14:paraId="6642425A" w14:textId="797B649C">
      <w:pPr>
        <w:spacing w:after="240"/>
        <w:ind w:firstLine="720"/>
        <w:jc w:val="both"/>
      </w:pPr>
      <w:r w:rsidRPr="002D2950">
        <w:t xml:space="preserve">Atkarībā no </w:t>
      </w:r>
      <w:r w:rsidRPr="002D2950" w:rsidR="00191383">
        <w:t>MDP</w:t>
      </w:r>
      <w:r w:rsidRPr="002D2950">
        <w:t xml:space="preserve"> piegādes veida izšķir 4 </w:t>
      </w:r>
      <w:r w:rsidRPr="002D2950" w:rsidR="00191383">
        <w:t>MDP</w:t>
      </w:r>
      <w:r w:rsidRPr="002D2950">
        <w:t xml:space="preserve"> piegādes modeļus:</w:t>
      </w:r>
    </w:p>
    <w:p w:rsidR="00781866" w:rsidRPr="002D2950" w:rsidP="00E40A97" w14:paraId="16F8728E" w14:textId="40A374F9">
      <w:pPr>
        <w:numPr>
          <w:ilvl w:val="0"/>
          <w:numId w:val="39"/>
        </w:numPr>
        <w:pBdr>
          <w:top w:val="nil"/>
          <w:left w:val="nil"/>
          <w:bottom w:val="nil"/>
          <w:right w:val="nil"/>
          <w:between w:val="nil"/>
        </w:pBdr>
        <w:spacing w:after="400" w:line="276" w:lineRule="auto"/>
        <w:contextualSpacing/>
        <w:jc w:val="both"/>
      </w:pPr>
      <w:r w:rsidRPr="002D2950">
        <w:t>Privātie mākoņi (</w:t>
      </w:r>
      <w:r w:rsidRPr="002D2950">
        <w:rPr>
          <w:i/>
        </w:rPr>
        <w:t>private</w:t>
      </w:r>
      <w:r w:rsidRPr="002D2950">
        <w:rPr>
          <w:i/>
        </w:rPr>
        <w:t xml:space="preserve"> </w:t>
      </w:r>
      <w:r w:rsidRPr="002D2950">
        <w:rPr>
          <w:i/>
        </w:rPr>
        <w:t>cloud</w:t>
      </w:r>
      <w:r w:rsidRPr="002D2950">
        <w:t xml:space="preserve">) – </w:t>
      </w:r>
      <w:r w:rsidRPr="002D2950" w:rsidR="00191383">
        <w:t>MDP</w:t>
      </w:r>
      <w:r w:rsidRPr="002D2950">
        <w:t xml:space="preserve"> nodrošināšana ekskluzīvi vienai organizācijai, apkalpojot vairākas biznesa struktūras</w:t>
      </w:r>
      <w:r w:rsidR="006502E5">
        <w:t>;</w:t>
      </w:r>
    </w:p>
    <w:p w:rsidR="00781866" w:rsidRPr="002D2950" w:rsidP="00E40A97" w14:paraId="544F6EBA" w14:textId="1ABEF97E">
      <w:pPr>
        <w:numPr>
          <w:ilvl w:val="0"/>
          <w:numId w:val="39"/>
        </w:numPr>
        <w:pBdr>
          <w:top w:val="nil"/>
          <w:left w:val="nil"/>
          <w:bottom w:val="nil"/>
          <w:right w:val="nil"/>
          <w:between w:val="nil"/>
        </w:pBdr>
        <w:spacing w:after="400" w:line="276" w:lineRule="auto"/>
        <w:contextualSpacing/>
        <w:jc w:val="both"/>
      </w:pPr>
      <w:r w:rsidRPr="002D2950">
        <w:t>Kopmākoņi</w:t>
      </w:r>
      <w:r w:rsidRPr="002D2950">
        <w:t xml:space="preserve"> (</w:t>
      </w:r>
      <w:r w:rsidRPr="002D2950">
        <w:rPr>
          <w:i/>
        </w:rPr>
        <w:t>community</w:t>
      </w:r>
      <w:r w:rsidRPr="002D2950">
        <w:rPr>
          <w:i/>
        </w:rPr>
        <w:t xml:space="preserve"> </w:t>
      </w:r>
      <w:r w:rsidRPr="002D2950">
        <w:rPr>
          <w:i/>
        </w:rPr>
        <w:t>cloud</w:t>
      </w:r>
      <w:r w:rsidRPr="002D2950">
        <w:t xml:space="preserve">) – izolēta </w:t>
      </w:r>
      <w:r w:rsidRPr="002D2950" w:rsidR="00191383">
        <w:t xml:space="preserve">MDP </w:t>
      </w:r>
      <w:r w:rsidRPr="002D2950">
        <w:t>nodrošināšana saistītu organizāciju kopumam;</w:t>
      </w:r>
    </w:p>
    <w:p w:rsidR="00781866" w:rsidRPr="002D2950" w:rsidP="00E40A97" w14:paraId="0657B7CE" w14:textId="77777777">
      <w:pPr>
        <w:numPr>
          <w:ilvl w:val="0"/>
          <w:numId w:val="39"/>
        </w:numPr>
        <w:pBdr>
          <w:top w:val="nil"/>
          <w:left w:val="nil"/>
          <w:bottom w:val="nil"/>
          <w:right w:val="nil"/>
          <w:between w:val="nil"/>
        </w:pBdr>
        <w:spacing w:after="400" w:line="276" w:lineRule="auto"/>
        <w:contextualSpacing/>
        <w:jc w:val="both"/>
      </w:pPr>
      <w:r w:rsidRPr="002D2950">
        <w:t>Publiskie mākoņi (</w:t>
      </w:r>
      <w:r w:rsidRPr="002D2950">
        <w:rPr>
          <w:i/>
        </w:rPr>
        <w:t>public</w:t>
      </w:r>
      <w:r w:rsidRPr="002D2950">
        <w:rPr>
          <w:i/>
        </w:rPr>
        <w:t xml:space="preserve"> </w:t>
      </w:r>
      <w:r w:rsidRPr="002D2950">
        <w:rPr>
          <w:i/>
        </w:rPr>
        <w:t>cloud</w:t>
      </w:r>
      <w:r w:rsidRPr="002D2950">
        <w:t xml:space="preserve">) – atvērta (jebkurš var saņemt) un neierobežota (jebkurš var sniegt) </w:t>
      </w:r>
      <w:r w:rsidRPr="002D2950">
        <w:t>mākoņpakalpojumu</w:t>
      </w:r>
      <w:r w:rsidRPr="002D2950">
        <w:t xml:space="preserve"> nodrošināšana;</w:t>
      </w:r>
    </w:p>
    <w:p w:rsidR="00781866" w:rsidP="00E40A97" w14:paraId="6E331254" w14:textId="64181C8E">
      <w:pPr>
        <w:numPr>
          <w:ilvl w:val="0"/>
          <w:numId w:val="39"/>
        </w:numPr>
        <w:pBdr>
          <w:top w:val="nil"/>
          <w:left w:val="nil"/>
          <w:bottom w:val="nil"/>
          <w:right w:val="nil"/>
          <w:between w:val="nil"/>
        </w:pBdr>
        <w:spacing w:after="200" w:line="276" w:lineRule="auto"/>
        <w:jc w:val="both"/>
      </w:pPr>
      <w:r w:rsidRPr="002D2950">
        <w:t>Hibrīdmākoņi</w:t>
      </w:r>
      <w:r w:rsidRPr="002D2950">
        <w:t xml:space="preserve"> (</w:t>
      </w:r>
      <w:r w:rsidRPr="002D2950">
        <w:rPr>
          <w:i/>
        </w:rPr>
        <w:t>hybrid</w:t>
      </w:r>
      <w:r w:rsidRPr="002D2950">
        <w:rPr>
          <w:i/>
        </w:rPr>
        <w:t xml:space="preserve"> </w:t>
      </w:r>
      <w:r w:rsidRPr="002D2950">
        <w:rPr>
          <w:i/>
        </w:rPr>
        <w:t>cloud</w:t>
      </w:r>
      <w:r w:rsidRPr="002D2950">
        <w:t>) – jebkur</w:t>
      </w:r>
      <w:r w:rsidR="00B4330C">
        <w:t>a</w:t>
      </w:r>
      <w:r w:rsidRPr="002D2950">
        <w:t xml:space="preserve"> no </w:t>
      </w:r>
      <w:r w:rsidRPr="002D2950">
        <w:t>augstāk minēto</w:t>
      </w:r>
      <w:r w:rsidRPr="002D2950">
        <w:t xml:space="preserve"> modeļu kombinācijām.</w:t>
      </w:r>
    </w:p>
    <w:p w:rsidR="00D719F8" w:rsidP="00D719F8" w14:paraId="49ED342C" w14:textId="77777777">
      <w:pPr>
        <w:pBdr>
          <w:top w:val="nil"/>
          <w:left w:val="nil"/>
          <w:bottom w:val="nil"/>
          <w:right w:val="nil"/>
          <w:between w:val="nil"/>
        </w:pBdr>
        <w:spacing w:after="200" w:line="276" w:lineRule="auto"/>
        <w:jc w:val="both"/>
      </w:pPr>
    </w:p>
    <w:p w:rsidR="00781866" w:rsidRPr="002D2950" w:rsidP="00E40A97" w14:paraId="38531F12" w14:textId="4E627E16">
      <w:pPr>
        <w:pStyle w:val="Heading1"/>
        <w:keepLines/>
        <w:numPr>
          <w:ilvl w:val="0"/>
          <w:numId w:val="12"/>
        </w:numPr>
        <w:pBdr>
          <w:top w:val="nil"/>
          <w:left w:val="nil"/>
          <w:bottom w:val="nil"/>
          <w:right w:val="nil"/>
          <w:between w:val="nil"/>
        </w:pBdr>
        <w:spacing w:before="0" w:after="200" w:line="276" w:lineRule="auto"/>
        <w:contextualSpacing/>
      </w:pPr>
      <w:bookmarkStart w:id="129" w:name="_Toc496001879"/>
      <w:bookmarkStart w:id="130" w:name="_Toc497818675"/>
      <w:bookmarkStart w:id="131" w:name="_Toc497995208"/>
      <w:bookmarkStart w:id="132" w:name="_Ref498003044"/>
      <w:bookmarkStart w:id="133" w:name="_Ref498003059"/>
      <w:bookmarkStart w:id="134" w:name="_Toc498016966"/>
      <w:bookmarkStart w:id="135" w:name="_Ref498333211"/>
      <w:bookmarkStart w:id="136" w:name="_Toc498346611"/>
      <w:bookmarkStart w:id="137" w:name="_Toc505072501"/>
      <w:bookmarkStart w:id="138" w:name="_Toc256000018"/>
      <w:bookmarkStart w:id="139" w:name="_Toc256000064"/>
      <w:r w:rsidRPr="002D2950">
        <w:t>Informācijas klasifikācija</w:t>
      </w:r>
      <w:bookmarkEnd w:id="129"/>
      <w:bookmarkEnd w:id="130"/>
      <w:r w:rsidRPr="002D2950">
        <w:t>s veidi</w:t>
      </w:r>
      <w:bookmarkEnd w:id="139"/>
      <w:bookmarkEnd w:id="138"/>
      <w:bookmarkEnd w:id="131"/>
      <w:bookmarkEnd w:id="132"/>
      <w:bookmarkEnd w:id="133"/>
      <w:bookmarkEnd w:id="134"/>
      <w:bookmarkEnd w:id="135"/>
      <w:bookmarkEnd w:id="136"/>
      <w:bookmarkEnd w:id="137"/>
    </w:p>
    <w:p w:rsidR="00781866" w:rsidRPr="002D2950" w:rsidP="00B03500" w14:paraId="67DBC76F" w14:textId="3AC57D72">
      <w:pPr>
        <w:spacing w:after="240"/>
        <w:ind w:firstLine="720"/>
        <w:jc w:val="both"/>
      </w:pPr>
      <w:r w:rsidRPr="002D2950">
        <w:t>Informācijas klasifikācijai ir kritiski svarīga loma turpmākajā valsts MPD attīstībā. Tā ne tikai nosaka datu pieejamības un drošības prasības, bet arī noteiks to, cik lielā mērā valsts MDP sniegšanā tiks iesaistītas komercsabiedrības. Tāpēc</w:t>
      </w:r>
      <w:r w:rsidRPr="002D2950" w:rsidR="00191383">
        <w:t>,</w:t>
      </w:r>
      <w:r w:rsidRPr="002D2950">
        <w:t xml:space="preserve"> izstrādājot valsts informācijas klasifikāciju</w:t>
      </w:r>
      <w:r w:rsidRPr="002D2950">
        <w:t xml:space="preserve">  </w:t>
      </w:r>
      <w:r w:rsidRPr="002D2950">
        <w:t xml:space="preserve">gan </w:t>
      </w:r>
      <w:r w:rsidRPr="002D2950">
        <w:t>mākoņdatošanai</w:t>
      </w:r>
      <w:r w:rsidRPr="002D2950">
        <w:t>, gan citām iniciatīvām (piemēram atvērto datu paplašinātai lietošanai) jāņem vērā šādas klasifikācijas dimensijas:</w:t>
      </w:r>
    </w:p>
    <w:p w:rsidR="00781866" w:rsidRPr="002D2950" w:rsidP="00E40A97" w14:paraId="757EDB9E" w14:textId="4E978517">
      <w:pPr>
        <w:pStyle w:val="ListParagraph"/>
        <w:numPr>
          <w:ilvl w:val="0"/>
          <w:numId w:val="40"/>
        </w:numPr>
        <w:pBdr>
          <w:top w:val="nil"/>
          <w:left w:val="nil"/>
          <w:bottom w:val="nil"/>
          <w:right w:val="nil"/>
          <w:between w:val="nil"/>
        </w:pBdr>
        <w:spacing w:line="276" w:lineRule="auto"/>
        <w:contextualSpacing w:val="0"/>
        <w:jc w:val="both"/>
      </w:pPr>
      <w:r>
        <w:t xml:space="preserve">prasības informācijas apstrādes drošībai, </w:t>
      </w:r>
      <w:r>
        <w:t>t.i.</w:t>
      </w:r>
      <w:r>
        <w:t xml:space="preserve"> </w:t>
      </w:r>
      <w:r w:rsidRPr="002D2950">
        <w:t>konfidencialitāte</w:t>
      </w:r>
      <w:r>
        <w:t>i</w:t>
      </w:r>
      <w:r w:rsidRPr="002D2950">
        <w:t xml:space="preserve"> un integritāte</w:t>
      </w:r>
      <w:r>
        <w:t>i</w:t>
      </w:r>
      <w:r w:rsidRPr="002D2950">
        <w:t xml:space="preserve"> (piemēram: informācija</w:t>
      </w:r>
      <w:r w:rsidRPr="002D2950" w:rsidR="00BE1404">
        <w:t>,</w:t>
      </w:r>
      <w:r w:rsidRPr="002D2950">
        <w:t xml:space="preserve"> kur</w:t>
      </w:r>
      <w:r w:rsidRPr="002D2950" w:rsidR="00BE1404">
        <w:t>as apstrādi</w:t>
      </w:r>
      <w:r w:rsidRPr="002D2950">
        <w:t xml:space="preserve"> valsts nav gatava uzticēt ārpus tās tiešās kontroles esošiem datu centriem</w:t>
      </w:r>
      <w:r w:rsidRPr="002D2950" w:rsidR="00191383">
        <w:t>)</w:t>
      </w:r>
      <w:r w:rsidRPr="002D2950">
        <w:t>;</w:t>
      </w:r>
    </w:p>
    <w:p w:rsidR="00781866" w:rsidRPr="002D2950" w:rsidP="00E40A97" w14:paraId="1EBC24A0" w14:textId="7688B653">
      <w:pPr>
        <w:pStyle w:val="ListParagraph"/>
        <w:numPr>
          <w:ilvl w:val="0"/>
          <w:numId w:val="40"/>
        </w:numPr>
        <w:pBdr>
          <w:top w:val="nil"/>
          <w:left w:val="nil"/>
          <w:bottom w:val="nil"/>
          <w:right w:val="nil"/>
          <w:between w:val="nil"/>
        </w:pBdr>
        <w:spacing w:line="276" w:lineRule="auto"/>
        <w:contextualSpacing w:val="0"/>
        <w:jc w:val="both"/>
      </w:pPr>
      <w:r w:rsidRPr="002D2950">
        <w:t xml:space="preserve">informācijas </w:t>
      </w:r>
      <w:r w:rsidRPr="002D2950" w:rsidR="00BE1404">
        <w:t>sistēmu</w:t>
      </w:r>
      <w:r w:rsidRPr="002D2950">
        <w:t xml:space="preserve"> sadarbspējas</w:t>
      </w:r>
      <w:r w:rsidRPr="002D2950" w:rsidR="00191383">
        <w:t xml:space="preserve"> un </w:t>
      </w:r>
      <w:r w:rsidRPr="002D2950">
        <w:t>pieejamības prasības ierobežotā ģeogrāfiskā vai tīkla segmentā (piemēram: informācija</w:t>
      </w:r>
      <w:r w:rsidRPr="002D2950" w:rsidR="00BE1404">
        <w:t xml:space="preserve"> un IS</w:t>
      </w:r>
      <w:r w:rsidRPr="002D2950">
        <w:t>, kam ir jābūt pieejam</w:t>
      </w:r>
      <w:r w:rsidRPr="002D2950" w:rsidR="00BE1404">
        <w:t>ā</w:t>
      </w:r>
      <w:r w:rsidRPr="002D2950">
        <w:t>m tikai valsts teritorijā)</w:t>
      </w:r>
      <w:r w:rsidRPr="002D2950" w:rsidR="00191383">
        <w:t>;</w:t>
      </w:r>
    </w:p>
    <w:p w:rsidR="00781866" w:rsidRPr="002D2950" w:rsidP="00E40A97" w14:paraId="32D5DB14" w14:textId="77777777">
      <w:pPr>
        <w:pStyle w:val="ListParagraph"/>
        <w:numPr>
          <w:ilvl w:val="0"/>
          <w:numId w:val="40"/>
        </w:numPr>
        <w:pBdr>
          <w:top w:val="nil"/>
          <w:left w:val="nil"/>
          <w:bottom w:val="nil"/>
          <w:right w:val="nil"/>
          <w:between w:val="nil"/>
        </w:pBdr>
        <w:spacing w:line="276" w:lineRule="auto"/>
        <w:contextualSpacing w:val="0"/>
        <w:jc w:val="both"/>
      </w:pPr>
      <w:r w:rsidRPr="002D2950">
        <w:t>datu kvalitāte (precizitāte, atbilstība, pilnīgums, uzticamība, apstrādes iespējas, savlaicīgums);</w:t>
      </w:r>
    </w:p>
    <w:p w:rsidR="00781866" w:rsidRPr="002D2950" w:rsidP="00E40A97" w14:paraId="514256A5" w14:textId="75C79026">
      <w:pPr>
        <w:pStyle w:val="ListParagraph"/>
        <w:numPr>
          <w:ilvl w:val="0"/>
          <w:numId w:val="40"/>
        </w:numPr>
        <w:pBdr>
          <w:top w:val="nil"/>
          <w:left w:val="nil"/>
          <w:bottom w:val="nil"/>
          <w:right w:val="nil"/>
          <w:between w:val="nil"/>
        </w:pBdr>
        <w:spacing w:line="276" w:lineRule="auto"/>
        <w:contextualSpacing w:val="0"/>
        <w:jc w:val="both"/>
      </w:pPr>
      <w:r w:rsidRPr="002D2950">
        <w:t>informācijas uzglabāšanas prasības (piemēram: ilgtermiņa uzglabāšana arhīvā, ar retu nepi</w:t>
      </w:r>
      <w:r w:rsidRPr="002D2950" w:rsidR="00191383">
        <w:t>eciešamību piekļūt informācijai;</w:t>
      </w:r>
      <w:r w:rsidRPr="002D2950">
        <w:t xml:space="preserve"> informācija, kurai nav nepieciešama pieeja tiešsaistē);</w:t>
      </w:r>
    </w:p>
    <w:p w:rsidR="00781866" w:rsidRPr="002D2950" w:rsidP="00E40A97" w14:paraId="7902E39C" w14:textId="1B069280">
      <w:pPr>
        <w:pStyle w:val="ListParagraph"/>
        <w:numPr>
          <w:ilvl w:val="0"/>
          <w:numId w:val="40"/>
        </w:numPr>
        <w:pBdr>
          <w:top w:val="nil"/>
          <w:left w:val="nil"/>
          <w:bottom w:val="nil"/>
          <w:right w:val="nil"/>
          <w:between w:val="nil"/>
        </w:pBdr>
        <w:spacing w:line="276" w:lineRule="auto"/>
        <w:contextualSpacing w:val="0"/>
        <w:jc w:val="both"/>
      </w:pPr>
      <w:r w:rsidRPr="002D2950">
        <w:t>datu</w:t>
      </w:r>
      <w:r w:rsidRPr="002D2950" w:rsidR="00191383">
        <w:t xml:space="preserve"> pārvietošanas un </w:t>
      </w:r>
      <w:r w:rsidRPr="002D2950">
        <w:t xml:space="preserve">migrācijas prasības (cik pieļaujams ir </w:t>
      </w:r>
      <w:r w:rsidRPr="002D2950">
        <w:rPr>
          <w:i/>
          <w:iCs/>
        </w:rPr>
        <w:t>lock-in</w:t>
      </w:r>
      <w:r w:rsidRPr="002D2950">
        <w:t xml:space="preserve"> uz k</w:t>
      </w:r>
      <w:r w:rsidRPr="002D2950" w:rsidR="00191383">
        <w:t xml:space="preserve">onkrētu tehnoloģisko risinājumu un </w:t>
      </w:r>
      <w:r w:rsidRPr="002D2950">
        <w:t>MDP piegādātāju);</w:t>
      </w:r>
    </w:p>
    <w:p w:rsidR="00781866" w:rsidRPr="002D2950" w:rsidP="00E40A97" w14:paraId="7EE2D88C" w14:textId="20652A4B">
      <w:pPr>
        <w:pStyle w:val="ListParagraph"/>
        <w:numPr>
          <w:ilvl w:val="0"/>
          <w:numId w:val="40"/>
        </w:numPr>
        <w:pBdr>
          <w:top w:val="nil"/>
          <w:left w:val="nil"/>
          <w:bottom w:val="nil"/>
          <w:right w:val="nil"/>
          <w:between w:val="nil"/>
        </w:pBdr>
        <w:spacing w:line="276" w:lineRule="auto"/>
        <w:contextualSpacing w:val="0"/>
        <w:jc w:val="both"/>
      </w:pPr>
      <w:r w:rsidRPr="002D2950">
        <w:t>datu</w:t>
      </w:r>
      <w:r w:rsidRPr="002D2950" w:rsidR="00191383">
        <w:t xml:space="preserve"> rezervēšanas un </w:t>
      </w:r>
      <w:r w:rsidRPr="002D2950">
        <w:t>atjaunošanas iespēju prasības;</w:t>
      </w:r>
    </w:p>
    <w:p w:rsidR="00781866" w:rsidRPr="002D2950" w:rsidP="00E40A97" w14:paraId="5F9A5CE2" w14:textId="3539DAEA">
      <w:pPr>
        <w:pStyle w:val="ListParagraph"/>
        <w:numPr>
          <w:ilvl w:val="0"/>
          <w:numId w:val="40"/>
        </w:numPr>
        <w:pBdr>
          <w:top w:val="nil"/>
          <w:left w:val="nil"/>
          <w:bottom w:val="nil"/>
          <w:right w:val="nil"/>
          <w:between w:val="nil"/>
        </w:pBdr>
        <w:spacing w:line="276" w:lineRule="auto"/>
        <w:contextualSpacing w:val="0"/>
        <w:jc w:val="both"/>
      </w:pPr>
      <w:r w:rsidRPr="002D2950">
        <w:t>datu mainīgums (galvenie dati, saistītie dati, transakciju dati, audita dati, apstrādātie dati)</w:t>
      </w:r>
      <w:r w:rsidRPr="002D2950" w:rsidR="00191383">
        <w:t>;</w:t>
      </w:r>
    </w:p>
    <w:p w:rsidR="00781866" w:rsidRPr="0090044B" w:rsidP="00E40A97" w14:paraId="3FEA24D7" w14:textId="059CAA8F">
      <w:pPr>
        <w:pStyle w:val="ListParagraph"/>
        <w:numPr>
          <w:ilvl w:val="0"/>
          <w:numId w:val="40"/>
        </w:numPr>
        <w:pBdr>
          <w:top w:val="nil"/>
          <w:left w:val="nil"/>
          <w:bottom w:val="nil"/>
          <w:right w:val="nil"/>
          <w:between w:val="nil"/>
        </w:pBdr>
        <w:spacing w:line="276" w:lineRule="auto"/>
        <w:contextualSpacing w:val="0"/>
        <w:jc w:val="both"/>
      </w:pPr>
      <w:r w:rsidRPr="005741FC">
        <w:t>gatavība “a</w:t>
      </w:r>
      <w:r w:rsidRPr="005741FC">
        <w:t>tvērtajiem datiem” (piemēram: dati uz papīr</w:t>
      </w:r>
      <w:r w:rsidRPr="0090044B">
        <w:t>a; dati, kam nepieciešama apstrāde, lai tie kļūtu atvērti; dati ir mašīnlasāmi un piemēroti paplašinātai lietošanai);</w:t>
      </w:r>
    </w:p>
    <w:p w:rsidR="00781866" w:rsidRPr="002D2950" w:rsidP="00E40A97" w14:paraId="149424AC" w14:textId="54C8E8AC">
      <w:pPr>
        <w:pStyle w:val="ListParagraph"/>
        <w:numPr>
          <w:ilvl w:val="0"/>
          <w:numId w:val="40"/>
        </w:numPr>
        <w:pBdr>
          <w:top w:val="nil"/>
          <w:left w:val="nil"/>
          <w:bottom w:val="nil"/>
          <w:right w:val="nil"/>
          <w:between w:val="nil"/>
        </w:pBdr>
        <w:spacing w:line="276" w:lineRule="auto"/>
        <w:contextualSpacing w:val="0"/>
        <w:jc w:val="both"/>
        <w:rPr>
          <w:b/>
        </w:rPr>
      </w:pPr>
      <w:r w:rsidRPr="0090044B">
        <w:t xml:space="preserve">specifiskās normatīvo aktu prasības, kas attiecināmas uz iespēju </w:t>
      </w:r>
      <w:r w:rsidRPr="0090044B" w:rsidR="00BE1404">
        <w:t>nodot specifisku informācij</w:t>
      </w:r>
      <w:r w:rsidRPr="002D2950" w:rsidR="00BE1404">
        <w:t xml:space="preserve">u </w:t>
      </w:r>
      <w:r w:rsidRPr="002D2950">
        <w:t>trešajām pusēm (piemēram: fizisko personu dati atbilstoši</w:t>
      </w:r>
      <w:r w:rsidRPr="002D2950">
        <w:rPr>
          <w:b/>
        </w:rPr>
        <w:t xml:space="preserve"> </w:t>
      </w:r>
      <w:r w:rsidRPr="002D2950" w:rsidR="00315ABE">
        <w:rPr>
          <w:rStyle w:val="Strong"/>
          <w:b w:val="0"/>
        </w:rPr>
        <w:t xml:space="preserve">Eiropas Parlamenta un Padomes </w:t>
      </w:r>
      <w:r w:rsidRPr="002D2950" w:rsidR="0052670B">
        <w:rPr>
          <w:rStyle w:val="Strong"/>
          <w:b w:val="0"/>
        </w:rPr>
        <w:t>2016. gada 27. aprī</w:t>
      </w:r>
      <w:r w:rsidR="0052670B">
        <w:rPr>
          <w:rStyle w:val="Strong"/>
          <w:b w:val="0"/>
        </w:rPr>
        <w:t>ļa</w:t>
      </w:r>
      <w:r w:rsidRPr="002D2950" w:rsidR="0052670B">
        <w:rPr>
          <w:rStyle w:val="Strong"/>
          <w:b w:val="0"/>
        </w:rPr>
        <w:t xml:space="preserve"> </w:t>
      </w:r>
      <w:r w:rsidRPr="002D2950" w:rsidR="00315ABE">
        <w:rPr>
          <w:rStyle w:val="Strong"/>
          <w:b w:val="0"/>
        </w:rPr>
        <w:t xml:space="preserve">Regulai (ES) 2016/679 () par fizisku </w:t>
      </w:r>
      <w:r w:rsidRPr="002D2950" w:rsidR="00315ABE">
        <w:rPr>
          <w:rStyle w:val="Strong"/>
          <w:b w:val="0"/>
        </w:rPr>
        <w:t>personu aizsardzību attiecībā uz personas datu apstrādi un šādu datu brīvu apriti un ar ko atceļ Direktīvu 95/46/EK (Vispārīgā datu aizsardzības regula)</w:t>
      </w:r>
      <w:r w:rsidRPr="002D2950" w:rsidR="00315ABE">
        <w:t>)</w:t>
      </w:r>
      <w:r w:rsidRPr="002D2950" w:rsidR="003941C1">
        <w:t xml:space="preserve"> (turpmāk – VDAR)</w:t>
      </w:r>
      <w:r w:rsidRPr="002D2950" w:rsidR="00315ABE">
        <w:rPr>
          <w:b/>
        </w:rPr>
        <w:t>.</w:t>
      </w:r>
    </w:p>
    <w:p w:rsidR="00781866" w:rsidRPr="002D2950" w:rsidP="00065DE7" w14:paraId="124FA8CA" w14:textId="77777777">
      <w:pPr>
        <w:pStyle w:val="ListParagraph"/>
        <w:contextualSpacing w:val="0"/>
        <w:jc w:val="both"/>
      </w:pPr>
    </w:p>
    <w:p w:rsidR="00781866" w:rsidRPr="002D2950" w:rsidP="00065DE7" w14:paraId="150AF9BE" w14:textId="22B30268">
      <w:pPr>
        <w:jc w:val="both"/>
      </w:pPr>
      <w:r w:rsidRPr="002D2950">
        <w:t>Būtiskākās dimensijas informācijas izvietošanas</w:t>
      </w:r>
      <w:r w:rsidRPr="002D2950" w:rsidR="00BE1404">
        <w:t xml:space="preserve"> un apstrādes jomā MDP</w:t>
      </w:r>
      <w:r w:rsidRPr="002D2950">
        <w:t xml:space="preserve"> kontekstā ir:</w:t>
      </w:r>
    </w:p>
    <w:p w:rsidR="00781866" w:rsidRPr="002D2950" w:rsidP="00E40A97" w14:paraId="611BB5E1" w14:textId="7374C38B">
      <w:pPr>
        <w:pStyle w:val="ListParagraph"/>
        <w:numPr>
          <w:ilvl w:val="0"/>
          <w:numId w:val="41"/>
        </w:numPr>
        <w:pBdr>
          <w:top w:val="nil"/>
          <w:left w:val="nil"/>
          <w:bottom w:val="nil"/>
          <w:right w:val="nil"/>
          <w:between w:val="nil"/>
        </w:pBdr>
        <w:spacing w:line="276" w:lineRule="auto"/>
        <w:contextualSpacing w:val="0"/>
        <w:jc w:val="both"/>
      </w:pPr>
      <w:r w:rsidRPr="002D2950">
        <w:t>konfidencialitāte un integritāte</w:t>
      </w:r>
      <w:r w:rsidR="005035D6">
        <w:t>;</w:t>
      </w:r>
    </w:p>
    <w:p w:rsidR="00781866" w:rsidRPr="002D2950" w:rsidP="00E40A97" w14:paraId="7F1D59FE" w14:textId="05C91C93">
      <w:pPr>
        <w:pStyle w:val="ListParagraph"/>
        <w:numPr>
          <w:ilvl w:val="0"/>
          <w:numId w:val="41"/>
        </w:numPr>
        <w:pBdr>
          <w:top w:val="nil"/>
          <w:left w:val="nil"/>
          <w:bottom w:val="nil"/>
          <w:right w:val="nil"/>
          <w:between w:val="nil"/>
        </w:pBdr>
        <w:spacing w:line="276" w:lineRule="auto"/>
        <w:contextualSpacing w:val="0"/>
        <w:jc w:val="both"/>
      </w:pPr>
      <w:r w:rsidRPr="002D2950">
        <w:t>sadarbspēja un pieejamība</w:t>
      </w:r>
      <w:r w:rsidR="005035D6">
        <w:t>.</w:t>
      </w:r>
    </w:p>
    <w:p w:rsidR="00781866" w:rsidRPr="002D2950" w:rsidP="00065DE7" w14:paraId="24125CA3" w14:textId="77777777">
      <w:pPr>
        <w:ind w:left="360"/>
        <w:jc w:val="both"/>
      </w:pPr>
    </w:p>
    <w:p w:rsidR="00781866" w:rsidRPr="002D2950" w:rsidP="00E40A97" w14:paraId="6F789A53"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140" w:name="_Toc496001880"/>
      <w:bookmarkStart w:id="141" w:name="_Toc497818676"/>
      <w:bookmarkStart w:id="142" w:name="_Toc497995209"/>
      <w:bookmarkStart w:id="143" w:name="_Toc498016967"/>
      <w:bookmarkStart w:id="144" w:name="_Toc498346612"/>
      <w:bookmarkStart w:id="145" w:name="_Toc505072502"/>
      <w:bookmarkStart w:id="146" w:name="_Toc256000019"/>
      <w:bookmarkStart w:id="147" w:name="_Toc256000065"/>
      <w:r w:rsidRPr="002D2950">
        <w:rPr>
          <w:sz w:val="24"/>
          <w:szCs w:val="24"/>
        </w:rPr>
        <w:t>Informācijas konfidencialitātes un integritātes dimensija</w:t>
      </w:r>
      <w:bookmarkEnd w:id="147"/>
      <w:bookmarkEnd w:id="146"/>
      <w:bookmarkEnd w:id="140"/>
      <w:bookmarkEnd w:id="141"/>
      <w:bookmarkEnd w:id="142"/>
      <w:bookmarkEnd w:id="143"/>
      <w:bookmarkEnd w:id="144"/>
      <w:bookmarkEnd w:id="145"/>
    </w:p>
    <w:p w:rsidR="00781866" w:rsidRPr="002D2950" w:rsidP="00B03500" w14:paraId="00C55C71" w14:textId="17A5E586">
      <w:pPr>
        <w:spacing w:after="240"/>
        <w:ind w:firstLine="720"/>
        <w:jc w:val="both"/>
      </w:pPr>
      <w:r w:rsidRPr="002D2950">
        <w:t>Atkarībā no informācijas konfidencialitātes un i</w:t>
      </w:r>
      <w:r w:rsidRPr="002D2950" w:rsidR="006E0931">
        <w:t>ntegritātes dimensijas, šobrīd v</w:t>
      </w:r>
      <w:r w:rsidRPr="002D2950">
        <w:t>alsts pārvaldes rīcībā esošo informāciju ir iespējams iedalīt šādās informācijas kopās</w:t>
      </w:r>
      <w:r w:rsidRPr="002D2950" w:rsidR="000965A8">
        <w:t xml:space="preserve"> </w:t>
      </w:r>
      <w:r w:rsidRPr="002D2950" w:rsidR="000965A8">
        <w:t>(</w:t>
      </w:r>
      <w:r w:rsidRPr="002D2950" w:rsidR="000965A8">
        <w:t>skat. Attēls nr. 3)</w:t>
      </w:r>
      <w:r w:rsidRPr="002D2950">
        <w:t>.</w:t>
      </w:r>
    </w:p>
    <w:p w:rsidR="00781866" w:rsidRPr="002D2950" w:rsidP="00781866" w14:paraId="4B9647F6" w14:textId="77777777">
      <w:pPr>
        <w:keepNext/>
        <w:jc w:val="center"/>
      </w:pPr>
      <w:r w:rsidRPr="002D2950">
        <w:rPr>
          <w:noProof/>
        </w:rPr>
        <w:drawing>
          <wp:inline distT="114300" distB="114300" distL="114300" distR="114300">
            <wp:extent cx="5943600" cy="177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750352325" name="image3.png"/>
                    <pic:cNvPicPr/>
                  </pic:nvPicPr>
                  <pic:blipFill>
                    <a:blip xmlns:r="http://schemas.openxmlformats.org/officeDocument/2006/relationships" r:embed="rId8"/>
                    <a:stretch>
                      <a:fillRect/>
                    </a:stretch>
                  </pic:blipFill>
                  <pic:spPr>
                    <a:xfrm>
                      <a:off x="0" y="0"/>
                      <a:ext cx="5943600" cy="1778000"/>
                    </a:xfrm>
                    <a:prstGeom prst="rect">
                      <a:avLst/>
                    </a:prstGeom>
                  </pic:spPr>
                </pic:pic>
              </a:graphicData>
            </a:graphic>
          </wp:inline>
        </w:drawing>
      </w:r>
    </w:p>
    <w:p w:rsidR="00781866" w:rsidRPr="002D2950" w:rsidP="00781866" w14:paraId="5F538ADC" w14:textId="02C78A1D">
      <w:pPr>
        <w:pStyle w:val="Caption"/>
        <w:spacing w:line="276" w:lineRule="auto"/>
        <w:jc w:val="center"/>
      </w:pPr>
      <w:r w:rsidRPr="002D2950">
        <w:t xml:space="preserve">Attēls Nr. </w:t>
      </w:r>
      <w:r w:rsidRPr="002D2950" w:rsidR="006E0931">
        <w:t>3</w:t>
      </w:r>
      <w:r w:rsidRPr="002D2950">
        <w:t xml:space="preserve"> Datu kopu sadalījums atkarībā no normatīvajos dokumentos definētajām prasībām par to konfidencialitāti un integritāti</w:t>
      </w:r>
    </w:p>
    <w:p w:rsidR="00781866" w:rsidRPr="00AA0778" w:rsidP="00AA0778" w14:paraId="2302FE07" w14:textId="52FA5C4B">
      <w:pPr>
        <w:numPr>
          <w:ilvl w:val="0"/>
          <w:numId w:val="42"/>
        </w:numPr>
        <w:pBdr>
          <w:top w:val="nil"/>
          <w:left w:val="nil"/>
          <w:bottom w:val="nil"/>
          <w:right w:val="nil"/>
          <w:between w:val="nil"/>
        </w:pBdr>
        <w:spacing w:before="200" w:line="276" w:lineRule="auto"/>
        <w:ind w:left="714" w:hanging="357"/>
        <w:jc w:val="both"/>
        <w:rPr>
          <w:b/>
        </w:rPr>
      </w:pPr>
      <w:r w:rsidRPr="00AA0778">
        <w:rPr>
          <w:b/>
        </w:rPr>
        <w:t xml:space="preserve">Vispārpieejama informācija </w:t>
      </w:r>
      <w:r w:rsidRPr="00AA0778" w:rsidR="00B2329C">
        <w:rPr>
          <w:b/>
        </w:rPr>
        <w:t>un a</w:t>
      </w:r>
      <w:r w:rsidRPr="00AA0778">
        <w:rPr>
          <w:b/>
        </w:rPr>
        <w:t>tvērtie dati:</w:t>
      </w:r>
    </w:p>
    <w:p w:rsidR="00781866" w:rsidRPr="002D2950" w:rsidP="00065DE7" w14:paraId="44D81FCB" w14:textId="22A28BE1">
      <w:pPr>
        <w:spacing w:before="200"/>
        <w:ind w:left="720"/>
        <w:jc w:val="both"/>
      </w:pPr>
      <w:r w:rsidRPr="002D2950">
        <w:t>Šajā kategorijā ietilpst dati, kas ir brīvi pieejami atkārtotai izmantošanai. Šai datu kopai var būt specifiski ierobežojumi izvietošanai pie MDP sniedzējiem ar specifiskām kvalifikācijas prasībām gadījumo</w:t>
      </w:r>
      <w:r w:rsidRPr="002D2950" w:rsidR="00B2329C">
        <w:t xml:space="preserve">s, kad dati tiek arī apstrādāti un </w:t>
      </w:r>
      <w:r w:rsidRPr="002D2950">
        <w:t>sagatavoti tajā pašā pakalpojumā, kas nodrošina to brīvu pieejamību un plaša šī pakalpojuma pieejamība var novest pie privātuma zuduma (piemēram: datu rekonstrukcijas iespējas) vai citiem konfidencialitātes</w:t>
      </w:r>
      <w:r w:rsidRPr="002D2950" w:rsidR="00B2329C">
        <w:t xml:space="preserve"> un </w:t>
      </w:r>
      <w:r w:rsidRPr="002D2950">
        <w:t>integritātes riskiem.</w:t>
      </w:r>
    </w:p>
    <w:p w:rsidR="00781866" w:rsidRPr="002D2950" w:rsidP="00065DE7" w14:paraId="32489300" w14:textId="52EAE798">
      <w:pPr>
        <w:spacing w:before="200"/>
        <w:ind w:left="720"/>
        <w:jc w:val="both"/>
      </w:pPr>
      <w:r w:rsidRPr="002D2950">
        <w:t>ES mērķis ir panākt, ka dati, kas nav sensitīvi no konkrētas valsts viedokļa vai nav specifiski aizsargāti ar citiem regulējumiem (piemēram</w:t>
      </w:r>
      <w:r w:rsidRPr="002D2950" w:rsidR="00B2329C">
        <w:t>,</w:t>
      </w:r>
      <w:r w:rsidRPr="002D2950">
        <w:t xml:space="preserve"> fizisko personu dati)</w:t>
      </w:r>
      <w:r w:rsidRPr="002D2950" w:rsidR="00155B88">
        <w:t>,</w:t>
      </w:r>
      <w:r w:rsidRPr="002D2950">
        <w:t xml:space="preserve"> var brīvi pārvietoties ES ietvaros</w:t>
      </w:r>
      <w:r>
        <w:rPr>
          <w:vertAlign w:val="superscript"/>
        </w:rPr>
        <w:footnoteReference w:id="11"/>
      </w:r>
      <w:r w:rsidRPr="002D2950">
        <w:t>.</w:t>
      </w:r>
    </w:p>
    <w:p w:rsidR="00781866" w:rsidRPr="002D2950" w:rsidP="000965A8" w14:paraId="253C4231" w14:textId="59A1B239">
      <w:pPr>
        <w:pBdr>
          <w:top w:val="nil"/>
          <w:left w:val="nil"/>
          <w:bottom w:val="nil"/>
          <w:right w:val="nil"/>
          <w:between w:val="nil"/>
        </w:pBdr>
        <w:spacing w:before="200" w:after="240" w:line="276" w:lineRule="auto"/>
        <w:ind w:left="720"/>
        <w:jc w:val="both"/>
      </w:pPr>
      <w:r w:rsidRPr="002D2950">
        <w:t xml:space="preserve">Latvijas kontekstā šī informācija saistās ar informācijas atklātības likumā noteikto atvērto datu definīciju un </w:t>
      </w:r>
      <w:r w:rsidRPr="002D2950" w:rsidR="00B558D5">
        <w:t xml:space="preserve">Eiropas Parlamenta un padomes </w:t>
      </w:r>
      <w:r w:rsidRPr="002D2950" w:rsidR="006A5D08">
        <w:t>2003. gada 17. novembr</w:t>
      </w:r>
      <w:r w:rsidR="006A5D08">
        <w:t>a</w:t>
      </w:r>
      <w:r w:rsidR="00F56599">
        <w:t xml:space="preserve"> </w:t>
      </w:r>
      <w:r w:rsidRPr="002D2950" w:rsidR="00B558D5">
        <w:t>Direktīva 2003/98/EK</w:t>
      </w:r>
      <w:r w:rsidRPr="002D2950" w:rsidR="00B558D5">
        <w:t xml:space="preserve"> )</w:t>
      </w:r>
      <w:r w:rsidRPr="002D2950" w:rsidR="00B558D5">
        <w:t xml:space="preserve"> par valsts sektora informācijas </w:t>
      </w:r>
      <w:r w:rsidRPr="002D2950" w:rsidR="00B558D5">
        <w:t>atkalizmantošanu</w:t>
      </w:r>
      <w:r>
        <w:rPr>
          <w:vertAlign w:val="superscript"/>
        </w:rPr>
        <w:footnoteReference w:id="12"/>
      </w:r>
      <w:r w:rsidRPr="002D2950" w:rsidR="00B558D5">
        <w:t xml:space="preserve"> </w:t>
      </w:r>
      <w:r w:rsidRPr="002D2950">
        <w:t xml:space="preserve">ieviešanu. </w:t>
      </w:r>
    </w:p>
    <w:p w:rsidR="00781866" w:rsidRPr="00AA0778" w:rsidP="00CE1F4B" w14:paraId="13C40774" w14:textId="77777777">
      <w:pPr>
        <w:numPr>
          <w:ilvl w:val="0"/>
          <w:numId w:val="42"/>
        </w:numPr>
        <w:pBdr>
          <w:top w:val="nil"/>
          <w:left w:val="nil"/>
          <w:bottom w:val="nil"/>
          <w:right w:val="nil"/>
          <w:between w:val="nil"/>
        </w:pBdr>
        <w:spacing w:before="200" w:line="276" w:lineRule="auto"/>
        <w:ind w:left="714" w:hanging="357"/>
        <w:jc w:val="both"/>
        <w:rPr>
          <w:b/>
        </w:rPr>
      </w:pPr>
      <w:r w:rsidRPr="00AA0778">
        <w:rPr>
          <w:b/>
        </w:rPr>
        <w:t>Fizisko personu dati:</w:t>
      </w:r>
    </w:p>
    <w:p w:rsidR="00781866" w:rsidRPr="002D2950" w:rsidP="00AA0778" w14:paraId="625EA2B6" w14:textId="179CD0F3">
      <w:pPr>
        <w:spacing w:before="120" w:after="200"/>
        <w:ind w:left="720"/>
        <w:jc w:val="both"/>
      </w:pPr>
      <w:r w:rsidRPr="00CE1F4B">
        <w:t>Šajā kategorijā ietilpst jebkura informācija, kas attiecas uz identificētu vai tieši, vai netieši identificējamu fizisku personu. Šādas informācijas apstrādi ES ietvaros regulē VDAR regula. Šī informācija ir izvietojama MDP ar nosacījumu, ka MDP sniedzējs nodrošina atbilstošu informācijas aizsardzību. Pirms informācijas izvietošanas MDP attiecīgās informācijas pārzinis izvērtē iespējamās informācijas izviet</w:t>
      </w:r>
      <w:r w:rsidR="00F56599">
        <w:t xml:space="preserve">ošanas ietekmi uz datu subjektu un nepieciešamības gadījumā izvirza papildus prasības (vai pārbauda atbilstību prasībām) MDP sniedzējam. Tādējādi MDP izmantošana var ietekmēt </w:t>
      </w:r>
      <w:r w:rsidRPr="00F56599" w:rsidR="00F56599">
        <w:t>personas datu apstrādes pārziņ</w:t>
      </w:r>
      <w:r w:rsidR="00F56599">
        <w:t xml:space="preserve">u darba saturu.   </w:t>
      </w:r>
    </w:p>
    <w:p w:rsidR="00781866" w:rsidRPr="00CE1F4B" w:rsidP="00AA0778" w14:paraId="63951B73" w14:textId="77777777">
      <w:pPr>
        <w:numPr>
          <w:ilvl w:val="0"/>
          <w:numId w:val="42"/>
        </w:numPr>
        <w:pBdr>
          <w:top w:val="nil"/>
          <w:left w:val="nil"/>
          <w:bottom w:val="nil"/>
          <w:right w:val="nil"/>
          <w:between w:val="nil"/>
        </w:pBdr>
        <w:spacing w:before="200" w:line="276" w:lineRule="auto"/>
        <w:ind w:left="714" w:hanging="357"/>
        <w:jc w:val="both"/>
        <w:rPr>
          <w:b/>
        </w:rPr>
      </w:pPr>
      <w:r w:rsidRPr="00CE1F4B">
        <w:rPr>
          <w:b/>
        </w:rPr>
        <w:t>Komercnoslēpums un iestāžu iekšējai lietošanai paredzēti dati (Informācijas atklātības likuma interpretācija):</w:t>
      </w:r>
    </w:p>
    <w:p w:rsidR="00781866" w:rsidRPr="002D2950" w:rsidP="00AA0778" w14:paraId="6A4AE3DD" w14:textId="77777777">
      <w:pPr>
        <w:spacing w:before="120" w:after="200"/>
        <w:ind w:left="720"/>
        <w:jc w:val="both"/>
      </w:pPr>
      <w:r w:rsidRPr="002D2950">
        <w:t>Šī informācija ir izvietojama MDP, ar nosacījumu, ka MDP sniedzējs nodrošina atbilstošu informācijas aizsardzību.</w:t>
      </w:r>
    </w:p>
    <w:p w:rsidR="00781866" w:rsidRPr="00CE1F4B" w:rsidP="00CE1F4B" w14:paraId="5614945D" w14:textId="77777777">
      <w:pPr>
        <w:numPr>
          <w:ilvl w:val="0"/>
          <w:numId w:val="42"/>
        </w:numPr>
        <w:pBdr>
          <w:top w:val="nil"/>
          <w:left w:val="nil"/>
          <w:bottom w:val="nil"/>
          <w:right w:val="nil"/>
          <w:between w:val="nil"/>
        </w:pBdr>
        <w:spacing w:before="200" w:line="276" w:lineRule="auto"/>
        <w:ind w:left="714" w:hanging="357"/>
        <w:jc w:val="both"/>
        <w:rPr>
          <w:b/>
        </w:rPr>
      </w:pPr>
      <w:r w:rsidRPr="00CE1F4B">
        <w:rPr>
          <w:b/>
        </w:rPr>
        <w:t>Speciālie gadījumi:</w:t>
      </w:r>
    </w:p>
    <w:p w:rsidR="00781866" w:rsidRPr="002D2950" w:rsidP="00AA0778" w14:paraId="6E8C9005" w14:textId="22C7637F">
      <w:pPr>
        <w:spacing w:before="120" w:after="200"/>
        <w:ind w:left="720"/>
        <w:jc w:val="both"/>
      </w:pPr>
      <w:r w:rsidRPr="002D2950">
        <w:t>Šajā datu kopā ietilpst dati, kurus skaidri identificējamu apsvērumu dēļ (piemēram: valsts funkcijām kritiskas sistēmas, drošības iestāžu prasības, starptautiski sadarbības līgumi un konvencijas</w:t>
      </w:r>
      <w:r w:rsidRPr="002D2950">
        <w:t xml:space="preserve"> kā arī</w:t>
      </w:r>
      <w:r w:rsidRPr="002D2950">
        <w:t xml:space="preserve"> citas prasības) var izvietot tikai valsts tiešā veidā kontrolētā vidē vai arī citādi izolētās vidēs.</w:t>
      </w:r>
      <w:r w:rsidR="001C378E">
        <w:t xml:space="preserve"> Par speciāliem ir uzskatāmi arī gadījumi, </w:t>
      </w:r>
      <w:r w:rsidRPr="001C378E" w:rsidR="001C378E">
        <w:t>kad datu apstrādi nosaka starptautiskie līgumi vai starptautiskās institūcijas, piemēram, Eiropas Komisija, atbilstoši kuru prasībām ir jāsertificē datu centri un to apkalpojošais personāls, kā arī jāveic papildus drošības procedūras.</w:t>
      </w:r>
    </w:p>
    <w:p w:rsidR="00781866" w:rsidRPr="00CE1F4B" w:rsidP="00E40A97" w14:paraId="217E00A9" w14:textId="77777777">
      <w:pPr>
        <w:numPr>
          <w:ilvl w:val="0"/>
          <w:numId w:val="42"/>
        </w:numPr>
        <w:pBdr>
          <w:top w:val="nil"/>
          <w:left w:val="nil"/>
          <w:bottom w:val="nil"/>
          <w:right w:val="nil"/>
          <w:between w:val="nil"/>
        </w:pBdr>
        <w:spacing w:before="200" w:line="276" w:lineRule="auto"/>
        <w:jc w:val="both"/>
        <w:rPr>
          <w:b/>
        </w:rPr>
      </w:pPr>
      <w:r w:rsidRPr="00CE1F4B">
        <w:rPr>
          <w:b/>
        </w:rPr>
        <w:t>Dienesta vajadzībām izmantojamie dati:</w:t>
      </w:r>
    </w:p>
    <w:p w:rsidR="00781866" w:rsidRPr="002D2950" w:rsidP="00AA0778" w14:paraId="79EC1C26" w14:textId="482E1FB7">
      <w:pPr>
        <w:spacing w:before="120" w:after="200"/>
        <w:ind w:left="720"/>
      </w:pPr>
      <w:r w:rsidRPr="002D2950">
        <w:t xml:space="preserve">Šajā datu kopā ietilpst dati, kurus var izvietot </w:t>
      </w:r>
      <w:r w:rsidR="00AA0778">
        <w:t xml:space="preserve">tikai </w:t>
      </w:r>
      <w:r w:rsidRPr="002D2950">
        <w:t>valsts tiešā veidā kontrolētā</w:t>
      </w:r>
      <w:r w:rsidR="00AA0778">
        <w:t>, īpaši nodalītā</w:t>
      </w:r>
      <w:r w:rsidRPr="002D2950">
        <w:t xml:space="preserve"> vidē.</w:t>
      </w:r>
    </w:p>
    <w:p w:rsidR="00781866" w:rsidRPr="00CE1F4B" w:rsidP="00E40A97" w14:paraId="7200C5F4" w14:textId="77777777">
      <w:pPr>
        <w:numPr>
          <w:ilvl w:val="0"/>
          <w:numId w:val="42"/>
        </w:numPr>
        <w:pBdr>
          <w:top w:val="nil"/>
          <w:left w:val="nil"/>
          <w:bottom w:val="nil"/>
          <w:right w:val="nil"/>
          <w:between w:val="nil"/>
        </w:pBdr>
        <w:spacing w:after="400" w:line="276" w:lineRule="auto"/>
        <w:contextualSpacing/>
        <w:jc w:val="both"/>
        <w:rPr>
          <w:b/>
        </w:rPr>
      </w:pPr>
      <w:r w:rsidRPr="00CE1F4B">
        <w:rPr>
          <w:b/>
        </w:rPr>
        <w:t>Valsts noslēpums:</w:t>
      </w:r>
    </w:p>
    <w:p w:rsidR="00781866" w:rsidRPr="002D2950" w:rsidP="00065DE7" w14:paraId="22B70E10" w14:textId="77777777">
      <w:pPr>
        <w:ind w:left="720"/>
        <w:jc w:val="both"/>
      </w:pPr>
      <w:r w:rsidRPr="002D2950">
        <w:t>Datu kopa, kas ir stingrā valsts kontrolē un kuras apstrādi un uzglabāšanu regulē speciāli normatīvie akti un uzrauga drošības iestādes. Šeit ietilpst arī citi līdzvērtīgi klasificēti dati. Izvietojami tikai valsts kontrolē esošos pakalpojumos ar specifiskām drošības prasībām.</w:t>
      </w:r>
    </w:p>
    <w:p w:rsidR="00781866" w:rsidRPr="002D2950" w:rsidP="00065DE7" w14:paraId="63A34F5B" w14:textId="77777777">
      <w:pPr>
        <w:ind w:left="720"/>
        <w:jc w:val="both"/>
      </w:pPr>
      <w:bookmarkStart w:id="148" w:name="_Toc496001881"/>
      <w:bookmarkStart w:id="149" w:name="_Toc497818677"/>
      <w:bookmarkStart w:id="150" w:name="_Toc497995210"/>
    </w:p>
    <w:p w:rsidR="003941C1" w:rsidRPr="002D2950" w:rsidP="00065DE7" w14:paraId="156715A7" w14:textId="77777777">
      <w:pPr>
        <w:ind w:left="720"/>
        <w:jc w:val="both"/>
      </w:pPr>
    </w:p>
    <w:p w:rsidR="00781866" w:rsidRPr="002D2950" w:rsidP="00E40A97" w14:paraId="22CD592E" w14:textId="7609DA08">
      <w:pPr>
        <w:pStyle w:val="Heading2"/>
        <w:numPr>
          <w:ilvl w:val="1"/>
          <w:numId w:val="12"/>
        </w:numPr>
        <w:pBdr>
          <w:top w:val="nil"/>
          <w:left w:val="nil"/>
          <w:bottom w:val="nil"/>
          <w:right w:val="nil"/>
          <w:between w:val="nil"/>
        </w:pBdr>
        <w:spacing w:before="0" w:after="160" w:line="276" w:lineRule="auto"/>
        <w:jc w:val="both"/>
        <w:rPr>
          <w:sz w:val="24"/>
          <w:szCs w:val="24"/>
        </w:rPr>
      </w:pPr>
      <w:bookmarkStart w:id="151" w:name="_Toc498016968"/>
      <w:bookmarkStart w:id="152" w:name="_Toc498346613"/>
      <w:bookmarkStart w:id="153" w:name="_Toc505072503"/>
      <w:bookmarkStart w:id="154" w:name="_Toc256000020"/>
      <w:bookmarkStart w:id="155" w:name="_Toc256000066"/>
      <w:r w:rsidRPr="002D2950">
        <w:rPr>
          <w:sz w:val="24"/>
          <w:szCs w:val="24"/>
        </w:rPr>
        <w:t>Informācijas pieejamības</w:t>
      </w:r>
      <w:r w:rsidRPr="002D2950" w:rsidR="003941C1">
        <w:rPr>
          <w:sz w:val="24"/>
          <w:szCs w:val="24"/>
        </w:rPr>
        <w:t xml:space="preserve"> un </w:t>
      </w:r>
      <w:r w:rsidRPr="002D2950">
        <w:rPr>
          <w:sz w:val="24"/>
          <w:szCs w:val="24"/>
        </w:rPr>
        <w:t>atjaunošanas dimensija</w:t>
      </w:r>
      <w:bookmarkEnd w:id="155"/>
      <w:bookmarkEnd w:id="154"/>
      <w:bookmarkEnd w:id="148"/>
      <w:bookmarkEnd w:id="149"/>
      <w:bookmarkEnd w:id="150"/>
      <w:bookmarkEnd w:id="151"/>
      <w:bookmarkEnd w:id="152"/>
      <w:bookmarkEnd w:id="153"/>
      <w:r w:rsidRPr="002D2950">
        <w:rPr>
          <w:sz w:val="24"/>
          <w:szCs w:val="24"/>
        </w:rPr>
        <w:t xml:space="preserve"> </w:t>
      </w:r>
    </w:p>
    <w:p w:rsidR="00781866" w:rsidRPr="002D2950" w:rsidP="00B03500" w14:paraId="3AE30ED5" w14:textId="2BED765E">
      <w:pPr>
        <w:ind w:firstLine="720"/>
        <w:jc w:val="both"/>
        <w:rPr>
          <w:i/>
          <w:iCs/>
        </w:rPr>
      </w:pPr>
      <w:r w:rsidRPr="002D2950">
        <w:t>Ierobežojumi attiecībā uz informāciju, kuras pieejamība ir būtiska valsts funkciju nodrošināšanai iedzīvotājiem pieņemamā līmenī:</w:t>
      </w:r>
      <w:r w:rsidRPr="002D2950">
        <w:rPr>
          <w:i/>
          <w:iCs/>
        </w:rPr>
        <w:t xml:space="preserve"> </w:t>
      </w:r>
    </w:p>
    <w:p w:rsidR="00781866" w:rsidRPr="002D2950" w:rsidP="00E40A97" w14:paraId="6B6CF077" w14:textId="77777777">
      <w:pPr>
        <w:numPr>
          <w:ilvl w:val="0"/>
          <w:numId w:val="29"/>
        </w:numPr>
        <w:pBdr>
          <w:top w:val="nil"/>
          <w:left w:val="nil"/>
          <w:bottom w:val="nil"/>
          <w:right w:val="nil"/>
          <w:between w:val="nil"/>
        </w:pBdr>
        <w:spacing w:before="200" w:line="276" w:lineRule="auto"/>
        <w:jc w:val="both"/>
      </w:pPr>
      <w:r w:rsidRPr="002D2950">
        <w:t>Tiešsaistes pieejamība:</w:t>
      </w:r>
    </w:p>
    <w:p w:rsidR="00781866" w:rsidRPr="002D2950" w:rsidP="000965A8" w14:paraId="4D520894" w14:textId="77777777">
      <w:pPr>
        <w:ind w:left="360"/>
        <w:jc w:val="both"/>
      </w:pPr>
      <w:r w:rsidRPr="002D2950">
        <w:t>Informācija, kuras pieejamība ir kritiska noteiktos laikos:</w:t>
      </w:r>
    </w:p>
    <w:p w:rsidR="00781866" w:rsidRPr="002D2950" w:rsidP="00E40A97" w14:paraId="5F1FFFA3" w14:textId="5D5F6999">
      <w:pPr>
        <w:numPr>
          <w:ilvl w:val="0"/>
          <w:numId w:val="43"/>
        </w:numPr>
        <w:pBdr>
          <w:top w:val="nil"/>
          <w:left w:val="nil"/>
          <w:bottom w:val="nil"/>
          <w:right w:val="nil"/>
          <w:between w:val="nil"/>
        </w:pBdr>
        <w:spacing w:after="400" w:line="276" w:lineRule="auto"/>
        <w:contextualSpacing/>
        <w:jc w:val="both"/>
      </w:pPr>
      <w:r w:rsidRPr="002D2950">
        <w:t>pastāvīgi (24x7x365)</w:t>
      </w:r>
      <w:r w:rsidR="00F56599">
        <w:t xml:space="preserve"> (piemēram, EDS)</w:t>
      </w:r>
      <w:r w:rsidRPr="002D2950">
        <w:t>;</w:t>
      </w:r>
    </w:p>
    <w:p w:rsidR="00781866" w:rsidRPr="002D2950" w:rsidP="00E40A97" w14:paraId="699F034D" w14:textId="77777777">
      <w:pPr>
        <w:numPr>
          <w:ilvl w:val="0"/>
          <w:numId w:val="43"/>
        </w:numPr>
        <w:pBdr>
          <w:top w:val="nil"/>
          <w:left w:val="nil"/>
          <w:bottom w:val="nil"/>
          <w:right w:val="nil"/>
          <w:between w:val="nil"/>
        </w:pBdr>
        <w:spacing w:after="400" w:line="276" w:lineRule="auto"/>
        <w:contextualSpacing/>
        <w:jc w:val="both"/>
      </w:pPr>
      <w:r w:rsidRPr="002D2950">
        <w:t>iestādes/organizācijas darbības laikā (parasti gan šādos gadījumos patiesais kritiskums ir ļoti mazs);</w:t>
      </w:r>
    </w:p>
    <w:p w:rsidR="00781866" w:rsidRPr="002D2950" w:rsidP="00E40A97" w14:paraId="144EA12E" w14:textId="71A0DD4B">
      <w:pPr>
        <w:numPr>
          <w:ilvl w:val="0"/>
          <w:numId w:val="43"/>
        </w:numPr>
        <w:pBdr>
          <w:top w:val="nil"/>
          <w:left w:val="nil"/>
          <w:bottom w:val="nil"/>
          <w:right w:val="nil"/>
          <w:between w:val="nil"/>
        </w:pBdr>
        <w:spacing w:after="400" w:line="276" w:lineRule="auto"/>
        <w:contextualSpacing/>
        <w:jc w:val="both"/>
      </w:pPr>
      <w:r w:rsidRPr="002D2950">
        <w:t>informācijas resursi, kuru pieejamība ir kritiska pie noteiktiem kalend</w:t>
      </w:r>
      <w:r w:rsidR="00F56599">
        <w:t>āriem vai citiem nosacījumiem</w:t>
      </w:r>
      <w:r w:rsidRPr="002D2950" w:rsidR="005D620D">
        <w:t>;</w:t>
      </w:r>
    </w:p>
    <w:p w:rsidR="00781866" w:rsidRPr="002D2950" w:rsidP="00E40A97" w14:paraId="278A0D05" w14:textId="632ED07F">
      <w:pPr>
        <w:numPr>
          <w:ilvl w:val="0"/>
          <w:numId w:val="43"/>
        </w:numPr>
        <w:pBdr>
          <w:top w:val="nil"/>
          <w:left w:val="nil"/>
          <w:bottom w:val="nil"/>
          <w:right w:val="nil"/>
          <w:between w:val="nil"/>
        </w:pBdr>
        <w:spacing w:line="276" w:lineRule="auto"/>
        <w:jc w:val="both"/>
      </w:pPr>
      <w:r w:rsidRPr="002D2950">
        <w:t>Informācija, kuras pieejamība nav kritiska, bet ilgtermiņa darbības pārtraukumi ierobežo noteiktu pakalpojumu saņemšanu iedzīvotājiem (piemēri: zemesgrāmata)</w:t>
      </w:r>
      <w:r w:rsidRPr="002D2950" w:rsidR="005D620D">
        <w:t>;</w:t>
      </w:r>
    </w:p>
    <w:p w:rsidR="00781866" w:rsidRPr="002D2950" w:rsidP="00E40A97" w14:paraId="76225234" w14:textId="77777777">
      <w:pPr>
        <w:numPr>
          <w:ilvl w:val="0"/>
          <w:numId w:val="43"/>
        </w:numPr>
        <w:pBdr>
          <w:top w:val="nil"/>
          <w:left w:val="nil"/>
          <w:bottom w:val="nil"/>
          <w:right w:val="nil"/>
          <w:between w:val="nil"/>
        </w:pBdr>
        <w:spacing w:after="400" w:line="276" w:lineRule="auto"/>
        <w:jc w:val="both"/>
      </w:pPr>
      <w:r w:rsidRPr="002D2950">
        <w:t>Informācija, kuras pieejamība ir “vēlama”.</w:t>
      </w:r>
    </w:p>
    <w:p w:rsidR="00781866" w:rsidRPr="002D2950" w:rsidP="00E40A97" w14:paraId="1DB8897B" w14:textId="77777777">
      <w:pPr>
        <w:numPr>
          <w:ilvl w:val="0"/>
          <w:numId w:val="29"/>
        </w:numPr>
        <w:pBdr>
          <w:top w:val="nil"/>
          <w:left w:val="nil"/>
          <w:bottom w:val="nil"/>
          <w:right w:val="nil"/>
          <w:between w:val="nil"/>
        </w:pBdr>
        <w:spacing w:before="200" w:line="276" w:lineRule="auto"/>
        <w:jc w:val="both"/>
      </w:pPr>
      <w:r w:rsidRPr="002D2950">
        <w:t>Atjaunošanas spēja un aizsardzība no datu zudumiem:</w:t>
      </w:r>
    </w:p>
    <w:p w:rsidR="000965A8" w:rsidRPr="002D2950" w:rsidP="000965A8" w14:paraId="7996FD35" w14:textId="31224B53">
      <w:pPr>
        <w:spacing w:after="200"/>
        <w:ind w:left="360"/>
        <w:jc w:val="both"/>
      </w:pPr>
      <w:r w:rsidRPr="002D2950">
        <w:t>Informācija, kuras nemainīgums un informācijas pieejamība ir ļoti būtiska (š</w:t>
      </w:r>
      <w:r w:rsidR="003E0735">
        <w:t xml:space="preserve">ādu informāciju apstrādājoši risinājumi </w:t>
      </w:r>
      <w:r w:rsidRPr="002D2950">
        <w:t>var</w:t>
      </w:r>
      <w:r w:rsidR="003E0735">
        <w:t xml:space="preserve"> būt iekļauti arī </w:t>
      </w:r>
      <w:r w:rsidRPr="003E0735" w:rsidR="003E0735">
        <w:t xml:space="preserve">informācijas tehnoloģiju kritiskās infrastruktūras </w:t>
      </w:r>
      <w:r w:rsidRPr="002D2950">
        <w:t>sarakstā).</w:t>
      </w:r>
    </w:p>
    <w:p w:rsidR="00D719F8" w:rsidRPr="002D2950" w:rsidP="000965A8" w14:paraId="1895131B" w14:textId="77777777">
      <w:pPr>
        <w:spacing w:after="200"/>
        <w:ind w:left="360"/>
        <w:jc w:val="both"/>
      </w:pPr>
    </w:p>
    <w:p w:rsidR="00781866" w:rsidRPr="002D2950" w:rsidP="00E40A97" w14:paraId="621A37AA" w14:textId="242BBA7D">
      <w:pPr>
        <w:pStyle w:val="Heading1"/>
        <w:keepLines/>
        <w:numPr>
          <w:ilvl w:val="0"/>
          <w:numId w:val="12"/>
        </w:numPr>
        <w:pBdr>
          <w:top w:val="nil"/>
          <w:left w:val="nil"/>
          <w:bottom w:val="nil"/>
          <w:right w:val="nil"/>
          <w:between w:val="nil"/>
        </w:pBdr>
        <w:spacing w:before="0" w:after="200" w:line="276" w:lineRule="auto"/>
        <w:contextualSpacing/>
      </w:pPr>
      <w:bookmarkStart w:id="156" w:name="_Toc497818678"/>
      <w:bookmarkStart w:id="157" w:name="_Toc496001882"/>
      <w:bookmarkStart w:id="158" w:name="_Toc497995211"/>
      <w:bookmarkStart w:id="159" w:name="_Toc498016969"/>
      <w:bookmarkStart w:id="160" w:name="_Toc498346614"/>
      <w:bookmarkStart w:id="161" w:name="_Toc505072504"/>
      <w:bookmarkStart w:id="162" w:name="_Toc256000021"/>
      <w:bookmarkStart w:id="163" w:name="_Toc256000067"/>
      <w:r>
        <w:t>Latvijas un s</w:t>
      </w:r>
      <w:r w:rsidRPr="002D2950">
        <w:t>tarptautiskā pieredze</w:t>
      </w:r>
      <w:bookmarkEnd w:id="163"/>
      <w:bookmarkEnd w:id="162"/>
      <w:bookmarkEnd w:id="156"/>
      <w:bookmarkEnd w:id="157"/>
      <w:bookmarkEnd w:id="158"/>
      <w:bookmarkEnd w:id="159"/>
      <w:bookmarkEnd w:id="160"/>
      <w:bookmarkEnd w:id="161"/>
    </w:p>
    <w:p w:rsidR="00781866" w:rsidRPr="002D2950" w:rsidP="00B03500" w14:paraId="22D655A4" w14:textId="7E1EDE53">
      <w:pPr>
        <w:ind w:firstLine="720"/>
        <w:jc w:val="both"/>
      </w:pPr>
      <w:r w:rsidRPr="002D2950">
        <w:t xml:space="preserve">Vairākums attīstīto valstu valdību regulāri saskaras ar diviem savstarpēji konfliktējošiem uzdevumiem – no vienas puses tām ir jāinvestē </w:t>
      </w:r>
      <w:r w:rsidR="00D430FA">
        <w:t>valsts budžeta līdzekļi</w:t>
      </w:r>
      <w:r w:rsidRPr="002D2950">
        <w:t>, lai nodrošinātu sabiedriskos pakalpojumus, no otras puses</w:t>
      </w:r>
      <w:r w:rsidRPr="002D2950">
        <w:t xml:space="preserve">  </w:t>
      </w:r>
      <w:r w:rsidRPr="002D2950">
        <w:t xml:space="preserve">budžeta prasības paliek arvien stingrākas. </w:t>
      </w:r>
      <w:r w:rsidRPr="002D2950">
        <w:t>Tai pat laikā</w:t>
      </w:r>
      <w:r w:rsidRPr="002D2950">
        <w:t xml:space="preserve"> daudzu valdību īpašumā ir vēsturiskas IT infrastruktūras, kas ir izkliedētas pa dažādām nozarēm, departamentiem un organizācijām, kas ierobežo iespēju strādāt efektīvāk, jo nav iespēju koplietot infrastruktūru, informāciju un konsolidēt izmaksas. Faktiski jau šobrīd daudzas Eiropas valstis ir uzsākušas virzību uz MDP ar mērķi samazināt IT izmaksas un ieviest centralizētu digitālo pārvaldību.</w:t>
      </w:r>
    </w:p>
    <w:p w:rsidR="00781866" w:rsidRPr="002D2950" w:rsidP="00065DE7" w14:paraId="13A0491A" w14:textId="77777777">
      <w:pPr>
        <w:jc w:val="both"/>
      </w:pPr>
    </w:p>
    <w:p w:rsidR="00781866" w:rsidRPr="002D2950" w:rsidP="00E40A97" w14:paraId="072119BB"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164" w:name="_Toc497995212"/>
      <w:bookmarkStart w:id="165" w:name="_Toc498016970"/>
      <w:bookmarkStart w:id="166" w:name="_Toc498346615"/>
      <w:bookmarkStart w:id="167" w:name="_Toc505072505"/>
      <w:bookmarkStart w:id="168" w:name="_Toc256000022"/>
      <w:bookmarkStart w:id="169" w:name="_Toc256000068"/>
      <w:r w:rsidRPr="002D2950">
        <w:rPr>
          <w:sz w:val="24"/>
          <w:szCs w:val="24"/>
        </w:rPr>
        <w:t>ES pieredze kopumā</w:t>
      </w:r>
      <w:bookmarkEnd w:id="169"/>
      <w:bookmarkEnd w:id="168"/>
      <w:bookmarkEnd w:id="164"/>
      <w:bookmarkEnd w:id="165"/>
      <w:bookmarkEnd w:id="166"/>
      <w:bookmarkEnd w:id="167"/>
    </w:p>
    <w:p w:rsidR="00781866" w:rsidRPr="002D2950" w:rsidP="00B03500" w14:paraId="1BE4BFA7" w14:textId="77777777">
      <w:pPr>
        <w:ind w:firstLine="720"/>
        <w:jc w:val="both"/>
      </w:pPr>
      <w:r w:rsidRPr="002D2950">
        <w:t xml:space="preserve">Kaut arī ES ietvaros ir noteikti aktivitāšu virzieni un iniciatīvas </w:t>
      </w:r>
      <w:r w:rsidRPr="002D2950">
        <w:t>mākoņdatošanas</w:t>
      </w:r>
      <w:r w:rsidRPr="002D2950">
        <w:t xml:space="preserve"> jomā (</w:t>
      </w:r>
      <w:r w:rsidRPr="002D2950">
        <w:rPr>
          <w:i/>
        </w:rPr>
        <w:t>Cloud</w:t>
      </w:r>
      <w:r w:rsidRPr="002D2950">
        <w:rPr>
          <w:i/>
        </w:rPr>
        <w:t xml:space="preserve"> </w:t>
      </w:r>
      <w:r w:rsidRPr="002D2950">
        <w:rPr>
          <w:i/>
        </w:rPr>
        <w:t>Standards</w:t>
      </w:r>
      <w:r w:rsidRPr="002D2950">
        <w:rPr>
          <w:i/>
        </w:rPr>
        <w:t xml:space="preserve"> </w:t>
      </w:r>
      <w:r w:rsidRPr="002D2950">
        <w:rPr>
          <w:i/>
        </w:rPr>
        <w:t>Coordination</w:t>
      </w:r>
      <w:r w:rsidRPr="002D2950">
        <w:rPr>
          <w:i/>
        </w:rPr>
        <w:t xml:space="preserve">, </w:t>
      </w:r>
      <w:r w:rsidRPr="002D2950">
        <w:rPr>
          <w:i/>
        </w:rPr>
        <w:t>European</w:t>
      </w:r>
      <w:r w:rsidRPr="002D2950">
        <w:rPr>
          <w:i/>
        </w:rPr>
        <w:t xml:space="preserve"> </w:t>
      </w:r>
      <w:r w:rsidRPr="002D2950">
        <w:rPr>
          <w:i/>
        </w:rPr>
        <w:t>Cloud</w:t>
      </w:r>
      <w:r w:rsidRPr="002D2950">
        <w:rPr>
          <w:i/>
        </w:rPr>
        <w:t xml:space="preserve"> </w:t>
      </w:r>
      <w:r w:rsidRPr="002D2950">
        <w:rPr>
          <w:i/>
        </w:rPr>
        <w:t>Strategy</w:t>
      </w:r>
      <w:r w:rsidRPr="002D2950">
        <w:rPr>
          <w:i/>
        </w:rPr>
        <w:t xml:space="preserve"> 2012, Eiropas vienotā digitālā tirgus stratēģija, </w:t>
      </w:r>
      <w:r w:rsidRPr="002D2950">
        <w:rPr>
          <w:i/>
        </w:rPr>
        <w:t>Open</w:t>
      </w:r>
      <w:r w:rsidRPr="002D2950">
        <w:rPr>
          <w:i/>
        </w:rPr>
        <w:t xml:space="preserve"> </w:t>
      </w:r>
      <w:r w:rsidRPr="002D2950">
        <w:rPr>
          <w:i/>
        </w:rPr>
        <w:t>research</w:t>
      </w:r>
      <w:r w:rsidRPr="002D2950">
        <w:rPr>
          <w:i/>
        </w:rPr>
        <w:t xml:space="preserve"> </w:t>
      </w:r>
      <w:r w:rsidRPr="002D2950">
        <w:rPr>
          <w:i/>
        </w:rPr>
        <w:t>data</w:t>
      </w:r>
      <w:r w:rsidRPr="002D2950">
        <w:rPr>
          <w:i/>
        </w:rPr>
        <w:t xml:space="preserve"> </w:t>
      </w:r>
      <w:r w:rsidRPr="002D2950">
        <w:rPr>
          <w:i/>
        </w:rPr>
        <w:t>policy</w:t>
      </w:r>
      <w:r w:rsidRPr="002D2950">
        <w:rPr>
          <w:i/>
        </w:rPr>
        <w:t xml:space="preserve"> u.c.</w:t>
      </w:r>
      <w:r w:rsidRPr="002D2950">
        <w:t>), kopumā šie dokumenti izskata iespējamos variantus un neizvirza konkrētas prasības MDP attīstībai un skaidrus iespējamos rīcības scenārijus.</w:t>
      </w:r>
    </w:p>
    <w:p w:rsidR="00781866" w:rsidRPr="002D2950" w:rsidP="00781866" w14:paraId="31991D4B" w14:textId="77777777">
      <w:pPr>
        <w:keepNext/>
        <w:jc w:val="center"/>
      </w:pPr>
      <w:r w:rsidRPr="002D2950">
        <w:rPr>
          <w:noProof/>
        </w:rPr>
        <w:drawing>
          <wp:inline distT="0" distB="0" distL="0" distR="0">
            <wp:extent cx="3904615" cy="2928462"/>
            <wp:effectExtent l="0" t="0" r="0" b="571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48225" name="EU digitālais vienotais tirgus.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26859" cy="2945145"/>
                    </a:xfrm>
                    <a:prstGeom prst="rect">
                      <a:avLst/>
                    </a:prstGeom>
                  </pic:spPr>
                </pic:pic>
              </a:graphicData>
            </a:graphic>
          </wp:inline>
        </w:drawing>
      </w:r>
    </w:p>
    <w:p w:rsidR="00781866" w:rsidRPr="002D2950" w:rsidP="00781866" w14:paraId="5A05A5DA" w14:textId="7DFB6CF3">
      <w:pPr>
        <w:pStyle w:val="Caption"/>
        <w:spacing w:line="276" w:lineRule="auto"/>
        <w:jc w:val="center"/>
      </w:pPr>
      <w:r w:rsidRPr="002D2950">
        <w:t xml:space="preserve">Attēls Nr. </w:t>
      </w:r>
      <w:r w:rsidRPr="002D2950" w:rsidR="009558EB">
        <w:t>4</w:t>
      </w:r>
      <w:r w:rsidRPr="002D2950">
        <w:t xml:space="preserve"> </w:t>
      </w:r>
      <w:r w:rsidRPr="002D2950">
        <w:t>Mākoņdatošanas</w:t>
      </w:r>
      <w:r w:rsidRPr="002D2950">
        <w:t xml:space="preserve"> atbalsts ES vienotā digitālā tirgus ietvarā </w:t>
      </w:r>
    </w:p>
    <w:p w:rsidR="00781866" w:rsidRPr="002D2950" w:rsidP="00B03500" w14:paraId="25B893B5" w14:textId="5D4E38A7">
      <w:pPr>
        <w:ind w:firstLine="720"/>
        <w:jc w:val="both"/>
      </w:pPr>
      <w:r w:rsidRPr="002D2950">
        <w:t xml:space="preserve">Eiropas </w:t>
      </w:r>
      <w:r w:rsidRPr="002D2950">
        <w:t>mākoņdatošanas</w:t>
      </w:r>
      <w:r w:rsidRPr="002D2950">
        <w:t xml:space="preserve"> stratēģija</w:t>
      </w:r>
      <w:r>
        <w:rPr>
          <w:vertAlign w:val="superscript"/>
        </w:rPr>
        <w:footnoteReference w:id="13"/>
      </w:r>
      <w:r w:rsidRPr="002D2950">
        <w:t xml:space="preserve"> ir viena no būtiskām Eiropas vienotā digitālā tirgus un Eiropas </w:t>
      </w:r>
      <w:r w:rsidRPr="002D2950">
        <w:t>mākoņdatošanas</w:t>
      </w:r>
      <w:r w:rsidRPr="002D2950">
        <w:t xml:space="preserve"> iniciatīvas sastāvdaļām, skat. Attēlu Nr.</w:t>
      </w:r>
      <w:r w:rsidRPr="002D2950" w:rsidR="009558EB">
        <w:t>4</w:t>
      </w:r>
      <w:r w:rsidRPr="002D2950">
        <w:t xml:space="preserve"> “</w:t>
      </w:r>
      <w:r w:rsidRPr="002D2950">
        <w:t>Mākoņdatošanas</w:t>
      </w:r>
      <w:r w:rsidRPr="002D2950">
        <w:t xml:space="preserve"> atbalsts ES vienotā digitālā tirgus ietvarā”, kuras mēr</w:t>
      </w:r>
      <w:r w:rsidRPr="002D2950" w:rsidR="009558EB">
        <w:t xml:space="preserve">ķis ir līdz </w:t>
      </w:r>
      <w:r w:rsidRPr="002D2950" w:rsidR="009558EB">
        <w:t>2020.gadam</w:t>
      </w:r>
      <w:r w:rsidRPr="002D2950" w:rsidR="009558EB">
        <w:t xml:space="preserve"> radīt 2,</w:t>
      </w:r>
      <w:r w:rsidRPr="002D2950">
        <w:t>5 miljonu jaunu darbavietu ES un ikgadēj</w:t>
      </w:r>
      <w:r w:rsidRPr="002D2950" w:rsidR="009558EB">
        <w:t xml:space="preserve">u ES IKP pieaugumu 160 miljardu </w:t>
      </w:r>
      <w:r w:rsidRPr="002D2950" w:rsidR="009558EB">
        <w:rPr>
          <w:i/>
        </w:rPr>
        <w:t>euro</w:t>
      </w:r>
      <w:r w:rsidRPr="002D2950" w:rsidR="009558EB">
        <w:t xml:space="preserve"> apmērā.</w:t>
      </w:r>
      <w:r w:rsidRPr="002D2950">
        <w:t xml:space="preserve"> Eiropas </w:t>
      </w:r>
      <w:r w:rsidRPr="002D2950">
        <w:t>mākoņdatošanas</w:t>
      </w:r>
      <w:r w:rsidRPr="002D2950">
        <w:t xml:space="preserve"> stratēģija </w:t>
      </w:r>
      <w:r w:rsidRPr="002D2950" w:rsidR="009558EB">
        <w:t xml:space="preserve">galvenokārt </w:t>
      </w:r>
      <w:r w:rsidRPr="002D2950">
        <w:t>orientēta uz trīs pamata darbībām:</w:t>
      </w:r>
    </w:p>
    <w:p w:rsidR="00781866" w:rsidRPr="002D2950" w:rsidP="00E40A97" w14:paraId="350755BB" w14:textId="77777777">
      <w:pPr>
        <w:pStyle w:val="ListParagraph"/>
        <w:numPr>
          <w:ilvl w:val="0"/>
          <w:numId w:val="10"/>
        </w:numPr>
        <w:pBdr>
          <w:top w:val="nil"/>
          <w:left w:val="nil"/>
          <w:bottom w:val="nil"/>
          <w:right w:val="nil"/>
          <w:between w:val="nil"/>
        </w:pBdr>
        <w:spacing w:line="276" w:lineRule="auto"/>
        <w:contextualSpacing w:val="0"/>
        <w:jc w:val="both"/>
      </w:pPr>
      <w:r w:rsidRPr="002D2950">
        <w:t xml:space="preserve">Droši un godīgi līgumu noteikumi un nosacījumi. </w:t>
      </w:r>
      <w:r w:rsidRPr="002D2950">
        <w:t>Mākoņdatošanas</w:t>
      </w:r>
      <w:r w:rsidRPr="002D2950">
        <w:t xml:space="preserve"> stratēģijas mērķis ir izstrādāt līguma modeli, kas regulētu tādus jautājumus kā:</w:t>
      </w:r>
    </w:p>
    <w:p w:rsidR="00781866" w:rsidRPr="002D2950" w:rsidP="00E40A97" w14:paraId="7570ABA4" w14:textId="1CE03E81">
      <w:pPr>
        <w:pStyle w:val="ListParagraph"/>
        <w:numPr>
          <w:ilvl w:val="1"/>
          <w:numId w:val="13"/>
        </w:numPr>
        <w:pBdr>
          <w:top w:val="nil"/>
          <w:left w:val="nil"/>
          <w:bottom w:val="nil"/>
          <w:right w:val="nil"/>
          <w:between w:val="nil"/>
        </w:pBdr>
        <w:spacing w:line="276" w:lineRule="auto"/>
        <w:contextualSpacing w:val="0"/>
        <w:jc w:val="both"/>
      </w:pPr>
      <w:r w:rsidRPr="002D2950">
        <w:t>datu uzglabāšana pēc līguma beigām</w:t>
      </w:r>
      <w:r w:rsidRPr="002D2950" w:rsidR="009558EB">
        <w:t>;</w:t>
      </w:r>
    </w:p>
    <w:p w:rsidR="00781866" w:rsidRPr="002D2950" w:rsidP="00E40A97" w14:paraId="7E75A211" w14:textId="61CA9A8D">
      <w:pPr>
        <w:pStyle w:val="ListParagraph"/>
        <w:numPr>
          <w:ilvl w:val="1"/>
          <w:numId w:val="13"/>
        </w:numPr>
        <w:pBdr>
          <w:top w:val="nil"/>
          <w:left w:val="nil"/>
          <w:bottom w:val="nil"/>
          <w:right w:val="nil"/>
          <w:between w:val="nil"/>
        </w:pBdr>
        <w:spacing w:line="276" w:lineRule="auto"/>
        <w:contextualSpacing w:val="0"/>
        <w:jc w:val="both"/>
      </w:pPr>
      <w:r w:rsidRPr="002D2950">
        <w:t>datu izpaušana un integritāte</w:t>
      </w:r>
      <w:r w:rsidRPr="002D2950" w:rsidR="009558EB">
        <w:t>;</w:t>
      </w:r>
    </w:p>
    <w:p w:rsidR="00781866" w:rsidRPr="002D2950" w:rsidP="00E40A97" w14:paraId="01D7712C" w14:textId="3497FC33">
      <w:pPr>
        <w:pStyle w:val="ListParagraph"/>
        <w:numPr>
          <w:ilvl w:val="1"/>
          <w:numId w:val="13"/>
        </w:numPr>
        <w:pBdr>
          <w:top w:val="nil"/>
          <w:left w:val="nil"/>
          <w:bottom w:val="nil"/>
          <w:right w:val="nil"/>
          <w:between w:val="nil"/>
        </w:pBdr>
        <w:spacing w:line="276" w:lineRule="auto"/>
        <w:contextualSpacing w:val="0"/>
        <w:jc w:val="both"/>
      </w:pPr>
      <w:r w:rsidRPr="002D2950">
        <w:t>datu atrašanās vieta un pārvietošana</w:t>
      </w:r>
      <w:r w:rsidRPr="002D2950" w:rsidR="009558EB">
        <w:t>;</w:t>
      </w:r>
    </w:p>
    <w:p w:rsidR="00781866" w:rsidRPr="002D2950" w:rsidP="00E40A97" w14:paraId="411D565D" w14:textId="45B2F65C">
      <w:pPr>
        <w:pStyle w:val="ListParagraph"/>
        <w:numPr>
          <w:ilvl w:val="1"/>
          <w:numId w:val="13"/>
        </w:numPr>
        <w:pBdr>
          <w:top w:val="nil"/>
          <w:left w:val="nil"/>
          <w:bottom w:val="nil"/>
          <w:right w:val="nil"/>
          <w:between w:val="nil"/>
        </w:pBdr>
        <w:spacing w:line="276" w:lineRule="auto"/>
        <w:contextualSpacing w:val="0"/>
        <w:jc w:val="both"/>
      </w:pPr>
      <w:r w:rsidRPr="002D2950">
        <w:t>datu īpašumtiesības</w:t>
      </w:r>
      <w:r w:rsidRPr="002D2950" w:rsidR="009558EB">
        <w:t>;</w:t>
      </w:r>
    </w:p>
    <w:p w:rsidR="00781866" w:rsidRPr="002D2950" w:rsidP="00E40A97" w14:paraId="1D86FC2A" w14:textId="7DA20C59">
      <w:pPr>
        <w:pStyle w:val="ListParagraph"/>
        <w:numPr>
          <w:ilvl w:val="1"/>
          <w:numId w:val="13"/>
        </w:numPr>
        <w:pBdr>
          <w:top w:val="nil"/>
          <w:left w:val="nil"/>
          <w:bottom w:val="nil"/>
          <w:right w:val="nil"/>
          <w:between w:val="nil"/>
        </w:pBdr>
        <w:spacing w:line="276" w:lineRule="auto"/>
        <w:contextualSpacing w:val="0"/>
        <w:jc w:val="both"/>
      </w:pPr>
      <w:r w:rsidRPr="002D2950">
        <w:t xml:space="preserve">tiešās un netiešās atbildības maiņa lietojot </w:t>
      </w:r>
      <w:r w:rsidRPr="002D2950">
        <w:t>mākoņdatošanas</w:t>
      </w:r>
      <w:r w:rsidRPr="002D2950">
        <w:t xml:space="preserve"> pakalpojumus</w:t>
      </w:r>
      <w:r w:rsidRPr="002D2950" w:rsidR="009558EB">
        <w:t>.</w:t>
      </w:r>
    </w:p>
    <w:p w:rsidR="00781866" w:rsidRPr="002D2950" w:rsidP="00E40A97" w14:paraId="5E84A196" w14:textId="6585A2AA">
      <w:pPr>
        <w:pStyle w:val="ListParagraph"/>
        <w:numPr>
          <w:ilvl w:val="0"/>
          <w:numId w:val="10"/>
        </w:numPr>
        <w:pBdr>
          <w:top w:val="nil"/>
          <w:left w:val="nil"/>
          <w:bottom w:val="nil"/>
          <w:right w:val="nil"/>
          <w:between w:val="nil"/>
        </w:pBdr>
        <w:spacing w:line="276" w:lineRule="auto"/>
        <w:contextualSpacing w:val="0"/>
        <w:jc w:val="both"/>
      </w:pPr>
      <w:r w:rsidRPr="002D2950">
        <w:t>Tehnisko standartu “džungļu izlīdzināšana”, izveidojot vienotu, brīvprātī</w:t>
      </w:r>
      <w:r w:rsidRPr="002D2950" w:rsidR="009558EB">
        <w:t>gu ES MDP sertifikācijas shēmu;</w:t>
      </w:r>
    </w:p>
    <w:p w:rsidR="00781866" w:rsidRPr="002D2950" w:rsidP="00E40A97" w14:paraId="2137D887" w14:textId="2382A1CB">
      <w:pPr>
        <w:pStyle w:val="ListParagraph"/>
        <w:numPr>
          <w:ilvl w:val="0"/>
          <w:numId w:val="10"/>
        </w:numPr>
        <w:pBdr>
          <w:top w:val="nil"/>
          <w:left w:val="nil"/>
          <w:bottom w:val="nil"/>
          <w:right w:val="nil"/>
          <w:between w:val="nil"/>
        </w:pBdr>
        <w:spacing w:after="400" w:line="276" w:lineRule="auto"/>
        <w:contextualSpacing w:val="0"/>
        <w:jc w:val="both"/>
      </w:pPr>
      <w:r w:rsidRPr="002D2950">
        <w:t>Eiropas MDP partnerības izveidošana, apvienojot IKT industrijas un publisko sektoru, lai atvērtā un caurspīdīgā veidā izstrādātu kopējas MDP iepirkumu prasības</w:t>
      </w:r>
      <w:r w:rsidRPr="002D2950" w:rsidR="009558EB">
        <w:t>.</w:t>
      </w:r>
    </w:p>
    <w:p w:rsidR="00781866" w:rsidP="00E40A97" w14:paraId="767A6F22" w14:textId="30EF440A">
      <w:pPr>
        <w:pStyle w:val="Heading2"/>
        <w:numPr>
          <w:ilvl w:val="1"/>
          <w:numId w:val="12"/>
        </w:numPr>
        <w:pBdr>
          <w:top w:val="nil"/>
          <w:left w:val="nil"/>
          <w:bottom w:val="nil"/>
          <w:right w:val="nil"/>
          <w:between w:val="nil"/>
        </w:pBdr>
        <w:spacing w:before="0" w:after="160" w:line="276" w:lineRule="auto"/>
        <w:jc w:val="both"/>
        <w:rPr>
          <w:sz w:val="24"/>
          <w:szCs w:val="24"/>
        </w:rPr>
      </w:pPr>
      <w:bookmarkStart w:id="170" w:name="_Toc497995213"/>
      <w:bookmarkStart w:id="171" w:name="_Toc498016971"/>
      <w:bookmarkStart w:id="172" w:name="_Toc498346616"/>
      <w:bookmarkStart w:id="173" w:name="_Toc505072506"/>
      <w:bookmarkStart w:id="174" w:name="_Toc256000023"/>
      <w:bookmarkStart w:id="175" w:name="_Toc256000069"/>
      <w:r>
        <w:rPr>
          <w:sz w:val="24"/>
          <w:szCs w:val="24"/>
        </w:rPr>
        <w:t>Mākoņdatošanas</w:t>
      </w:r>
      <w:r>
        <w:rPr>
          <w:sz w:val="24"/>
          <w:szCs w:val="24"/>
        </w:rPr>
        <w:t xml:space="preserve"> pakalpojumu izmantošana Latvijā </w:t>
      </w:r>
      <w:bookmarkEnd w:id="170"/>
      <w:bookmarkEnd w:id="171"/>
      <w:bookmarkEnd w:id="172"/>
      <w:r w:rsidR="00382562">
        <w:rPr>
          <w:sz w:val="24"/>
          <w:szCs w:val="24"/>
        </w:rPr>
        <w:t>un citās valstīs</w:t>
      </w:r>
      <w:bookmarkEnd w:id="175"/>
      <w:bookmarkEnd w:id="174"/>
      <w:bookmarkEnd w:id="173"/>
    </w:p>
    <w:p w:rsidR="005F6728" w:rsidRPr="000B2786" w:rsidP="00614094" w14:paraId="45B7BFEB" w14:textId="24720FDC">
      <w:pPr>
        <w:ind w:firstLine="720"/>
        <w:jc w:val="both"/>
      </w:pPr>
      <w:r>
        <w:t xml:space="preserve">Pēc Centrālās Statistikas Pārvaldes 19.10.2017 </w:t>
      </w:r>
      <w:r w:rsidRPr="000B2786">
        <w:t xml:space="preserve">publicētās informācijas, 2017. gada sākumā </w:t>
      </w:r>
      <w:r w:rsidRPr="000B2786">
        <w:t>mākoņdatošanas</w:t>
      </w:r>
      <w:r w:rsidRPr="000B2786">
        <w:t xml:space="preserve"> pakalpojumus izmantoja jau 16,7 % uzņēmumu ar nodarbināto skaitu 10 un vairāk. Gada laikā par 3,6 procentpunktiem pieaudzis uzņēmumu īpatsvars, kas izmanto maksas </w:t>
      </w:r>
      <w:r w:rsidRPr="000B2786">
        <w:t>mākoņdatošanas</w:t>
      </w:r>
      <w:r w:rsidRPr="000B2786">
        <w:t xml:space="preserve"> pakalpojumus, attiecīgi no 8,4 % 2016. gadā līdz 12,0 % 2017. gadā</w:t>
      </w:r>
      <w:r>
        <w:rPr>
          <w:rStyle w:val="FootnoteReference"/>
        </w:rPr>
        <w:footnoteReference w:id="14"/>
      </w:r>
      <w:r w:rsidRPr="000B2786" w:rsidR="001A71A1">
        <w:t xml:space="preserve">. </w:t>
      </w:r>
      <w:r w:rsidRPr="000B2786" w:rsidR="001255EF">
        <w:t>Nav pamata uzskatīt, ka iemesli</w:t>
      </w:r>
      <w:r w:rsidRPr="000B2786" w:rsidR="001255EF">
        <w:t xml:space="preserve"> kāpēc </w:t>
      </w:r>
      <w:r w:rsidRPr="000B2786">
        <w:t xml:space="preserve">Latvijas uzņēmumi neizmanto </w:t>
      </w:r>
      <w:r w:rsidRPr="000B2786">
        <w:t>mākoņdatošanas</w:t>
      </w:r>
      <w:r w:rsidRPr="000B2786">
        <w:t xml:space="preserve"> pakalpojumus</w:t>
      </w:r>
      <w:r w:rsidRPr="000B2786" w:rsidR="001255EF">
        <w:t xml:space="preserve"> intensīvāk</w:t>
      </w:r>
      <w:r w:rsidRPr="000B2786" w:rsidR="001255EF">
        <w:t xml:space="preserve"> būtiski atšķiras no </w:t>
      </w:r>
      <w:r w:rsidRPr="000B2786">
        <w:t>aktuālajiem MDP neizmantošanas iemesliem pasaules mērogā</w:t>
      </w:r>
      <w:r w:rsidRPr="000B2786" w:rsidR="001255EF">
        <w:t xml:space="preserve">. Attiecībā uz tiem skat. </w:t>
      </w:r>
      <w:r w:rsidRPr="000B2786">
        <w:t xml:space="preserve">IDG pētījuma datus (2016 IDG </w:t>
      </w:r>
      <w:r w:rsidRPr="000B2786">
        <w:t>Enterprise</w:t>
      </w:r>
      <w:r w:rsidRPr="000B2786">
        <w:t xml:space="preserve"> </w:t>
      </w:r>
      <w:r w:rsidRPr="000B2786">
        <w:t>Cloud</w:t>
      </w:r>
      <w:r w:rsidRPr="000B2786">
        <w:t xml:space="preserve"> </w:t>
      </w:r>
      <w:r w:rsidRPr="000B2786">
        <w:t>Computing</w:t>
      </w:r>
      <w:r w:rsidRPr="000B2786">
        <w:t xml:space="preserve"> </w:t>
      </w:r>
      <w:r w:rsidRPr="000B2786">
        <w:t>Survey</w:t>
      </w:r>
      <w:r w:rsidRPr="000B2786">
        <w:t>), kurā tika aptaujāti 925 pasaules IT un biznesa vadītāji, kur kā būtiskākie šķēršļi MDP lietošanai ir minēti:</w:t>
      </w:r>
    </w:p>
    <w:p w:rsidR="005F6728" w:rsidRPr="000B2786" w:rsidP="00614094" w14:paraId="354A82BF" w14:textId="45BBC078">
      <w:pPr>
        <w:jc w:val="both"/>
      </w:pPr>
      <w:r w:rsidRPr="000B2786">
        <w:t>•</w:t>
      </w:r>
      <w:r w:rsidRPr="000B2786">
        <w:tab/>
        <w:t>Bažas par datu fizisko atrašanos</w:t>
      </w:r>
      <w:r w:rsidRPr="000B2786" w:rsidR="001A71A1">
        <w:t>,</w:t>
      </w:r>
    </w:p>
    <w:p w:rsidR="005F6728" w:rsidRPr="000B2786" w:rsidP="00614094" w14:paraId="0686B434" w14:textId="4ED38CBE">
      <w:pPr>
        <w:jc w:val="both"/>
      </w:pPr>
      <w:r w:rsidRPr="000B2786">
        <w:t>•</w:t>
      </w:r>
      <w:r w:rsidRPr="000B2786">
        <w:tab/>
        <w:t>Bažas par MDP drošību</w:t>
      </w:r>
      <w:r w:rsidRPr="000B2786" w:rsidR="001A71A1">
        <w:t>,</w:t>
      </w:r>
    </w:p>
    <w:p w:rsidR="005F6728" w:rsidRPr="000B2786" w:rsidP="00614094" w14:paraId="78BBE80F" w14:textId="7C562713">
      <w:pPr>
        <w:jc w:val="both"/>
      </w:pPr>
      <w:r w:rsidRPr="000B2786">
        <w:t>•</w:t>
      </w:r>
      <w:r w:rsidRPr="000B2786">
        <w:tab/>
        <w:t xml:space="preserve">Bažas par </w:t>
      </w:r>
      <w:r w:rsidR="00382562">
        <w:t>atkarību no viena piegādātāja (</w:t>
      </w:r>
      <w:r w:rsidRPr="000B2786">
        <w:t>«</w:t>
      </w:r>
      <w:r w:rsidRPr="00382562">
        <w:rPr>
          <w:i/>
        </w:rPr>
        <w:t>lock-in</w:t>
      </w:r>
      <w:r w:rsidRPr="000B2786">
        <w:t>»</w:t>
      </w:r>
      <w:r w:rsidR="00382562">
        <w:t>)</w:t>
      </w:r>
      <w:r>
        <w:rPr>
          <w:rStyle w:val="FootnoteReference"/>
        </w:rPr>
        <w:footnoteReference w:id="15"/>
      </w:r>
      <w:r w:rsidRPr="000B2786" w:rsidR="001A71A1">
        <w:t>.</w:t>
      </w:r>
    </w:p>
    <w:p w:rsidR="00BD457D" w:rsidRPr="005F6728" w:rsidP="00614094" w14:paraId="5EF00F40" w14:textId="14343DB4">
      <w:pPr>
        <w:spacing w:before="120"/>
        <w:ind w:firstLine="720"/>
        <w:jc w:val="both"/>
      </w:pPr>
      <w:r w:rsidRPr="000B2786">
        <w:t xml:space="preserve">Latvijas valsts pārvaldē un valsts </w:t>
      </w:r>
      <w:r w:rsidRPr="000B2786" w:rsidR="00927B5C">
        <w:t>kapitāls</w:t>
      </w:r>
      <w:r w:rsidRPr="000B2786">
        <w:t xml:space="preserve">abiedrībās komerciālus </w:t>
      </w:r>
      <w:r>
        <w:t xml:space="preserve">MDP pagaidām izmanto ļoti ierobežoti. Atsevišķu nozaru iestādēs tiek </w:t>
      </w:r>
      <w:r>
        <w:t>izmanoti</w:t>
      </w:r>
      <w:r>
        <w:t>, piemēram, e-pasta, plašāka tvēruma personālās produktivitātes rīku vai sadarbības/</w:t>
      </w:r>
      <w:r>
        <w:t>koprades</w:t>
      </w:r>
      <w:r>
        <w:t xml:space="preserve"> rīku </w:t>
      </w:r>
      <w:r>
        <w:t>mākoņpakalpojumi</w:t>
      </w:r>
      <w:r>
        <w:t xml:space="preserve">. Plašāk tiek izmantoti un šobrīd tiek strauji attīstīti valsts pārvaldes iekšējie – koplietošanas pakalpojumi. Tomēr līdz šim </w:t>
      </w:r>
      <w:r w:rsidR="00724B28">
        <w:t xml:space="preserve">izveidotajiem </w:t>
      </w:r>
      <w:r>
        <w:t xml:space="preserve">iekšējiem – koplietošanas pakalpojumiem </w:t>
      </w:r>
      <w:r w:rsidR="00724B28">
        <w:t xml:space="preserve">piemīt tikai atsevišķas MDP pazīmes. </w:t>
      </w:r>
      <w:r>
        <w:t xml:space="preserve">    </w:t>
      </w:r>
    </w:p>
    <w:p w:rsidR="00781866" w:rsidRPr="002D2950" w:rsidP="00E40A97" w14:paraId="52065F1D" w14:textId="77777777">
      <w:pPr>
        <w:pStyle w:val="Heading3"/>
        <w:numPr>
          <w:ilvl w:val="2"/>
          <w:numId w:val="12"/>
        </w:numPr>
        <w:pBdr>
          <w:top w:val="nil"/>
          <w:left w:val="nil"/>
          <w:bottom w:val="nil"/>
          <w:right w:val="nil"/>
          <w:between w:val="nil"/>
        </w:pBdr>
        <w:spacing w:before="200" w:line="276" w:lineRule="auto"/>
        <w:jc w:val="both"/>
      </w:pPr>
      <w:bookmarkStart w:id="176" w:name="_Toc497995214"/>
      <w:bookmarkStart w:id="177" w:name="_Toc498016972"/>
      <w:bookmarkStart w:id="178" w:name="_Toc498346617"/>
      <w:bookmarkStart w:id="179" w:name="_Toc505072507"/>
      <w:bookmarkStart w:id="180" w:name="_Toc256000024"/>
      <w:bookmarkStart w:id="181" w:name="_Toc256000070"/>
      <w:r w:rsidRPr="002D2950">
        <w:t>Īrijas pieredze</w:t>
      </w:r>
      <w:bookmarkEnd w:id="181"/>
      <w:bookmarkEnd w:id="180"/>
      <w:bookmarkEnd w:id="176"/>
      <w:bookmarkEnd w:id="177"/>
      <w:bookmarkEnd w:id="178"/>
      <w:bookmarkEnd w:id="179"/>
    </w:p>
    <w:p w:rsidR="00781866" w:rsidRPr="002D2950" w:rsidP="00B03500" w14:paraId="597BCDCD" w14:textId="7E2ED11A">
      <w:pPr>
        <w:ind w:firstLine="720"/>
        <w:jc w:val="both"/>
      </w:pPr>
      <w:r w:rsidRPr="002D2950">
        <w:t xml:space="preserve">Mērķis maksimāli izmantot MDP, bet tajā pašā laikā </w:t>
      </w:r>
      <w:r w:rsidRPr="002D2950" w:rsidR="00DF1363">
        <w:t>orient</w:t>
      </w:r>
      <w:r w:rsidRPr="002D2950">
        <w:t>ēties uz to, lai veidotu valsts pakalpojumu mākoni (</w:t>
      </w:r>
      <w:r w:rsidRPr="002D2950">
        <w:rPr>
          <w:i/>
          <w:iCs/>
        </w:rPr>
        <w:t>community</w:t>
      </w:r>
      <w:r w:rsidRPr="002D2950">
        <w:rPr>
          <w:i/>
          <w:iCs/>
        </w:rPr>
        <w:t xml:space="preserve"> </w:t>
      </w:r>
      <w:r w:rsidRPr="002D2950">
        <w:rPr>
          <w:i/>
          <w:iCs/>
        </w:rPr>
        <w:t>cloud</w:t>
      </w:r>
      <w:r w:rsidRPr="002D2950">
        <w:rPr>
          <w:i/>
          <w:iCs/>
        </w:rPr>
        <w:t xml:space="preserve"> - </w:t>
      </w:r>
      <w:r w:rsidRPr="002D2950">
        <w:t>kopmākonis</w:t>
      </w:r>
      <w:r w:rsidRPr="002D2950">
        <w:t xml:space="preserve">), kurā izvietot pakalpojumus, kas ir </w:t>
      </w:r>
      <w:r w:rsidRPr="002D2950">
        <w:t xml:space="preserve">uzskatāmi par neizvietojamiem publiskā mākonī. Sākotnējais fokuss uz </w:t>
      </w:r>
      <w:r w:rsidRPr="002D2950">
        <w:t>IaaS</w:t>
      </w:r>
      <w:r w:rsidRPr="002D2950">
        <w:t xml:space="preserve"> līmeņa pakalpojumiem, citus pakalpojumus ietverot vēlāk</w:t>
      </w:r>
      <w:r w:rsidRPr="002D2950" w:rsidR="0050732B">
        <w:t>.</w:t>
      </w:r>
    </w:p>
    <w:p w:rsidR="00781866" w:rsidRPr="002D2950" w:rsidP="00E40A97" w14:paraId="7D930B62" w14:textId="77777777">
      <w:pPr>
        <w:pStyle w:val="Heading3"/>
        <w:numPr>
          <w:ilvl w:val="2"/>
          <w:numId w:val="12"/>
        </w:numPr>
        <w:pBdr>
          <w:top w:val="nil"/>
          <w:left w:val="nil"/>
          <w:bottom w:val="nil"/>
          <w:right w:val="nil"/>
          <w:between w:val="nil"/>
        </w:pBdr>
        <w:spacing w:before="200" w:line="276" w:lineRule="auto"/>
        <w:jc w:val="both"/>
      </w:pPr>
      <w:bookmarkStart w:id="182" w:name="_Toc497995215"/>
      <w:bookmarkStart w:id="183" w:name="_Toc498016973"/>
      <w:bookmarkStart w:id="184" w:name="_Toc498346618"/>
      <w:bookmarkStart w:id="185" w:name="_Toc505072508"/>
      <w:bookmarkStart w:id="186" w:name="_Toc256000025"/>
      <w:bookmarkStart w:id="187" w:name="_Toc256000071"/>
      <w:r w:rsidRPr="002D2950">
        <w:t>Austrālijas pieredze</w:t>
      </w:r>
      <w:bookmarkEnd w:id="187"/>
      <w:bookmarkEnd w:id="186"/>
      <w:bookmarkEnd w:id="182"/>
      <w:bookmarkEnd w:id="183"/>
      <w:bookmarkEnd w:id="184"/>
      <w:bookmarkEnd w:id="185"/>
    </w:p>
    <w:p w:rsidR="00781866" w:rsidRPr="002D2950" w:rsidP="00B03500" w14:paraId="0D28AD9C" w14:textId="77777777">
      <w:pPr>
        <w:ind w:firstLine="720"/>
        <w:jc w:val="both"/>
      </w:pPr>
      <w:r w:rsidRPr="002D2950">
        <w:t>Mērķis</w:t>
      </w:r>
      <w:r>
        <w:rPr>
          <w:vertAlign w:val="superscript"/>
        </w:rPr>
        <w:footnoteReference w:id="16"/>
      </w:r>
      <w:r w:rsidRPr="002D2950">
        <w:t xml:space="preserve"> maksimāli efektīvi izmantot MDP, atļaut privātajiem pakalpojumu sniedzējiem piedāvāt savu pakalpojumu, ar nosacījumu, ka tas izpilda atbilstošas minimālās prasības. Ir mēģinājums veidot vienotu platformu (</w:t>
      </w:r>
      <w:r w:rsidRPr="002D2950">
        <w:rPr>
          <w:i/>
        </w:rPr>
        <w:t>cloud</w:t>
      </w:r>
      <w:r w:rsidRPr="002D2950">
        <w:rPr>
          <w:i/>
        </w:rPr>
        <w:t xml:space="preserve"> </w:t>
      </w:r>
      <w:r w:rsidRPr="002D2950">
        <w:rPr>
          <w:i/>
        </w:rPr>
        <w:t>services</w:t>
      </w:r>
      <w:r w:rsidRPr="002D2950">
        <w:rPr>
          <w:i/>
        </w:rPr>
        <w:t xml:space="preserve"> </w:t>
      </w:r>
      <w:r w:rsidRPr="002D2950">
        <w:rPr>
          <w:i/>
        </w:rPr>
        <w:t>panel</w:t>
      </w:r>
      <w:r w:rsidRPr="002D2950">
        <w:t>), kurā var piekļūt pakalpojumiem un kurā ir detalizēti veidoti atsevišķi pakalpojumu līmeņi, kura ietvaros norit aktīva diskusija par mazāku vajadzību ierobežot noteiktu pakalpojumu grupas un atvērt MDP, plašāk veidojot vai nu konkrētu piegādātāju brīvi izvēlētu pakalpojumu katalogu vai tikai pamata līmeņos (</w:t>
      </w:r>
      <w:r w:rsidRPr="002D2950">
        <w:t>IaaS</w:t>
      </w:r>
      <w:r w:rsidRPr="002D2950">
        <w:t xml:space="preserve">, </w:t>
      </w:r>
      <w:r w:rsidRPr="002D2950">
        <w:t>PaaS</w:t>
      </w:r>
      <w:r w:rsidRPr="002D2950">
        <w:t xml:space="preserve">, </w:t>
      </w:r>
      <w:r w:rsidRPr="002D2950">
        <w:t>SaaS</w:t>
      </w:r>
      <w:r w:rsidRPr="002D2950">
        <w:t xml:space="preserve">) definētu pakalpojumu katalogu. Ir atsevišķi noteiktas prasības datu centriem, kas nodrošina pakalpojumu noteiktiem informācijas resursiem (klasifikācija) atrasties Austrālijas teritorijā. </w:t>
      </w:r>
    </w:p>
    <w:p w:rsidR="00781866" w:rsidRPr="002D2950" w:rsidP="00E40A97" w14:paraId="6C98E8A6" w14:textId="77777777">
      <w:pPr>
        <w:pStyle w:val="Heading3"/>
        <w:numPr>
          <w:ilvl w:val="2"/>
          <w:numId w:val="12"/>
        </w:numPr>
        <w:pBdr>
          <w:top w:val="nil"/>
          <w:left w:val="nil"/>
          <w:bottom w:val="nil"/>
          <w:right w:val="nil"/>
          <w:between w:val="nil"/>
        </w:pBdr>
        <w:spacing w:before="200" w:line="276" w:lineRule="auto"/>
        <w:jc w:val="both"/>
      </w:pPr>
      <w:bookmarkStart w:id="188" w:name="_Toc497995216"/>
      <w:bookmarkStart w:id="189" w:name="_Toc498016974"/>
      <w:bookmarkStart w:id="190" w:name="_Toc498346619"/>
      <w:bookmarkStart w:id="191" w:name="_Toc505072509"/>
      <w:bookmarkStart w:id="192" w:name="_Toc256000026"/>
      <w:bookmarkStart w:id="193" w:name="_Toc256000072"/>
      <w:r w:rsidRPr="002D2950">
        <w:t>Lielbritānijas pieredze</w:t>
      </w:r>
      <w:bookmarkEnd w:id="193"/>
      <w:bookmarkEnd w:id="192"/>
      <w:bookmarkEnd w:id="188"/>
      <w:bookmarkEnd w:id="189"/>
      <w:bookmarkEnd w:id="190"/>
      <w:bookmarkEnd w:id="191"/>
    </w:p>
    <w:p w:rsidR="00781866" w:rsidP="00B03500" w14:paraId="4122243D" w14:textId="35D2579D">
      <w:pPr>
        <w:ind w:firstLine="720"/>
        <w:jc w:val="both"/>
      </w:pPr>
      <w:r w:rsidRPr="002D2950">
        <w:t xml:space="preserve">No </w:t>
      </w:r>
      <w:r w:rsidRPr="002D2950">
        <w:t>2013.gada</w:t>
      </w:r>
      <w:r w:rsidRPr="002D2950">
        <w:t xml:space="preserve"> ir izvirzī</w:t>
      </w:r>
      <w:r w:rsidRPr="002D2950" w:rsidR="001B2656">
        <w:t>ta</w:t>
      </w:r>
      <w:r w:rsidRPr="002D2950">
        <w:t xml:space="preserve"> politik</w:t>
      </w:r>
      <w:r w:rsidRPr="002D2950" w:rsidR="001B2656">
        <w:t>a</w:t>
      </w:r>
      <w:r w:rsidRPr="002D2950">
        <w:t>, kas nosaka, ka</w:t>
      </w:r>
      <w:r w:rsidRPr="002D2950" w:rsidR="001B2656">
        <w:t>,</w:t>
      </w:r>
      <w:r w:rsidRPr="002D2950">
        <w:t xml:space="preserve"> pirms citu alternatīvu izvērtēšanas</w:t>
      </w:r>
      <w:r w:rsidRPr="002D2950" w:rsidR="001B2656">
        <w:t>,</w:t>
      </w:r>
      <w:r w:rsidRPr="002D2950">
        <w:t xml:space="preserve"> IKT pakalpojumu saņemšanā obligāti jāizvērtē iespēj</w:t>
      </w:r>
      <w:r w:rsidRPr="002D2950" w:rsidR="001B2656">
        <w:t>a</w:t>
      </w:r>
      <w:r w:rsidRPr="002D2950">
        <w:t xml:space="preserve"> izmantot </w:t>
      </w:r>
      <w:r w:rsidRPr="002D2950">
        <w:t>mākoņdatošanas</w:t>
      </w:r>
      <w:r w:rsidRPr="002D2950">
        <w:t xml:space="preserve"> pakalpojumus</w:t>
      </w:r>
      <w:r w:rsidRPr="002D2950" w:rsidR="001B2656">
        <w:t>,</w:t>
      </w:r>
      <w:r w:rsidRPr="002D2950">
        <w:t xml:space="preserve"> kā primāro izvēloties Publisko mākoni un paredzot vadlīnijas izvērtēšanai</w:t>
      </w:r>
      <w:r>
        <w:rPr>
          <w:vertAlign w:val="superscript"/>
        </w:rPr>
        <w:footnoteReference w:id="17"/>
      </w:r>
      <w:r w:rsidRPr="002D2950">
        <w:t xml:space="preserve">. Izvērtēšanas kontekstā </w:t>
      </w:r>
      <w:r w:rsidRPr="002D2950" w:rsidR="00124903">
        <w:t xml:space="preserve">dota </w:t>
      </w:r>
      <w:r w:rsidRPr="002D2950">
        <w:t xml:space="preserve">prioritāte </w:t>
      </w:r>
      <w:r w:rsidRPr="002D2950" w:rsidR="000965A8">
        <w:t>mākoņpakalpojumiem</w:t>
      </w:r>
      <w:r w:rsidRPr="002D2950" w:rsidR="000965A8">
        <w:t xml:space="preserve"> </w:t>
      </w:r>
      <w:r w:rsidRPr="002D2950">
        <w:t xml:space="preserve">(jāsniedz pretējā gadījumā argumenti, kāpēc neizmantot: (a) publisko mākoni (b) </w:t>
      </w:r>
      <w:r w:rsidRPr="002D2950">
        <w:t>SaaS</w:t>
      </w:r>
      <w:r w:rsidRPr="002D2950">
        <w:t xml:space="preserve"> tipa pakalpojumu</w:t>
      </w:r>
      <w:r>
        <w:rPr>
          <w:vertAlign w:val="superscript"/>
        </w:rPr>
        <w:footnoteReference w:id="18"/>
      </w:r>
      <w:r w:rsidRPr="002D2950" w:rsidR="001B2656">
        <w:t>)</w:t>
      </w:r>
      <w:r w:rsidRPr="002D2950">
        <w:t>.</w:t>
      </w:r>
      <w:bookmarkStart w:id="194" w:name="_e8rlln2cqvl9" w:colFirst="0" w:colLast="0"/>
      <w:bookmarkEnd w:id="194"/>
    </w:p>
    <w:p w:rsidR="000276BA" w:rsidP="00B03500" w14:paraId="1372D508" w14:textId="77777777">
      <w:pPr>
        <w:ind w:firstLine="720"/>
        <w:jc w:val="both"/>
      </w:pPr>
    </w:p>
    <w:p w:rsidR="000276BA" w:rsidP="000276BA" w14:paraId="024407E6" w14:textId="7C451432">
      <w:pPr>
        <w:pStyle w:val="Heading3"/>
        <w:numPr>
          <w:ilvl w:val="2"/>
          <w:numId w:val="12"/>
        </w:numPr>
        <w:pBdr>
          <w:top w:val="nil"/>
          <w:left w:val="nil"/>
          <w:bottom w:val="nil"/>
          <w:right w:val="nil"/>
          <w:between w:val="nil"/>
        </w:pBdr>
        <w:spacing w:before="200" w:line="276" w:lineRule="auto"/>
        <w:jc w:val="both"/>
      </w:pPr>
      <w:bookmarkStart w:id="195" w:name="_Toc505072510"/>
      <w:bookmarkStart w:id="196" w:name="_Toc256000027"/>
      <w:bookmarkStart w:id="197" w:name="_Toc256000073"/>
      <w:r>
        <w:t>Igaunijas pieredze</w:t>
      </w:r>
      <w:bookmarkEnd w:id="197"/>
      <w:bookmarkEnd w:id="196"/>
      <w:bookmarkEnd w:id="195"/>
    </w:p>
    <w:p w:rsidR="000276BA" w:rsidP="000276BA" w14:paraId="103C84C0" w14:textId="1F3142B3">
      <w:pPr>
        <w:ind w:firstLine="720"/>
        <w:jc w:val="both"/>
      </w:pPr>
      <w:r w:rsidRPr="000276BA">
        <w:t xml:space="preserve">Publisko personu IKT resursu konsolidācija trīs savstarpēji aizvietojamos datu centros, </w:t>
      </w:r>
      <w:r w:rsidRPr="000276BA">
        <w:t>Estonia</w:t>
      </w:r>
      <w:r w:rsidRPr="000276BA">
        <w:t xml:space="preserve"> </w:t>
      </w:r>
      <w:r w:rsidRPr="000276BA">
        <w:t>Governmental</w:t>
      </w:r>
      <w:r w:rsidRPr="000276BA">
        <w:t xml:space="preserve"> </w:t>
      </w:r>
      <w:r w:rsidRPr="000276BA">
        <w:t>Cloud</w:t>
      </w:r>
      <w:r w:rsidRPr="000276BA">
        <w:t xml:space="preserve"> mākoņa izveide valsts teritorijā, atsevišķu IS darbināšanā realizējot arī publisko mākoņu izmantošanu, kopš 2017. gada nodrošina spēju kritiskās IS atkopt un iedarbināt ārpus valsts, izmantojot izmitināšanu jeb t.s. Datu vēstniecības Igaunijai draudzīgajās valstīs</w:t>
      </w:r>
      <w:r>
        <w:t>.</w:t>
      </w:r>
    </w:p>
    <w:p w:rsidR="000276BA" w:rsidP="00B03500" w14:paraId="7CBD6D26" w14:textId="77777777">
      <w:pPr>
        <w:ind w:firstLine="720"/>
        <w:jc w:val="both"/>
      </w:pPr>
    </w:p>
    <w:p w:rsidR="005F6728" w:rsidRPr="002D2950" w:rsidP="00B03500" w14:paraId="4E8A4D77" w14:textId="77777777">
      <w:pPr>
        <w:ind w:firstLine="720"/>
        <w:jc w:val="both"/>
      </w:pPr>
    </w:p>
    <w:p w:rsidR="000965A8" w:rsidRPr="002D2950" w:rsidP="00E40A97" w14:paraId="03A5A4D9" w14:textId="52BB2139">
      <w:pPr>
        <w:pStyle w:val="Heading2"/>
        <w:numPr>
          <w:ilvl w:val="1"/>
          <w:numId w:val="12"/>
        </w:numPr>
        <w:pBdr>
          <w:top w:val="nil"/>
          <w:left w:val="nil"/>
          <w:bottom w:val="nil"/>
          <w:right w:val="nil"/>
          <w:between w:val="nil"/>
        </w:pBdr>
        <w:spacing w:before="0" w:after="160" w:line="276" w:lineRule="auto"/>
        <w:rPr>
          <w:sz w:val="24"/>
          <w:szCs w:val="24"/>
        </w:rPr>
      </w:pPr>
      <w:bookmarkStart w:id="198" w:name="_Toc497995217"/>
      <w:bookmarkStart w:id="199" w:name="_Toc498016975"/>
      <w:bookmarkStart w:id="200" w:name="_Toc498346620"/>
      <w:bookmarkStart w:id="201" w:name="_Toc505072511"/>
      <w:bookmarkStart w:id="202" w:name="_Toc256000028"/>
      <w:bookmarkStart w:id="203" w:name="_Toc256000074"/>
      <w:r w:rsidRPr="002D2950">
        <w:rPr>
          <w:sz w:val="24"/>
          <w:szCs w:val="24"/>
        </w:rPr>
        <w:t>Secinājumi</w:t>
      </w:r>
      <w:bookmarkEnd w:id="203"/>
      <w:bookmarkEnd w:id="202"/>
      <w:bookmarkEnd w:id="198"/>
      <w:bookmarkEnd w:id="199"/>
      <w:bookmarkEnd w:id="200"/>
      <w:bookmarkEnd w:id="201"/>
    </w:p>
    <w:p w:rsidR="00781866" w:rsidP="00CF1EC4" w14:paraId="66E480EA" w14:textId="2A4EDD34">
      <w:pPr>
        <w:spacing w:before="120"/>
        <w:ind w:firstLine="720"/>
        <w:jc w:val="both"/>
      </w:pPr>
      <w:r w:rsidRPr="002D2950">
        <w:t xml:space="preserve">Neapšaubāmi viens no galvenajiem MDP izmantošanas ieguvumiem ir IT izmaksu samazināšanās, konsolidējot IT resursus </w:t>
      </w:r>
      <w:r w:rsidR="00161D99">
        <w:t>un</w:t>
      </w:r>
      <w:r w:rsidRPr="002D2950">
        <w:t xml:space="preserve"> izmantojot MDP kā </w:t>
      </w:r>
      <w:r w:rsidR="00161D99">
        <w:t xml:space="preserve">koplietošanas vai </w:t>
      </w:r>
      <w:r w:rsidRPr="002D2950">
        <w:t>ārpakalpojumu. Pat vairāk, MDP izmantošana ļauj vienkārš</w:t>
      </w:r>
      <w:r w:rsidR="00456B4E">
        <w:t xml:space="preserve">ot </w:t>
      </w:r>
      <w:r w:rsidRPr="002D2950">
        <w:t>I</w:t>
      </w:r>
      <w:r w:rsidR="00456B4E">
        <w:t>K</w:t>
      </w:r>
      <w:r w:rsidRPr="002D2950">
        <w:t>T izmaks</w:t>
      </w:r>
      <w:r w:rsidR="00456B4E">
        <w:t>u pārvaldību</w:t>
      </w:r>
      <w:r w:rsidRPr="002D2950">
        <w:t xml:space="preserve">, jo MDP pasūtītājiem ir jāmaksā tikai par izmantotajiem </w:t>
      </w:r>
      <w:r w:rsidR="00456B4E">
        <w:t>pakalpojumiem</w:t>
      </w:r>
      <w:r w:rsidRPr="002D2950">
        <w:t>. Tāpat valsts iestādēm ir iespējams ietaupīt arī IT administrēšanas izmaksas, jo MDP gadījumā šo pozīciju nodrošina pakalpojumu sniedzējs.</w:t>
      </w:r>
      <w:r w:rsidRPr="0000153E" w:rsidR="0000153E">
        <w:t xml:space="preserve"> </w:t>
      </w:r>
      <w:r w:rsidR="0000153E">
        <w:t>Atbilstoši EK 10.01.2017 publicētajā pētījumā «MDP ekonomiskās ietekmes novērtējums Eiropā» secinātajam: Dažādos pētījumos ir novērtēts, ka MDP ieviešana ļauj uzņēmumiem samazināt IT izmaksas robežās no 20% līdz 50%. Tāpat pētījumi rāda, ka MDP par 30% samazina oglekļa emisijas lieliem, jau efektīviem uzņēmumiem un līdz pat 90% mazākiem un mazāk efektīviem uzņēmumiem</w:t>
      </w:r>
      <w:r>
        <w:rPr>
          <w:rStyle w:val="FootnoteReference"/>
        </w:rPr>
        <w:footnoteReference w:id="19"/>
      </w:r>
      <w:r w:rsidR="009A0AD5">
        <w:t>.</w:t>
      </w:r>
    </w:p>
    <w:p w:rsidR="00781866" w:rsidRPr="002D2950" w:rsidP="00CF1EC4" w14:paraId="67328E5C" w14:textId="77777777">
      <w:pPr>
        <w:spacing w:before="120"/>
        <w:ind w:firstLine="720"/>
        <w:jc w:val="both"/>
      </w:pPr>
      <w:r w:rsidRPr="002D2950">
        <w:t>Otrs būtisks ieguvums ir vienkārša un elastīga sistēma ar plašākām mērogojamības iespējām, salīdzinot ar tradicionālajām skaitļošanas sistēmām. MDP izmantošana vienkāršo IT resursu pārvaldību un ļauj valsts iestādēm koncentrēties uz primāro uzdevumu veikšanu</w:t>
      </w:r>
      <w:r w:rsidRPr="002D2950">
        <w:t xml:space="preserve"> un</w:t>
      </w:r>
      <w:r w:rsidRPr="002D2950">
        <w:t xml:space="preserve"> IT infrastruktūras pārvaldību uzticot MDP ārpakalpojumu sniedzējiem.</w:t>
      </w:r>
    </w:p>
    <w:p w:rsidR="00781866" w:rsidP="00CF1EC4" w14:paraId="198C5B35" w14:textId="7D49324F">
      <w:pPr>
        <w:spacing w:before="120"/>
        <w:ind w:firstLine="720"/>
        <w:jc w:val="both"/>
      </w:pPr>
      <w:r w:rsidRPr="002D2950">
        <w:t>Tāpat kā būtisku ieguvumu var</w:t>
      </w:r>
      <w:r w:rsidRPr="002D2950">
        <w:t xml:space="preserve"> minēt sistēmu uzticamību un pieejamību. MDP pakalpojumi galvenokārt ir pieejami</w:t>
      </w:r>
      <w:r w:rsidRPr="002D2950" w:rsidR="004B44F7">
        <w:t>,</w:t>
      </w:r>
      <w:r w:rsidRPr="002D2950">
        <w:t xml:space="preserve"> izmantojot Internetu, jebkurā laikā un neatkarīgi no lietotāja atrašanās vietas. Tipiski MDP ārpakalpojumu sniedzēji nodrošina augstu savu pakalpojumu pieejamību, jo tas ir pakalpojuma sniedzēja uzticamības jautājums. Papildus tam</w:t>
      </w:r>
      <w:r w:rsidRPr="002D2950">
        <w:t xml:space="preserve">  </w:t>
      </w:r>
      <w:r w:rsidRPr="002D2950">
        <w:t>mākoņdatošanas</w:t>
      </w:r>
      <w:r w:rsidRPr="002D2950">
        <w:t xml:space="preserve"> tehnoloģijas ļauj veidot </w:t>
      </w:r>
      <w:r w:rsidRPr="002D2950">
        <w:t>bojājumnoturīgus</w:t>
      </w:r>
      <w:r w:rsidRPr="002D2950">
        <w:t xml:space="preserve"> risinājumus, izvietojot resursus un datus vairākos ģeogrāfiski attālinātos skaitļošanas mezglos, pasargājot datus no plūdu, ugunsgrēku un citiem draudiem.</w:t>
      </w:r>
    </w:p>
    <w:p w:rsidR="003E7BE6" w:rsidP="00CF1EC4" w14:paraId="6DAC336A" w14:textId="02B05F8D">
      <w:pPr>
        <w:spacing w:before="120"/>
        <w:ind w:firstLine="720"/>
        <w:jc w:val="both"/>
      </w:pPr>
      <w:r w:rsidRPr="003E7BE6">
        <w:t xml:space="preserve">Vēl viens būtisks </w:t>
      </w:r>
      <w:r>
        <w:t xml:space="preserve">potenciāls </w:t>
      </w:r>
      <w:r w:rsidRPr="003E7BE6">
        <w:t xml:space="preserve">ieguvums </w:t>
      </w:r>
      <w:r>
        <w:t xml:space="preserve">ir iespēja izmantot praktiski </w:t>
      </w:r>
      <w:r w:rsidRPr="003E7BE6">
        <w:t>visu</w:t>
      </w:r>
      <w:r>
        <w:t>s</w:t>
      </w:r>
      <w:r w:rsidRPr="003E7BE6">
        <w:t xml:space="preserve"> pieejamo</w:t>
      </w:r>
      <w:r>
        <w:t>s</w:t>
      </w:r>
      <w:r w:rsidRPr="003E7BE6">
        <w:t xml:space="preserve"> resursu</w:t>
      </w:r>
      <w:r>
        <w:t xml:space="preserve">s, nodrošinot pārejas procesu pakāpeniskumu. </w:t>
      </w:r>
      <w:r w:rsidRPr="003E7BE6">
        <w:t>Mūsdienu privāto mākoņu platformu tehnoloģijas ļauj atšķirīgu ražotāju serverus un datu masīvus bez būtiskiem ierobežojumiem konsolidēt vienā vai vairākos infrastruktūras pūlos, tādējādi sniedzot iespēju saglabāt līdzšinējās aparatūras iegādē veiktās investīcijas. Realizējot šādu scenāriju, risināma būtu tikai resursu pārcelšana uz atbilstošas klases datu centru un iekļaušana resursu pūlā, un saistīto e-pakalpojumu Informācijas sistēmu migrācija uz resursu pūlu.</w:t>
      </w:r>
    </w:p>
    <w:p w:rsidR="00781866" w:rsidRPr="002D2950" w:rsidP="00CF1EC4" w14:paraId="15CA59F4" w14:textId="581643F1">
      <w:pPr>
        <w:spacing w:before="120"/>
        <w:ind w:firstLine="720"/>
        <w:jc w:val="both"/>
      </w:pPr>
      <w:r w:rsidRPr="002D2950">
        <w:t>Lai arī MDP izmantošanā valsts pārvaldē ir vairākas priekšrocības, jāatzīmē arī ar MDP saistītie riski, kas ir jāņem vērā</w:t>
      </w:r>
      <w:r w:rsidRPr="002D2950" w:rsidR="004B44F7">
        <w:t>,</w:t>
      </w:r>
      <w:r w:rsidRPr="002D2950">
        <w:t xml:space="preserve"> izvēloties MDP pakalpojumus.</w:t>
      </w:r>
      <w:r w:rsidR="00456B4E">
        <w:t xml:space="preserve"> </w:t>
      </w:r>
      <w:r w:rsidRPr="002D2950">
        <w:t xml:space="preserve">Kā pirmo būtiskāko izaicinājumu </w:t>
      </w:r>
      <w:r w:rsidR="00456B4E">
        <w:t xml:space="preserve">ir </w:t>
      </w:r>
      <w:r w:rsidRPr="002D2950">
        <w:t xml:space="preserve">jāmin </w:t>
      </w:r>
      <w:r w:rsidR="00456B4E">
        <w:t xml:space="preserve">fiziskās </w:t>
      </w:r>
      <w:r w:rsidRPr="002D2950">
        <w:t>kontroles zudum</w:t>
      </w:r>
      <w:r w:rsidR="00456B4E">
        <w:t>u</w:t>
      </w:r>
      <w:r w:rsidRPr="002D2950">
        <w:t xml:space="preserve"> pār dat</w:t>
      </w:r>
      <w:r w:rsidR="00456B4E">
        <w:t>us apstrādājošiem IKT risinājum</w:t>
      </w:r>
      <w:r w:rsidRPr="002D2950">
        <w:t>iem</w:t>
      </w:r>
      <w:r w:rsidRPr="002D2950">
        <w:t xml:space="preserve">. </w:t>
      </w:r>
      <w:r w:rsidRPr="002D2950" w:rsidR="004B44F7">
        <w:t>Tā kā</w:t>
      </w:r>
      <w:r w:rsidRPr="002D2950">
        <w:t xml:space="preserve"> dati tiek izvietoti pie MDP sniedzēja, aktuāls </w:t>
      </w:r>
      <w:r w:rsidRPr="002D2950" w:rsidR="004B44F7">
        <w:t xml:space="preserve">ir </w:t>
      </w:r>
      <w:r w:rsidRPr="002D2950">
        <w:t>jautājums – vai MDP sniedzējam var uzticēties tikpat lielā mērā kā tad, ja dati atrastos lokāli. Kā viens no iespējamiem risinājumiem šim jautājumam ir MDP sniedzēju sertifikācija, izmantojot neatkarīgu trešo pušu sertifikāciju, piemēram, ISO 27001.</w:t>
      </w:r>
      <w:r w:rsidR="000F3B1D">
        <w:t xml:space="preserve"> Vēl stingrāku – tiešu, bet bez fiziskas klātbūtnes, kontroli pār būtisku datu apstrādes procesiem var saglabāt, attīstot privātu mākoņu risinājumus MDP piegādātāju tehniskajā infrastruktūrā vai veidojot </w:t>
      </w:r>
      <w:r w:rsidRPr="000F3B1D" w:rsidR="000F3B1D">
        <w:t xml:space="preserve">hibrīda </w:t>
      </w:r>
      <w:r w:rsidR="000F3B1D">
        <w:t xml:space="preserve">tipa </w:t>
      </w:r>
      <w:r w:rsidRPr="000F3B1D" w:rsidR="000F3B1D">
        <w:t>mākoņ</w:t>
      </w:r>
      <w:r w:rsidR="000F3B1D">
        <w:t>us ar</w:t>
      </w:r>
      <w:r w:rsidR="000F3B1D">
        <w:t xml:space="preserve"> </w:t>
      </w:r>
      <w:r w:rsidRPr="000F3B1D" w:rsidR="000F3B1D">
        <w:t xml:space="preserve"> </w:t>
      </w:r>
      <w:r w:rsidRPr="000F3B1D" w:rsidR="000F3B1D">
        <w:t>MDP sniedzēj</w:t>
      </w:r>
      <w:r w:rsidR="000F3B1D">
        <w:t xml:space="preserve">iem. </w:t>
      </w:r>
    </w:p>
    <w:p w:rsidR="00781866" w:rsidRPr="002D2950" w:rsidP="00CF1EC4" w14:paraId="0EE99DC4" w14:textId="01441A54">
      <w:pPr>
        <w:spacing w:before="120"/>
        <w:ind w:firstLine="720"/>
        <w:jc w:val="both"/>
      </w:pPr>
      <w:r w:rsidRPr="002D2950">
        <w:t>Nākošais būtiskais problēmjautājums, kas ir cieši saistīt</w:t>
      </w:r>
      <w:r w:rsidRPr="002D2950" w:rsidR="004B44F7">
        <w:t>s</w:t>
      </w:r>
      <w:r w:rsidRPr="002D2950">
        <w:t xml:space="preserve"> ar </w:t>
      </w:r>
      <w:r w:rsidR="001D40BC">
        <w:t>augstāk minēto</w:t>
      </w:r>
      <w:r w:rsidRPr="002D2950">
        <w:t xml:space="preserve">, ir drošība un privātums. </w:t>
      </w:r>
      <w:r w:rsidRPr="002D2950" w:rsidR="004B44F7">
        <w:t>MDP</w:t>
      </w:r>
      <w:r w:rsidRPr="002D2950">
        <w:t xml:space="preserve"> drošības jautājumus var iedalīt četrās grupās – drošības jautājumi saistīti ar trešajām pusēm; lietojumprogrammu drošība; datu pārraides drošība; datu uzglabāšanas drošība.</w:t>
      </w:r>
    </w:p>
    <w:p w:rsidR="00781866" w:rsidP="00CF1EC4" w14:paraId="33561D8E" w14:textId="0E93A70A">
      <w:pPr>
        <w:spacing w:before="120"/>
        <w:ind w:firstLine="720"/>
        <w:jc w:val="both"/>
      </w:pPr>
      <w:r w:rsidRPr="002D2950">
        <w:t>Kā vēl viens potenciāls problēmjautājums jāmin veiktspēja, it īpaši datu-</w:t>
      </w:r>
      <w:r w:rsidRPr="002D2950">
        <w:t>intensīvu vai ģeogrāfiski attālu</w:t>
      </w:r>
      <w:r w:rsidRPr="002D2950">
        <w:t xml:space="preserve"> MDP gadījumā. Datu pārraides traucējumi Interneta vidē, datu apstrādes intensitāte</w:t>
      </w:r>
      <w:r w:rsidRPr="002D2950" w:rsidR="004B44F7">
        <w:t>,</w:t>
      </w:r>
      <w:r w:rsidRPr="002D2950">
        <w:t xml:space="preserve"> kā arī vienlaicīgais lietotāju skaita pieaugums var radīt MDP veiktspējas problēmas. Lai arī teorētiski MDP pakalpojumi ir ar neierobežotu resursu apjomu un i</w:t>
      </w:r>
      <w:r w:rsidRPr="002D2950" w:rsidR="004B44F7">
        <w:t xml:space="preserve">r viegli mērogojami, realitātē </w:t>
      </w:r>
      <w:r w:rsidRPr="002D2950">
        <w:t>gadījumos</w:t>
      </w:r>
      <w:r w:rsidRPr="002D2950" w:rsidR="004B44F7">
        <w:t>,</w:t>
      </w:r>
      <w:r w:rsidRPr="002D2950">
        <w:t xml:space="preserve"> kad pakalpojumu sniedzējs nespēj apmierināt pieprasījuma pieaugumu, kas pārsniedz paredzētos limitus, situācija </w:t>
      </w:r>
      <w:r w:rsidR="00C20C32">
        <w:t>var kļū</w:t>
      </w:r>
      <w:r w:rsidRPr="002D2950">
        <w:t>t sarežģīta.</w:t>
      </w:r>
    </w:p>
    <w:p w:rsidR="00263E0D" w:rsidP="00CF1EC4" w14:paraId="458AA2C4" w14:textId="4637E322">
      <w:pPr>
        <w:spacing w:before="120"/>
        <w:ind w:firstLine="720"/>
        <w:jc w:val="both"/>
      </w:pPr>
      <w:r>
        <w:t>Tāpat kā jebkāda veida ārpakalpojumu vai koplietošanas pakalpojumu izmantošanas gadījumā</w:t>
      </w:r>
      <w:r w:rsidRPr="003F6F93">
        <w:t xml:space="preserve">, MDP </w:t>
      </w:r>
      <w:r w:rsidRPr="003F6F93" w:rsidR="00D4302D">
        <w:t>lie</w:t>
      </w:r>
      <w:r w:rsidRPr="003F6F93">
        <w:t xml:space="preserve">totājiem ir jāizvērtē tas, cik </w:t>
      </w:r>
      <w:r>
        <w:t xml:space="preserve">lielā mērā tā funkciju izpilde kļūst atkarīga no </w:t>
      </w:r>
      <w:r w:rsidRPr="00263E0D">
        <w:t>pakalpojuma sniedzēja</w:t>
      </w:r>
      <w:r>
        <w:t xml:space="preserve">. </w:t>
      </w:r>
      <w:r w:rsidR="00DE0223">
        <w:t>Ī</w:t>
      </w:r>
      <w:r w:rsidRPr="00DE0223" w:rsidR="00DE0223">
        <w:t xml:space="preserve">paši augstas ietekmes risku gadījumos </w:t>
      </w:r>
      <w:r w:rsidR="00DE0223">
        <w:t xml:space="preserve">tie var tikt </w:t>
      </w:r>
      <w:r>
        <w:t>pārvaldīti</w:t>
      </w:r>
      <w:r w:rsidR="00DE0223">
        <w:t xml:space="preserve">, </w:t>
      </w:r>
      <w:r>
        <w:t>vienlaicīgi piesaistot</w:t>
      </w:r>
      <w:r>
        <w:t xml:space="preserve"> alternatīvus piegādātājus</w:t>
      </w:r>
      <w:r w:rsidR="00DE0223">
        <w:t xml:space="preserve">. </w:t>
      </w:r>
      <w:r>
        <w:t xml:space="preserve"> </w:t>
      </w:r>
    </w:p>
    <w:p w:rsidR="00D719F8" w:rsidP="00816608" w14:paraId="2A0AB8A5" w14:textId="77777777">
      <w:pPr>
        <w:ind w:firstLine="720"/>
        <w:jc w:val="both"/>
      </w:pPr>
    </w:p>
    <w:p w:rsidR="00D719F8" w:rsidP="00816608" w14:paraId="1C7F44DB" w14:textId="77777777">
      <w:pPr>
        <w:ind w:firstLine="720"/>
        <w:jc w:val="both"/>
      </w:pPr>
    </w:p>
    <w:p w:rsidR="00D719F8" w:rsidP="00816608" w14:paraId="59814C71" w14:textId="77777777">
      <w:pPr>
        <w:ind w:firstLine="720"/>
        <w:jc w:val="both"/>
      </w:pPr>
    </w:p>
    <w:p w:rsidR="00781866" w:rsidRPr="002D2950" w:rsidP="00E40A97" w14:paraId="09B890A7" w14:textId="403DFE9F">
      <w:pPr>
        <w:pStyle w:val="Heading1"/>
        <w:keepLines/>
        <w:numPr>
          <w:ilvl w:val="0"/>
          <w:numId w:val="12"/>
        </w:numPr>
        <w:pBdr>
          <w:top w:val="nil"/>
          <w:left w:val="nil"/>
          <w:bottom w:val="nil"/>
          <w:right w:val="nil"/>
          <w:between w:val="nil"/>
        </w:pBdr>
        <w:spacing w:before="0" w:after="200" w:line="276" w:lineRule="auto"/>
        <w:contextualSpacing/>
      </w:pPr>
      <w:bookmarkStart w:id="204" w:name="_pq25rf2emuop" w:colFirst="0" w:colLast="0"/>
      <w:bookmarkStart w:id="205" w:name="_Toc498346621"/>
      <w:bookmarkStart w:id="206" w:name="_Toc505072512"/>
      <w:bookmarkEnd w:id="204"/>
      <w:bookmarkStart w:id="207" w:name="_Toc256000029"/>
      <w:bookmarkStart w:id="208" w:name="_Toc256000075"/>
      <w:r w:rsidRPr="002D2950">
        <w:t>M</w:t>
      </w:r>
      <w:r w:rsidRPr="002D2950">
        <w:t>ākoņdatošanas</w:t>
      </w:r>
      <w:r w:rsidRPr="002D2950">
        <w:t xml:space="preserve"> </w:t>
      </w:r>
      <w:r w:rsidR="00CB26C6">
        <w:t xml:space="preserve">pakalpojumu </w:t>
      </w:r>
      <w:r w:rsidRPr="002D2950">
        <w:t>izmantošanas iespējas valsts pārvaldē</w:t>
      </w:r>
      <w:bookmarkEnd w:id="208"/>
      <w:bookmarkEnd w:id="207"/>
      <w:bookmarkEnd w:id="205"/>
      <w:bookmarkEnd w:id="206"/>
    </w:p>
    <w:p w:rsidR="00781866" w:rsidRPr="002D2950" w:rsidP="00071D3D" w14:paraId="67598B11" w14:textId="4CA0AD65">
      <w:pPr>
        <w:spacing w:after="120"/>
        <w:ind w:firstLine="720"/>
        <w:jc w:val="both"/>
      </w:pPr>
      <w:r>
        <w:t xml:space="preserve">Balstoties uz </w:t>
      </w:r>
      <w:r w:rsidRPr="002D2950">
        <w:t xml:space="preserve">citu valstu pieredzi attiecībā uz MDP sniegto iespēju izmantošanu valsts pārvaldē, Ziņojums </w:t>
      </w:r>
      <w:r w:rsidR="00ED6F1E">
        <w:t xml:space="preserve">piedāvā arī Latvijā piemērot pieeju </w:t>
      </w:r>
      <w:r w:rsidRPr="002D2950" w:rsidR="00774275">
        <w:t>“</w:t>
      </w:r>
      <w:r w:rsidRPr="002D2950">
        <w:t>MDP kā pirmā izvēle</w:t>
      </w:r>
      <w:r w:rsidRPr="002D2950" w:rsidR="00774275">
        <w:t>”</w:t>
      </w:r>
      <w:r w:rsidRPr="002D2950">
        <w:t>, tād</w:t>
      </w:r>
      <w:r w:rsidR="00ED6F1E">
        <w:t>ē</w:t>
      </w:r>
      <w:r w:rsidRPr="002D2950">
        <w:t>jādi</w:t>
      </w:r>
      <w:r w:rsidR="00ED6F1E">
        <w:t xml:space="preserve"> veicinot valsts pārvaldes resursu fokusējumu uz pamatdarbības uzdevumiem, kā arī to, ka </w:t>
      </w:r>
      <w:r w:rsidRPr="002D2950">
        <w:t>ilgtermiņā valsts pārvaldē tiks modernizētas esošās valsts pārvaldes IKT sistēmas, apmierināts pieprasījums pēc jaunām, modernām IKT valsts pārvaldības sistēmām, uzlabota IKT pakalpojumu pārvaldība, kā arī nodrošināta konsekventa MDP risku pārvaldīb</w:t>
      </w:r>
      <w:r w:rsidR="005035D6">
        <w:t>a</w:t>
      </w:r>
      <w:r w:rsidRPr="002D2950">
        <w:t>.</w:t>
      </w:r>
    </w:p>
    <w:p w:rsidR="00781866" w:rsidRPr="00071D3D" w:rsidP="00FA0E3C" w14:paraId="7138F1FA" w14:textId="24CFFC11">
      <w:pPr>
        <w:pStyle w:val="Heading2"/>
        <w:numPr>
          <w:ilvl w:val="1"/>
          <w:numId w:val="12"/>
        </w:numPr>
        <w:pBdr>
          <w:top w:val="nil"/>
          <w:left w:val="nil"/>
          <w:bottom w:val="nil"/>
          <w:right w:val="nil"/>
          <w:between w:val="nil"/>
        </w:pBdr>
        <w:spacing w:before="0" w:after="0" w:line="276" w:lineRule="auto"/>
        <w:jc w:val="both"/>
        <w:rPr>
          <w:sz w:val="24"/>
          <w:szCs w:val="24"/>
        </w:rPr>
      </w:pPr>
      <w:bookmarkStart w:id="209" w:name="_Toc496001885"/>
      <w:bookmarkStart w:id="210" w:name="_Toc497818681"/>
      <w:bookmarkStart w:id="211" w:name="_Toc497995220"/>
      <w:bookmarkStart w:id="212" w:name="_Toc498016978"/>
      <w:bookmarkStart w:id="213" w:name="_Toc498346623"/>
      <w:bookmarkStart w:id="214" w:name="_Toc505072513"/>
      <w:bookmarkStart w:id="215" w:name="_Toc256000030"/>
      <w:bookmarkStart w:id="216" w:name="_Toc256000076"/>
      <w:r w:rsidRPr="00071D3D">
        <w:rPr>
          <w:sz w:val="24"/>
          <w:szCs w:val="24"/>
        </w:rPr>
        <w:t>Mākoņdatošanas</w:t>
      </w:r>
      <w:r w:rsidRPr="00071D3D">
        <w:rPr>
          <w:sz w:val="24"/>
          <w:szCs w:val="24"/>
        </w:rPr>
        <w:t xml:space="preserve"> izmantošanas valsts pārvaldē ieguvumi</w:t>
      </w:r>
      <w:bookmarkEnd w:id="216"/>
      <w:bookmarkEnd w:id="215"/>
      <w:bookmarkEnd w:id="209"/>
      <w:bookmarkEnd w:id="210"/>
      <w:bookmarkEnd w:id="211"/>
      <w:bookmarkEnd w:id="212"/>
      <w:bookmarkEnd w:id="213"/>
      <w:bookmarkEnd w:id="214"/>
    </w:p>
    <w:p w:rsidR="00781866" w:rsidRPr="002D2950" w:rsidP="00071D3D" w14:paraId="30A7E5C1" w14:textId="77777777">
      <w:pPr>
        <w:spacing w:after="120"/>
        <w:ind w:firstLine="720"/>
        <w:jc w:val="both"/>
      </w:pPr>
      <w:r w:rsidRPr="002D2950">
        <w:t>Uzsākot MDP izmantošanu valsts pārvaldē un ieviešot vienotu MDP pārvaldību, būtiskākie īstermiņa ieguvumi ir:</w:t>
      </w:r>
    </w:p>
    <w:p w:rsidR="00781866" w:rsidRPr="002D2950" w:rsidP="00010528" w14:paraId="3425E02D" w14:textId="66307E28">
      <w:pPr>
        <w:numPr>
          <w:ilvl w:val="0"/>
          <w:numId w:val="8"/>
        </w:numPr>
        <w:pBdr>
          <w:top w:val="nil"/>
          <w:left w:val="nil"/>
          <w:bottom w:val="nil"/>
          <w:right w:val="nil"/>
          <w:between w:val="nil"/>
        </w:pBdr>
        <w:spacing w:after="400" w:line="276" w:lineRule="auto"/>
        <w:contextualSpacing/>
        <w:jc w:val="both"/>
      </w:pPr>
      <w:r w:rsidRPr="002D2950">
        <w:t xml:space="preserve">IKT pakalpojumu struktūras sakārtošana, </w:t>
      </w:r>
      <w:r w:rsidRPr="00010528" w:rsidR="00010528">
        <w:t xml:space="preserve">ieviešot lokālos resursu mākoņus, kas </w:t>
      </w:r>
      <w:r w:rsidR="000F3B1D">
        <w:t xml:space="preserve">nodrošina koplietošanas pakalpojumus </w:t>
      </w:r>
      <w:r w:rsidRPr="00010528" w:rsidR="00010528">
        <w:t>iestādēm, un nodrošinot vienotu pieeju</w:t>
      </w:r>
      <w:r w:rsidRPr="002D2950">
        <w:t xml:space="preserve"> (iegāde, izmantošana, piekļuve, koordinācija, atbalsts) vismaz tiem pakalpojumiem, kas pieejami MDP; </w:t>
      </w:r>
    </w:p>
    <w:p w:rsidR="00781866" w:rsidRPr="002D2950" w:rsidP="00E40A97" w14:paraId="2C15E7A1" w14:textId="77777777">
      <w:pPr>
        <w:numPr>
          <w:ilvl w:val="0"/>
          <w:numId w:val="8"/>
        </w:numPr>
        <w:pBdr>
          <w:top w:val="nil"/>
          <w:left w:val="nil"/>
          <w:bottom w:val="nil"/>
          <w:right w:val="nil"/>
          <w:between w:val="nil"/>
        </w:pBdr>
        <w:spacing w:after="400" w:line="276" w:lineRule="auto"/>
        <w:contextualSpacing/>
        <w:jc w:val="both"/>
      </w:pPr>
      <w:r w:rsidRPr="002D2950">
        <w:t>IKT pakalpojumu veiktspējas, pieejamības un darbības nepārtrauktības saprotamu metriku definēšana un ieviešana, nodrošinātu iespēju ilgtermiņā salīdzināt būtiskākās pakalpojumu metrikas ar komersantu sniegtajiem MDP;</w:t>
      </w:r>
    </w:p>
    <w:p w:rsidR="00781866" w:rsidRPr="002D2950" w:rsidP="00E40A97" w14:paraId="5F63D7B0" w14:textId="77777777">
      <w:pPr>
        <w:numPr>
          <w:ilvl w:val="0"/>
          <w:numId w:val="8"/>
        </w:numPr>
        <w:pBdr>
          <w:top w:val="nil"/>
          <w:left w:val="nil"/>
          <w:bottom w:val="nil"/>
          <w:right w:val="nil"/>
          <w:between w:val="nil"/>
        </w:pBdr>
        <w:spacing w:after="400" w:line="276" w:lineRule="auto"/>
        <w:contextualSpacing/>
        <w:jc w:val="both"/>
      </w:pPr>
      <w:r w:rsidRPr="002D2950">
        <w:t xml:space="preserve">Balansa panākšana starp pieprasījumu pēc jaunām, modernām IKT sistēmām un spēju šo pieprasījumu nodrošināt; </w:t>
      </w:r>
    </w:p>
    <w:p w:rsidR="00781866" w:rsidRPr="002D2950" w:rsidP="00010528" w14:paraId="145670BA" w14:textId="5E39E0CA">
      <w:pPr>
        <w:numPr>
          <w:ilvl w:val="0"/>
          <w:numId w:val="8"/>
        </w:numPr>
        <w:pBdr>
          <w:top w:val="nil"/>
          <w:left w:val="nil"/>
          <w:bottom w:val="nil"/>
          <w:right w:val="nil"/>
          <w:between w:val="nil"/>
        </w:pBdr>
        <w:spacing w:after="200" w:line="276" w:lineRule="auto"/>
        <w:jc w:val="both"/>
      </w:pPr>
      <w:r w:rsidRPr="00010528">
        <w:t xml:space="preserve">Efektīvāka IKT resursu </w:t>
      </w:r>
      <w:r w:rsidRPr="00010528">
        <w:t>izmantošana(“lieto</w:t>
      </w:r>
      <w:r w:rsidRPr="00010528">
        <w:t>, cik nepieciešams”), ietverot spēju iekļaut esošos resursus hibrīdā ar MDP</w:t>
      </w:r>
      <w:r w:rsidRPr="00010528">
        <w:t xml:space="preserve"> un</w:t>
      </w:r>
      <w:r w:rsidRPr="00010528">
        <w:t xml:space="preserve"> elastība resursu lietošanā kopējās kapacitātes ietvaros.</w:t>
      </w:r>
    </w:p>
    <w:p w:rsidR="00781866" w:rsidRPr="002D2950" w:rsidP="004B44F7" w14:paraId="532F57BA" w14:textId="6A5536FD">
      <w:pPr>
        <w:spacing w:after="120"/>
        <w:jc w:val="both"/>
      </w:pPr>
      <w:r w:rsidRPr="002D2950">
        <w:t>Ilgtermiņā</w:t>
      </w:r>
      <w:r w:rsidRPr="002D2950">
        <w:t xml:space="preserve"> MDP izmantošana valsts pārvaldes iestād</w:t>
      </w:r>
      <w:r w:rsidRPr="002D2950">
        <w:t>ēs sniegtu</w:t>
      </w:r>
      <w:r w:rsidRPr="002D2950">
        <w:t xml:space="preserve"> tādus būtiskus ieguvumus kā:</w:t>
      </w:r>
    </w:p>
    <w:p w:rsidR="00781866" w:rsidRPr="002D2950" w:rsidP="00010528" w14:paraId="5A455156" w14:textId="291F623C">
      <w:pPr>
        <w:numPr>
          <w:ilvl w:val="0"/>
          <w:numId w:val="8"/>
        </w:numPr>
        <w:pBdr>
          <w:top w:val="nil"/>
          <w:left w:val="nil"/>
          <w:bottom w:val="nil"/>
          <w:right w:val="nil"/>
          <w:between w:val="nil"/>
        </w:pBdr>
        <w:spacing w:after="400" w:line="276" w:lineRule="auto"/>
        <w:contextualSpacing/>
        <w:jc w:val="both"/>
      </w:pPr>
      <w:r w:rsidRPr="00010528">
        <w:t xml:space="preserve">Valsts konkurētspējas uzlabošana, nodrošinot </w:t>
      </w:r>
      <w:r w:rsidRPr="00010528">
        <w:t>maksimālu valsts pārvaldē</w:t>
      </w:r>
      <w:r w:rsidRPr="00010528">
        <w:t xml:space="preserve"> </w:t>
      </w:r>
      <w:r w:rsidRPr="00010528">
        <w:t>piejamo</w:t>
      </w:r>
      <w:r w:rsidRPr="00010528">
        <w:t xml:space="preserve"> resursu izmantošanu un augstāku valsts pārvaldes efektivitāti</w:t>
      </w:r>
      <w:r>
        <w:t xml:space="preserve">, kā arī </w:t>
      </w:r>
      <w:r w:rsidRPr="002D2950">
        <w:t>veicinot inovācijas un IKT eksportspēju MDP jomā (piemēram, valsts kā MDP izmantošanas piemērs; likumdošanas atbalsts; atvērto datu princips; MDP pakalpojumi iedzīvotājiem);</w:t>
      </w:r>
    </w:p>
    <w:p w:rsidR="00781866" w:rsidRPr="002D2950" w:rsidP="00E40A97" w14:paraId="304E371F" w14:textId="77777777">
      <w:pPr>
        <w:numPr>
          <w:ilvl w:val="0"/>
          <w:numId w:val="8"/>
        </w:numPr>
        <w:pBdr>
          <w:top w:val="nil"/>
          <w:left w:val="nil"/>
          <w:bottom w:val="nil"/>
          <w:right w:val="nil"/>
          <w:between w:val="nil"/>
        </w:pBdr>
        <w:spacing w:after="400" w:line="276" w:lineRule="auto"/>
        <w:contextualSpacing/>
        <w:jc w:val="both"/>
      </w:pPr>
      <w:r w:rsidRPr="002D2950">
        <w:t>Valsts pārvaldībā esošo datu centru skaita samazināšanās, saglabājot tikai valstij būtiskus un nozares standartiem atbilstošus (sertificētus) datu centrus;</w:t>
      </w:r>
    </w:p>
    <w:p w:rsidR="00781866" w:rsidRPr="002D2950" w:rsidP="00E40A97" w14:paraId="43A562CC" w14:textId="77777777">
      <w:pPr>
        <w:numPr>
          <w:ilvl w:val="0"/>
          <w:numId w:val="8"/>
        </w:numPr>
        <w:pBdr>
          <w:top w:val="nil"/>
          <w:left w:val="nil"/>
          <w:bottom w:val="nil"/>
          <w:right w:val="nil"/>
          <w:between w:val="nil"/>
        </w:pBdr>
        <w:spacing w:after="400" w:line="276" w:lineRule="auto"/>
        <w:contextualSpacing/>
        <w:jc w:val="both"/>
      </w:pPr>
      <w:r w:rsidRPr="002D2950">
        <w:t xml:space="preserve">Augstas kompetences </w:t>
      </w:r>
      <w:r w:rsidRPr="002D2950">
        <w:t>darba spēka</w:t>
      </w:r>
      <w:r w:rsidRPr="002D2950">
        <w:t xml:space="preserve"> atbrīvošana no tehniska rakstura uzturēšanas uzdevumiem, pārceļot tos uz arhitektūras, biznesa prasību analīzes un koordinācijas jautājumu risināšanu;</w:t>
      </w:r>
    </w:p>
    <w:p w:rsidR="00010528" w:rsidP="00010528" w14:paraId="74409C65" w14:textId="77777777">
      <w:pPr>
        <w:numPr>
          <w:ilvl w:val="0"/>
          <w:numId w:val="8"/>
        </w:numPr>
        <w:pBdr>
          <w:top w:val="nil"/>
          <w:left w:val="nil"/>
          <w:bottom w:val="nil"/>
          <w:right w:val="nil"/>
          <w:between w:val="nil"/>
        </w:pBdr>
        <w:spacing w:line="276" w:lineRule="auto"/>
        <w:ind w:left="714" w:hanging="357"/>
        <w:jc w:val="both"/>
      </w:pPr>
      <w:r w:rsidRPr="002D2950">
        <w:t>IKT izmaksu caurspīdīgumu un pakalpojumu orientētu finansēšanas modeli, nodrošinot būtisku izmaksu ekonomiju ilgtermiņā platformu iegādei, uzturēšanai un administrēšanai</w:t>
      </w:r>
      <w:r>
        <w:t>;</w:t>
      </w:r>
    </w:p>
    <w:p w:rsidR="00010528" w:rsidP="00010528" w14:paraId="7F5CD8BB" w14:textId="77777777">
      <w:pPr>
        <w:numPr>
          <w:ilvl w:val="0"/>
          <w:numId w:val="8"/>
        </w:numPr>
        <w:pBdr>
          <w:top w:val="nil"/>
          <w:left w:val="nil"/>
          <w:bottom w:val="nil"/>
          <w:right w:val="nil"/>
          <w:between w:val="nil"/>
        </w:pBdr>
        <w:spacing w:line="276" w:lineRule="auto"/>
        <w:ind w:left="714" w:hanging="357"/>
        <w:jc w:val="both"/>
      </w:pPr>
      <w:r w:rsidRPr="00010528">
        <w:t>IKT pakalpojumu veiktspējas, pieejamības, darbības nepārtrauktības un lietošanas ērtuma uzlabošana (balstoties uz identificētajām metrikām), izstrādājot un</w:t>
      </w:r>
      <w:r w:rsidRPr="00010528">
        <w:t xml:space="preserve"> ieviešot standartizētu pilnas avārijas </w:t>
      </w:r>
      <w:r w:rsidRPr="00010528">
        <w:t>atkopes</w:t>
      </w:r>
      <w:r w:rsidRPr="00010528">
        <w:t xml:space="preserve"> mehānismu</w:t>
      </w:r>
      <w:r w:rsidRPr="00010528">
        <w:t xml:space="preserve">, tostarp ārvalstīs, kas vispārīgā </w:t>
      </w:r>
      <w:r w:rsidRPr="00010528">
        <w:t xml:space="preserve">gadījumā realizējams </w:t>
      </w:r>
      <w:r w:rsidRPr="00010528">
        <w:t>hibrīdmākonī</w:t>
      </w:r>
      <w:r w:rsidRPr="00010528">
        <w:t xml:space="preserve">, ko veido iestādes vai </w:t>
      </w:r>
      <w:r w:rsidRPr="00010528">
        <w:t>pārresoru</w:t>
      </w:r>
      <w:r w:rsidRPr="00010528">
        <w:t xml:space="preserve"> privātais mākonis kombinācijā ar ārēja MDP pakalpojuma sniedzēja mākoni</w:t>
      </w:r>
      <w:r>
        <w:t>;</w:t>
      </w:r>
    </w:p>
    <w:p w:rsidR="00781866" w:rsidRPr="002D2950" w:rsidP="00010528" w14:paraId="41C1F94B" w14:textId="2E239263">
      <w:pPr>
        <w:numPr>
          <w:ilvl w:val="0"/>
          <w:numId w:val="8"/>
        </w:numPr>
        <w:pBdr>
          <w:top w:val="nil"/>
          <w:left w:val="nil"/>
          <w:bottom w:val="nil"/>
          <w:right w:val="nil"/>
          <w:between w:val="nil"/>
        </w:pBdr>
        <w:spacing w:line="276" w:lineRule="auto"/>
        <w:ind w:left="714" w:hanging="357"/>
        <w:jc w:val="both"/>
      </w:pPr>
      <w:r w:rsidRPr="00010528">
        <w:t xml:space="preserve">Nodrošināt būtisku izmaksu ekonomiju ilgtermiņā platformu iegādei, uzturēšanai un administrēšanai, piemēram, </w:t>
      </w:r>
      <w:r w:rsidRPr="00010528">
        <w:t xml:space="preserve">veicinot </w:t>
      </w:r>
      <w:r w:rsidRPr="00010528">
        <w:t>piegādātājneitrālu</w:t>
      </w:r>
      <w:r w:rsidRPr="00010528">
        <w:t xml:space="preserve"> risinājumu izmantošanu un vienlaikus nodrošinot iespēju bez būtiskiem darbības pārtraukumiem</w:t>
      </w:r>
      <w:r w:rsidRPr="00010528">
        <w:t xml:space="preserve"> mainīt MDP pakalpojumu sniedzēju.</w:t>
      </w:r>
    </w:p>
    <w:p w:rsidR="00781866" w:rsidRPr="002D2950" w:rsidP="00010528" w14:paraId="49857F0C" w14:textId="77777777">
      <w:pPr>
        <w:pStyle w:val="Heading2"/>
        <w:numPr>
          <w:ilvl w:val="1"/>
          <w:numId w:val="12"/>
        </w:numPr>
        <w:pBdr>
          <w:top w:val="nil"/>
          <w:left w:val="nil"/>
          <w:bottom w:val="nil"/>
          <w:right w:val="nil"/>
          <w:between w:val="nil"/>
        </w:pBdr>
        <w:spacing w:before="240" w:after="0" w:line="276" w:lineRule="auto"/>
        <w:rPr>
          <w:sz w:val="24"/>
          <w:szCs w:val="24"/>
        </w:rPr>
      </w:pPr>
      <w:bookmarkStart w:id="217" w:name="_Toc497818684"/>
      <w:bookmarkStart w:id="218" w:name="_Toc497982178"/>
      <w:bookmarkStart w:id="219" w:name="_Toc497995223"/>
      <w:bookmarkStart w:id="220" w:name="_Toc498016981"/>
      <w:bookmarkStart w:id="221" w:name="_Toc498346624"/>
      <w:bookmarkStart w:id="222" w:name="_Ref498348066"/>
      <w:bookmarkStart w:id="223" w:name="_Ref498348072"/>
      <w:bookmarkStart w:id="224" w:name="_Toc505072514"/>
      <w:bookmarkStart w:id="225" w:name="_Toc256000031"/>
      <w:bookmarkStart w:id="226" w:name="_Toc256000077"/>
      <w:r w:rsidRPr="002D2950">
        <w:rPr>
          <w:sz w:val="24"/>
          <w:szCs w:val="24"/>
        </w:rPr>
        <w:t>Mākoņdatošanas</w:t>
      </w:r>
      <w:r w:rsidRPr="002D2950">
        <w:rPr>
          <w:sz w:val="24"/>
          <w:szCs w:val="24"/>
        </w:rPr>
        <w:t xml:space="preserve"> pakalpojumi kā pirmā izvēle</w:t>
      </w:r>
      <w:bookmarkEnd w:id="226"/>
      <w:bookmarkEnd w:id="225"/>
      <w:bookmarkEnd w:id="217"/>
      <w:bookmarkEnd w:id="218"/>
      <w:bookmarkEnd w:id="219"/>
      <w:bookmarkEnd w:id="220"/>
      <w:bookmarkEnd w:id="221"/>
      <w:bookmarkEnd w:id="222"/>
      <w:bookmarkEnd w:id="223"/>
      <w:bookmarkEnd w:id="224"/>
    </w:p>
    <w:p w:rsidR="00781866" w:rsidRPr="002D2950" w:rsidP="00071D3D" w14:paraId="2167D02B" w14:textId="04F45026">
      <w:pPr>
        <w:pStyle w:val="NormalWeb"/>
        <w:spacing w:before="0" w:beforeAutospacing="0" w:after="400" w:afterAutospacing="0" w:line="276" w:lineRule="auto"/>
        <w:ind w:firstLine="720"/>
        <w:jc w:val="both"/>
      </w:pPr>
      <w:r w:rsidRPr="002D2950">
        <w:t>Ziņojums piedāvā skaidru un viennozīmīgi saprotamu pieeju jebkuram MDP saņēmējam izvēles posmā par IKT pakalpojumu izmantošanu vai savas IKT infrastruktūras attīstību. Ziņojums, kā būtisku nosacījumu veiksmīgai MDP īstenošana</w:t>
      </w:r>
      <w:r w:rsidR="00344A47">
        <w:t>i valsts pārvaldē, izvirza “MDP</w:t>
      </w:r>
      <w:r w:rsidRPr="002D2950">
        <w:t xml:space="preserve"> kā pirmā izvēle” principu. Saskaņā ar šo principu, konceptuālā rekomendācija ir izmantot pēc iespējas augstāka līmeņa pakalpojumus, ja vien tādi ir pieejami </w:t>
      </w:r>
      <w:r w:rsidRPr="002D2950">
        <w:t>(atbilstoši funkcionālajām</w:t>
      </w:r>
      <w:r w:rsidRPr="002D2950">
        <w:t>, drošības un pieejamības prasībām) un to izmantošana ir ekonomiski pamatota. Virzība uz pēc iespējas augstāka līmeņa pakalpojumu izmantošanu nenozīmē, ka vienlaicīgi ar tiem netiks izmantoti arī zemāku līmeņu pakalpojumi. Tāpēc publiskās pārvaldes standarta IKT pakalpojumu piegādātājiem arī perspektīvā būs jānodrošina visu četru līmeņu pakalpojumu grupas. Principa būtība ir ilustrēta pievienotajā attēlā (Attēls Nr.</w:t>
      </w:r>
      <w:r w:rsidRPr="002D2950" w:rsidR="008511D3">
        <w:t>5</w:t>
      </w:r>
      <w:r w:rsidRPr="002D2950">
        <w:t xml:space="preserve">) un paredz šādus soļus: </w:t>
      </w:r>
    </w:p>
    <w:p w:rsidR="00781866" w:rsidRPr="002D2950" w:rsidP="00781866" w14:paraId="26A9CF2C" w14:textId="5661F91F">
      <w:pPr>
        <w:keepNext/>
        <w:jc w:val="center"/>
      </w:pPr>
      <w:r>
        <w:rPr>
          <w:noProof/>
        </w:rPr>
        <w:drawing>
          <wp:inline distT="0" distB="0" distL="0" distR="0">
            <wp:extent cx="5732400" cy="3238500"/>
            <wp:effectExtent l="0" t="0" r="1905" b="0"/>
            <wp:docPr id="7" name="Attēls 7" descr="C:\Users\laurisl\AppData\Local\Microsoft\Windows\INetCache\Content.Word\MDP saņēmēja lēmum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96434" name="Picture 1" descr="C:\Users\laurisl\AppData\Local\Microsoft\Windows\INetCache\Content.Word\MDP saņēmēja lēmums 3.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1485" cy="3254932"/>
                    </a:xfrm>
                    <a:prstGeom prst="rect">
                      <a:avLst/>
                    </a:prstGeom>
                    <a:noFill/>
                    <a:ln>
                      <a:noFill/>
                    </a:ln>
                  </pic:spPr>
                </pic:pic>
              </a:graphicData>
            </a:graphic>
          </wp:inline>
        </w:drawing>
      </w:r>
      <w:r w:rsidRPr="002D2950">
        <w:rPr>
          <w:noProof/>
        </w:rPr>
        <w:t xml:space="preserve"> </w:t>
      </w:r>
    </w:p>
    <w:p w:rsidR="00781866" w:rsidRPr="002D2950" w:rsidP="00781866" w14:paraId="5B7DA4BF" w14:textId="2C88A0AC">
      <w:pPr>
        <w:pStyle w:val="Caption"/>
        <w:spacing w:line="276" w:lineRule="auto"/>
        <w:jc w:val="center"/>
      </w:pPr>
      <w:r w:rsidRPr="002D2950">
        <w:t>Attēls Nr.5</w:t>
      </w:r>
      <w:r w:rsidRPr="002D2950">
        <w:t xml:space="preserve"> MDP saņēmēja lēmuma par IKT risinājumu pieņemšanas pamatprincipi</w:t>
      </w:r>
    </w:p>
    <w:p w:rsidR="00781866" w:rsidRPr="00071D3D" w:rsidP="00071D3D" w14:paraId="7E262473" w14:textId="70E55C3D">
      <w:pPr>
        <w:pStyle w:val="NormalWeb"/>
        <w:spacing w:after="0"/>
        <w:ind w:firstLine="720"/>
        <w:jc w:val="both"/>
        <w:textAlignment w:val="baseline"/>
      </w:pPr>
      <w:r w:rsidRPr="00071D3D">
        <w:t xml:space="preserve">Detalizētas lēmumu pieņemšanas vadlīnijas ir aprakstītas </w:t>
      </w:r>
      <w:r w:rsidRPr="00071D3D" w:rsidR="000206DB">
        <w:t>Ziņojuma 1.</w:t>
      </w:r>
      <w:r w:rsidRPr="00071D3D">
        <w:t>pielikumā</w:t>
      </w:r>
      <w:r w:rsidRPr="00071D3D">
        <w:t xml:space="preserve">  </w:t>
      </w:r>
      <w:r w:rsidRPr="00071D3D" w:rsidR="000206DB">
        <w:t>“</w:t>
      </w:r>
      <w:bookmarkStart w:id="227" w:name="_Toc497995240"/>
      <w:bookmarkStart w:id="228" w:name="_Ref498001397"/>
      <w:bookmarkStart w:id="229" w:name="_Ref498001404"/>
      <w:bookmarkStart w:id="230" w:name="_Ref498008609"/>
      <w:bookmarkStart w:id="231" w:name="_Ref498008617"/>
      <w:bookmarkStart w:id="232" w:name="_Toc498016995"/>
      <w:bookmarkStart w:id="233" w:name="_Toc498346640"/>
      <w:bookmarkStart w:id="234" w:name="_Toc496001901"/>
      <w:bookmarkStart w:id="235" w:name="_Toc497818705"/>
      <w:r w:rsidRPr="00071D3D" w:rsidR="000206DB">
        <w:t>Vadlīnijas lēmumu pieņemšanai par MDP izmantošanu</w:t>
      </w:r>
      <w:bookmarkEnd w:id="227"/>
      <w:bookmarkEnd w:id="228"/>
      <w:bookmarkEnd w:id="229"/>
      <w:bookmarkEnd w:id="230"/>
      <w:bookmarkEnd w:id="231"/>
      <w:bookmarkEnd w:id="232"/>
      <w:bookmarkEnd w:id="233"/>
      <w:bookmarkEnd w:id="234"/>
      <w:bookmarkEnd w:id="235"/>
      <w:r w:rsidRPr="00071D3D" w:rsidR="000206DB">
        <w:t xml:space="preserve">”. </w:t>
      </w:r>
    </w:p>
    <w:p w:rsidR="00DE0223" w:rsidP="00DE0223" w14:paraId="0D3E3E9C" w14:textId="31E1ED60">
      <w:pPr>
        <w:pStyle w:val="NormalWeb"/>
        <w:spacing w:after="0"/>
        <w:ind w:firstLine="720"/>
        <w:jc w:val="both"/>
        <w:textAlignment w:val="baseline"/>
      </w:pPr>
      <w:r w:rsidRPr="00071D3D">
        <w:t xml:space="preserve">Ziņojuma ieskatā veiksmīgai lēmuma pieņemšanai būtiska loma ir centralizētas MDP pārvaldības pieejas organizēšanai, kura detalizētāk ir aprakstīta </w:t>
      </w:r>
      <w:r w:rsidRPr="00071D3D" w:rsidR="000206DB">
        <w:t xml:space="preserve">Ziņojuma </w:t>
      </w:r>
      <w:r w:rsidRPr="00071D3D" w:rsidR="00C23A45">
        <w:t>7.3.apakšpunktā</w:t>
      </w:r>
      <w:r w:rsidR="00344A47">
        <w:t>.</w:t>
      </w:r>
    </w:p>
    <w:p w:rsidR="00071D3D" w:rsidRPr="00CB26C6" w:rsidP="00DE0223" w14:paraId="06F0F6CD" w14:textId="109D4102">
      <w:pPr>
        <w:pStyle w:val="Heading2"/>
        <w:numPr>
          <w:ilvl w:val="1"/>
          <w:numId w:val="12"/>
        </w:numPr>
        <w:pBdr>
          <w:top w:val="nil"/>
          <w:left w:val="nil"/>
          <w:bottom w:val="nil"/>
          <w:right w:val="nil"/>
          <w:between w:val="nil"/>
        </w:pBdr>
        <w:spacing w:before="0" w:after="160" w:line="276" w:lineRule="auto"/>
        <w:rPr>
          <w:sz w:val="24"/>
          <w:szCs w:val="24"/>
        </w:rPr>
      </w:pPr>
      <w:bookmarkStart w:id="236" w:name="_Toc505072515"/>
      <w:bookmarkStart w:id="237" w:name="_Toc256000032"/>
      <w:bookmarkStart w:id="238" w:name="_Toc256000078"/>
      <w:r w:rsidRPr="00CB26C6">
        <w:rPr>
          <w:sz w:val="24"/>
          <w:szCs w:val="24"/>
        </w:rPr>
        <w:t>Mākoņdatošanas</w:t>
      </w:r>
      <w:r w:rsidRPr="00CB26C6">
        <w:rPr>
          <w:sz w:val="24"/>
          <w:szCs w:val="24"/>
        </w:rPr>
        <w:t xml:space="preserve"> pakalpojumu </w:t>
      </w:r>
      <w:r w:rsidRPr="00CB26C6" w:rsidR="00CB26C6">
        <w:rPr>
          <w:sz w:val="24"/>
          <w:szCs w:val="24"/>
        </w:rPr>
        <w:t xml:space="preserve">nodrošināšanas un sagādes </w:t>
      </w:r>
      <w:r w:rsidRPr="00CB26C6">
        <w:rPr>
          <w:sz w:val="24"/>
          <w:szCs w:val="24"/>
        </w:rPr>
        <w:t>pārvaldība</w:t>
      </w:r>
      <w:bookmarkEnd w:id="238"/>
      <w:bookmarkEnd w:id="237"/>
      <w:bookmarkEnd w:id="236"/>
      <w:r w:rsidRPr="00CB26C6" w:rsidR="00781866">
        <w:rPr>
          <w:sz w:val="24"/>
          <w:szCs w:val="24"/>
        </w:rPr>
        <w:t xml:space="preserve"> </w:t>
      </w:r>
    </w:p>
    <w:p w:rsidR="00781866" w:rsidRPr="00071D3D" w:rsidP="00071D3D" w14:paraId="0302FB86" w14:textId="6085CBF7">
      <w:pPr>
        <w:pStyle w:val="NormalWeb"/>
        <w:spacing w:before="0" w:beforeAutospacing="0" w:after="0" w:afterAutospacing="0" w:line="276" w:lineRule="auto"/>
        <w:ind w:firstLine="720"/>
        <w:jc w:val="both"/>
        <w:textAlignment w:val="baseline"/>
      </w:pPr>
      <w:r w:rsidRPr="00071D3D">
        <w:t xml:space="preserve">Lēmuma pieņemšanas procesā par MDP izvēli, MDP </w:t>
      </w:r>
      <w:r w:rsidR="00816608">
        <w:t>centralizētajai pārvaldes funkcijai</w:t>
      </w:r>
      <w:r w:rsidRPr="00071D3D" w:rsidR="00816608">
        <w:t xml:space="preserve"> </w:t>
      </w:r>
      <w:r w:rsidRPr="00071D3D">
        <w:t>ir jāveic koordinācija un atbalst</w:t>
      </w:r>
      <w:r w:rsidRPr="00071D3D" w:rsidR="00C01E24">
        <w:t>s</w:t>
      </w:r>
      <w:r w:rsidRPr="00071D3D">
        <w:t>, tādejādi nodrošinot konsekventu “MDP, kā pirmā izvēle” principu visā valsts pārvaldē un novēršot risinājumu dublēšanos.</w:t>
      </w:r>
    </w:p>
    <w:p w:rsidR="00781866" w:rsidRPr="002D2950" w:rsidP="00EF589A" w14:paraId="27BC3D71" w14:textId="6C56FA2D">
      <w:pPr>
        <w:pStyle w:val="NormalWeb"/>
        <w:spacing w:before="120" w:beforeAutospacing="0" w:after="0" w:afterAutospacing="0" w:line="276" w:lineRule="auto"/>
        <w:jc w:val="both"/>
        <w:textAlignment w:val="baseline"/>
      </w:pPr>
      <w:r w:rsidRPr="00EF589A">
        <w:rPr>
          <w:b/>
        </w:rPr>
        <w:t>1.solis</w:t>
      </w:r>
      <w:r w:rsidRPr="002D2950">
        <w:t>: Informācijas resursu klasifikācija</w:t>
      </w:r>
      <w:r w:rsidRPr="002D2950" w:rsidR="00C01E24">
        <w:t xml:space="preserve"> atbilstoši Ziņojuma 4.punktam ”</w:t>
      </w:r>
      <w:r w:rsidRPr="002D2950">
        <w:fldChar w:fldCharType="begin"/>
      </w:r>
      <w:r w:rsidRPr="002D2950">
        <w:instrText xml:space="preserve"> REF _Ref498003044 \h  \* MERGEFORMAT </w:instrText>
      </w:r>
      <w:r w:rsidRPr="002D2950">
        <w:fldChar w:fldCharType="separate"/>
      </w:r>
      <w:r w:rsidRPr="002D2950" w:rsidR="00B2422F">
        <w:t>Informācijas klasifikācijas veidi</w:t>
      </w:r>
      <w:r w:rsidRPr="002D2950">
        <w:fldChar w:fldCharType="end"/>
      </w:r>
      <w:r w:rsidRPr="002D2950" w:rsidR="00C01E24">
        <w:t>”.</w:t>
      </w:r>
    </w:p>
    <w:p w:rsidR="00781866" w:rsidRPr="002D2950" w:rsidP="00EF589A" w14:paraId="7B8DE7B2" w14:textId="663065BC">
      <w:pPr>
        <w:pStyle w:val="NormalWeb"/>
        <w:spacing w:before="120" w:beforeAutospacing="0" w:after="0" w:afterAutospacing="0" w:line="276" w:lineRule="auto"/>
        <w:jc w:val="both"/>
        <w:textAlignment w:val="baseline"/>
      </w:pPr>
      <w:r w:rsidRPr="00EF589A">
        <w:rPr>
          <w:b/>
        </w:rPr>
        <w:t>2.solis</w:t>
      </w:r>
      <w:r w:rsidRPr="002D2950">
        <w:t>: MDP</w:t>
      </w:r>
      <w:r w:rsidRPr="002D2950">
        <w:t xml:space="preserve"> kā pirmā izvēle no informācijas resursu konfidencialitātes un integritātes viedokļa.</w:t>
      </w:r>
    </w:p>
    <w:p w:rsidR="00781866" w:rsidRPr="002D2950" w:rsidP="00EF589A" w14:paraId="0DFE9B17" w14:textId="77777777">
      <w:pPr>
        <w:pStyle w:val="NormalWeb"/>
        <w:numPr>
          <w:ilvl w:val="0"/>
          <w:numId w:val="28"/>
        </w:numPr>
        <w:spacing w:before="120" w:beforeAutospacing="0" w:after="0" w:afterAutospacing="0" w:line="276" w:lineRule="auto"/>
        <w:jc w:val="both"/>
        <w:textAlignment w:val="baseline"/>
      </w:pPr>
      <w:r w:rsidRPr="002D2950">
        <w:t>Publisko (Komerciālo) MDP sniedzēja izvēle, ja saskaņā ar informācijas resursu klasifikāciju informācija ir:</w:t>
      </w:r>
    </w:p>
    <w:p w:rsidR="00781866" w:rsidRPr="002D2950" w:rsidP="00EF589A" w14:paraId="7B908BE8" w14:textId="265D27C7">
      <w:pPr>
        <w:pStyle w:val="NormalWeb"/>
        <w:numPr>
          <w:ilvl w:val="1"/>
          <w:numId w:val="44"/>
        </w:numPr>
        <w:spacing w:before="120" w:beforeAutospacing="0" w:after="0" w:afterAutospacing="0" w:line="276" w:lineRule="auto"/>
        <w:jc w:val="both"/>
        <w:textAlignment w:val="baseline"/>
      </w:pPr>
      <w:r w:rsidRPr="002D2950">
        <w:t>Vispārpieejama informācija / Atvērtie dati</w:t>
      </w:r>
      <w:r w:rsidR="00D72690">
        <w:t>;</w:t>
      </w:r>
    </w:p>
    <w:p w:rsidR="00781866" w:rsidRPr="002D2950" w:rsidP="00EF589A" w14:paraId="73543937" w14:textId="4ABE9F68">
      <w:pPr>
        <w:pStyle w:val="NormalWeb"/>
        <w:numPr>
          <w:ilvl w:val="1"/>
          <w:numId w:val="44"/>
        </w:numPr>
        <w:spacing w:before="120" w:beforeAutospacing="0" w:after="0" w:afterAutospacing="0" w:line="276" w:lineRule="auto"/>
        <w:jc w:val="both"/>
        <w:textAlignment w:val="baseline"/>
      </w:pPr>
      <w:r>
        <w:t>Fizisko personu dati;</w:t>
      </w:r>
    </w:p>
    <w:p w:rsidR="00781866" w:rsidRPr="002D2950" w:rsidP="00EF589A" w14:paraId="0123EF97" w14:textId="0538367A">
      <w:pPr>
        <w:pStyle w:val="NormalWeb"/>
        <w:numPr>
          <w:ilvl w:val="1"/>
          <w:numId w:val="44"/>
        </w:numPr>
        <w:spacing w:before="120" w:beforeAutospacing="0" w:after="0" w:afterAutospacing="0" w:line="276" w:lineRule="auto"/>
        <w:jc w:val="both"/>
        <w:textAlignment w:val="baseline"/>
      </w:pPr>
      <w:r w:rsidRPr="002D2950">
        <w:t xml:space="preserve">Atsevišķos gadījumos arī </w:t>
      </w:r>
      <w:r w:rsidRPr="002D2950" w:rsidR="001E6FC6">
        <w:t>k</w:t>
      </w:r>
      <w:r w:rsidRPr="002D2950">
        <w:t>omercnoslēpums un iestāžu iekšējai lietošanai paredzēti dati (Informācijas atklātības likum</w:t>
      </w:r>
      <w:r w:rsidRPr="002D2950" w:rsidR="001E6FC6">
        <w:t>s)</w:t>
      </w:r>
      <w:r w:rsidRPr="002D2950">
        <w:t xml:space="preserve"> ar nosacījumu, ka MDP sniedzējs nodrošina atbilstošu informācijas aizsardzību.</w:t>
      </w:r>
    </w:p>
    <w:p w:rsidR="00781866" w:rsidRPr="002D2950" w:rsidP="00EF589A" w14:paraId="5AAB2A07" w14:textId="77777777">
      <w:pPr>
        <w:pStyle w:val="NormalWeb"/>
        <w:numPr>
          <w:ilvl w:val="0"/>
          <w:numId w:val="28"/>
        </w:numPr>
        <w:spacing w:before="120" w:beforeAutospacing="0" w:after="0" w:afterAutospacing="0" w:line="276" w:lineRule="auto"/>
        <w:jc w:val="both"/>
        <w:textAlignment w:val="baseline"/>
      </w:pPr>
      <w:r w:rsidRPr="002D2950">
        <w:t xml:space="preserve">Valsts </w:t>
      </w:r>
      <w:r w:rsidRPr="002D2950">
        <w:t>Kopmākoņa</w:t>
      </w:r>
      <w:r w:rsidRPr="002D2950">
        <w:t xml:space="preserve"> MDP sniedzēja izvēle, ja informācijas resursu klasifikācija nepieļauj datu izvietošanu Publiskā MDP sniedzēja vidē.</w:t>
      </w:r>
    </w:p>
    <w:p w:rsidR="00781866" w:rsidRPr="002D2950" w:rsidP="00EF589A" w14:paraId="737834E5" w14:textId="77777777">
      <w:pPr>
        <w:pStyle w:val="NormalWeb"/>
        <w:spacing w:before="120" w:beforeAutospacing="0" w:after="0" w:afterAutospacing="0" w:line="276" w:lineRule="auto"/>
        <w:jc w:val="both"/>
        <w:textAlignment w:val="baseline"/>
      </w:pPr>
      <w:r w:rsidRPr="00EF589A">
        <w:rPr>
          <w:b/>
        </w:rPr>
        <w:t>3.solis</w:t>
      </w:r>
      <w:r w:rsidRPr="002D2950">
        <w:t>: MDP, kā pirmā izvēle no informācijas resursu pieejamības un atjaunošanas viedokļa. Šajā kontekstā būtiskākie faktori ir:</w:t>
      </w:r>
    </w:p>
    <w:p w:rsidR="00781866" w:rsidRPr="002D2950" w:rsidP="00EF589A" w14:paraId="65921F23" w14:textId="77777777">
      <w:pPr>
        <w:pStyle w:val="NormalWeb"/>
        <w:numPr>
          <w:ilvl w:val="0"/>
          <w:numId w:val="27"/>
        </w:numPr>
        <w:spacing w:before="120" w:beforeAutospacing="0" w:after="0" w:afterAutospacing="0" w:line="276" w:lineRule="auto"/>
        <w:jc w:val="both"/>
        <w:textAlignment w:val="baseline"/>
      </w:pPr>
      <w:r w:rsidRPr="002D2950">
        <w:t>pakalpojuma iesaiste citu pakalpojumu sniegšanā un ātrdarbības/pieejamības prasības šiem pakalpojumiem (vai pakalpojumam ir jāatrodas vienotā un/vai aizsargātā tīkla segmentā ar citiem pakalpojumiem)?</w:t>
      </w:r>
    </w:p>
    <w:p w:rsidR="00781866" w:rsidRPr="002D2950" w:rsidP="00EF589A" w14:paraId="31C17BED" w14:textId="77777777">
      <w:pPr>
        <w:pStyle w:val="NormalWeb"/>
        <w:numPr>
          <w:ilvl w:val="0"/>
          <w:numId w:val="27"/>
        </w:numPr>
        <w:spacing w:before="120" w:beforeAutospacing="0" w:after="0" w:afterAutospacing="0" w:line="276" w:lineRule="auto"/>
        <w:jc w:val="both"/>
        <w:textAlignment w:val="baseline"/>
      </w:pPr>
      <w:r w:rsidRPr="002D2950">
        <w:t>pakalpojuma pieejamības nodrošināšana (vai pakalpojumam ir būtiski nodrošināt papildus aizsardzības jautājumus).</w:t>
      </w:r>
    </w:p>
    <w:p w:rsidR="00781866" w:rsidRPr="002D2950" w:rsidP="00EF589A" w14:paraId="66BBF063" w14:textId="77777777">
      <w:pPr>
        <w:tabs>
          <w:tab w:val="left" w:pos="0"/>
        </w:tabs>
        <w:spacing w:before="120"/>
        <w:jc w:val="both"/>
        <w:textAlignment w:val="baseline"/>
      </w:pPr>
      <w:r w:rsidRPr="002D2950">
        <w:t>Ja informācijas resursu klasifikācija nepieļauj MDP izmantošanu, IKT pakalpojumu saņēmējs izvērtē LVDC izmantošanas iespējas.</w:t>
      </w:r>
    </w:p>
    <w:p w:rsidR="00D72690" w:rsidP="00EF589A" w14:paraId="6E267D85" w14:textId="699FED75">
      <w:pPr>
        <w:pStyle w:val="NormalWeb"/>
        <w:spacing w:before="120" w:beforeAutospacing="0" w:after="0" w:afterAutospacing="0" w:line="276" w:lineRule="auto"/>
        <w:jc w:val="both"/>
        <w:textAlignment w:val="baseline"/>
      </w:pPr>
      <w:r w:rsidRPr="00EF589A">
        <w:rPr>
          <w:b/>
        </w:rPr>
        <w:t>4.s</w:t>
      </w:r>
      <w:r w:rsidRPr="00EF589A" w:rsidR="002B238C">
        <w:rPr>
          <w:b/>
        </w:rPr>
        <w:t>olis</w:t>
      </w:r>
      <w:r w:rsidR="002B238C">
        <w:t xml:space="preserve">: </w:t>
      </w:r>
      <w:r w:rsidR="002B238C">
        <w:t>SaaS</w:t>
      </w:r>
      <w:r w:rsidR="002B238C">
        <w:t xml:space="preserve"> izmantošanas iespēja:</w:t>
      </w:r>
    </w:p>
    <w:p w:rsidR="00781866" w:rsidRPr="002D2950" w:rsidP="00EF589A" w14:paraId="43319F09" w14:textId="6DC669A0">
      <w:pPr>
        <w:pStyle w:val="NormalWeb"/>
        <w:spacing w:before="120" w:beforeAutospacing="0" w:after="0" w:afterAutospacing="0" w:line="276" w:lineRule="auto"/>
        <w:ind w:left="720"/>
        <w:jc w:val="both"/>
        <w:textAlignment w:val="baseline"/>
      </w:pPr>
      <w:r w:rsidRPr="002D2950">
        <w:t xml:space="preserve">MDP saņēmējs primāri izvērtē, vai paredzamais pakalpojums nav jau pieejams, kā esošs </w:t>
      </w:r>
      <w:r w:rsidRPr="002D2950">
        <w:t>SaaS</w:t>
      </w:r>
      <w:r w:rsidRPr="002D2950">
        <w:t xml:space="preserve"> piedāvājums;</w:t>
      </w:r>
      <w:r w:rsidR="006A7880">
        <w:t xml:space="preserve"> </w:t>
      </w:r>
      <w:r w:rsidRPr="002D2950">
        <w:t>Ja pakalpojums</w:t>
      </w:r>
      <w:r w:rsidRPr="002D2950" w:rsidR="00271B50">
        <w:t xml:space="preserve"> un (vai) </w:t>
      </w:r>
      <w:r w:rsidRPr="002D2950">
        <w:t xml:space="preserve">tehniskais risinājums tiek </w:t>
      </w:r>
      <w:r w:rsidR="006A7880">
        <w:t>veidots</w:t>
      </w:r>
      <w:r w:rsidRPr="002D2950" w:rsidR="006A7880">
        <w:t xml:space="preserve"> </w:t>
      </w:r>
      <w:r w:rsidRPr="002D2950">
        <w:t xml:space="preserve">no jauna, koordinējot ar MDP </w:t>
      </w:r>
      <w:r w:rsidR="00143472">
        <w:t>centralizētās pārvaldības funkciju</w:t>
      </w:r>
      <w:r w:rsidRPr="002D2950">
        <w:t xml:space="preserve">, MDP saņēmējs izvērtē, vai nav lietderīgi to veidot kā vispārpieejamu </w:t>
      </w:r>
      <w:r w:rsidRPr="002D2950">
        <w:t>SaaS</w:t>
      </w:r>
      <w:r w:rsidRPr="002D2950">
        <w:t xml:space="preserve"> pakalpojumu (piemēram, konsultējoties ar VARAM par BAE);</w:t>
      </w:r>
    </w:p>
    <w:p w:rsidR="00781866" w:rsidRPr="002D2950" w:rsidP="00EF589A" w14:paraId="61AEE70C" w14:textId="77777777">
      <w:pPr>
        <w:pStyle w:val="NormalWeb"/>
        <w:spacing w:before="120" w:beforeAutospacing="0" w:after="0" w:afterAutospacing="0" w:line="276" w:lineRule="auto"/>
        <w:jc w:val="both"/>
        <w:textAlignment w:val="baseline"/>
      </w:pPr>
      <w:r w:rsidRPr="00EF589A">
        <w:rPr>
          <w:b/>
        </w:rPr>
        <w:t>5.solis</w:t>
      </w:r>
      <w:r w:rsidRPr="002D2950">
        <w:t xml:space="preserve">: </w:t>
      </w:r>
      <w:r w:rsidRPr="002D2950">
        <w:t>PaaS</w:t>
      </w:r>
      <w:r w:rsidRPr="002D2950">
        <w:t xml:space="preserve"> izmantošanas iespēja.</w:t>
      </w:r>
    </w:p>
    <w:p w:rsidR="00781866" w:rsidRPr="002D2950" w:rsidP="00EF589A" w14:paraId="0DE29BD7" w14:textId="37FB761C">
      <w:pPr>
        <w:pStyle w:val="NormalWeb"/>
        <w:spacing w:before="120" w:beforeAutospacing="0" w:after="0" w:afterAutospacing="0" w:line="276" w:lineRule="auto"/>
        <w:ind w:left="720"/>
        <w:jc w:val="both"/>
        <w:textAlignment w:val="baseline"/>
      </w:pPr>
      <w:r w:rsidRPr="002D2950">
        <w:t>Ja netie</w:t>
      </w:r>
      <w:r w:rsidRPr="002D2950" w:rsidR="00B5275B">
        <w:t xml:space="preserve">k izmantots </w:t>
      </w:r>
      <w:r w:rsidRPr="002D2950" w:rsidR="00B5275B">
        <w:t>SaaS</w:t>
      </w:r>
      <w:r w:rsidRPr="002D2950" w:rsidR="00B5275B">
        <w:t xml:space="preserve"> un tiek veidots jauns pakalpojums vai </w:t>
      </w:r>
      <w:r w:rsidRPr="002D2950">
        <w:t xml:space="preserve">tehniskais risinājums, MDP saņēmējs izvērtē, kādus </w:t>
      </w:r>
      <w:r w:rsidRPr="002D2950">
        <w:t>PaaS</w:t>
      </w:r>
      <w:r w:rsidRPr="002D2950">
        <w:t xml:space="preserve"> elementus tas va</w:t>
      </w:r>
      <w:r w:rsidRPr="002D2950" w:rsidR="00B5275B">
        <w:t xml:space="preserve">r efektīvi izmantot veidojamajā vai </w:t>
      </w:r>
      <w:r w:rsidRPr="002D2950">
        <w:t>modificējamajā risinājumā;</w:t>
      </w:r>
    </w:p>
    <w:p w:rsidR="00781866" w:rsidRPr="002D2950" w:rsidP="00EF589A" w14:paraId="498150D6" w14:textId="77777777">
      <w:pPr>
        <w:pStyle w:val="NormalWeb"/>
        <w:spacing w:before="120" w:beforeAutospacing="0" w:after="0" w:afterAutospacing="0" w:line="276" w:lineRule="auto"/>
        <w:jc w:val="both"/>
        <w:textAlignment w:val="baseline"/>
      </w:pPr>
      <w:r w:rsidRPr="00EF589A">
        <w:rPr>
          <w:b/>
        </w:rPr>
        <w:t>6.solis</w:t>
      </w:r>
      <w:r w:rsidRPr="002D2950">
        <w:t xml:space="preserve">: </w:t>
      </w:r>
      <w:r w:rsidRPr="002D2950">
        <w:t>IaaS</w:t>
      </w:r>
      <w:r w:rsidRPr="002D2950">
        <w:t xml:space="preserve"> izmantošanas iespēja:</w:t>
      </w:r>
    </w:p>
    <w:p w:rsidR="00781866" w:rsidRPr="002D2950" w:rsidP="00EF589A" w14:paraId="0106F165" w14:textId="77777777">
      <w:pPr>
        <w:pStyle w:val="NormalWeb"/>
        <w:spacing w:before="120" w:beforeAutospacing="0" w:after="0" w:afterAutospacing="0" w:line="276" w:lineRule="auto"/>
        <w:ind w:left="720"/>
        <w:jc w:val="both"/>
        <w:textAlignment w:val="baseline"/>
      </w:pPr>
      <w:r w:rsidRPr="002D2950">
        <w:t xml:space="preserve">Gadījumā, ja netiek izmantots </w:t>
      </w:r>
      <w:r w:rsidRPr="002D2950">
        <w:t>SaaS</w:t>
      </w:r>
      <w:r w:rsidRPr="002D2950">
        <w:t xml:space="preserve"> un pakalpojums nav pilnībā balstāms uz pieejamajiem </w:t>
      </w:r>
      <w:r w:rsidRPr="002D2950">
        <w:t>PaaS</w:t>
      </w:r>
      <w:r w:rsidRPr="002D2950">
        <w:t xml:space="preserve"> (ir nepieciešama tieši pieejama infrastruktūras komponente), MDP saņēmējs izvērtē, vai var izmantot MDP </w:t>
      </w:r>
      <w:r w:rsidRPr="002D2950">
        <w:t>IaaS</w:t>
      </w:r>
      <w:r w:rsidRPr="002D2950">
        <w:t xml:space="preserve"> pakalpojumus.</w:t>
      </w:r>
    </w:p>
    <w:p w:rsidR="00781866" w:rsidRPr="002D2950" w:rsidP="00EF589A" w14:paraId="53CFD4BB" w14:textId="04D298A0">
      <w:pPr>
        <w:pStyle w:val="NormalWeb"/>
        <w:spacing w:before="120" w:beforeAutospacing="0" w:after="0" w:afterAutospacing="0" w:line="276" w:lineRule="auto"/>
        <w:ind w:firstLine="720"/>
        <w:jc w:val="both"/>
      </w:pPr>
      <w:r w:rsidRPr="002D2950">
        <w:t>Tādē</w:t>
      </w:r>
      <w:r w:rsidRPr="002D2950" w:rsidR="00B5275B">
        <w:t xml:space="preserve">jādi, </w:t>
      </w:r>
      <w:r w:rsidRPr="002D2950">
        <w:t>salāgojot katra IKT risinājuma prasības ar MDP līmeņiem</w:t>
      </w:r>
      <w:r w:rsidRPr="002D2950" w:rsidR="00B5275B">
        <w:t>,</w:t>
      </w:r>
      <w:r w:rsidRPr="002D2950">
        <w:t xml:space="preserve"> tiks panākta pēc iespējas lielāka skaita risinājumu migrācija un jaunu risinājumu veidošana uz </w:t>
      </w:r>
      <w:r w:rsidRPr="002D2950">
        <w:t>mākoņdatošanas</w:t>
      </w:r>
      <w:r w:rsidRPr="002D2950">
        <w:t xml:space="preserve"> tehnoloģijām.</w:t>
      </w:r>
    </w:p>
    <w:p w:rsidR="00781866" w:rsidRPr="002D2950" w:rsidP="00EF589A" w14:paraId="77A76157" w14:textId="051A98EE">
      <w:pPr>
        <w:pStyle w:val="NormalWeb"/>
        <w:spacing w:before="120" w:beforeAutospacing="0" w:after="0" w:afterAutospacing="0" w:line="276" w:lineRule="auto"/>
        <w:ind w:firstLine="720"/>
        <w:jc w:val="both"/>
      </w:pPr>
      <w:r w:rsidRPr="002D2950">
        <w:t xml:space="preserve">Attīstot, </w:t>
      </w:r>
      <w:r w:rsidRPr="002D2950">
        <w:t xml:space="preserve">atjaunojot vai uzlabojot esošo </w:t>
      </w:r>
      <w:r w:rsidRPr="002D2950">
        <w:t>valsts pārvaldes IKT risinājumu</w:t>
      </w:r>
      <w:r w:rsidRPr="002D2950">
        <w:t xml:space="preserve"> tehnoloģiskos </w:t>
      </w:r>
      <w:r w:rsidRPr="002D2950">
        <w:rPr>
          <w:shd w:val="clear" w:color="auto" w:fill="FFFFFF" w:themeFill="background1"/>
        </w:rPr>
        <w:t>risinājumus</w:t>
      </w:r>
      <w:r w:rsidRPr="002D2950">
        <w:rPr>
          <w:shd w:val="clear" w:color="auto" w:fill="FFFFFF" w:themeFill="background1"/>
        </w:rPr>
        <w:t>, tos</w:t>
      </w:r>
      <w:r w:rsidRPr="002D2950">
        <w:rPr>
          <w:shd w:val="clear" w:color="auto" w:fill="FFFFFF" w:themeFill="background1"/>
        </w:rPr>
        <w:t xml:space="preserve"> ir jāveido</w:t>
      </w:r>
      <w:r w:rsidRPr="002D2950" w:rsidR="00B5275B">
        <w:rPr>
          <w:shd w:val="clear" w:color="auto" w:fill="FFFFFF" w:themeFill="background1"/>
        </w:rPr>
        <w:t>,</w:t>
      </w:r>
      <w:r w:rsidRPr="002D2950">
        <w:rPr>
          <w:shd w:val="clear" w:color="auto" w:fill="FFFFFF" w:themeFill="background1"/>
        </w:rPr>
        <w:t xml:space="preserve"> ņemot vērā </w:t>
      </w:r>
      <w:r w:rsidRPr="002D2950">
        <w:rPr>
          <w:shd w:val="clear" w:color="auto" w:fill="FFFFFF" w:themeFill="background1"/>
        </w:rPr>
        <w:t>mākoņdatošanas</w:t>
      </w:r>
      <w:r w:rsidRPr="002D2950">
        <w:rPr>
          <w:shd w:val="clear" w:color="auto" w:fill="FFFFFF" w:themeFill="background1"/>
        </w:rPr>
        <w:t xml:space="preserve"> būtiskākos aspektus, lai veidotu drošus, uzticamus un mērogojamus lietojumus. </w:t>
      </w:r>
      <w:r w:rsidR="00816608">
        <w:rPr>
          <w:shd w:val="clear" w:color="auto" w:fill="FFFFFF" w:themeFill="background1"/>
        </w:rPr>
        <w:t>Veiksmīgai MDP ieviešanai un realizācijai ieteicams izstrādāt</w:t>
      </w:r>
      <w:r w:rsidRPr="002D2950">
        <w:rPr>
          <w:shd w:val="clear" w:color="auto" w:fill="FFFFFF" w:themeFill="background1"/>
        </w:rPr>
        <w:t xml:space="preserve"> </w:t>
      </w:r>
      <w:r w:rsidRPr="002D2950" w:rsidR="0042236C">
        <w:rPr>
          <w:shd w:val="clear" w:color="auto" w:fill="FFFFFF" w:themeFill="background1"/>
        </w:rPr>
        <w:t>“</w:t>
      </w:r>
      <w:r w:rsidRPr="00816608" w:rsidR="00816608">
        <w:rPr>
          <w:shd w:val="clear" w:color="auto" w:fill="FFFFFF" w:themeFill="background1"/>
        </w:rPr>
        <w:t>Norādījum</w:t>
      </w:r>
      <w:r w:rsidR="00816608">
        <w:rPr>
          <w:shd w:val="clear" w:color="auto" w:fill="FFFFFF" w:themeFill="background1"/>
        </w:rPr>
        <w:t>us</w:t>
      </w:r>
      <w:r w:rsidRPr="00816608" w:rsidR="00816608">
        <w:rPr>
          <w:shd w:val="clear" w:color="auto" w:fill="FFFFFF" w:themeFill="background1"/>
        </w:rPr>
        <w:t xml:space="preserve"> informācijas apstrādes risinājumu attīstītājiem efektīvai </w:t>
      </w:r>
      <w:r w:rsidRPr="00816608" w:rsidR="00816608">
        <w:rPr>
          <w:shd w:val="clear" w:color="auto" w:fill="FFFFFF" w:themeFill="background1"/>
        </w:rPr>
        <w:t>mākoņdatošanas</w:t>
      </w:r>
      <w:r w:rsidRPr="00816608" w:rsidR="00816608">
        <w:rPr>
          <w:shd w:val="clear" w:color="auto" w:fill="FFFFFF" w:themeFill="background1"/>
        </w:rPr>
        <w:t xml:space="preserve"> pakalpojumu izmantošanai</w:t>
      </w:r>
      <w:r w:rsidRPr="002D2950" w:rsidR="0042236C">
        <w:rPr>
          <w:shd w:val="clear" w:color="auto" w:fill="FFFFFF" w:themeFill="background1"/>
        </w:rPr>
        <w:t>”</w:t>
      </w:r>
      <w:r w:rsidR="00143472">
        <w:rPr>
          <w:shd w:val="clear" w:color="auto" w:fill="FFFFFF" w:themeFill="background1"/>
        </w:rPr>
        <w:t>, kur</w:t>
      </w:r>
      <w:r w:rsidRPr="002D2950">
        <w:rPr>
          <w:shd w:val="clear" w:color="auto" w:fill="FFFFFF" w:themeFill="background1"/>
        </w:rPr>
        <w:t xml:space="preserve"> </w:t>
      </w:r>
      <w:r w:rsidR="00143472">
        <w:rPr>
          <w:shd w:val="clear" w:color="auto" w:fill="FFFFFF" w:themeFill="background1"/>
        </w:rPr>
        <w:t>tiktu</w:t>
      </w:r>
      <w:r w:rsidRPr="002D2950" w:rsidR="00143472">
        <w:rPr>
          <w:shd w:val="clear" w:color="auto" w:fill="FFFFFF" w:themeFill="background1"/>
        </w:rPr>
        <w:t xml:space="preserve"> </w:t>
      </w:r>
      <w:r w:rsidRPr="002D2950">
        <w:rPr>
          <w:shd w:val="clear" w:color="auto" w:fill="FFFFFF" w:themeFill="background1"/>
        </w:rPr>
        <w:t>apkopoti būtiskākie problēmjautājumi, kas ir jāizvērtē un katrā individuālā gadījumā</w:t>
      </w:r>
      <w:r w:rsidRPr="002D2950">
        <w:rPr>
          <w:shd w:val="clear" w:color="auto" w:fill="FFFFFF" w:themeFill="background1"/>
        </w:rPr>
        <w:t xml:space="preserve">  </w:t>
      </w:r>
      <w:r w:rsidRPr="002D2950">
        <w:rPr>
          <w:shd w:val="clear" w:color="auto" w:fill="FFFFFF" w:themeFill="background1"/>
        </w:rPr>
        <w:t xml:space="preserve">jāizvēlas piemērotākais tehniskais risinājums, atkarībā no </w:t>
      </w:r>
      <w:r w:rsidRPr="002D2950">
        <w:rPr>
          <w:shd w:val="clear" w:color="auto" w:fill="FFFFFF" w:themeFill="background1"/>
        </w:rPr>
        <w:t>izvēlātā</w:t>
      </w:r>
      <w:r w:rsidRPr="002D2950">
        <w:rPr>
          <w:shd w:val="clear" w:color="auto" w:fill="FFFFFF" w:themeFill="background1"/>
        </w:rPr>
        <w:t xml:space="preserve"> MDP tehniskajām iespējām un MDP platformas izstrādes tehnoloģijām.</w:t>
      </w:r>
      <w:r w:rsidRPr="002D2950">
        <w:rPr>
          <w:shd w:val="clear" w:color="auto" w:fill="FFFFFF" w:themeFill="background1"/>
        </w:rPr>
        <w:t xml:space="preserve"> Skat. informāciju par šo norādījumu turpmākās attīstības plāniem ziņojuma sadaļā “</w:t>
      </w:r>
      <w:r w:rsidRPr="002D2950">
        <w:rPr>
          <w:shd w:val="clear" w:color="auto" w:fill="FFFFFF" w:themeFill="background1"/>
        </w:rPr>
        <w:t>Mākoņdatošanas</w:t>
      </w:r>
      <w:r w:rsidRPr="002D2950">
        <w:rPr>
          <w:shd w:val="clear" w:color="auto" w:fill="FFFFFF" w:themeFill="background1"/>
        </w:rPr>
        <w:t xml:space="preserve"> pakalpojumu pārvaldība”.</w:t>
      </w:r>
    </w:p>
    <w:p w:rsidR="00781866" w:rsidRPr="002D2950" w:rsidP="00C23A45" w14:paraId="3241E481" w14:textId="77777777">
      <w:pPr>
        <w:pStyle w:val="NormalWeb"/>
        <w:spacing w:before="0" w:beforeAutospacing="0" w:after="0" w:afterAutospacing="0" w:line="276" w:lineRule="auto"/>
        <w:jc w:val="both"/>
      </w:pPr>
    </w:p>
    <w:p w:rsidR="00781866" w:rsidRPr="002D2950" w:rsidP="00E40A97" w14:paraId="24E7EB07" w14:textId="77777777">
      <w:pPr>
        <w:pStyle w:val="Heading2"/>
        <w:numPr>
          <w:ilvl w:val="1"/>
          <w:numId w:val="12"/>
        </w:numPr>
        <w:pBdr>
          <w:top w:val="nil"/>
          <w:left w:val="nil"/>
          <w:bottom w:val="nil"/>
          <w:right w:val="nil"/>
          <w:between w:val="nil"/>
        </w:pBdr>
        <w:spacing w:before="0" w:after="160" w:line="276" w:lineRule="auto"/>
        <w:jc w:val="both"/>
        <w:rPr>
          <w:sz w:val="24"/>
          <w:szCs w:val="24"/>
        </w:rPr>
      </w:pPr>
      <w:bookmarkStart w:id="239" w:name="_Toc498346625"/>
      <w:bookmarkStart w:id="240" w:name="_Toc505072516"/>
      <w:bookmarkStart w:id="241" w:name="_Toc256000033"/>
      <w:bookmarkStart w:id="242" w:name="_Toc256000079"/>
      <w:r w:rsidRPr="002D2950">
        <w:rPr>
          <w:sz w:val="24"/>
          <w:szCs w:val="24"/>
        </w:rPr>
        <w:t>Informācijas drošības apsvērumi</w:t>
      </w:r>
      <w:bookmarkEnd w:id="242"/>
      <w:bookmarkEnd w:id="241"/>
      <w:bookmarkEnd w:id="239"/>
      <w:bookmarkEnd w:id="240"/>
    </w:p>
    <w:p w:rsidR="009A2882" w:rsidRPr="002D2950" w:rsidP="00FC7919" w14:paraId="3BCFB2CF" w14:textId="730F4371">
      <w:pPr>
        <w:pStyle w:val="NormalWeb"/>
        <w:spacing w:before="120" w:beforeAutospacing="0" w:after="0" w:afterAutospacing="0" w:line="276" w:lineRule="auto"/>
        <w:ind w:firstLine="720"/>
        <w:jc w:val="both"/>
      </w:pPr>
      <w:r w:rsidRPr="002D2950">
        <w:t>Mākoņdatošana</w:t>
      </w:r>
      <w:r w:rsidRPr="002D2950">
        <w:t xml:space="preserve"> nodrošina dinamiskus, elastīgus un izmaksu-efektīvus IKT pakalpojumus. Lietojot</w:t>
      </w:r>
      <w:r w:rsidRPr="002D2950">
        <w:t xml:space="preserve">  </w:t>
      </w:r>
      <w:r w:rsidRPr="002D2950">
        <w:t xml:space="preserve">MDP, pakalpojumu saņēmējs mijiedarbojas ar pakalpojumu sniedzēju vairākos drošības un privātuma aspektos, un izveido noteiktu uzticamības līmeni ar MDP sniedzēju. </w:t>
      </w:r>
      <w:r w:rsidRPr="002D2950">
        <w:t>Ta</w:t>
      </w:r>
      <w:r w:rsidRPr="002D2950">
        <w:t xml:space="preserve">i pat </w:t>
      </w:r>
      <w:r w:rsidRPr="002D2950">
        <w:t>laikā</w:t>
      </w:r>
      <w:r w:rsidRPr="002D2950">
        <w:t xml:space="preserve"> atbildība par informācijas konfidencialitāti, integritāti un IT pakalpojumu pieejamību paliek MDP pasūtītājam. Lai sasniegtu valsts pārvald</w:t>
      </w:r>
      <w:r w:rsidR="008A382F">
        <w:t>e</w:t>
      </w:r>
      <w:r w:rsidRPr="002D2950">
        <w:t xml:space="preserve">s </w:t>
      </w:r>
      <w:r w:rsidR="008A382F">
        <w:t>iestādēm</w:t>
      </w:r>
      <w:r w:rsidRPr="002D2950" w:rsidR="008A382F">
        <w:t xml:space="preserve"> </w:t>
      </w:r>
      <w:r w:rsidRPr="002D2950">
        <w:t>izvirzītos mērķus un rezultātus, izvēloties MDP, tām ir jāizvēlas strukturēta informācijas risku pārvaldības pieeja.</w:t>
      </w:r>
      <w:r w:rsidRPr="002D2950">
        <w:t xml:space="preserve"> Uz to ir attiecināma</w:t>
      </w:r>
      <w:bookmarkStart w:id="243" w:name="_Toc498346626"/>
      <w:r w:rsidRPr="002D2950">
        <w:t xml:space="preserve"> </w:t>
      </w:r>
      <w:r w:rsidRPr="002D2950">
        <w:t>m</w:t>
      </w:r>
      <w:r w:rsidRPr="002D2950">
        <w:t>ākoņdatošanas</w:t>
      </w:r>
      <w:r w:rsidRPr="002D2950">
        <w:t xml:space="preserve"> pakalpojumu drošības sertifikācija</w:t>
      </w:r>
      <w:bookmarkEnd w:id="243"/>
      <w:r w:rsidRPr="002D2950">
        <w:t>.</w:t>
      </w:r>
    </w:p>
    <w:p w:rsidR="009A2882" w:rsidRPr="002D2950" w:rsidP="00FC7919" w14:paraId="2E9AD247" w14:textId="77777777">
      <w:pPr>
        <w:pStyle w:val="NormalWeb"/>
        <w:spacing w:before="120" w:beforeAutospacing="0" w:after="0" w:afterAutospacing="0" w:line="276" w:lineRule="auto"/>
        <w:ind w:firstLine="720"/>
        <w:jc w:val="both"/>
      </w:pPr>
      <w:r w:rsidRPr="002D2950">
        <w:t xml:space="preserve">MDP drošības sertifikācijas programmas nodrošina MDP sniedzēja informācijas drošības pārvaldības principu caurredzamību un pārskatāmību, kas tiek panākta ar profesionālu trešo pušu organizāciju veiktu sertifikāciju un regulāriem auditiem </w:t>
      </w:r>
      <w:r w:rsidRPr="002D2950" w:rsidR="00FD5173">
        <w:t xml:space="preserve">saskaņā ar </w:t>
      </w:r>
      <w:r w:rsidRPr="002D2950">
        <w:t>noteiktā</w:t>
      </w:r>
      <w:r w:rsidRPr="002D2950" w:rsidR="00FD5173">
        <w:t>m informācijas drošības kontroļu</w:t>
      </w:r>
      <w:r w:rsidRPr="002D2950">
        <w:t xml:space="preserve"> vadlīnijām.</w:t>
      </w:r>
    </w:p>
    <w:p w:rsidR="00781866" w:rsidRPr="002D2950" w:rsidP="00FC7919" w14:paraId="0486791B" w14:textId="0481B8BA">
      <w:pPr>
        <w:pStyle w:val="NormalWeb"/>
        <w:spacing w:before="120" w:beforeAutospacing="0" w:after="0" w:afterAutospacing="0" w:line="276" w:lineRule="auto"/>
        <w:ind w:firstLine="720"/>
        <w:jc w:val="both"/>
      </w:pPr>
      <w:r w:rsidRPr="002D2950">
        <w:t>MDP pakalpojumu saņēmējs vai pasūtītājs var izmantot šo sertifikāciju, lai pārliecinātos par būtiskāko informācijas drošības prasību izpildi MDP sniedzēja uzņēmumā.</w:t>
      </w:r>
    </w:p>
    <w:p w:rsidR="00781866" w:rsidRPr="002D2950" w:rsidP="00FC7919" w14:paraId="35E0AB4B" w14:textId="77777777">
      <w:pPr>
        <w:pStyle w:val="NormalWeb"/>
        <w:spacing w:before="120" w:beforeAutospacing="0" w:after="0" w:afterAutospacing="0" w:line="276" w:lineRule="auto"/>
        <w:ind w:firstLine="720"/>
        <w:jc w:val="both"/>
      </w:pPr>
      <w:r w:rsidRPr="002D2950">
        <w:t>Viena no populārākajām informācijas drošības sertifikācijas programmām, ko izmanto daudzi MDP sniedzēji, ir Starptautiskās standartu organizācijas ISO 27001 sertifikāts.</w:t>
      </w:r>
    </w:p>
    <w:p w:rsidR="002B238C" w:rsidP="002B238C" w14:paraId="5D8EF7B4" w14:textId="77777777">
      <w:pPr>
        <w:pStyle w:val="NormalWeb"/>
        <w:spacing w:before="0" w:beforeAutospacing="0" w:after="0" w:afterAutospacing="0" w:line="276" w:lineRule="auto"/>
        <w:ind w:firstLine="720"/>
        <w:jc w:val="both"/>
      </w:pPr>
    </w:p>
    <w:p w:rsidR="00781866" w:rsidRPr="002D2950" w:rsidP="002B238C" w14:paraId="46D15C50" w14:textId="4FF9D100">
      <w:pPr>
        <w:pStyle w:val="NormalWeb"/>
        <w:spacing w:before="0" w:beforeAutospacing="0" w:after="0" w:afterAutospacing="0" w:line="276" w:lineRule="auto"/>
        <w:ind w:firstLine="720"/>
        <w:jc w:val="both"/>
      </w:pPr>
      <w:r w:rsidRPr="002D2950">
        <w:t>A</w:t>
      </w:r>
      <w:r w:rsidRPr="002D2950">
        <w:t>r Informācijas drošību saistīto risku pārvaldību var nodrošināt</w:t>
      </w:r>
      <w:r w:rsidRPr="002D2950">
        <w:t>,</w:t>
      </w:r>
      <w:r w:rsidRPr="002D2950">
        <w:t xml:space="preserve"> veicot šādus soļus:</w:t>
      </w:r>
    </w:p>
    <w:p w:rsidR="00781866" w:rsidRPr="002D2950" w:rsidP="00E40A97" w14:paraId="6F8BE903" w14:textId="6F5420D0">
      <w:pPr>
        <w:pStyle w:val="NormalWeb"/>
        <w:numPr>
          <w:ilvl w:val="0"/>
          <w:numId w:val="11"/>
        </w:numPr>
        <w:spacing w:before="0" w:beforeAutospacing="0" w:after="0" w:afterAutospacing="0" w:line="276" w:lineRule="auto"/>
        <w:jc w:val="both"/>
      </w:pPr>
      <w:r w:rsidRPr="002D2950">
        <w:t>Solis: Informācijas resursu (d</w:t>
      </w:r>
      <w:r w:rsidRPr="002D2950">
        <w:t xml:space="preserve">atu) klasifikācija (vairāk par informācijas resursu klasifikāciju skatīt Ziņojuma </w:t>
      </w:r>
      <w:r w:rsidRPr="002D2950">
        <w:fldChar w:fldCharType="begin"/>
      </w:r>
      <w:r w:rsidRPr="002D2950">
        <w:instrText xml:space="preserve"> REF _Ref498333211 \w \h  \* MERGEFORMAT </w:instrText>
      </w:r>
      <w:r w:rsidRPr="002D2950">
        <w:fldChar w:fldCharType="separate"/>
      </w:r>
      <w:r w:rsidR="00B2422F">
        <w:t>4</w:t>
      </w:r>
      <w:r w:rsidRPr="002D2950">
        <w:fldChar w:fldCharType="end"/>
      </w:r>
      <w:r w:rsidRPr="002D2950">
        <w:t>. punktu);</w:t>
      </w:r>
    </w:p>
    <w:p w:rsidR="00781866" w:rsidRPr="002D2950" w:rsidP="00E40A97" w14:paraId="65771BD0" w14:textId="77777777">
      <w:pPr>
        <w:pStyle w:val="NormalWeb"/>
        <w:numPr>
          <w:ilvl w:val="0"/>
          <w:numId w:val="11"/>
        </w:numPr>
        <w:spacing w:before="0" w:beforeAutospacing="0" w:after="0" w:afterAutospacing="0" w:line="276" w:lineRule="auto"/>
        <w:jc w:val="both"/>
      </w:pPr>
      <w:r w:rsidRPr="002D2950">
        <w:t>Solis: Informācijas resursu klasifikācijai atbilstošu kontroļu izvēle;</w:t>
      </w:r>
    </w:p>
    <w:p w:rsidR="00781866" w:rsidRPr="002D2950" w:rsidP="00E40A97" w14:paraId="2572E0FE" w14:textId="77777777">
      <w:pPr>
        <w:pStyle w:val="NormalWeb"/>
        <w:numPr>
          <w:ilvl w:val="0"/>
          <w:numId w:val="11"/>
        </w:numPr>
        <w:spacing w:before="0" w:beforeAutospacing="0" w:after="0" w:afterAutospacing="0" w:line="276" w:lineRule="auto"/>
        <w:jc w:val="both"/>
      </w:pPr>
      <w:r w:rsidRPr="002D2950">
        <w:t>Solis: MDP izvērtēšana attiecībā pret izvēlētajām kontrolēm;</w:t>
      </w:r>
    </w:p>
    <w:p w:rsidR="00781866" w:rsidRPr="002D2950" w:rsidP="00E40A97" w14:paraId="432E2F5D" w14:textId="77777777">
      <w:pPr>
        <w:pStyle w:val="NormalWeb"/>
        <w:numPr>
          <w:ilvl w:val="0"/>
          <w:numId w:val="11"/>
        </w:numPr>
        <w:spacing w:before="0" w:beforeAutospacing="0" w:after="0" w:afterAutospacing="0" w:line="276" w:lineRule="auto"/>
        <w:jc w:val="both"/>
      </w:pPr>
      <w:r w:rsidRPr="002D2950">
        <w:t>Solis: Nepārtraukta MDP uzraudzība (monitorings).</w:t>
      </w:r>
    </w:p>
    <w:p w:rsidR="00781866" w:rsidRPr="002D2950" w:rsidP="00FC7919" w14:paraId="56557BAD" w14:textId="2E51B991">
      <w:pPr>
        <w:pStyle w:val="NormalWeb"/>
        <w:spacing w:before="120" w:beforeAutospacing="0" w:after="0" w:afterAutospacing="0" w:line="276" w:lineRule="auto"/>
        <w:ind w:firstLine="720"/>
        <w:jc w:val="both"/>
      </w:pPr>
      <w:r w:rsidRPr="002D2950">
        <w:t xml:space="preserve">Lai nodrošinātu informācijas resursu klasifikācijai atbilstošo kontroļu izvēles procesa </w:t>
      </w:r>
      <w:r w:rsidRPr="002D2950">
        <w:t>atkalizmantojamību</w:t>
      </w:r>
      <w:r w:rsidRPr="002D2950">
        <w:t xml:space="preserve"> un elastību, ieteicams salāgot valsts iestāžu informācijas drošības kontroles ar kādu no starptautiski atzītiem informācijas drošības sertifikātiem (piemēram, ISO 27001).</w:t>
      </w:r>
      <w:r w:rsidRPr="00FC7919" w:rsidR="00FC7919">
        <w:t xml:space="preserve"> </w:t>
      </w:r>
      <w:r w:rsidR="00FC7919">
        <w:t>I</w:t>
      </w:r>
      <w:r w:rsidRPr="00FC7919" w:rsidR="00FC7919">
        <w:t>nformācijas drošības kontrole, tai skaitā personiski identificējamas informācijas kontrole ārpus valsts kontroles esošo datu centru gadījumā</w:t>
      </w:r>
      <w:r w:rsidR="00FC7919">
        <w:t>, var tikt veikta saskaņā ar standarta ISO 27018 prasībām.</w:t>
      </w:r>
    </w:p>
    <w:p w:rsidR="00781866" w:rsidRPr="00EA20CC" w:rsidP="00FC7919" w14:paraId="28767DC8" w14:textId="77777777">
      <w:pPr>
        <w:pStyle w:val="NormalWeb"/>
        <w:spacing w:before="120" w:beforeAutospacing="0" w:after="0" w:afterAutospacing="0" w:line="276" w:lineRule="auto"/>
        <w:ind w:firstLine="720"/>
        <w:jc w:val="both"/>
      </w:pPr>
      <w:r w:rsidRPr="002D2950">
        <w:t xml:space="preserve">MDP pakalpojumu sniedzēji tādejādi varētu </w:t>
      </w:r>
      <w:r w:rsidRPr="002D2950">
        <w:t>pārizmantot</w:t>
      </w:r>
      <w:r w:rsidRPr="002D2950">
        <w:t xml:space="preserve"> to esošos sertifikātus, lai apliecinātu valsts iestādēm nepieciešamo informācijas drošības līmeni un samazinātu informācijas drošības </w:t>
      </w:r>
      <w:r w:rsidRPr="00EA20CC">
        <w:t>nodrošināšanas izmaksas. Šāda pieeja samazinātu visu iesaistīto pušu patērēto laiku un resursus, un vienlaikus palielinātu valsts informācijas drošību.</w:t>
      </w:r>
    </w:p>
    <w:p w:rsidR="00713D9B" w:rsidRPr="00EA20CC" w:rsidP="00713D9B" w14:paraId="504DA6BC" w14:textId="77777777"/>
    <w:p w:rsidR="00713D9B" w:rsidRPr="00EA20CC" w:rsidP="00713D9B" w14:paraId="5AB797F6" w14:textId="569C856C">
      <w:pPr>
        <w:ind w:firstLine="720"/>
        <w:jc w:val="both"/>
        <w:rPr>
          <w:sz w:val="22"/>
          <w:szCs w:val="22"/>
        </w:rPr>
      </w:pPr>
      <w:r w:rsidRPr="00EA20CC">
        <w:t>Savukārt Ziņojumā minētā MDP Brokera funkcijas paredz specifisku prasību izvirzīšanu un nostiprināšanu normatīvajos aktos un līgumos, kas attiecas uz MDP sniedzēju kvalifikāciju pakalpojumu sniegšanai (skatīt Ziņojuma 7.1.1. punktu “Funkcija: Uzraudzība un koordinācija”).</w:t>
      </w:r>
    </w:p>
    <w:p w:rsidR="00713D9B" w:rsidRPr="00EA20CC" w:rsidP="00FC7919" w14:paraId="27C6A67B" w14:textId="77777777">
      <w:pPr>
        <w:pStyle w:val="NormalWeb"/>
        <w:spacing w:before="120" w:beforeAutospacing="0" w:after="0" w:afterAutospacing="0" w:line="276" w:lineRule="auto"/>
        <w:ind w:firstLine="720"/>
        <w:jc w:val="both"/>
      </w:pPr>
    </w:p>
    <w:p w:rsidR="00781866" w:rsidRPr="002D2950" w:rsidP="00C23A45" w14:paraId="64C424A4" w14:textId="77777777">
      <w:pPr>
        <w:pStyle w:val="NormalWeb"/>
        <w:spacing w:before="0" w:beforeAutospacing="0" w:after="0" w:afterAutospacing="0" w:line="276" w:lineRule="auto"/>
        <w:jc w:val="both"/>
      </w:pPr>
    </w:p>
    <w:p w:rsidR="00781866" w:rsidRPr="002D2950" w:rsidP="00E40A97" w14:paraId="50B0DDF0" w14:textId="41785412">
      <w:pPr>
        <w:pStyle w:val="Heading2"/>
        <w:numPr>
          <w:ilvl w:val="1"/>
          <w:numId w:val="12"/>
        </w:numPr>
        <w:pBdr>
          <w:top w:val="nil"/>
          <w:left w:val="nil"/>
          <w:bottom w:val="nil"/>
          <w:right w:val="nil"/>
          <w:between w:val="nil"/>
        </w:pBdr>
        <w:spacing w:before="0" w:after="160" w:line="276" w:lineRule="auto"/>
        <w:jc w:val="both"/>
        <w:rPr>
          <w:sz w:val="24"/>
          <w:szCs w:val="24"/>
        </w:rPr>
      </w:pPr>
      <w:bookmarkStart w:id="244" w:name="_Toc498346627"/>
      <w:bookmarkStart w:id="245" w:name="_Toc505072517"/>
      <w:bookmarkStart w:id="246" w:name="_Toc256000034"/>
      <w:bookmarkStart w:id="247" w:name="_Toc256000080"/>
      <w:r w:rsidRPr="002D2950">
        <w:rPr>
          <w:sz w:val="24"/>
          <w:szCs w:val="24"/>
        </w:rPr>
        <w:t>Mākoņdatošanas</w:t>
      </w:r>
      <w:r w:rsidRPr="002D2950">
        <w:rPr>
          <w:sz w:val="24"/>
          <w:szCs w:val="24"/>
        </w:rPr>
        <w:t xml:space="preserve"> </w:t>
      </w:r>
      <w:r w:rsidR="00CB26C6">
        <w:rPr>
          <w:sz w:val="24"/>
          <w:szCs w:val="24"/>
        </w:rPr>
        <w:t xml:space="preserve">pakalpojumu </w:t>
      </w:r>
      <w:r w:rsidRPr="002D2950">
        <w:rPr>
          <w:sz w:val="24"/>
          <w:szCs w:val="24"/>
        </w:rPr>
        <w:t>lietošanas paplašināšana valsts pārvaldē</w:t>
      </w:r>
      <w:bookmarkEnd w:id="247"/>
      <w:bookmarkEnd w:id="246"/>
      <w:bookmarkEnd w:id="244"/>
      <w:bookmarkEnd w:id="245"/>
    </w:p>
    <w:p w:rsidR="00781866" w:rsidRPr="002D2950" w:rsidP="00071D3D" w14:paraId="2C3F0F3D" w14:textId="274E7593">
      <w:pPr>
        <w:ind w:firstLine="720"/>
        <w:jc w:val="both"/>
      </w:pPr>
      <w:r w:rsidRPr="002D2950">
        <w:t>Pamatojoties uz Ziņojuma ietvaros veikto esošās situācijas analīzi Latvijas valsts pārvaldes institūciju IKT pārvaldībā (kas apliecina valsts pārvaldes institūciju IKT pārvaldības modeļa virzību IKT infrastruktūras resursu centralizācijas un koplietošanas pakalpojumu attīstības virzienā)</w:t>
      </w:r>
      <w:r w:rsidRPr="002D2950" w:rsidR="00653BB1">
        <w:t>,</w:t>
      </w:r>
      <w:r w:rsidRPr="002D2950">
        <w:t xml:space="preserve"> kā arī</w:t>
      </w:r>
      <w:r w:rsidRPr="002D2950" w:rsidR="00653BB1">
        <w:t>,</w:t>
      </w:r>
      <w:r w:rsidRPr="002D2950">
        <w:t xml:space="preserve"> ņemot vērā citu valstu pieredzi attiecībā uz </w:t>
      </w:r>
      <w:r w:rsidRPr="002D2950" w:rsidR="00653BB1">
        <w:t>MDP</w:t>
      </w:r>
      <w:r w:rsidRPr="002D2950">
        <w:t xml:space="preserve"> lietošanas pozitīvo ietekmi uz efektīvu valsts IKT pārvaldības modeļa darbību, </w:t>
      </w:r>
      <w:r w:rsidR="009071BD">
        <w:t>ziņojums</w:t>
      </w:r>
      <w:r w:rsidRPr="002D2950">
        <w:t xml:space="preserve"> izvirza šādu priekšlikumu par MDP lietošanas paplašināšanas īstenošanas (transformācijas) konceptuālo plānu (skat. arī Attēlu Nr</w:t>
      </w:r>
      <w:r w:rsidRPr="002D2950" w:rsidR="00653BB1">
        <w:t>.6</w:t>
      </w:r>
      <w:r w:rsidRPr="002D2950">
        <w:t xml:space="preserve">): </w:t>
      </w:r>
    </w:p>
    <w:p w:rsidR="00781866" w:rsidRPr="002D2950" w:rsidP="00E40A97" w14:paraId="0A3862D7" w14:textId="77777777">
      <w:pPr>
        <w:numPr>
          <w:ilvl w:val="0"/>
          <w:numId w:val="9"/>
        </w:numPr>
        <w:pBdr>
          <w:top w:val="nil"/>
          <w:left w:val="nil"/>
          <w:bottom w:val="nil"/>
          <w:right w:val="nil"/>
          <w:between w:val="nil"/>
        </w:pBdr>
        <w:spacing w:after="400" w:line="276" w:lineRule="auto"/>
        <w:contextualSpacing/>
        <w:jc w:val="both"/>
      </w:pPr>
      <w:r w:rsidRPr="002D2950">
        <w:t>Esošās IKT infrastruktūras pakāpeniska konsolidācija un informācijas sistēmu darbināšanas pakāpeniska pārcelšana uz LVDC iekļautajiem valsts kontrolētiem datu centriem (LVDC mezgliem):</w:t>
      </w:r>
    </w:p>
    <w:p w:rsidR="00781866" w:rsidRPr="002D2950" w:rsidP="00E40A97" w14:paraId="3034971E" w14:textId="6924B094">
      <w:pPr>
        <w:numPr>
          <w:ilvl w:val="1"/>
          <w:numId w:val="26"/>
        </w:numPr>
        <w:pBdr>
          <w:top w:val="nil"/>
          <w:left w:val="nil"/>
          <w:bottom w:val="nil"/>
          <w:right w:val="nil"/>
          <w:between w:val="nil"/>
        </w:pBdr>
        <w:spacing w:after="400" w:line="276" w:lineRule="auto"/>
        <w:contextualSpacing/>
        <w:jc w:val="both"/>
      </w:pPr>
      <w:r w:rsidRPr="002D2950">
        <w:t>vienlaicīgi attīstot</w:t>
      </w:r>
      <w:r w:rsidRPr="002D2950">
        <w:t xml:space="preserve"> LVDC mezglus ierobežotu </w:t>
      </w:r>
      <w:r w:rsidRPr="002D2950">
        <w:t>mākoņspēju</w:t>
      </w:r>
      <w:r w:rsidRPr="002D2950">
        <w:t xml:space="preserve"> virzienā, dienesta informāciju saturošu vai speci</w:t>
      </w:r>
      <w:r w:rsidRPr="002D2950" w:rsidR="009D4150">
        <w:t>ālu gadījumu MDP nodrošināšanai;</w:t>
      </w:r>
      <w:r w:rsidRPr="002D2950">
        <w:t xml:space="preserve"> </w:t>
      </w:r>
    </w:p>
    <w:p w:rsidR="006B77B9" w:rsidP="00E40A97" w14:paraId="5C0DF947" w14:textId="25FFCBD8">
      <w:pPr>
        <w:numPr>
          <w:ilvl w:val="1"/>
          <w:numId w:val="26"/>
        </w:numPr>
        <w:pBdr>
          <w:top w:val="nil"/>
          <w:left w:val="nil"/>
          <w:bottom w:val="nil"/>
          <w:right w:val="nil"/>
          <w:between w:val="nil"/>
        </w:pBdr>
        <w:spacing w:after="400" w:line="276" w:lineRule="auto"/>
        <w:contextualSpacing/>
        <w:jc w:val="both"/>
      </w:pPr>
      <w:r w:rsidRPr="002D2950">
        <w:t xml:space="preserve">jaunu (t.sk. </w:t>
      </w:r>
      <w:r w:rsidRPr="002D2950" w:rsidR="00781866">
        <w:t>komerciālu</w:t>
      </w:r>
      <w:r w:rsidRPr="002D2950">
        <w:t>)</w:t>
      </w:r>
      <w:r w:rsidRPr="002D2950" w:rsidR="00781866">
        <w:t xml:space="preserve"> mezglu iekļaušana LVDC, izstrādājot atbilstošas prasības </w:t>
      </w:r>
      <w:r w:rsidRPr="002D2950">
        <w:t>LVDC mezgliem</w:t>
      </w:r>
      <w:r>
        <w:t>, izstrādājot</w:t>
      </w:r>
      <w:r w:rsidRPr="006B77B9">
        <w:t xml:space="preserve"> </w:t>
      </w:r>
      <w:r>
        <w:t>p</w:t>
      </w:r>
      <w:r w:rsidRPr="006B77B9">
        <w:t>rasības loģiski vienotā datu centra pakalpojumu sniedzējiem</w:t>
      </w:r>
      <w:r>
        <w:t>, kurā izklāstīt</w:t>
      </w:r>
      <w:r w:rsidRPr="006B77B9">
        <w:t xml:space="preserve"> pamata princip</w:t>
      </w:r>
      <w:r>
        <w:t>us</w:t>
      </w:r>
      <w:r w:rsidRPr="006B77B9">
        <w:t>, kas ir jāattīsta par precīzi definētu prasību kopu);</w:t>
      </w:r>
    </w:p>
    <w:p w:rsidR="00781866" w:rsidRPr="002D2950" w:rsidP="00E40A97" w14:paraId="55383A47" w14:textId="1F210584">
      <w:pPr>
        <w:numPr>
          <w:ilvl w:val="1"/>
          <w:numId w:val="26"/>
        </w:numPr>
        <w:pBdr>
          <w:top w:val="nil"/>
          <w:left w:val="nil"/>
          <w:bottom w:val="nil"/>
          <w:right w:val="nil"/>
          <w:between w:val="nil"/>
        </w:pBdr>
        <w:spacing w:after="400" w:line="276" w:lineRule="auto"/>
        <w:contextualSpacing/>
        <w:jc w:val="both"/>
      </w:pPr>
      <w:r w:rsidRPr="002D2950">
        <w:t xml:space="preserve">komerciālu LVDC mezglu piesaiste </w:t>
      </w:r>
      <w:r w:rsidRPr="002D2950">
        <w:t>radī</w:t>
      </w:r>
      <w:r w:rsidRPr="002D2950">
        <w:t>s</w:t>
      </w:r>
      <w:r w:rsidRPr="002D2950">
        <w:t xml:space="preserve"> iespēju risināt jaudas elastības jautājumu</w:t>
      </w:r>
      <w:r w:rsidRPr="002D2950" w:rsidR="009D4150">
        <w:t>.</w:t>
      </w:r>
    </w:p>
    <w:p w:rsidR="00781866" w:rsidRPr="002D2950" w:rsidP="00E40A97" w14:paraId="69208F08" w14:textId="77777777">
      <w:pPr>
        <w:numPr>
          <w:ilvl w:val="0"/>
          <w:numId w:val="9"/>
        </w:numPr>
        <w:pBdr>
          <w:top w:val="nil"/>
          <w:left w:val="nil"/>
          <w:bottom w:val="nil"/>
          <w:right w:val="nil"/>
          <w:between w:val="nil"/>
        </w:pBdr>
        <w:spacing w:after="400" w:line="276" w:lineRule="auto"/>
        <w:contextualSpacing/>
        <w:jc w:val="both"/>
      </w:pPr>
      <w:r w:rsidRPr="002D2950">
        <w:t>Publiskos un neklasificētos datus apstrādājošo valsts pārvaldes institūciju IKT risinājumu attīstīšana tā, lai tie spētu efektīvi izmantot pēc iespējas augstāka līmeņa MDP (</w:t>
      </w:r>
      <w:r w:rsidRPr="002D2950">
        <w:t>SaaS</w:t>
      </w:r>
      <w:r w:rsidRPr="002D2950">
        <w:t xml:space="preserve">, </w:t>
      </w:r>
      <w:r w:rsidRPr="002D2950">
        <w:t>PaaS</w:t>
      </w:r>
      <w:r w:rsidRPr="002D2950">
        <w:t>);</w:t>
      </w:r>
    </w:p>
    <w:p w:rsidR="00781866" w:rsidRPr="002D2950" w:rsidP="00E40A97" w14:paraId="211C0C8F" w14:textId="77777777">
      <w:pPr>
        <w:numPr>
          <w:ilvl w:val="0"/>
          <w:numId w:val="9"/>
        </w:numPr>
        <w:pBdr>
          <w:top w:val="nil"/>
          <w:left w:val="nil"/>
          <w:bottom w:val="nil"/>
          <w:right w:val="nil"/>
          <w:between w:val="nil"/>
        </w:pBdr>
        <w:spacing w:after="400" w:line="276" w:lineRule="auto"/>
        <w:contextualSpacing/>
        <w:jc w:val="both"/>
      </w:pPr>
      <w:r w:rsidRPr="002D2950">
        <w:t>Esošo IKT risinājumu pakāpeniska pārcelšana vai transformācija uz publiskajiem un komerciālajiem MDP sniedzējiem, komerciālo MDP izmantošana;</w:t>
      </w:r>
    </w:p>
    <w:p w:rsidR="00781866" w:rsidRPr="002D2950" w:rsidP="00E40A97" w14:paraId="4C1A9DF2" w14:textId="2058254C">
      <w:pPr>
        <w:numPr>
          <w:ilvl w:val="0"/>
          <w:numId w:val="9"/>
        </w:numPr>
        <w:pBdr>
          <w:top w:val="nil"/>
          <w:left w:val="nil"/>
          <w:bottom w:val="nil"/>
          <w:right w:val="nil"/>
          <w:between w:val="nil"/>
        </w:pBdr>
        <w:spacing w:after="400" w:line="276" w:lineRule="auto"/>
        <w:contextualSpacing/>
        <w:jc w:val="both"/>
      </w:pPr>
      <w:r w:rsidRPr="002D2950">
        <w:t>MDP izmantošanas veicināšana valsts pārvaldes iestādēs ar centralizētas sagādes iespējām</w:t>
      </w:r>
      <w:r w:rsidRPr="002D2950" w:rsidR="009D4150">
        <w:t>,</w:t>
      </w:r>
      <w:r w:rsidRPr="002D2950">
        <w:t xml:space="preserve"> kā arī, balstoties uz </w:t>
      </w:r>
      <w:r w:rsidRPr="002D2950" w:rsidR="009D4150">
        <w:t>“MDP, kā pirmā izvēle” principu.</w:t>
      </w:r>
      <w:r w:rsidRPr="002D2950" w:rsidR="004033B8">
        <w:t xml:space="preserve"> </w:t>
      </w:r>
    </w:p>
    <w:p w:rsidR="00781866" w:rsidRPr="002D2950" w:rsidP="00781866" w14:paraId="342A1825" w14:textId="77777777">
      <w:pPr>
        <w:jc w:val="center"/>
      </w:pPr>
      <w:r w:rsidRPr="002D2950">
        <w:rPr>
          <w:noProof/>
        </w:rPr>
        <w:drawing>
          <wp:inline distT="0" distB="0" distL="0" distR="0">
            <wp:extent cx="4393095" cy="3724275"/>
            <wp:effectExtent l="0" t="0" r="762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570443" name="MDP transformacijas 2 (2).pn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4402893" cy="3732582"/>
                    </a:xfrm>
                    <a:prstGeom prst="rect">
                      <a:avLst/>
                    </a:prstGeom>
                  </pic:spPr>
                </pic:pic>
              </a:graphicData>
            </a:graphic>
          </wp:inline>
        </w:drawing>
      </w:r>
    </w:p>
    <w:p w:rsidR="00B52088" w:rsidP="00EC2676" w14:paraId="10FF0118" w14:textId="7334A3B8">
      <w:pPr>
        <w:pStyle w:val="Caption"/>
        <w:spacing w:line="276" w:lineRule="auto"/>
        <w:jc w:val="center"/>
      </w:pPr>
      <w:r w:rsidRPr="002D2950">
        <w:t xml:space="preserve">Attēls Nr. </w:t>
      </w:r>
      <w:r>
        <w:fldChar w:fldCharType="begin"/>
      </w:r>
      <w:r>
        <w:instrText xml:space="preserve"> STYLEREF 1 \s </w:instrText>
      </w:r>
      <w:r>
        <w:fldChar w:fldCharType="separate"/>
      </w:r>
      <w:r>
        <w:t>6</w:t>
      </w:r>
      <w:r w:rsidR="00B2422F">
        <w:rPr>
          <w:noProof/>
        </w:rPr>
        <w:fldChar w:fldCharType="end"/>
      </w:r>
      <w:r w:rsidRPr="002D2950">
        <w:t xml:space="preserve"> MDP lietošanas paplašināšanas (transformācijas) konceptuālais rīcības plāns</w:t>
      </w:r>
      <w:bookmarkStart w:id="248" w:name="_MDP_kā_pirmā"/>
      <w:bookmarkStart w:id="249" w:name="_Ref498329289"/>
      <w:bookmarkStart w:id="250" w:name="_Toc496001894"/>
      <w:bookmarkEnd w:id="248"/>
    </w:p>
    <w:p w:rsidR="00733B73" w:rsidP="00733B73" w14:paraId="787F953A" w14:textId="77777777"/>
    <w:p w:rsidR="00733B73" w:rsidP="00733B73" w14:paraId="31F31938" w14:textId="77777777"/>
    <w:p w:rsidR="00733B73" w:rsidP="00733B73" w14:paraId="07C9A342" w14:textId="77777777"/>
    <w:p w:rsidR="00733B73" w:rsidP="00733B73" w14:paraId="5D88E17C" w14:textId="77777777"/>
    <w:p w:rsidR="00781866" w:rsidRPr="00CB26C6" w:rsidP="00E40A97" w14:paraId="18E5CEBB" w14:textId="77777777">
      <w:pPr>
        <w:pStyle w:val="Heading1"/>
        <w:keepLines/>
        <w:numPr>
          <w:ilvl w:val="0"/>
          <w:numId w:val="12"/>
        </w:numPr>
        <w:pBdr>
          <w:top w:val="nil"/>
          <w:left w:val="nil"/>
          <w:bottom w:val="nil"/>
          <w:right w:val="nil"/>
          <w:between w:val="nil"/>
        </w:pBdr>
        <w:spacing w:before="0" w:after="200" w:line="276" w:lineRule="auto"/>
        <w:contextualSpacing/>
        <w:jc w:val="left"/>
      </w:pPr>
      <w:bookmarkStart w:id="251" w:name="_Toc498346628"/>
      <w:bookmarkStart w:id="252" w:name="_Toc505072518"/>
      <w:bookmarkStart w:id="253" w:name="_Toc256000035"/>
      <w:bookmarkStart w:id="254" w:name="_Toc256000081"/>
      <w:r w:rsidRPr="00CB26C6">
        <w:t>Mākoņdatošanas</w:t>
      </w:r>
      <w:r w:rsidRPr="00CB26C6">
        <w:t xml:space="preserve"> pakalpojumu pārvaldība</w:t>
      </w:r>
      <w:bookmarkEnd w:id="254"/>
      <w:bookmarkEnd w:id="253"/>
      <w:bookmarkEnd w:id="249"/>
      <w:bookmarkEnd w:id="251"/>
      <w:bookmarkEnd w:id="252"/>
    </w:p>
    <w:p w:rsidR="00781866" w:rsidRPr="002D2950" w:rsidP="00071D3D" w14:paraId="4338ADD5" w14:textId="59CB4C1F">
      <w:pPr>
        <w:ind w:firstLine="720"/>
        <w:jc w:val="both"/>
      </w:pPr>
      <w:r w:rsidRPr="002D2950">
        <w:t xml:space="preserve">Veicot izvēli par MDP izmantošanu valsts pārvaldē, būtiski ir izvērtēt iespējamos MDP pārvaldības un lietošanas attīstības scenārijus. Ziņojums piedāvā izmantot centralizētu MDP pārvaldības funkciju – MDP Brokeri, kura loma un funkcija ir aprakstīta Ziņojuma </w:t>
      </w:r>
      <w:r w:rsidRPr="002D2950">
        <w:fldChar w:fldCharType="begin"/>
      </w:r>
      <w:r w:rsidRPr="002D2950">
        <w:instrText xml:space="preserve"> REF _Ref498329932 \w \h  \* MERGEFORMAT </w:instrText>
      </w:r>
      <w:r w:rsidRPr="002D2950">
        <w:fldChar w:fldCharType="separate"/>
      </w:r>
      <w:r w:rsidR="00B2422F">
        <w:t>7.1</w:t>
      </w:r>
      <w:r w:rsidRPr="002D2950">
        <w:fldChar w:fldCharType="end"/>
      </w:r>
      <w:r w:rsidRPr="002D2950">
        <w:t xml:space="preserve">. </w:t>
      </w:r>
      <w:r w:rsidR="000532A6">
        <w:t>apakš</w:t>
      </w:r>
      <w:r w:rsidRPr="002D2950">
        <w:t xml:space="preserve">punktā </w:t>
      </w:r>
      <w:r w:rsidRPr="002D2950" w:rsidR="004033B8">
        <w:t>“</w:t>
      </w:r>
      <w:r w:rsidRPr="002D2950">
        <w:fldChar w:fldCharType="begin"/>
      </w:r>
      <w:r w:rsidRPr="002D2950">
        <w:instrText xml:space="preserve"> REF _Ref498329932 \h  \* MERGEFORMAT </w:instrText>
      </w:r>
      <w:r w:rsidRPr="002D2950">
        <w:fldChar w:fldCharType="separate"/>
      </w:r>
      <w:r w:rsidRPr="002D2950" w:rsidR="00B2422F">
        <w:t xml:space="preserve">Centralizēta Mākoņdatošanas pakalpojumu </w:t>
      </w:r>
      <w:r w:rsidRPr="002D2950">
        <w:fldChar w:fldCharType="end"/>
      </w:r>
      <w:r w:rsidRPr="002D2950" w:rsidR="00EA74A2">
        <w:t xml:space="preserve"> pārvaldība</w:t>
      </w:r>
      <w:r w:rsidRPr="002D2950" w:rsidR="004033B8">
        <w:t xml:space="preserve">”. </w:t>
      </w:r>
      <w:r w:rsidRPr="002D2950" w:rsidR="00B52088">
        <w:t>P</w:t>
      </w:r>
      <w:r w:rsidRPr="002D2950">
        <w:t>iedāvāt</w:t>
      </w:r>
      <w:r w:rsidRPr="002D2950" w:rsidR="00B52088">
        <w:t>ā</w:t>
      </w:r>
      <w:r w:rsidRPr="002D2950">
        <w:t xml:space="preserve"> MDP </w:t>
      </w:r>
      <w:r w:rsidRPr="002D2950" w:rsidR="00B52088">
        <w:t xml:space="preserve">pārvaldības modeļa izvēles pamatojums, </w:t>
      </w:r>
      <w:r w:rsidRPr="002D2950" w:rsidR="00B52088">
        <w:t>salīdzinot to ar iespējamām alternatīvām</w:t>
      </w:r>
      <w:r w:rsidRPr="002D2950" w:rsidR="00B52088">
        <w:t xml:space="preserve"> i</w:t>
      </w:r>
      <w:r w:rsidRPr="002D2950">
        <w:t xml:space="preserve">r aprakstīta Ziņojuma </w:t>
      </w:r>
      <w:r w:rsidRPr="002D2950" w:rsidR="004033B8">
        <w:t xml:space="preserve">2. </w:t>
      </w:r>
      <w:r w:rsidRPr="002D2950">
        <w:t xml:space="preserve">pielikumā </w:t>
      </w:r>
      <w:r w:rsidR="006B77B9">
        <w:t>“</w:t>
      </w:r>
      <w:r w:rsidRPr="006B77B9" w:rsidR="006B77B9">
        <w:t>Mākoņdatošanas</w:t>
      </w:r>
      <w:r w:rsidRPr="006B77B9" w:rsidR="006B77B9">
        <w:t xml:space="preserve"> pakalpojumu pārvaldības modeļa izvēles pamatojums</w:t>
      </w:r>
      <w:r w:rsidR="006B77B9">
        <w:t>”</w:t>
      </w:r>
      <w:r w:rsidRPr="002D2950" w:rsidR="004033B8">
        <w:t>.</w:t>
      </w:r>
    </w:p>
    <w:p w:rsidR="002F4FA2" w:rsidRPr="002D2950" w:rsidP="004033B8" w14:paraId="73C2BB02" w14:textId="77777777">
      <w:pPr>
        <w:jc w:val="both"/>
      </w:pPr>
    </w:p>
    <w:p w:rsidR="00781866" w:rsidRPr="002D2950" w:rsidP="00E40A97" w14:paraId="70718C4F" w14:textId="77777777">
      <w:pPr>
        <w:pStyle w:val="Heading2"/>
        <w:numPr>
          <w:ilvl w:val="1"/>
          <w:numId w:val="12"/>
        </w:numPr>
        <w:pBdr>
          <w:top w:val="nil"/>
          <w:left w:val="nil"/>
          <w:bottom w:val="nil"/>
          <w:right w:val="nil"/>
          <w:between w:val="nil"/>
        </w:pBdr>
        <w:spacing w:before="0" w:after="160" w:line="276" w:lineRule="auto"/>
        <w:contextualSpacing/>
        <w:jc w:val="both"/>
        <w:rPr>
          <w:sz w:val="24"/>
          <w:szCs w:val="24"/>
        </w:rPr>
      </w:pPr>
      <w:bookmarkStart w:id="255" w:name="_Ref498329932"/>
      <w:bookmarkStart w:id="256" w:name="_Toc498346629"/>
      <w:bookmarkStart w:id="257" w:name="_Toc505072519"/>
      <w:bookmarkStart w:id="258" w:name="_Toc256000036"/>
      <w:bookmarkStart w:id="259" w:name="_Toc256000082"/>
      <w:r w:rsidRPr="002D2950">
        <w:rPr>
          <w:sz w:val="24"/>
          <w:szCs w:val="24"/>
        </w:rPr>
        <w:t xml:space="preserve">Centralizēta </w:t>
      </w:r>
      <w:r w:rsidRPr="002D2950">
        <w:rPr>
          <w:sz w:val="24"/>
          <w:szCs w:val="24"/>
        </w:rPr>
        <w:t>Mākoņdatošanas</w:t>
      </w:r>
      <w:r w:rsidRPr="002D2950">
        <w:rPr>
          <w:sz w:val="24"/>
          <w:szCs w:val="24"/>
        </w:rPr>
        <w:t xml:space="preserve"> pakalpojumu </w:t>
      </w:r>
      <w:bookmarkEnd w:id="255"/>
      <w:r w:rsidRPr="002D2950">
        <w:rPr>
          <w:sz w:val="24"/>
          <w:szCs w:val="24"/>
        </w:rPr>
        <w:t>pārvaldība</w:t>
      </w:r>
      <w:bookmarkEnd w:id="259"/>
      <w:bookmarkEnd w:id="258"/>
      <w:bookmarkEnd w:id="256"/>
      <w:bookmarkEnd w:id="257"/>
    </w:p>
    <w:p w:rsidR="00781866" w:rsidRPr="002D2950" w:rsidP="00071D3D" w14:paraId="4F209AED" w14:textId="72B74002">
      <w:pPr>
        <w:ind w:firstLine="720"/>
        <w:jc w:val="both"/>
      </w:pPr>
      <w:r w:rsidRPr="002D2950">
        <w:t>Šajā</w:t>
      </w:r>
      <w:r w:rsidR="000532A6">
        <w:t xml:space="preserve"> Ziņojuma</w:t>
      </w:r>
      <w:r w:rsidRPr="002D2950">
        <w:t xml:space="preserve"> sadaļā sīkāk aprakstīta viena no Ziņojuma ietvaros identificētajām MDP nodrošināšanā iesaistīto dalībnieku lomām – MDP </w:t>
      </w:r>
      <w:r w:rsidR="00143472">
        <w:t>B</w:t>
      </w:r>
      <w:r w:rsidRPr="002D2950">
        <w:t>rokeris, kas Ziņojuma kontekstā ir uzskatāma par būtisku komponenti MDP lietošanas paplašināšanas īstenošanas (transformācijas) konceptuālā plāna veiksmīgai realizācijai.</w:t>
      </w:r>
    </w:p>
    <w:p w:rsidR="00781866" w:rsidRPr="002D2950" w:rsidP="00781866" w14:paraId="30E4430D" w14:textId="77777777">
      <w:pPr>
        <w:jc w:val="center"/>
      </w:pPr>
      <w:r w:rsidRPr="002D2950">
        <w:rPr>
          <w:noProof/>
        </w:rPr>
        <w:drawing>
          <wp:inline distT="0" distB="0" distL="0" distR="0">
            <wp:extent cx="4705350" cy="381349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925339" name="MDP pārvaldības scenāriji (1).png"/>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4732882" cy="3835804"/>
                    </a:xfrm>
                    <a:prstGeom prst="rect">
                      <a:avLst/>
                    </a:prstGeom>
                  </pic:spPr>
                </pic:pic>
              </a:graphicData>
            </a:graphic>
          </wp:inline>
        </w:drawing>
      </w:r>
    </w:p>
    <w:p w:rsidR="00781866" w:rsidRPr="002D2950" w:rsidP="00781866" w14:paraId="3FED121B" w14:textId="151E6CC3">
      <w:pPr>
        <w:spacing w:after="200"/>
        <w:jc w:val="center"/>
      </w:pPr>
      <w:r w:rsidRPr="002D2950">
        <w:rPr>
          <w:i/>
          <w:iCs/>
          <w:color w:val="1F497D" w:themeColor="text2"/>
          <w:sz w:val="18"/>
          <w:szCs w:val="18"/>
        </w:rPr>
        <w:t xml:space="preserve">Attēls Nr. </w:t>
      </w:r>
      <w:r w:rsidRPr="002D2950" w:rsidR="002F4FA2">
        <w:rPr>
          <w:i/>
          <w:iCs/>
          <w:color w:val="1F497D" w:themeColor="text2"/>
          <w:sz w:val="18"/>
          <w:szCs w:val="18"/>
        </w:rPr>
        <w:t>7</w:t>
      </w:r>
      <w:r w:rsidRPr="002D2950">
        <w:rPr>
          <w:i/>
          <w:iCs/>
          <w:color w:val="1F497D" w:themeColor="text2"/>
          <w:sz w:val="18"/>
          <w:szCs w:val="18"/>
        </w:rPr>
        <w:t xml:space="preserve"> </w:t>
      </w:r>
      <w:r w:rsidRPr="002D2950">
        <w:rPr>
          <w:i/>
          <w:iCs/>
          <w:color w:val="1F497D" w:themeColor="text2"/>
          <w:sz w:val="18"/>
          <w:szCs w:val="18"/>
        </w:rPr>
        <w:t>Mākoņdatošanas</w:t>
      </w:r>
      <w:r w:rsidRPr="002D2950">
        <w:rPr>
          <w:i/>
          <w:iCs/>
          <w:color w:val="1F497D" w:themeColor="text2"/>
          <w:sz w:val="18"/>
          <w:szCs w:val="18"/>
        </w:rPr>
        <w:t xml:space="preserve"> pakalpojumu pārvaldības scenārija izvēle</w:t>
      </w:r>
    </w:p>
    <w:p w:rsidR="00781866" w:rsidRPr="002D2950" w:rsidP="00E40A97" w14:paraId="14A0686A" w14:textId="77777777">
      <w:pPr>
        <w:pStyle w:val="Heading3"/>
        <w:numPr>
          <w:ilvl w:val="2"/>
          <w:numId w:val="12"/>
        </w:numPr>
        <w:pBdr>
          <w:top w:val="nil"/>
          <w:left w:val="nil"/>
          <w:bottom w:val="nil"/>
          <w:right w:val="nil"/>
          <w:between w:val="nil"/>
        </w:pBdr>
        <w:spacing w:before="200" w:line="276" w:lineRule="auto"/>
        <w:jc w:val="both"/>
      </w:pPr>
      <w:bookmarkStart w:id="260" w:name="_Toc498346630"/>
      <w:bookmarkStart w:id="261" w:name="_Toc505072520"/>
      <w:bookmarkStart w:id="262" w:name="_Toc256000037"/>
      <w:bookmarkStart w:id="263" w:name="_Toc256000083"/>
      <w:r w:rsidRPr="002D2950">
        <w:t>Funkcija: Uzraudzība un koordinācija</w:t>
      </w:r>
      <w:bookmarkEnd w:id="263"/>
      <w:bookmarkEnd w:id="262"/>
      <w:bookmarkEnd w:id="260"/>
      <w:bookmarkEnd w:id="261"/>
    </w:p>
    <w:p w:rsidR="00781866" w:rsidRPr="002D2950" w:rsidP="00071D3D" w14:paraId="68D26E2A" w14:textId="77777777">
      <w:pPr>
        <w:ind w:firstLine="720"/>
        <w:jc w:val="both"/>
      </w:pPr>
      <w:r w:rsidRPr="002D2950">
        <w:t>Par funkciju atbildīgs ir MDP Brokeris. Šajā funkcijā ietilpst šādi jautājumi:</w:t>
      </w:r>
    </w:p>
    <w:p w:rsidR="00781866" w:rsidRPr="002D2950" w:rsidP="00E40A97" w14:paraId="6BD94248" w14:textId="68B67EEE">
      <w:pPr>
        <w:pStyle w:val="ListParagraph"/>
        <w:numPr>
          <w:ilvl w:val="0"/>
          <w:numId w:val="25"/>
        </w:numPr>
        <w:jc w:val="both"/>
      </w:pPr>
      <w:r>
        <w:t xml:space="preserve">MDP izmantošanas </w:t>
      </w:r>
      <w:r w:rsidRPr="002D2950" w:rsidR="003C2C86">
        <w:t>p</w:t>
      </w:r>
      <w:r w:rsidRPr="002D2950">
        <w:t xml:space="preserve">olitikas </w:t>
      </w:r>
      <w:r w:rsidR="006B77B9">
        <w:t xml:space="preserve">izstrāde, uzraudzība un </w:t>
      </w:r>
      <w:r w:rsidRPr="002D2950">
        <w:t>virzīšana, kas veicina MDP izmantošanu, uzturēt “MDP kā pirmā izvēle” principu;</w:t>
      </w:r>
    </w:p>
    <w:p w:rsidR="00781866" w:rsidRPr="002D2950" w:rsidP="00E40A97" w14:paraId="08D0BC1F" w14:textId="755B4662">
      <w:pPr>
        <w:pStyle w:val="ListParagraph"/>
        <w:numPr>
          <w:ilvl w:val="0"/>
          <w:numId w:val="25"/>
        </w:numPr>
        <w:jc w:val="both"/>
      </w:pPr>
      <w:r w:rsidRPr="002D2950">
        <w:t>c</w:t>
      </w:r>
      <w:r w:rsidRPr="002D2950">
        <w:t xml:space="preserve">entralizēta koordinācija par </w:t>
      </w:r>
      <w:r w:rsidRPr="002D2950">
        <w:t>SaaS</w:t>
      </w:r>
      <w:r w:rsidRPr="002D2950">
        <w:t xml:space="preserve"> un </w:t>
      </w:r>
      <w:r w:rsidRPr="002D2950">
        <w:t>PaaS</w:t>
      </w:r>
      <w:r w:rsidRPr="002D2950">
        <w:t xml:space="preserve"> pakalpojumu vienotu izveidi</w:t>
      </w:r>
      <w:r w:rsidRPr="002D2950">
        <w:t xml:space="preserve"> un </w:t>
      </w:r>
      <w:r w:rsidRPr="002D2950">
        <w:t xml:space="preserve">lietošanu valsts </w:t>
      </w:r>
      <w:r w:rsidRPr="002D2950" w:rsidR="002569EA">
        <w:t>pārvaldē</w:t>
      </w:r>
      <w:r w:rsidRPr="002D2950">
        <w:t>, t.sk.</w:t>
      </w:r>
      <w:r w:rsidRPr="002D2950">
        <w:t>,</w:t>
      </w:r>
      <w:r w:rsidRPr="002D2950">
        <w:t xml:space="preserve"> novēršot dublēšanos;</w:t>
      </w:r>
    </w:p>
    <w:p w:rsidR="00781866" w:rsidRPr="002D2950" w:rsidP="00E40A97" w14:paraId="4ACD9D65" w14:textId="49A8267F">
      <w:pPr>
        <w:pStyle w:val="ListParagraph"/>
        <w:numPr>
          <w:ilvl w:val="0"/>
          <w:numId w:val="25"/>
        </w:numPr>
        <w:jc w:val="both"/>
      </w:pPr>
      <w:r w:rsidRPr="002D2950">
        <w:t>c</w:t>
      </w:r>
      <w:r w:rsidRPr="002D2950">
        <w:t>entralizēta koordinācija par pakalpojumu kvalitātes rādītājiem;</w:t>
      </w:r>
    </w:p>
    <w:p w:rsidR="00781866" w:rsidRPr="002D2950" w:rsidP="00E40A97" w14:paraId="4D1C0501" w14:textId="52D9AA95">
      <w:pPr>
        <w:pStyle w:val="ListParagraph"/>
        <w:numPr>
          <w:ilvl w:val="0"/>
          <w:numId w:val="25"/>
        </w:numPr>
        <w:jc w:val="both"/>
      </w:pPr>
      <w:r w:rsidRPr="002D2950">
        <w:t>a</w:t>
      </w:r>
      <w:r w:rsidRPr="002D2950">
        <w:t>tbalsts iestādēm lēmumu pieņemšanas procesā par to</w:t>
      </w:r>
      <w:r w:rsidRPr="002D2950">
        <w:t>,</w:t>
      </w:r>
      <w:r w:rsidRPr="002D2950">
        <w:t xml:space="preserve"> kuri informācijas resursi kādā MDP līmenī ir izvietojami;</w:t>
      </w:r>
    </w:p>
    <w:p w:rsidR="00781866" w:rsidRPr="002D2950" w:rsidP="00E40A97" w14:paraId="46F8E4FC" w14:textId="0371E4CF">
      <w:pPr>
        <w:pStyle w:val="ListParagraph"/>
        <w:numPr>
          <w:ilvl w:val="0"/>
          <w:numId w:val="25"/>
        </w:numPr>
        <w:jc w:val="both"/>
      </w:pPr>
      <w:r w:rsidRPr="002D2950">
        <w:t>s</w:t>
      </w:r>
      <w:r w:rsidRPr="002D2950">
        <w:t>pecifisku prasību izvirzīšana un nostiprināšana normatīvajos aktos un līgumos, kas attiecas uz MDP sniedzēju kvalifikāciju pakalpojumu sniegšanai;</w:t>
      </w:r>
    </w:p>
    <w:p w:rsidR="00781866" w:rsidRPr="002D2950" w:rsidP="00E40A97" w14:paraId="5575676B" w14:textId="43638209">
      <w:pPr>
        <w:pStyle w:val="ListParagraph"/>
        <w:numPr>
          <w:ilvl w:val="0"/>
          <w:numId w:val="25"/>
        </w:numPr>
        <w:jc w:val="both"/>
      </w:pPr>
      <w:r w:rsidRPr="002D2950">
        <w:t>a</w:t>
      </w:r>
      <w:r w:rsidRPr="002D2950">
        <w:t>tbalsts vienotu procesu pieeju izveidē un unifikācijā</w:t>
      </w:r>
      <w:r w:rsidRPr="002D2950">
        <w:t xml:space="preserve"> kas ļautu atkārtoti izmantot </w:t>
      </w:r>
      <w:r w:rsidRPr="002D2950">
        <w:t>SaaS</w:t>
      </w:r>
      <w:r w:rsidRPr="002D2950">
        <w:t xml:space="preserve"> lietojumus</w:t>
      </w:r>
      <w:r w:rsidRPr="002D2950">
        <w:t>.</w:t>
      </w:r>
    </w:p>
    <w:p w:rsidR="00781866" w:rsidRPr="002D2950" w:rsidP="00E40A97" w14:paraId="140D65D7" w14:textId="77777777">
      <w:pPr>
        <w:pStyle w:val="Heading3"/>
        <w:numPr>
          <w:ilvl w:val="2"/>
          <w:numId w:val="12"/>
        </w:numPr>
        <w:pBdr>
          <w:top w:val="nil"/>
          <w:left w:val="nil"/>
          <w:bottom w:val="nil"/>
          <w:right w:val="nil"/>
          <w:between w:val="nil"/>
        </w:pBdr>
        <w:spacing w:before="200" w:line="276" w:lineRule="auto"/>
        <w:jc w:val="both"/>
      </w:pPr>
      <w:bookmarkStart w:id="264" w:name="_Toc498346631"/>
      <w:bookmarkStart w:id="265" w:name="_Toc505072521"/>
      <w:bookmarkStart w:id="266" w:name="_Toc256000038"/>
      <w:bookmarkStart w:id="267" w:name="_Toc256000084"/>
      <w:r w:rsidRPr="002D2950">
        <w:t>Funkcija: Piekļuve un pašapkalpošanās</w:t>
      </w:r>
      <w:bookmarkEnd w:id="267"/>
      <w:bookmarkEnd w:id="266"/>
      <w:bookmarkEnd w:id="264"/>
      <w:bookmarkEnd w:id="265"/>
    </w:p>
    <w:p w:rsidR="00BA38CA" w:rsidP="00071D3D" w14:paraId="64492926" w14:textId="77777777">
      <w:pPr>
        <w:ind w:firstLine="720"/>
        <w:jc w:val="both"/>
      </w:pPr>
      <w:r w:rsidRPr="002D2950">
        <w:t>Par funkciju atbildīgs MDP saņēmēj</w:t>
      </w:r>
    </w:p>
    <w:p w:rsidR="00781866" w:rsidRPr="002D2950" w:rsidP="00071D3D" w14:paraId="6108A725" w14:textId="65BC8FE3">
      <w:pPr>
        <w:ind w:firstLine="720"/>
        <w:jc w:val="both"/>
      </w:pPr>
      <w:r w:rsidRPr="002D2950">
        <w:t>s. Šajā funkcijā ietilpst šādi jautājumi:</w:t>
      </w:r>
    </w:p>
    <w:p w:rsidR="006B77B9" w:rsidP="00E40A97" w14:paraId="25F5BDEF" w14:textId="335F90DB">
      <w:pPr>
        <w:pStyle w:val="ListParagraph"/>
        <w:numPr>
          <w:ilvl w:val="0"/>
          <w:numId w:val="24"/>
        </w:numPr>
        <w:jc w:val="both"/>
      </w:pPr>
      <w:r>
        <w:t>ar piekļuvi un pašapkalpošanos saistīto prasību izstrāde un uzraudzība;</w:t>
      </w:r>
    </w:p>
    <w:p w:rsidR="00781866" w:rsidRPr="002D2950" w:rsidP="00E40A97" w14:paraId="24011F91" w14:textId="7444E6DD">
      <w:pPr>
        <w:pStyle w:val="ListParagraph"/>
        <w:numPr>
          <w:ilvl w:val="0"/>
          <w:numId w:val="24"/>
        </w:numPr>
        <w:jc w:val="both"/>
      </w:pPr>
      <w:r w:rsidRPr="002D2950">
        <w:t>p</w:t>
      </w:r>
      <w:r w:rsidRPr="002D2950">
        <w:t>iekļuves nodrošināšana MDP resursiem no autorizācijas viedokļa (lietotāju un piekļuves tiesību pārvaldība);</w:t>
      </w:r>
    </w:p>
    <w:p w:rsidR="00781866" w:rsidRPr="002D2950" w:rsidP="00E40A97" w14:paraId="5A24D172" w14:textId="1259AD2A">
      <w:pPr>
        <w:pStyle w:val="ListParagraph"/>
        <w:numPr>
          <w:ilvl w:val="0"/>
          <w:numId w:val="24"/>
        </w:numPr>
        <w:jc w:val="both"/>
      </w:pPr>
      <w:r w:rsidRPr="002D2950">
        <w:t>p</w:t>
      </w:r>
      <w:r w:rsidRPr="002D2950">
        <w:t>iekļuves nodrošināšana no datu tīkla savienojuma viedokļa (tīkla savienojumu organizēšana ar MDP sniedzēju, Interneta izmantošana);</w:t>
      </w:r>
    </w:p>
    <w:p w:rsidR="00781866" w:rsidRPr="002D2950" w:rsidP="00E40A97" w14:paraId="5183DF1A" w14:textId="1554E7EC">
      <w:pPr>
        <w:pStyle w:val="ListParagraph"/>
        <w:numPr>
          <w:ilvl w:val="0"/>
          <w:numId w:val="24"/>
        </w:numPr>
        <w:jc w:val="both"/>
      </w:pPr>
      <w:r w:rsidRPr="002D2950">
        <w:t>p</w:t>
      </w:r>
      <w:r w:rsidRPr="002D2950">
        <w:t>ašapkalpošanās, izmantoto resursu apjoma izmaiņas, ierobežojumu un konfigurācijas parametru izmaiņas.</w:t>
      </w:r>
    </w:p>
    <w:p w:rsidR="00781866" w:rsidRPr="002D2950" w:rsidP="00E40A97" w14:paraId="4B12B65F" w14:textId="77777777">
      <w:pPr>
        <w:pStyle w:val="Heading3"/>
        <w:numPr>
          <w:ilvl w:val="2"/>
          <w:numId w:val="12"/>
        </w:numPr>
        <w:pBdr>
          <w:top w:val="nil"/>
          <w:left w:val="nil"/>
          <w:bottom w:val="nil"/>
          <w:right w:val="nil"/>
          <w:between w:val="nil"/>
        </w:pBdr>
        <w:spacing w:before="200" w:line="276" w:lineRule="auto"/>
        <w:jc w:val="both"/>
      </w:pPr>
      <w:bookmarkStart w:id="268" w:name="_Toc498346632"/>
      <w:bookmarkStart w:id="269" w:name="_Toc505072522"/>
      <w:bookmarkStart w:id="270" w:name="_Toc256000039"/>
      <w:bookmarkStart w:id="271" w:name="_Toc256000085"/>
      <w:r w:rsidRPr="002D2950">
        <w:t>Funkcija: Sagāde un iegāde</w:t>
      </w:r>
      <w:bookmarkEnd w:id="271"/>
      <w:bookmarkEnd w:id="270"/>
      <w:bookmarkEnd w:id="268"/>
      <w:bookmarkEnd w:id="269"/>
    </w:p>
    <w:p w:rsidR="00781866" w:rsidRPr="002D2950" w:rsidP="00071D3D" w14:paraId="27EB30C2" w14:textId="77777777">
      <w:pPr>
        <w:ind w:firstLine="720"/>
        <w:jc w:val="both"/>
      </w:pPr>
      <w:r w:rsidRPr="002D2950">
        <w:t>Par funkciju atbildīgs ir MDP Brokeris. Šajā funkcijā ietilpst šādu jautājumu risināšana:</w:t>
      </w:r>
    </w:p>
    <w:p w:rsidR="006B77B9" w:rsidP="00E40A97" w14:paraId="7551FD08" w14:textId="1DCE6A59">
      <w:pPr>
        <w:pStyle w:val="ListParagraph"/>
        <w:numPr>
          <w:ilvl w:val="0"/>
          <w:numId w:val="23"/>
        </w:numPr>
        <w:jc w:val="both"/>
      </w:pPr>
      <w:r>
        <w:t>a</w:t>
      </w:r>
      <w:r>
        <w:t xml:space="preserve">r </w:t>
      </w:r>
      <w:r>
        <w:t>iepirkumiem saistīto prasību un noteikumu izstrāde un uzraudzība</w:t>
      </w:r>
    </w:p>
    <w:p w:rsidR="00781866" w:rsidRPr="002D2950" w:rsidP="00E40A97" w14:paraId="04BA3894" w14:textId="12D290C2">
      <w:pPr>
        <w:pStyle w:val="ListParagraph"/>
        <w:numPr>
          <w:ilvl w:val="0"/>
          <w:numId w:val="23"/>
        </w:numPr>
        <w:jc w:val="both"/>
      </w:pPr>
      <w:r w:rsidRPr="002D2950">
        <w:t>i</w:t>
      </w:r>
      <w:r w:rsidRPr="002D2950">
        <w:t xml:space="preserve">epirkumu platformas un procesa nodrošināšana, kas atbalsta pakalpojumu salīdzināšanas iespējas starp valsts </w:t>
      </w:r>
      <w:r w:rsidRPr="002D2950">
        <w:t>kopmākoni</w:t>
      </w:r>
      <w:r w:rsidRPr="002D2950">
        <w:t xml:space="preserve"> un publiskajiem pakalpojumiem;</w:t>
      </w:r>
    </w:p>
    <w:p w:rsidR="00781866" w:rsidRPr="002D2950" w:rsidP="00E40A97" w14:paraId="77193EC8" w14:textId="56F4722F">
      <w:pPr>
        <w:pStyle w:val="ListParagraph"/>
        <w:numPr>
          <w:ilvl w:val="0"/>
          <w:numId w:val="23"/>
        </w:numPr>
        <w:jc w:val="both"/>
      </w:pPr>
      <w:r w:rsidRPr="002D2950">
        <w:t>a</w:t>
      </w:r>
      <w:r w:rsidRPr="002D2950">
        <w:t>tbalsts iepirkumu procedūru organizēšanā (t.sk. jautājumos, kas saist</w:t>
      </w:r>
      <w:r w:rsidRPr="002D2950">
        <w:t>īti</w:t>
      </w:r>
      <w:r w:rsidRPr="002D2950">
        <w:t xml:space="preserve"> ar SLA izveidi, datu pārnešanas, lietotāju apmācības, integrāciju nodrošināšanas jautājumiem</w:t>
      </w:r>
      <w:r w:rsidRPr="002D2950">
        <w:t>,</w:t>
      </w:r>
      <w:r w:rsidRPr="002D2950">
        <w:t xml:space="preserve"> organizējot pakalpojumu iepirkumus)</w:t>
      </w:r>
      <w:r w:rsidR="001E1C28">
        <w:t>.</w:t>
      </w:r>
    </w:p>
    <w:p w:rsidR="00781866" w:rsidRPr="002D2950" w:rsidP="00E40A97" w14:paraId="1E8A87A1" w14:textId="77777777">
      <w:pPr>
        <w:pStyle w:val="Heading3"/>
        <w:numPr>
          <w:ilvl w:val="2"/>
          <w:numId w:val="12"/>
        </w:numPr>
        <w:pBdr>
          <w:top w:val="nil"/>
          <w:left w:val="nil"/>
          <w:bottom w:val="nil"/>
          <w:right w:val="nil"/>
          <w:between w:val="nil"/>
        </w:pBdr>
        <w:spacing w:before="200" w:line="276" w:lineRule="auto"/>
        <w:jc w:val="both"/>
      </w:pPr>
      <w:bookmarkStart w:id="272" w:name="_Toc498346633"/>
      <w:bookmarkStart w:id="273" w:name="_Toc505072523"/>
      <w:bookmarkStart w:id="274" w:name="_Toc256000040"/>
      <w:bookmarkStart w:id="275" w:name="_Toc256000086"/>
      <w:r w:rsidRPr="002D2950">
        <w:t>Funkcija: Pakalpojumu kvalitāte un atbalsta organizēšana</w:t>
      </w:r>
      <w:bookmarkEnd w:id="275"/>
      <w:bookmarkEnd w:id="274"/>
      <w:bookmarkEnd w:id="272"/>
      <w:bookmarkEnd w:id="273"/>
    </w:p>
    <w:p w:rsidR="00781866" w:rsidRPr="002D2950" w:rsidP="00071D3D" w14:paraId="4381E076" w14:textId="77777777">
      <w:pPr>
        <w:ind w:firstLine="720"/>
        <w:jc w:val="both"/>
      </w:pPr>
      <w:r w:rsidRPr="002D2950">
        <w:t>Par funkciju atbildīgs ir MDP Brokeris. Šajā funkcijā ietilpst šādu jautājumu risināšana:</w:t>
      </w:r>
    </w:p>
    <w:p w:rsidR="00B03500" w:rsidP="00E40A97" w14:paraId="7ACD5C06" w14:textId="41B77B5B">
      <w:pPr>
        <w:pStyle w:val="ListParagraph"/>
        <w:numPr>
          <w:ilvl w:val="0"/>
          <w:numId w:val="22"/>
        </w:numPr>
        <w:jc w:val="both"/>
      </w:pPr>
      <w:r>
        <w:t>ar pakalpojuma kvalitāti un atbalstu saistīto noteikumu izstrāde un uzraudzība;</w:t>
      </w:r>
    </w:p>
    <w:p w:rsidR="00781866" w:rsidRPr="002D2950" w:rsidP="00E40A97" w14:paraId="688CF8D0" w14:textId="4CE9CC62">
      <w:pPr>
        <w:pStyle w:val="ListParagraph"/>
        <w:numPr>
          <w:ilvl w:val="0"/>
          <w:numId w:val="22"/>
        </w:numPr>
        <w:jc w:val="both"/>
      </w:pPr>
      <w:r w:rsidRPr="002D2950">
        <w:t>p</w:t>
      </w:r>
      <w:r w:rsidRPr="002D2950">
        <w:t>akalpojuma kvalitātes uzraudzība un sadarbība ar Sagādes funkciju SLA neievērošanas gadījumā;</w:t>
      </w:r>
    </w:p>
    <w:p w:rsidR="00781866" w:rsidRPr="002D2950" w:rsidP="00E40A97" w14:paraId="03323DA0" w14:textId="376AF8D6">
      <w:pPr>
        <w:pStyle w:val="ListParagraph"/>
        <w:numPr>
          <w:ilvl w:val="0"/>
          <w:numId w:val="22"/>
        </w:numPr>
        <w:jc w:val="both"/>
      </w:pPr>
      <w:r w:rsidRPr="002D2950">
        <w:t>a</w:t>
      </w:r>
      <w:r w:rsidRPr="002D2950">
        <w:t>tbalsta pieteikumu koordinācija un pieteikumu/incidentu izpildes uzraudzība;</w:t>
      </w:r>
    </w:p>
    <w:p w:rsidR="00781866" w:rsidRPr="002D2950" w:rsidP="00E40A97" w14:paraId="3972D27B" w14:textId="1DD90B73">
      <w:pPr>
        <w:pStyle w:val="ListParagraph"/>
        <w:numPr>
          <w:ilvl w:val="0"/>
          <w:numId w:val="22"/>
        </w:numPr>
        <w:jc w:val="both"/>
      </w:pPr>
      <w:r w:rsidRPr="002D2950">
        <w:t>s</w:t>
      </w:r>
      <w:r w:rsidRPr="002D2950">
        <w:t>avstarpējā pakalpojumu slēgumu (tīklu un drošības) tehnisko jautājumu koordinēšana;</w:t>
      </w:r>
    </w:p>
    <w:p w:rsidR="00781866" w:rsidRPr="002D2950" w:rsidP="00E40A97" w14:paraId="05018ABD" w14:textId="2A990F39">
      <w:pPr>
        <w:pStyle w:val="ListParagraph"/>
        <w:numPr>
          <w:ilvl w:val="0"/>
          <w:numId w:val="22"/>
        </w:numPr>
        <w:jc w:val="both"/>
      </w:pPr>
      <w:r w:rsidRPr="002D2950">
        <w:t>z</w:t>
      </w:r>
      <w:r w:rsidRPr="002D2950">
        <w:t>ināšanu bāzes uzkrāšana un dalīšanās ar šo informāciju par pakalpojumu lietošanas specifiku, tipiskiem pieteikumiem un incidentiem.</w:t>
      </w:r>
    </w:p>
    <w:p w:rsidR="00781866" w:rsidRPr="002D2950" w:rsidP="003C2C86" w14:paraId="273414CE" w14:textId="77777777">
      <w:pPr>
        <w:jc w:val="both"/>
      </w:pPr>
    </w:p>
    <w:p w:rsidR="00781866" w:rsidRPr="002D2950" w:rsidP="00E40A97" w14:paraId="140EF9C1" w14:textId="074371FB">
      <w:pPr>
        <w:pStyle w:val="Heading2"/>
        <w:numPr>
          <w:ilvl w:val="1"/>
          <w:numId w:val="12"/>
        </w:numPr>
        <w:pBdr>
          <w:top w:val="nil"/>
          <w:left w:val="nil"/>
          <w:bottom w:val="nil"/>
          <w:right w:val="nil"/>
          <w:between w:val="nil"/>
        </w:pBdr>
        <w:spacing w:before="0" w:after="160" w:line="276" w:lineRule="auto"/>
        <w:contextualSpacing/>
        <w:jc w:val="both"/>
        <w:rPr>
          <w:sz w:val="24"/>
          <w:szCs w:val="24"/>
        </w:rPr>
      </w:pPr>
      <w:bookmarkStart w:id="276" w:name="_Toc497818693"/>
      <w:bookmarkStart w:id="277" w:name="_Toc497995235"/>
      <w:bookmarkStart w:id="278" w:name="_Toc498016989"/>
      <w:bookmarkStart w:id="279" w:name="_Toc498346634"/>
      <w:bookmarkStart w:id="280" w:name="_Toc505072524"/>
      <w:bookmarkStart w:id="281" w:name="_Toc256000041"/>
      <w:bookmarkStart w:id="282" w:name="_Toc256000087"/>
      <w:r w:rsidRPr="002D2950">
        <w:rPr>
          <w:sz w:val="24"/>
          <w:szCs w:val="24"/>
        </w:rPr>
        <w:t>Mākoņdatošanas</w:t>
      </w:r>
      <w:r w:rsidRPr="002D2950">
        <w:rPr>
          <w:sz w:val="24"/>
          <w:szCs w:val="24"/>
        </w:rPr>
        <w:t xml:space="preserve"> </w:t>
      </w:r>
      <w:bookmarkEnd w:id="250"/>
      <w:bookmarkEnd w:id="276"/>
      <w:r w:rsidR="00CB26C6">
        <w:rPr>
          <w:sz w:val="24"/>
          <w:szCs w:val="24"/>
        </w:rPr>
        <w:t xml:space="preserve">pakalpojumu </w:t>
      </w:r>
      <w:r w:rsidRPr="002D2950">
        <w:rPr>
          <w:sz w:val="24"/>
          <w:szCs w:val="24"/>
        </w:rPr>
        <w:t>nodrošināšanā paredzētās lomas</w:t>
      </w:r>
      <w:bookmarkEnd w:id="282"/>
      <w:bookmarkEnd w:id="281"/>
      <w:bookmarkEnd w:id="277"/>
      <w:bookmarkEnd w:id="278"/>
      <w:bookmarkEnd w:id="279"/>
      <w:bookmarkEnd w:id="280"/>
    </w:p>
    <w:p w:rsidR="00781866" w:rsidRPr="002D2950" w:rsidP="00071D3D" w14:paraId="1D902F91" w14:textId="77777777">
      <w:pPr>
        <w:jc w:val="center"/>
      </w:pPr>
      <w:r w:rsidRPr="002D2950">
        <w:t>MDP nodrošināšanā ir provizoriski paredzamas šādas lomas:</w:t>
      </w:r>
    </w:p>
    <w:p w:rsidR="00781866" w:rsidRPr="002D2950" w:rsidP="00071D3D" w14:paraId="3F7D87F8" w14:textId="77777777">
      <w:pPr>
        <w:keepNext/>
        <w:jc w:val="center"/>
      </w:pPr>
      <w:r w:rsidRPr="002D2950">
        <w:rPr>
          <w:noProof/>
        </w:rPr>
        <w:drawing>
          <wp:inline distT="0" distB="0" distL="0" distR="0">
            <wp:extent cx="3476625" cy="26683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625" name=""/>
                    <pic:cNvPicPr/>
                  </pic:nvPicPr>
                  <pic:blipFill>
                    <a:blip xmlns:r="http://schemas.openxmlformats.org/officeDocument/2006/relationships" r:embed="rId13"/>
                    <a:stretch>
                      <a:fillRect/>
                    </a:stretch>
                  </pic:blipFill>
                  <pic:spPr>
                    <a:xfrm>
                      <a:off x="0" y="0"/>
                      <a:ext cx="3507023" cy="2691714"/>
                    </a:xfrm>
                    <a:prstGeom prst="rect">
                      <a:avLst/>
                    </a:prstGeom>
                  </pic:spPr>
                </pic:pic>
              </a:graphicData>
            </a:graphic>
          </wp:inline>
        </w:drawing>
      </w:r>
    </w:p>
    <w:p w:rsidR="00781866" w:rsidRPr="002D2950" w:rsidP="00071D3D" w14:paraId="4DD61B12" w14:textId="298A3D87">
      <w:pPr>
        <w:pStyle w:val="Caption"/>
        <w:spacing w:line="276" w:lineRule="auto"/>
        <w:jc w:val="center"/>
      </w:pPr>
      <w:r w:rsidRPr="002D2950">
        <w:t xml:space="preserve">Attēls Nr. </w:t>
      </w:r>
      <w:r w:rsidRPr="002D2950" w:rsidR="009E3F3C">
        <w:t>8</w:t>
      </w:r>
      <w:r w:rsidRPr="002D2950">
        <w:t xml:space="preserve"> MDP nodrošināšanā iesaistīto dalībnieku lomas</w:t>
      </w:r>
    </w:p>
    <w:p w:rsidR="00781866" w:rsidRPr="002D2950" w:rsidP="00E40A97" w14:paraId="29D9638C" w14:textId="77777777">
      <w:pPr>
        <w:numPr>
          <w:ilvl w:val="0"/>
          <w:numId w:val="21"/>
        </w:numPr>
        <w:pBdr>
          <w:top w:val="nil"/>
          <w:left w:val="nil"/>
          <w:bottom w:val="nil"/>
          <w:right w:val="nil"/>
          <w:between w:val="nil"/>
        </w:pBdr>
        <w:spacing w:after="400" w:line="276" w:lineRule="auto"/>
        <w:contextualSpacing/>
        <w:jc w:val="both"/>
      </w:pPr>
      <w:r w:rsidRPr="002D2950">
        <w:t>MDP lietotājs - gala klients: iedzīvotājs, iestādes darbinieks vai cita persona, kas ir MDP gala lietotājs;</w:t>
      </w:r>
    </w:p>
    <w:p w:rsidR="00781866" w:rsidRPr="002D2950" w:rsidP="00E40A97" w14:paraId="13CCBBD1" w14:textId="77777777">
      <w:pPr>
        <w:numPr>
          <w:ilvl w:val="0"/>
          <w:numId w:val="21"/>
        </w:numPr>
        <w:pBdr>
          <w:top w:val="nil"/>
          <w:left w:val="nil"/>
          <w:bottom w:val="nil"/>
          <w:right w:val="nil"/>
          <w:between w:val="nil"/>
        </w:pBdr>
        <w:spacing w:after="400" w:line="276" w:lineRule="auto"/>
        <w:contextualSpacing/>
        <w:jc w:val="both"/>
      </w:pPr>
      <w:r w:rsidRPr="002D2950">
        <w:t>MDP saņēmējs - iestāde, kas pasūta MDP tā gala lietotāju vārdā;</w:t>
      </w:r>
    </w:p>
    <w:p w:rsidR="00781866" w:rsidRPr="002D2950" w:rsidP="00E40A97" w14:paraId="304DFF1E" w14:textId="77777777">
      <w:pPr>
        <w:numPr>
          <w:ilvl w:val="0"/>
          <w:numId w:val="21"/>
        </w:numPr>
        <w:pBdr>
          <w:top w:val="nil"/>
          <w:left w:val="nil"/>
          <w:bottom w:val="nil"/>
          <w:right w:val="nil"/>
          <w:between w:val="nil"/>
        </w:pBdr>
        <w:spacing w:after="400" w:line="276" w:lineRule="auto"/>
        <w:contextualSpacing/>
        <w:jc w:val="both"/>
      </w:pPr>
      <w:r w:rsidRPr="002D2950">
        <w:t>MDP brokeris – organizācija (vai vairākas organizācijas), kas koordinē ar MDP sniegšanu saistītās darbības (saņemšanas / sniegšanas loģistika, pakalpojumu līmenis, pakalpojumu kvalitātes uzraudzība un citas koncepcijā aprakstītās MDP brokera lomas);</w:t>
      </w:r>
    </w:p>
    <w:p w:rsidR="00781866" w:rsidRPr="002D2950" w:rsidP="00E40A97" w14:paraId="3B40F299" w14:textId="77777777">
      <w:pPr>
        <w:numPr>
          <w:ilvl w:val="0"/>
          <w:numId w:val="21"/>
        </w:numPr>
        <w:pBdr>
          <w:top w:val="nil"/>
          <w:left w:val="nil"/>
          <w:bottom w:val="nil"/>
          <w:right w:val="nil"/>
          <w:between w:val="nil"/>
        </w:pBdr>
        <w:spacing w:after="400" w:line="276" w:lineRule="auto"/>
        <w:contextualSpacing/>
        <w:jc w:val="both"/>
      </w:pPr>
      <w:r w:rsidRPr="002D2950">
        <w:t xml:space="preserve">MDP sniedzējs - organizācija, kas nodrošina MDP sniegšanu saņēmējam un lietotājam (neatkarīgi no pakalpojumu līmeņa - </w:t>
      </w:r>
      <w:r w:rsidRPr="002D2950">
        <w:t>IaaS</w:t>
      </w:r>
      <w:r w:rsidRPr="002D2950">
        <w:t xml:space="preserve">, </w:t>
      </w:r>
      <w:r w:rsidRPr="002D2950">
        <w:t>PaaS</w:t>
      </w:r>
      <w:r w:rsidRPr="002D2950">
        <w:t xml:space="preserve"> vai </w:t>
      </w:r>
      <w:r w:rsidRPr="002D2950">
        <w:t>SaaS</w:t>
      </w:r>
      <w:r w:rsidRPr="002D2950">
        <w:t xml:space="preserve">); </w:t>
      </w:r>
    </w:p>
    <w:p w:rsidR="00781866" w:rsidRPr="002D2950" w:rsidP="00E40A97" w14:paraId="45A7A31C" w14:textId="3E32EED3">
      <w:pPr>
        <w:numPr>
          <w:ilvl w:val="0"/>
          <w:numId w:val="21"/>
        </w:numPr>
        <w:pBdr>
          <w:top w:val="nil"/>
          <w:left w:val="nil"/>
          <w:bottom w:val="nil"/>
          <w:right w:val="nil"/>
          <w:between w:val="nil"/>
        </w:pBdr>
        <w:spacing w:after="400" w:line="276" w:lineRule="auto"/>
        <w:contextualSpacing/>
        <w:jc w:val="both"/>
      </w:pPr>
      <w:r w:rsidRPr="002D2950">
        <w:t xml:space="preserve">Tīkla pakalpojumu sniedzēju loma MDP pusē - tīkla pakalpojumu </w:t>
      </w:r>
      <w:r w:rsidRPr="002D2950" w:rsidR="009E3F3C">
        <w:t>sniedzējs (t.sk. VESPC droša un</w:t>
      </w:r>
      <w:r w:rsidRPr="002D2950">
        <w:t xml:space="preserve"> garantēta ātruma tīkla nodrošināšanai pieslēgumam </w:t>
      </w:r>
      <w:r w:rsidRPr="002D2950">
        <w:t>kopmākonim</w:t>
      </w:r>
      <w:r w:rsidRPr="002D2950">
        <w:t>).</w:t>
      </w:r>
    </w:p>
    <w:p w:rsidR="00781866" w:rsidRPr="002D2950" w:rsidP="003C2C86" w14:paraId="4B29469B" w14:textId="77777777">
      <w:pPr>
        <w:jc w:val="both"/>
      </w:pPr>
    </w:p>
    <w:p w:rsidR="00781866" w:rsidRPr="002D2950" w:rsidP="00071D3D" w14:paraId="0986958F" w14:textId="77777777">
      <w:pPr>
        <w:keepNext/>
        <w:jc w:val="center"/>
      </w:pPr>
      <w:r w:rsidRPr="002D2950">
        <w:rPr>
          <w:noProof/>
        </w:rPr>
        <w:drawing>
          <wp:inline distT="0" distB="0" distL="0" distR="0">
            <wp:extent cx="3733800" cy="2779485"/>
            <wp:effectExtent l="0" t="0" r="0" b="190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388143" name="MDP tīklu struktūra (1).png"/>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3770137" cy="2806535"/>
                    </a:xfrm>
                    <a:prstGeom prst="rect">
                      <a:avLst/>
                    </a:prstGeom>
                  </pic:spPr>
                </pic:pic>
              </a:graphicData>
            </a:graphic>
          </wp:inline>
        </w:drawing>
      </w:r>
    </w:p>
    <w:p w:rsidR="00781866" w:rsidRPr="002D2950" w:rsidP="00071D3D" w14:paraId="0B243BFC" w14:textId="1A4C8151">
      <w:pPr>
        <w:pStyle w:val="Caption"/>
        <w:spacing w:line="276" w:lineRule="auto"/>
        <w:jc w:val="center"/>
      </w:pPr>
      <w:r w:rsidRPr="002D2950">
        <w:t xml:space="preserve">Attēls Nr. </w:t>
      </w:r>
      <w:r w:rsidRPr="002D2950" w:rsidR="008C5FCA">
        <w:t>9</w:t>
      </w:r>
      <w:r w:rsidRPr="002D2950">
        <w:t xml:space="preserve"> Tīkla pakalpojumu sniedzēju loma MDP nodrošināšanā</w:t>
      </w:r>
    </w:p>
    <w:p w:rsidR="00781866" w:rsidRPr="002D2950" w:rsidP="00E40A97" w14:paraId="081DEC65" w14:textId="77777777">
      <w:pPr>
        <w:pStyle w:val="Heading2"/>
        <w:numPr>
          <w:ilvl w:val="1"/>
          <w:numId w:val="12"/>
        </w:numPr>
        <w:pBdr>
          <w:top w:val="nil"/>
          <w:left w:val="nil"/>
          <w:bottom w:val="nil"/>
          <w:right w:val="nil"/>
          <w:between w:val="nil"/>
        </w:pBdr>
        <w:spacing w:before="0" w:after="160" w:line="276" w:lineRule="auto"/>
        <w:ind w:left="0" w:firstLine="0"/>
        <w:jc w:val="both"/>
        <w:rPr>
          <w:sz w:val="24"/>
          <w:szCs w:val="24"/>
        </w:rPr>
      </w:pPr>
      <w:bookmarkStart w:id="283" w:name="_Toc496001895"/>
      <w:bookmarkStart w:id="284" w:name="_Toc497818694"/>
      <w:bookmarkStart w:id="285" w:name="_Toc497995236"/>
      <w:bookmarkStart w:id="286" w:name="_Toc498016990"/>
      <w:bookmarkStart w:id="287" w:name="_Toc498346635"/>
      <w:bookmarkStart w:id="288" w:name="_Toc505072525"/>
      <w:bookmarkStart w:id="289" w:name="_Toc256000042"/>
      <w:bookmarkStart w:id="290" w:name="_Toc256000088"/>
      <w:r w:rsidRPr="002D2950">
        <w:rPr>
          <w:sz w:val="24"/>
          <w:szCs w:val="24"/>
        </w:rPr>
        <w:t>Mākoņdatošanas</w:t>
      </w:r>
      <w:r w:rsidRPr="002D2950">
        <w:rPr>
          <w:sz w:val="24"/>
          <w:szCs w:val="24"/>
        </w:rPr>
        <w:t xml:space="preserve"> pakalpojumu </w:t>
      </w:r>
      <w:bookmarkEnd w:id="283"/>
      <w:bookmarkEnd w:id="284"/>
      <w:r w:rsidRPr="002D2950">
        <w:rPr>
          <w:sz w:val="24"/>
          <w:szCs w:val="24"/>
        </w:rPr>
        <w:t>Brokera funkcijas</w:t>
      </w:r>
      <w:bookmarkEnd w:id="290"/>
      <w:bookmarkEnd w:id="289"/>
      <w:bookmarkEnd w:id="285"/>
      <w:bookmarkEnd w:id="286"/>
      <w:bookmarkEnd w:id="287"/>
      <w:bookmarkEnd w:id="288"/>
      <w:r w:rsidRPr="002D2950">
        <w:rPr>
          <w:sz w:val="24"/>
          <w:szCs w:val="24"/>
        </w:rPr>
        <w:t xml:space="preserve"> </w:t>
      </w:r>
    </w:p>
    <w:p w:rsidR="00781866" w:rsidRPr="002D2950" w:rsidP="00071D3D" w14:paraId="7F029ADB" w14:textId="77777777">
      <w:pPr>
        <w:spacing w:after="120"/>
        <w:ind w:firstLine="720"/>
        <w:jc w:val="both"/>
      </w:pPr>
      <w:r w:rsidRPr="002D2950">
        <w:t xml:space="preserve">Balstoties uz Ziņojumā ietvaros veikto MDP lietošanas attīstības scenāriju iespējamo izvēļu analīzi un tās rezultātā identificēto </w:t>
      </w:r>
      <w:r w:rsidRPr="002D2950">
        <w:t>optimālāko</w:t>
      </w:r>
      <w:r w:rsidRPr="002D2950">
        <w:t xml:space="preserve"> attīstības virzienu, kā galvenās MDP brokera funkcijas un saistītās darbības jomas var minēt:</w:t>
      </w:r>
    </w:p>
    <w:p w:rsidR="00781866" w:rsidRPr="002D2950" w:rsidP="00E40A97" w14:paraId="21FBBE4B" w14:textId="77777777">
      <w:pPr>
        <w:numPr>
          <w:ilvl w:val="0"/>
          <w:numId w:val="6"/>
        </w:numPr>
        <w:pBdr>
          <w:top w:val="nil"/>
          <w:left w:val="nil"/>
          <w:bottom w:val="nil"/>
          <w:right w:val="nil"/>
          <w:between w:val="nil"/>
        </w:pBdr>
        <w:spacing w:after="400" w:line="276" w:lineRule="auto"/>
        <w:contextualSpacing/>
        <w:jc w:val="both"/>
      </w:pPr>
      <w:r w:rsidRPr="002D2950">
        <w:t>MDP sagādes un izplatīšanas jautājumu koordinācija, kas ietver vismaz:</w:t>
      </w:r>
    </w:p>
    <w:p w:rsidR="00781866" w:rsidRPr="002D2950" w:rsidP="00E40A97" w14:paraId="51C00B1A" w14:textId="77777777">
      <w:pPr>
        <w:numPr>
          <w:ilvl w:val="1"/>
          <w:numId w:val="20"/>
        </w:numPr>
        <w:pBdr>
          <w:top w:val="nil"/>
          <w:left w:val="nil"/>
          <w:bottom w:val="nil"/>
          <w:right w:val="nil"/>
          <w:between w:val="nil"/>
        </w:pBdr>
        <w:spacing w:after="400" w:line="276" w:lineRule="auto"/>
        <w:contextualSpacing/>
        <w:jc w:val="both"/>
      </w:pPr>
      <w:r w:rsidRPr="002D2950">
        <w:t>MDP iepirkumu organizēšanu;</w:t>
      </w:r>
    </w:p>
    <w:p w:rsidR="00781866" w:rsidRPr="002D2950" w:rsidP="00E40A97" w14:paraId="4F76C5B4" w14:textId="77777777">
      <w:pPr>
        <w:numPr>
          <w:ilvl w:val="1"/>
          <w:numId w:val="20"/>
        </w:numPr>
        <w:pBdr>
          <w:top w:val="nil"/>
          <w:left w:val="nil"/>
          <w:bottom w:val="nil"/>
          <w:right w:val="nil"/>
          <w:between w:val="nil"/>
        </w:pBdr>
        <w:spacing w:after="400" w:line="276" w:lineRule="auto"/>
        <w:contextualSpacing/>
        <w:jc w:val="both"/>
      </w:pPr>
      <w:r w:rsidRPr="002D2950">
        <w:t>MDP pieejamības nodrošināšanu citām iestādēm (piemēram: attīstot tālāk EIS platformu);</w:t>
      </w:r>
    </w:p>
    <w:p w:rsidR="00781866" w:rsidRPr="002D2950" w:rsidP="00E40A97" w14:paraId="1A8B5B64" w14:textId="51C914BA">
      <w:pPr>
        <w:numPr>
          <w:ilvl w:val="1"/>
          <w:numId w:val="20"/>
        </w:numPr>
        <w:pBdr>
          <w:top w:val="nil"/>
          <w:left w:val="nil"/>
          <w:bottom w:val="nil"/>
          <w:right w:val="nil"/>
          <w:between w:val="nil"/>
        </w:pBdr>
        <w:spacing w:after="400" w:line="276" w:lineRule="auto"/>
        <w:contextualSpacing/>
        <w:jc w:val="both"/>
      </w:pPr>
      <w:r w:rsidRPr="002D2950">
        <w:t>MDP līmeņu vienošanās izstrādi iepērkamajiem un nodrošināmajiem pakalpojumiem un šo pakalpojumu līmeņu ie</w:t>
      </w:r>
      <w:r w:rsidRPr="002D2950" w:rsidR="009367A2">
        <w:t>tveršanu atbilstošajos līgumos vai</w:t>
      </w:r>
      <w:r w:rsidRPr="002D2950">
        <w:t xml:space="preserve"> vienošanās ar iesaistītajām pusēm;</w:t>
      </w:r>
    </w:p>
    <w:p w:rsidR="00781866" w:rsidRPr="002D2950" w:rsidP="00E40A97" w14:paraId="6F3DCC5D" w14:textId="03B18D73">
      <w:pPr>
        <w:numPr>
          <w:ilvl w:val="1"/>
          <w:numId w:val="20"/>
        </w:numPr>
        <w:pBdr>
          <w:top w:val="nil"/>
          <w:left w:val="nil"/>
          <w:bottom w:val="nil"/>
          <w:right w:val="nil"/>
          <w:between w:val="nil"/>
        </w:pBdr>
        <w:spacing w:after="400" w:line="276" w:lineRule="auto"/>
        <w:contextualSpacing/>
        <w:jc w:val="both"/>
      </w:pPr>
      <w:r w:rsidRPr="002D2950">
        <w:t xml:space="preserve">MDP risku pārvaldību, ietverot pieņemamā risku līmeņa noteikšanu, regulāru un pastāvīgu risku analīzi un atbilstošu </w:t>
      </w:r>
      <w:r w:rsidRPr="002D2950" w:rsidR="009367A2">
        <w:t xml:space="preserve">korekciju </w:t>
      </w:r>
      <w:r w:rsidRPr="002D2950">
        <w:t>veikšanu riskiem, kas pārsniedz pieņemamo līmeni.</w:t>
      </w:r>
    </w:p>
    <w:p w:rsidR="00781866" w:rsidRPr="002D2950" w:rsidP="00E40A97" w14:paraId="30D5FF1A" w14:textId="77777777">
      <w:pPr>
        <w:numPr>
          <w:ilvl w:val="0"/>
          <w:numId w:val="6"/>
        </w:numPr>
        <w:pBdr>
          <w:top w:val="nil"/>
          <w:left w:val="nil"/>
          <w:bottom w:val="nil"/>
          <w:right w:val="nil"/>
          <w:between w:val="nil"/>
        </w:pBdr>
        <w:spacing w:after="400" w:line="276" w:lineRule="auto"/>
        <w:contextualSpacing/>
        <w:jc w:val="both"/>
      </w:pPr>
      <w:r w:rsidRPr="002D2950">
        <w:t>Konsultāciju, atbalsta un pakalpojumu uzraudzības funkcija, kas ietver vismaz:</w:t>
      </w:r>
    </w:p>
    <w:p w:rsidR="00781866" w:rsidRPr="002D2950" w:rsidP="00E40A97" w14:paraId="1CA850E7" w14:textId="2EED09BB">
      <w:pPr>
        <w:numPr>
          <w:ilvl w:val="1"/>
          <w:numId w:val="19"/>
        </w:numPr>
        <w:pBdr>
          <w:top w:val="nil"/>
          <w:left w:val="nil"/>
          <w:bottom w:val="nil"/>
          <w:right w:val="nil"/>
          <w:between w:val="nil"/>
        </w:pBdr>
        <w:spacing w:after="400" w:line="276" w:lineRule="auto"/>
        <w:contextualSpacing/>
        <w:jc w:val="both"/>
      </w:pPr>
      <w:r w:rsidRPr="002D2950">
        <w:t>Konsultāciju sniegšanu (pieteikumu apstrādi) pirms pakalpojumu saņemšanas par MDP izmantošanas vadlīnijām, risinājumu izveides</w:t>
      </w:r>
      <w:r w:rsidRPr="002D2950" w:rsidR="0055662E">
        <w:t xml:space="preserve"> un </w:t>
      </w:r>
      <w:r w:rsidRPr="002D2950">
        <w:t>arhitektūras jautājumiem programmatūras izstrādei MDP kontekstā un saistītajām darbībām;</w:t>
      </w:r>
    </w:p>
    <w:p w:rsidR="00781866" w:rsidRPr="002D2950" w:rsidP="00E40A97" w14:paraId="00347A33" w14:textId="77777777">
      <w:pPr>
        <w:numPr>
          <w:ilvl w:val="1"/>
          <w:numId w:val="19"/>
        </w:numPr>
        <w:pBdr>
          <w:top w:val="nil"/>
          <w:left w:val="nil"/>
          <w:bottom w:val="nil"/>
          <w:right w:val="nil"/>
          <w:between w:val="nil"/>
        </w:pBdr>
        <w:spacing w:after="400" w:line="276" w:lineRule="auto"/>
        <w:contextualSpacing/>
        <w:jc w:val="both"/>
      </w:pPr>
      <w:r w:rsidRPr="002D2950">
        <w:t>Pieteikumu un incidentu apstrādi pakalpojumu nodrošināšanas laikā;</w:t>
      </w:r>
    </w:p>
    <w:p w:rsidR="00781866" w:rsidRPr="002D2950" w:rsidP="00E40A97" w14:paraId="7840A68E" w14:textId="77777777">
      <w:pPr>
        <w:numPr>
          <w:ilvl w:val="1"/>
          <w:numId w:val="19"/>
        </w:numPr>
        <w:pBdr>
          <w:top w:val="nil"/>
          <w:left w:val="nil"/>
          <w:bottom w:val="nil"/>
          <w:right w:val="nil"/>
          <w:between w:val="nil"/>
        </w:pBdr>
        <w:spacing w:after="400" w:line="276" w:lineRule="auto"/>
        <w:contextualSpacing/>
        <w:jc w:val="both"/>
      </w:pPr>
      <w:r w:rsidRPr="002D2950">
        <w:t>Drošības incidentu identifikāciju un izmeklēšanu;</w:t>
      </w:r>
    </w:p>
    <w:p w:rsidR="00781866" w:rsidRPr="002D2950" w:rsidP="00E40A97" w14:paraId="63427FFC" w14:textId="77777777">
      <w:pPr>
        <w:numPr>
          <w:ilvl w:val="1"/>
          <w:numId w:val="19"/>
        </w:numPr>
        <w:pBdr>
          <w:top w:val="nil"/>
          <w:left w:val="nil"/>
          <w:bottom w:val="nil"/>
          <w:right w:val="nil"/>
          <w:between w:val="nil"/>
        </w:pBdr>
        <w:spacing w:after="400" w:line="276" w:lineRule="auto"/>
        <w:contextualSpacing/>
        <w:jc w:val="both"/>
      </w:pPr>
      <w:r w:rsidRPr="002D2950">
        <w:t>Pakalpojumu kvalitātes uzraudzību (saviem resursiem vai piesaistot trešās puses) attiecībā uz pakalpojumu kvalitatīvajiem rādītājiem un citiem saistītajiem jautājumiem;</w:t>
      </w:r>
    </w:p>
    <w:p w:rsidR="00781866" w:rsidRPr="002D2950" w:rsidP="00E40A97" w14:paraId="0934CC14" w14:textId="77777777">
      <w:pPr>
        <w:numPr>
          <w:ilvl w:val="1"/>
          <w:numId w:val="19"/>
        </w:numPr>
        <w:pBdr>
          <w:top w:val="nil"/>
          <w:left w:val="nil"/>
          <w:bottom w:val="nil"/>
          <w:right w:val="nil"/>
          <w:between w:val="nil"/>
        </w:pBdr>
        <w:spacing w:after="400" w:line="276" w:lineRule="auto"/>
        <w:contextualSpacing/>
        <w:jc w:val="both"/>
      </w:pPr>
      <w:r w:rsidRPr="002D2950">
        <w:t>Pieejamības līmeņa novērtēšanu MDP un informācijas uzturēšanu par pakalpojumu struktūru un saturu;</w:t>
      </w:r>
    </w:p>
    <w:p w:rsidR="00781866" w:rsidRPr="002D2950" w:rsidP="00E40A97" w14:paraId="4985D376" w14:textId="77777777">
      <w:pPr>
        <w:numPr>
          <w:ilvl w:val="1"/>
          <w:numId w:val="19"/>
        </w:numPr>
        <w:pBdr>
          <w:top w:val="nil"/>
          <w:left w:val="nil"/>
          <w:bottom w:val="nil"/>
          <w:right w:val="nil"/>
          <w:between w:val="nil"/>
        </w:pBdr>
        <w:spacing w:after="400" w:line="276" w:lineRule="auto"/>
        <w:contextualSpacing/>
        <w:jc w:val="both"/>
      </w:pPr>
      <w:r w:rsidRPr="002D2950">
        <w:t>MDP sniedzēju piegādes ķēdes (</w:t>
      </w:r>
      <w:r w:rsidRPr="002D2950">
        <w:rPr>
          <w:i/>
        </w:rPr>
        <w:t>supply</w:t>
      </w:r>
      <w:r w:rsidRPr="002D2950">
        <w:rPr>
          <w:i/>
        </w:rPr>
        <w:t xml:space="preserve"> </w:t>
      </w:r>
      <w:r w:rsidRPr="002D2950">
        <w:rPr>
          <w:i/>
        </w:rPr>
        <w:t>chain</w:t>
      </w:r>
      <w:r w:rsidRPr="002D2950">
        <w:t>) uzraudzību.</w:t>
      </w:r>
    </w:p>
    <w:p w:rsidR="00781866" w:rsidRPr="002D2950" w:rsidP="00E40A97" w14:paraId="2E0E388D" w14:textId="77777777">
      <w:pPr>
        <w:numPr>
          <w:ilvl w:val="0"/>
          <w:numId w:val="6"/>
        </w:numPr>
        <w:pBdr>
          <w:top w:val="nil"/>
          <w:left w:val="nil"/>
          <w:bottom w:val="nil"/>
          <w:right w:val="nil"/>
          <w:between w:val="nil"/>
        </w:pBdr>
        <w:spacing w:after="400" w:line="276" w:lineRule="auto"/>
        <w:contextualSpacing/>
        <w:jc w:val="both"/>
      </w:pPr>
      <w:r w:rsidRPr="002D2950">
        <w:t>Komunikācijas un MDP veicināšanas jautājumi, kas ietver vismaz:</w:t>
      </w:r>
    </w:p>
    <w:p w:rsidR="00781866" w:rsidRPr="002D2950" w:rsidP="00E40A97" w14:paraId="729C352A" w14:textId="77777777">
      <w:pPr>
        <w:numPr>
          <w:ilvl w:val="1"/>
          <w:numId w:val="18"/>
        </w:numPr>
        <w:pBdr>
          <w:top w:val="nil"/>
          <w:left w:val="nil"/>
          <w:bottom w:val="nil"/>
          <w:right w:val="nil"/>
          <w:between w:val="nil"/>
        </w:pBdr>
        <w:spacing w:after="400" w:line="276" w:lineRule="auto"/>
        <w:contextualSpacing/>
        <w:jc w:val="both"/>
      </w:pPr>
      <w:r w:rsidRPr="002D2950">
        <w:t>Pastāvīgu komunikāciju ar iestādēm par jautājumiem, kas attiecas uz MDP izmantošanu un MDP izmantošanas veicināšanas darbu plāna izstrādi un realizāciju;</w:t>
      </w:r>
    </w:p>
    <w:p w:rsidR="00781866" w:rsidRPr="002D2950" w:rsidP="00E40A97" w14:paraId="6DB07215" w14:textId="77777777">
      <w:pPr>
        <w:numPr>
          <w:ilvl w:val="1"/>
          <w:numId w:val="18"/>
        </w:numPr>
        <w:pBdr>
          <w:top w:val="nil"/>
          <w:left w:val="nil"/>
          <w:bottom w:val="nil"/>
          <w:right w:val="nil"/>
          <w:between w:val="nil"/>
        </w:pBdr>
        <w:spacing w:after="400" w:line="276" w:lineRule="auto"/>
        <w:contextualSpacing/>
        <w:jc w:val="both"/>
      </w:pPr>
      <w:r w:rsidRPr="002D2950">
        <w:t>Sadarbību ar MDP sniedzējiem, nodrošinot informācijas pieejamību par jaunākajiem MDP un iespēju tos operatīvi pievienot MDP katalogam.</w:t>
      </w:r>
    </w:p>
    <w:p w:rsidR="00781866" w:rsidRPr="002D2950" w:rsidP="00E40A97" w14:paraId="25158A23" w14:textId="77777777">
      <w:pPr>
        <w:numPr>
          <w:ilvl w:val="0"/>
          <w:numId w:val="6"/>
        </w:numPr>
        <w:pBdr>
          <w:top w:val="nil"/>
          <w:left w:val="nil"/>
          <w:bottom w:val="nil"/>
          <w:right w:val="nil"/>
          <w:between w:val="nil"/>
        </w:pBdr>
        <w:spacing w:after="400" w:line="276" w:lineRule="auto"/>
        <w:contextualSpacing/>
        <w:jc w:val="both"/>
      </w:pPr>
      <w:r w:rsidRPr="002D2950">
        <w:t>Drošības līmeņa ievērošanas prasību uzraudzība, kas ietver vismaz:</w:t>
      </w:r>
    </w:p>
    <w:p w:rsidR="00781866" w:rsidRPr="002D2950" w:rsidP="00E40A97" w14:paraId="466139F4" w14:textId="4CB1DF2B">
      <w:pPr>
        <w:numPr>
          <w:ilvl w:val="1"/>
          <w:numId w:val="17"/>
        </w:numPr>
        <w:pBdr>
          <w:top w:val="nil"/>
          <w:left w:val="nil"/>
          <w:bottom w:val="nil"/>
          <w:right w:val="nil"/>
          <w:between w:val="nil"/>
        </w:pBdr>
        <w:spacing w:after="400" w:line="276" w:lineRule="auto"/>
        <w:contextualSpacing/>
        <w:jc w:val="both"/>
      </w:pPr>
      <w:r w:rsidRPr="002D2950">
        <w:t>Atbilstošo drošības prasību ievērošanas nodrošināšanu (balstoties uz saviem resursiem vai piesaistot neatkarīgas trešās puses) gan no MDP pakalpojumu sniedzēju, gan pakalpojumu saņēmēju puses. Funkcija izpildāma, veicot tehniskos un procedūru auditus vai piesaistot atbils</w:t>
      </w:r>
      <w:r w:rsidRPr="002D2950" w:rsidR="00CE6B02">
        <w:t xml:space="preserve">tošus pakalpojumu sniedzējus </w:t>
      </w:r>
      <w:r w:rsidRPr="002D2950">
        <w:t>vai izmantojot akreditētas sertifikācijas organizācijas noteiktās jomās, ja tādas ir pieejamas.</w:t>
      </w:r>
    </w:p>
    <w:p w:rsidR="00781866" w:rsidRPr="002D2950" w:rsidP="003C2C86" w14:paraId="1AF92C4C" w14:textId="77777777">
      <w:pPr>
        <w:jc w:val="both"/>
      </w:pPr>
    </w:p>
    <w:p w:rsidR="00781866" w:rsidRPr="002D2950" w:rsidP="00071D3D" w14:paraId="64250D3D" w14:textId="28E3D009">
      <w:pPr>
        <w:spacing w:after="120"/>
        <w:ind w:firstLine="720"/>
        <w:jc w:val="both"/>
      </w:pPr>
      <w:r w:rsidRPr="002D2950">
        <w:t xml:space="preserve">Ieviešot MDP </w:t>
      </w:r>
      <w:r w:rsidRPr="002D2950">
        <w:t>un</w:t>
      </w:r>
      <w:r w:rsidRPr="002D2950">
        <w:t xml:space="preserve"> deleģējot noteiktas funkcijas MDP brokerim, ir jāņem v</w:t>
      </w:r>
      <w:r w:rsidRPr="002D2950" w:rsidR="00CE6B02">
        <w:t xml:space="preserve">ērā šādi faktori un labā prakse un </w:t>
      </w:r>
      <w:r w:rsidRPr="002D2950">
        <w:t>pieredze:</w:t>
      </w:r>
    </w:p>
    <w:p w:rsidR="00781866" w:rsidRPr="002D2950" w:rsidP="00E40A97" w14:paraId="7C79CEC0" w14:textId="01C1CE52">
      <w:pPr>
        <w:numPr>
          <w:ilvl w:val="0"/>
          <w:numId w:val="16"/>
        </w:numPr>
        <w:pBdr>
          <w:top w:val="nil"/>
          <w:left w:val="nil"/>
          <w:bottom w:val="nil"/>
          <w:right w:val="nil"/>
          <w:between w:val="nil"/>
        </w:pBdr>
        <w:spacing w:after="400" w:line="276" w:lineRule="auto"/>
        <w:contextualSpacing/>
        <w:jc w:val="both"/>
      </w:pPr>
      <w:r w:rsidRPr="002D2950">
        <w:t xml:space="preserve">MDP brokera funkcijas, savstarpēji vienojoties, var arī tikt sadalītas starp vairākiem pakalpojumu sniedzējiem, </w:t>
      </w:r>
      <w:r w:rsidRPr="002D2950">
        <w:t>vadoties no</w:t>
      </w:r>
      <w:r w:rsidRPr="002D2950">
        <w:t xml:space="preserve"> uzkrātās kompetences un resursiem (piemēram iepirkumu</w:t>
      </w:r>
      <w:r w:rsidRPr="002D2950" w:rsidR="00CE6B02">
        <w:t xml:space="preserve"> un </w:t>
      </w:r>
      <w:r w:rsidRPr="002D2950">
        <w:t>sagādes funkciju deleģējot vienai iestādei, bet atbalsta dienesta funkciju citai);</w:t>
      </w:r>
    </w:p>
    <w:p w:rsidR="00781866" w:rsidRPr="002D2950" w:rsidP="00E40A97" w14:paraId="67FD83AC" w14:textId="4579C4A7">
      <w:pPr>
        <w:numPr>
          <w:ilvl w:val="0"/>
          <w:numId w:val="16"/>
        </w:numPr>
        <w:pBdr>
          <w:top w:val="nil"/>
          <w:left w:val="nil"/>
          <w:bottom w:val="nil"/>
          <w:right w:val="nil"/>
          <w:between w:val="nil"/>
        </w:pBdr>
        <w:spacing w:after="400" w:line="276" w:lineRule="auto"/>
        <w:contextualSpacing/>
        <w:jc w:val="both"/>
      </w:pPr>
      <w:r w:rsidRPr="002D2950">
        <w:t>Ņemot vērā, ka koplietošanas pakalpojumos tipiska ir pakalpojumu “pārslodze”, kam par iemeslu kalpo viegli pieejamie resursi un valsts MDP - arī izmaksu piesaistes (</w:t>
      </w:r>
      <w:r w:rsidRPr="002D2950">
        <w:rPr>
          <w:i/>
          <w:iCs/>
        </w:rPr>
        <w:t>chargeback</w:t>
      </w:r>
      <w:r w:rsidRPr="002D2950">
        <w:t xml:space="preserve">) modeļa trūkums, būtiski ir nodrošināt skaidru savstarpējās vienošanās mehānismu par pakalpojumu apjomu un to izmaksām </w:t>
      </w:r>
      <w:r w:rsidRPr="002D2950">
        <w:t>(</w:t>
      </w:r>
      <w:r w:rsidRPr="002D2950">
        <w:t>faktiski piestādot rēķinus par pakalpojumiem vai vismaz demonstrējot to lietojumu (</w:t>
      </w:r>
      <w:r w:rsidRPr="002D2950">
        <w:rPr>
          <w:i/>
          <w:iCs/>
        </w:rPr>
        <w:t>showback</w:t>
      </w:r>
      <w:r w:rsidRPr="002D2950">
        <w:t xml:space="preserve">). Īpaši svarīgs šis arguments ir valsts pašas sniegtajos MDP brokera, </w:t>
      </w:r>
      <w:r w:rsidRPr="002D2950">
        <w:t>PaaS</w:t>
      </w:r>
      <w:r w:rsidRPr="002D2950">
        <w:t xml:space="preserve"> un </w:t>
      </w:r>
      <w:r w:rsidRPr="002D2950">
        <w:t>SaaS</w:t>
      </w:r>
      <w:r w:rsidRPr="002D2950">
        <w:t xml:space="preserve"> pakalpojumos</w:t>
      </w:r>
      <w:r>
        <w:rPr>
          <w:vertAlign w:val="superscript"/>
        </w:rPr>
        <w:footnoteReference w:id="20"/>
      </w:r>
      <w:r w:rsidRPr="002D2950">
        <w:t>;</w:t>
      </w:r>
    </w:p>
    <w:p w:rsidR="00781866" w:rsidRPr="002D2950" w:rsidP="00E40A97" w14:paraId="03B15B4B" w14:textId="3C722459">
      <w:pPr>
        <w:numPr>
          <w:ilvl w:val="0"/>
          <w:numId w:val="16"/>
        </w:numPr>
        <w:pBdr>
          <w:top w:val="nil"/>
          <w:left w:val="nil"/>
          <w:bottom w:val="nil"/>
          <w:right w:val="nil"/>
          <w:between w:val="nil"/>
        </w:pBdr>
        <w:spacing w:after="400" w:line="276" w:lineRule="auto"/>
        <w:contextualSpacing/>
        <w:jc w:val="both"/>
      </w:pPr>
      <w:r w:rsidRPr="002D2950">
        <w:t xml:space="preserve">Būtiski ir visos MDP, kā arī MDP brokera un valsts pārvaldes pašas nodrošinātajos pakalpojumos ieviest pakalpojumu kvalitātes un klientu apmierinātības mērījumus, </w:t>
      </w:r>
      <w:r w:rsidRPr="002D2950">
        <w:t xml:space="preserve">kuriem būtu jāspēj demonstrēt </w:t>
      </w:r>
      <w:r w:rsidRPr="002D2950">
        <w:t>pa</w:t>
      </w:r>
      <w:r w:rsidRPr="002D2950" w:rsidR="00CE6B02">
        <w:t>kalpojuma kvalitāte</w:t>
      </w:r>
      <w:r w:rsidRPr="002D2950" w:rsidR="00CE6B02">
        <w:t xml:space="preserve"> tā kā to pa</w:t>
      </w:r>
      <w:r w:rsidRPr="002D2950">
        <w:t>redz MDP lietotāji un MDP saņēmēji, kā arī MDP brokera un MDP pakalpojumu sniedzēju spēja operatīvi pielāgoties izmaiņām pakalpojumos un pieprasījumos;</w:t>
      </w:r>
    </w:p>
    <w:p w:rsidR="00781866" w:rsidRPr="002D2950" w:rsidP="00E40A97" w14:paraId="4607FEBF" w14:textId="46A003DA">
      <w:pPr>
        <w:numPr>
          <w:ilvl w:val="0"/>
          <w:numId w:val="16"/>
        </w:numPr>
        <w:pBdr>
          <w:top w:val="nil"/>
          <w:left w:val="nil"/>
          <w:bottom w:val="nil"/>
          <w:right w:val="nil"/>
          <w:between w:val="nil"/>
        </w:pBdr>
        <w:spacing w:after="400" w:line="276" w:lineRule="auto"/>
        <w:contextualSpacing/>
        <w:jc w:val="both"/>
      </w:pPr>
      <w:r w:rsidRPr="002D2950">
        <w:t>Ir jānodrošina skaidra MDP brokera attīstības stratēģija (jāizstrād</w:t>
      </w:r>
      <w:r w:rsidRPr="002D2950" w:rsidR="00CE6B02">
        <w:t xml:space="preserve">ā) un jānodrošina tās ieviešana un </w:t>
      </w:r>
      <w:r w:rsidRPr="002D2950">
        <w:t>izpilde;</w:t>
      </w:r>
    </w:p>
    <w:p w:rsidR="00781866" w:rsidRPr="002D2950" w:rsidP="00E40A97" w14:paraId="3BC4CF90" w14:textId="03C092BF">
      <w:pPr>
        <w:numPr>
          <w:ilvl w:val="0"/>
          <w:numId w:val="16"/>
        </w:numPr>
        <w:pBdr>
          <w:top w:val="nil"/>
          <w:left w:val="nil"/>
          <w:bottom w:val="nil"/>
          <w:right w:val="nil"/>
          <w:between w:val="nil"/>
        </w:pBdr>
        <w:spacing w:after="200" w:line="276" w:lineRule="auto"/>
        <w:jc w:val="both"/>
      </w:pPr>
      <w:r w:rsidRPr="002D2950">
        <w:t xml:space="preserve">Ir jāizveido izstrādes vadlīnijas, kas ņem vērā MDP specifiku (pienākums izstrādātājiem un pakalpojumu piegādātājiem elastīgi pielāgot slodzes, izmantojot pieejamo </w:t>
      </w:r>
      <w:r w:rsidRPr="002D2950">
        <w:t>mākoņdatošanas</w:t>
      </w:r>
      <w:r w:rsidRPr="002D2950">
        <w:t xml:space="preserve"> resursu</w:t>
      </w:r>
      <w:r w:rsidRPr="002D2950" w:rsidR="00CE6B02">
        <w:t>)</w:t>
      </w:r>
      <w:r w:rsidRPr="002D2950">
        <w:t>.</w:t>
      </w:r>
      <w:bookmarkStart w:id="291" w:name="_hyfeo1s5fh4o" w:colFirst="0" w:colLast="0"/>
      <w:bookmarkEnd w:id="291"/>
    </w:p>
    <w:p w:rsidR="00781866" w:rsidRPr="002D2950" w:rsidP="00071D3D" w14:paraId="3AB8AF94" w14:textId="0ED89CF1">
      <w:pPr>
        <w:spacing w:line="276" w:lineRule="auto"/>
        <w:ind w:firstLine="720"/>
        <w:jc w:val="both"/>
      </w:pPr>
      <w:bookmarkStart w:id="292" w:name="_atbgtf6nv9al" w:colFirst="0" w:colLast="0"/>
      <w:bookmarkStart w:id="293" w:name="_Toc497818695"/>
      <w:bookmarkStart w:id="294" w:name="_Toc497995237"/>
      <w:bookmarkEnd w:id="292"/>
      <w:r w:rsidRPr="002D2950">
        <w:t xml:space="preserve">Paredzot </w:t>
      </w:r>
      <w:r w:rsidRPr="002D2950">
        <w:t>kopmākoņa</w:t>
      </w:r>
      <w:r w:rsidRPr="002D2950">
        <w:t xml:space="preserve"> (</w:t>
      </w:r>
      <w:r w:rsidRPr="002D2950">
        <w:rPr>
          <w:i/>
          <w:iCs/>
        </w:rPr>
        <w:t>community</w:t>
      </w:r>
      <w:r w:rsidRPr="002D2950">
        <w:rPr>
          <w:i/>
          <w:iCs/>
        </w:rPr>
        <w:t xml:space="preserve"> </w:t>
      </w:r>
      <w:r w:rsidRPr="002D2950">
        <w:rPr>
          <w:i/>
          <w:iCs/>
        </w:rPr>
        <w:t>cloud</w:t>
      </w:r>
      <w:r w:rsidRPr="002D2950">
        <w:rPr>
          <w:i/>
          <w:iCs/>
        </w:rPr>
        <w:t xml:space="preserve">) </w:t>
      </w:r>
      <w:r w:rsidRPr="002D2950">
        <w:t>izveidi</w:t>
      </w:r>
      <w:r w:rsidRPr="002D2950" w:rsidR="004A5712">
        <w:t>,</w:t>
      </w:r>
      <w:r w:rsidRPr="002D2950">
        <w:t xml:space="preserve"> ir jāparedz arī dažādas lomas un koordinācija iespējamajiem scenārijiem, kur pakalpojums tiek sniegts jauktā režīmā (īpaši </w:t>
      </w:r>
      <w:r w:rsidRPr="002D2950">
        <w:t>SaaS</w:t>
      </w:r>
      <w:r w:rsidRPr="002D2950">
        <w:t xml:space="preserve"> un </w:t>
      </w:r>
      <w:r w:rsidRPr="002D2950">
        <w:t>PaaS</w:t>
      </w:r>
      <w:r w:rsidRPr="002D2950">
        <w:t xml:space="preserve"> pakalpojumiem, kur infrastruktūru var nodrošināt viena puse, bet programmatūras vai platformas līmeņa pakalpojumu cita puse). Šajos gadījumos būtiski ir nodrošināt:</w:t>
      </w:r>
    </w:p>
    <w:p w:rsidR="00781866" w:rsidRPr="002D2950" w:rsidP="00E40A97" w14:paraId="5A3493EF" w14:textId="14E28CA3">
      <w:pPr>
        <w:pStyle w:val="ListParagraph"/>
        <w:numPr>
          <w:ilvl w:val="0"/>
          <w:numId w:val="15"/>
        </w:numPr>
        <w:pBdr>
          <w:top w:val="nil"/>
          <w:left w:val="nil"/>
          <w:bottom w:val="nil"/>
          <w:right w:val="nil"/>
          <w:between w:val="nil"/>
        </w:pBdr>
        <w:spacing w:line="276" w:lineRule="auto"/>
        <w:contextualSpacing w:val="0"/>
        <w:jc w:val="both"/>
      </w:pPr>
      <w:r w:rsidRPr="002D2950">
        <w:t>Pušu sadarbību pakalpojuma izveidē</w:t>
      </w:r>
      <w:r w:rsidRPr="002D2950" w:rsidR="005177D6">
        <w:t>;</w:t>
      </w:r>
    </w:p>
    <w:p w:rsidR="00781866" w:rsidRPr="002D2950" w:rsidP="00E40A97" w14:paraId="2E1C297E" w14:textId="523A0049">
      <w:pPr>
        <w:pStyle w:val="ListParagraph"/>
        <w:numPr>
          <w:ilvl w:val="0"/>
          <w:numId w:val="15"/>
        </w:numPr>
        <w:pBdr>
          <w:top w:val="nil"/>
          <w:left w:val="nil"/>
          <w:bottom w:val="nil"/>
          <w:right w:val="nil"/>
          <w:between w:val="nil"/>
        </w:pBdr>
        <w:spacing w:line="276" w:lineRule="auto"/>
        <w:contextualSpacing w:val="0"/>
        <w:jc w:val="both"/>
      </w:pPr>
      <w:r w:rsidRPr="002D2950">
        <w:t>Pušu sadarbību pakalpojuma atbalsta sniegšanā (jautājumu kopīgu risināšanu un plānošanu)</w:t>
      </w:r>
      <w:r w:rsidRPr="002D2950" w:rsidR="005177D6">
        <w:t>;</w:t>
      </w:r>
    </w:p>
    <w:p w:rsidR="00781866" w:rsidRPr="002D2950" w:rsidP="00E40A97" w14:paraId="09708F4F" w14:textId="1629DDC5">
      <w:pPr>
        <w:pStyle w:val="ListParagraph"/>
        <w:numPr>
          <w:ilvl w:val="0"/>
          <w:numId w:val="15"/>
        </w:numPr>
        <w:pBdr>
          <w:top w:val="nil"/>
          <w:left w:val="nil"/>
          <w:bottom w:val="nil"/>
          <w:right w:val="nil"/>
          <w:between w:val="nil"/>
        </w:pBdr>
        <w:spacing w:line="276" w:lineRule="auto"/>
        <w:contextualSpacing w:val="0"/>
        <w:jc w:val="both"/>
      </w:pPr>
      <w:r w:rsidRPr="002D2950">
        <w:t>Pušu sadarbību pakalpojuma kvalitātes līmeņa (SLA) dizainā un atbilstošu tehnisko risinājumu izvēli</w:t>
      </w:r>
      <w:r w:rsidRPr="002D2950" w:rsidR="005177D6">
        <w:t>;</w:t>
      </w:r>
    </w:p>
    <w:p w:rsidR="00781866" w:rsidRPr="002D2950" w:rsidP="00E40A97" w14:paraId="3E367695" w14:textId="5F2D7B99">
      <w:pPr>
        <w:pStyle w:val="ListParagraph"/>
        <w:numPr>
          <w:ilvl w:val="0"/>
          <w:numId w:val="15"/>
        </w:numPr>
        <w:pBdr>
          <w:top w:val="nil"/>
          <w:left w:val="nil"/>
          <w:bottom w:val="nil"/>
          <w:right w:val="nil"/>
          <w:between w:val="nil"/>
        </w:pBdr>
        <w:spacing w:line="276" w:lineRule="auto"/>
        <w:contextualSpacing w:val="0"/>
        <w:jc w:val="both"/>
      </w:pPr>
      <w:r w:rsidRPr="002D2950">
        <w:t>Pušu sadarbību un koordināciju pakalpojuma izmaksu identificēšanā</w:t>
      </w:r>
      <w:r w:rsidRPr="002D2950" w:rsidR="005177D6">
        <w:t>.</w:t>
      </w:r>
    </w:p>
    <w:p w:rsidR="00781866" w:rsidRPr="002D2950" w:rsidP="00781866" w14:paraId="4A700466" w14:textId="77777777">
      <w:pPr>
        <w:keepNext/>
        <w:spacing w:after="200"/>
        <w:jc w:val="center"/>
      </w:pPr>
      <w:r w:rsidRPr="002D2950">
        <w:rPr>
          <w:noProof/>
        </w:rPr>
        <w:drawing>
          <wp:inline distT="0" distB="0" distL="0" distR="0">
            <wp:extent cx="5038725" cy="2987972"/>
            <wp:effectExtent l="0" t="0" r="0" b="317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44600" name=""/>
                    <pic:cNvPicPr/>
                  </pic:nvPicPr>
                  <pic:blipFill>
                    <a:blip xmlns:r="http://schemas.openxmlformats.org/officeDocument/2006/relationships" r:embed="rId15"/>
                    <a:stretch>
                      <a:fillRect/>
                    </a:stretch>
                  </pic:blipFill>
                  <pic:spPr>
                    <a:xfrm>
                      <a:off x="0" y="0"/>
                      <a:ext cx="5091351" cy="3019179"/>
                    </a:xfrm>
                    <a:prstGeom prst="rect">
                      <a:avLst/>
                    </a:prstGeom>
                  </pic:spPr>
                </pic:pic>
              </a:graphicData>
            </a:graphic>
          </wp:inline>
        </w:drawing>
      </w:r>
    </w:p>
    <w:p w:rsidR="00781866" w:rsidRPr="002D2950" w:rsidP="00781866" w14:paraId="4665A7D4" w14:textId="5B1F33EA">
      <w:pPr>
        <w:pStyle w:val="Caption"/>
        <w:spacing w:line="276" w:lineRule="auto"/>
        <w:jc w:val="center"/>
      </w:pPr>
      <w:r w:rsidRPr="002D2950">
        <w:t xml:space="preserve">Attēls Nr. </w:t>
      </w:r>
      <w:r w:rsidRPr="002D2950" w:rsidR="005177D6">
        <w:t>10</w:t>
      </w:r>
      <w:r w:rsidRPr="002D2950">
        <w:t xml:space="preserve"> MDP nodrošināšana iesaistot vairākus pakalpojumu sniedzējus</w:t>
      </w:r>
      <w:r w:rsidRPr="002D2950">
        <w:rPr>
          <w:highlight w:val="yellow"/>
        </w:rPr>
        <w:t xml:space="preserve"> </w:t>
      </w:r>
    </w:p>
    <w:p w:rsidR="00CD4F6E" w:rsidRPr="00DC50CF" w:rsidP="007733D5" w14:paraId="2605C66D" w14:textId="530D5483">
      <w:pPr>
        <w:ind w:firstLine="720"/>
        <w:jc w:val="both"/>
      </w:pPr>
      <w:bookmarkStart w:id="295" w:name="_Toc498016991"/>
      <w:bookmarkStart w:id="296" w:name="_Toc498346636"/>
      <w:bookmarkEnd w:id="293"/>
      <w:bookmarkEnd w:id="294"/>
      <w:r>
        <w:t>MDP brokerim, pildot savas funkcijas</w:t>
      </w:r>
      <w:r w:rsidR="000C6B8A">
        <w:t>,</w:t>
      </w:r>
      <w:r>
        <w:t xml:space="preserve"> ir jāsadarbojas ar nozaru ministrijām un to padotības iestādēm, pēc iespējas nodrošinot to, lai nozaru </w:t>
      </w:r>
      <w:r w:rsidRPr="00DC50CF">
        <w:t>institūciju jau veiktie ieguldījumi informācijas un komunikāciju tehnoloģijas infrastruktūras izveidē tiek racionāli izmantoti arī nākotnē un tiek sekmēta vienota</w:t>
      </w:r>
      <w:r w:rsidRPr="00DC50CF">
        <w:t xml:space="preserve">  </w:t>
      </w:r>
      <w:r w:rsidRPr="00DC50CF">
        <w:t xml:space="preserve">MDP pieejamības attīstība starpresoru līmenī. </w:t>
      </w:r>
    </w:p>
    <w:p w:rsidR="004741E5" w:rsidRPr="00DC50CF" w:rsidP="004741E5" w14:paraId="64DB8307" w14:textId="77777777">
      <w:pPr>
        <w:ind w:firstLine="720"/>
        <w:jc w:val="both"/>
        <w:rPr>
          <w:sz w:val="22"/>
          <w:szCs w:val="22"/>
        </w:rPr>
      </w:pPr>
      <w:r w:rsidRPr="00DC50CF">
        <w:t>Mākoņdatošanas</w:t>
      </w:r>
      <w:r w:rsidRPr="00DC50CF">
        <w:t xml:space="preserve"> pakalpojumu Brokera lomai Ziņojumā ir identificētas veicamās pamata funkcijas. Precīzi definētu prasību, noteikumu, procedūru un politiku izstrāde atbilstoši </w:t>
      </w:r>
      <w:r w:rsidRPr="00DC50CF">
        <w:t>katrai MDP brokera funkcijai ir paša MDP Brokera atbildības sfēra. Skatīt Ziņojuma 7.1.1. – 7.1.</w:t>
      </w:r>
      <w:r w:rsidRPr="00DC50CF">
        <w:t>4. apakšpunktus</w:t>
      </w:r>
      <w:r w:rsidRPr="00DC50CF">
        <w:t>.</w:t>
      </w:r>
    </w:p>
    <w:p w:rsidR="00F409C1" w:rsidP="007733D5" w14:paraId="676EA6B6" w14:textId="416FF876">
      <w:pPr>
        <w:ind w:firstLine="720"/>
        <w:jc w:val="both"/>
      </w:pPr>
      <w:r w:rsidRPr="00DC50CF">
        <w:t>MDP</w:t>
      </w:r>
      <w:r w:rsidRPr="00DC50CF">
        <w:t xml:space="preserve"> </w:t>
      </w:r>
      <w:r w:rsidRPr="00DC50CF">
        <w:t>brokera funkcijas (t.sk. centralizēti atbalstāmo pakalpojumu tvērums</w:t>
      </w:r>
      <w:r>
        <w:t>) tiks precizēt</w:t>
      </w:r>
      <w:r w:rsidR="000C6B8A">
        <w:t>a</w:t>
      </w:r>
      <w:r>
        <w:t xml:space="preserve">s turpmākās izstrādes gaitā – t.sk. izstrādājot priekšlikumus par konkrētajām institūcijām, kas izpildīs šo lomu. </w:t>
      </w:r>
    </w:p>
    <w:p w:rsidR="004741E5" w:rsidP="007733D5" w14:paraId="57A26ED3" w14:textId="77777777">
      <w:pPr>
        <w:ind w:firstLine="720"/>
        <w:jc w:val="both"/>
      </w:pPr>
    </w:p>
    <w:p w:rsidR="00F409C1" w:rsidRPr="00F409C1" w:rsidP="00F409C1" w14:paraId="1AFE8590" w14:textId="77777777"/>
    <w:p w:rsidR="00781866" w:rsidRPr="002D2950" w:rsidP="00E40A97" w14:paraId="040392F8" w14:textId="6A71AF75">
      <w:pPr>
        <w:pStyle w:val="Heading2"/>
        <w:numPr>
          <w:ilvl w:val="1"/>
          <w:numId w:val="12"/>
        </w:numPr>
        <w:pBdr>
          <w:top w:val="nil"/>
          <w:left w:val="nil"/>
          <w:bottom w:val="nil"/>
          <w:right w:val="nil"/>
          <w:between w:val="nil"/>
        </w:pBdr>
        <w:spacing w:before="0" w:after="160" w:line="276" w:lineRule="auto"/>
        <w:contextualSpacing/>
        <w:jc w:val="both"/>
        <w:rPr>
          <w:sz w:val="24"/>
          <w:szCs w:val="24"/>
        </w:rPr>
      </w:pPr>
      <w:bookmarkStart w:id="297" w:name="_Toc505072526"/>
      <w:bookmarkStart w:id="298" w:name="_Toc256000043"/>
      <w:bookmarkStart w:id="299" w:name="_Toc256000089"/>
      <w:r w:rsidRPr="002D2950">
        <w:rPr>
          <w:sz w:val="24"/>
          <w:szCs w:val="24"/>
        </w:rPr>
        <w:t>Mākoņdatošanas</w:t>
      </w:r>
      <w:r w:rsidRPr="002D2950">
        <w:rPr>
          <w:sz w:val="24"/>
          <w:szCs w:val="24"/>
        </w:rPr>
        <w:t xml:space="preserve"> </w:t>
      </w:r>
      <w:r w:rsidR="005077F3">
        <w:rPr>
          <w:sz w:val="24"/>
          <w:szCs w:val="24"/>
        </w:rPr>
        <w:t xml:space="preserve">pakalpojumu jomā vadošās iestādes (MDP brokera) funkciju </w:t>
      </w:r>
      <w:r w:rsidRPr="002D2950">
        <w:rPr>
          <w:sz w:val="24"/>
          <w:szCs w:val="24"/>
        </w:rPr>
        <w:t>finansējums</w:t>
      </w:r>
      <w:bookmarkEnd w:id="299"/>
      <w:bookmarkEnd w:id="298"/>
      <w:bookmarkEnd w:id="295"/>
      <w:bookmarkEnd w:id="296"/>
      <w:bookmarkEnd w:id="297"/>
    </w:p>
    <w:p w:rsidR="00781866" w:rsidRPr="002D2950" w:rsidP="00071D3D" w14:paraId="1829E3E7" w14:textId="1D8DA506">
      <w:pPr>
        <w:ind w:firstLine="720"/>
        <w:jc w:val="both"/>
      </w:pPr>
      <w:r w:rsidRPr="002D2950">
        <w:t>Ziņojuma kontekstā MDP brokera funkcijas izveidošanai un uzturēšanai nepieciešamais finansējums var tikt rasts</w:t>
      </w:r>
      <w:r w:rsidRPr="002D2950" w:rsidR="00626EF7">
        <w:t>,</w:t>
      </w:r>
      <w:r w:rsidRPr="002D2950">
        <w:t xml:space="preserve"> kombinējot šādus finansējumu avotus:</w:t>
      </w:r>
    </w:p>
    <w:p w:rsidR="00781866" w:rsidRPr="002D2950" w:rsidP="00E40A97" w14:paraId="1A18C40D" w14:textId="4B3BEE61">
      <w:pPr>
        <w:pStyle w:val="ListParagraph"/>
        <w:numPr>
          <w:ilvl w:val="0"/>
          <w:numId w:val="14"/>
        </w:numPr>
        <w:pBdr>
          <w:top w:val="nil"/>
          <w:left w:val="nil"/>
          <w:bottom w:val="nil"/>
          <w:right w:val="nil"/>
          <w:between w:val="nil"/>
        </w:pBdr>
        <w:spacing w:after="400" w:line="276" w:lineRule="auto"/>
        <w:jc w:val="both"/>
      </w:pPr>
      <w:r w:rsidRPr="002D2950">
        <w:t xml:space="preserve">Esošie ERAF projekti (Ziņojuma </w:t>
      </w:r>
      <w:r w:rsidRPr="002D2950" w:rsidR="00561D29">
        <w:t xml:space="preserve">sagatavošanas </w:t>
      </w:r>
      <w:r w:rsidRPr="002D2950">
        <w:t>laikā projekt</w:t>
      </w:r>
      <w:r w:rsidRPr="002D2950" w:rsidR="00561D29">
        <w:t xml:space="preserve">u sagatavošana un īstenošana ir jau </w:t>
      </w:r>
      <w:r w:rsidRPr="002D2950">
        <w:t>uzsākt</w:t>
      </w:r>
      <w:r w:rsidRPr="002D2950" w:rsidR="00561D29">
        <w:t>a</w:t>
      </w:r>
      <w:r w:rsidRPr="002D2950">
        <w:t>)</w:t>
      </w:r>
      <w:r w:rsidRPr="002D2950" w:rsidR="00561D29">
        <w:t>,</w:t>
      </w:r>
    </w:p>
    <w:p w:rsidR="00781866" w:rsidRPr="002D2950" w:rsidP="00E40A97" w14:paraId="4325E3DD" w14:textId="5534E750">
      <w:pPr>
        <w:pStyle w:val="ListParagraph"/>
        <w:numPr>
          <w:ilvl w:val="0"/>
          <w:numId w:val="14"/>
        </w:numPr>
        <w:pBdr>
          <w:top w:val="nil"/>
          <w:left w:val="nil"/>
          <w:bottom w:val="nil"/>
          <w:right w:val="nil"/>
          <w:between w:val="nil"/>
        </w:pBdr>
        <w:spacing w:after="400" w:line="276" w:lineRule="auto"/>
        <w:jc w:val="both"/>
      </w:pPr>
      <w:r w:rsidRPr="002D2950">
        <w:t>Finansējums no budžeta līdzekļiem (esošais finansējums, kas ir paredzēts informācijas resursu attīstībai vai izveidei)</w:t>
      </w:r>
      <w:r w:rsidRPr="002D2950" w:rsidR="00561D29">
        <w:t>,</w:t>
      </w:r>
    </w:p>
    <w:p w:rsidR="00781866" w:rsidRPr="002D2950" w:rsidP="00E40A97" w14:paraId="1FA37785" w14:textId="77777777">
      <w:pPr>
        <w:pStyle w:val="ListParagraph"/>
        <w:numPr>
          <w:ilvl w:val="0"/>
          <w:numId w:val="14"/>
        </w:numPr>
        <w:pBdr>
          <w:top w:val="nil"/>
          <w:left w:val="nil"/>
          <w:bottom w:val="nil"/>
          <w:right w:val="nil"/>
          <w:between w:val="nil"/>
        </w:pBdr>
        <w:spacing w:after="120" w:line="276" w:lineRule="auto"/>
        <w:jc w:val="both"/>
      </w:pPr>
      <w:r w:rsidRPr="002D2950">
        <w:t xml:space="preserve">Finansējums no valsts kapitālsabiedrībām (investīcijas jaunu </w:t>
      </w:r>
      <w:r w:rsidRPr="002D2950">
        <w:t>kopmākoņa</w:t>
      </w:r>
      <w:r w:rsidRPr="002D2950">
        <w:t xml:space="preserve"> pakalpojumu izveidē paredzot to ilgtermiņa pieprasījumu).</w:t>
      </w:r>
    </w:p>
    <w:p w:rsidR="00781866" w:rsidRPr="002D2950" w:rsidP="005077F3" w14:paraId="1DDFC0C1" w14:textId="741CB5EF">
      <w:pPr>
        <w:spacing w:before="120" w:after="120"/>
        <w:ind w:firstLine="720"/>
        <w:jc w:val="both"/>
      </w:pPr>
      <w:r w:rsidRPr="002D2950">
        <w:t>Izmantojot esošos ERAF</w:t>
      </w:r>
      <w:r w:rsidRPr="002D2950">
        <w:t xml:space="preserve"> finansētos valsts pārvaldes IKT attīstības projektus, būtiski ir prasmīgi </w:t>
      </w:r>
      <w:r w:rsidRPr="002D2950" w:rsidR="00561D29">
        <w:t>koordinēt</w:t>
      </w:r>
      <w:r w:rsidRPr="002D2950">
        <w:t xml:space="preserve"> esošos LVDC attīstības projektus vienotas vides izveidei, </w:t>
      </w:r>
      <w:r w:rsidRPr="002D2950" w:rsidR="009534AE">
        <w:t xml:space="preserve">būtisko arhitektūras </w:t>
      </w:r>
      <w:r w:rsidRPr="002D2950">
        <w:t>elementu</w:t>
      </w:r>
      <w:r w:rsidRPr="002D2950" w:rsidR="00561D29">
        <w:t xml:space="preserve"> (t.sk. IKT infrastruktūras koplietošanas pakalpojumu)</w:t>
      </w:r>
      <w:r w:rsidRPr="002D2950">
        <w:t xml:space="preserve"> izveidei un to </w:t>
      </w:r>
      <w:r w:rsidRPr="002D2950" w:rsidR="00561D29">
        <w:t xml:space="preserve">atbilstības </w:t>
      </w:r>
      <w:r w:rsidRPr="002D2950">
        <w:t>MDP</w:t>
      </w:r>
      <w:r w:rsidRPr="002D2950" w:rsidR="00561D29">
        <w:t xml:space="preserve"> principiem nodrošināšanai</w:t>
      </w:r>
      <w:r w:rsidRPr="002D2950">
        <w:t>. Lai to varētu izpildīt</w:t>
      </w:r>
      <w:r w:rsidRPr="002D2950" w:rsidR="00720E23">
        <w:t>,</w:t>
      </w:r>
      <w:r w:rsidRPr="002D2950">
        <w:t xml:space="preserve"> būtiski ir nodrošināt vienotu uzraudzību un koordināciju.</w:t>
      </w:r>
    </w:p>
    <w:p w:rsidR="00781866" w:rsidRPr="002D2950" w:rsidP="005077F3" w14:paraId="10D62127" w14:textId="20FF9BE4">
      <w:pPr>
        <w:spacing w:before="120"/>
        <w:ind w:firstLine="720"/>
        <w:jc w:val="both"/>
      </w:pPr>
      <w:r w:rsidRPr="002D2950">
        <w:t>Izmantojot esošos budžeta līdzekļus, būtiski ir ar uzraudzības un koordinācijas līdzekļiem, kā arī</w:t>
      </w:r>
      <w:r w:rsidRPr="002D2950" w:rsidR="00A75750">
        <w:t>,</w:t>
      </w:r>
      <w:r w:rsidRPr="002D2950">
        <w:t xml:space="preserve"> pieņemot atbilstošu koncepciju, ierobežot jaunus aparatūras iegādes projektus vai projektus, kas ir orientēti uz slēgtas infrastruktūras vai informācijas resursu veidošanu bez atbilstoša pamatojuma (skatīt: </w:t>
      </w:r>
      <w:r w:rsidRPr="002D2950" w:rsidR="00A75750">
        <w:t xml:space="preserve">Ziņojuma </w:t>
      </w:r>
      <w:r w:rsidRPr="002D2950">
        <w:fldChar w:fldCharType="begin"/>
      </w:r>
      <w:r w:rsidRPr="002D2950">
        <w:instrText xml:space="preserve"> REF _Ref498348066 \w \h </w:instrText>
      </w:r>
      <w:r w:rsidRPr="002D2950" w:rsidR="00626EF7">
        <w:instrText xml:space="preserve"> \* MERGEFORMAT </w:instrText>
      </w:r>
      <w:r w:rsidRPr="002D2950">
        <w:fldChar w:fldCharType="separate"/>
      </w:r>
      <w:r w:rsidR="00B2422F">
        <w:t>6.2</w:t>
      </w:r>
      <w:r w:rsidRPr="002D2950">
        <w:fldChar w:fldCharType="end"/>
      </w:r>
      <w:r w:rsidRPr="002D2950" w:rsidR="00A75750">
        <w:t>.apakšpunktu</w:t>
      </w:r>
      <w:r w:rsidRPr="002D2950">
        <w:t xml:space="preserve"> </w:t>
      </w:r>
      <w:r w:rsidRPr="002D2950" w:rsidR="00A75750">
        <w:t>“</w:t>
      </w:r>
      <w:r w:rsidRPr="002D2950">
        <w:fldChar w:fldCharType="begin"/>
      </w:r>
      <w:r w:rsidRPr="002D2950">
        <w:instrText xml:space="preserve"> REF _Ref498348072 \h </w:instrText>
      </w:r>
      <w:r w:rsidRPr="002D2950" w:rsidR="00626EF7">
        <w:instrText xml:space="preserve"> \* MERGEFORMAT </w:instrText>
      </w:r>
      <w:r w:rsidRPr="002D2950">
        <w:fldChar w:fldCharType="separate"/>
      </w:r>
      <w:r w:rsidRPr="002D2950" w:rsidR="00B2422F">
        <w:t>Mākoņdatošanas pakalpojumi kā pirmā izvēle</w:t>
      </w:r>
      <w:r w:rsidRPr="002D2950">
        <w:fldChar w:fldCharType="end"/>
      </w:r>
      <w:r w:rsidRPr="002D2950" w:rsidR="00A75750">
        <w:t>”)</w:t>
      </w:r>
      <w:r w:rsidRPr="002D2950">
        <w:t>.</w:t>
      </w:r>
    </w:p>
    <w:p w:rsidR="00781866" w:rsidP="005077F3" w14:paraId="01C29B28" w14:textId="77777777">
      <w:pPr>
        <w:spacing w:before="120"/>
        <w:ind w:firstLine="720"/>
        <w:jc w:val="both"/>
      </w:pPr>
      <w:r w:rsidRPr="002D2950">
        <w:t>Izmantojot valsts kapitālsabiedrību iesaisti, būtiski ir tās agrīni iesaistīt procesā, uzturēt ar tām komunikāciju un nodrošināt ar informāciju par prognozējamo pakalpojumu apjomu tajā funkcijas apmērā, ko tās uzņemas (veikt izpēti par prognozējamo MDP pieprasījumu, balstoties uz esošajiem informācijas resursu apjomiem, informācijas klasifikāciju un lietojumu specifiku).</w:t>
      </w:r>
    </w:p>
    <w:p w:rsidR="005077F3" w:rsidRPr="002D2950" w:rsidP="005077F3" w14:paraId="39F2CE87" w14:textId="5353CBFD">
      <w:pPr>
        <w:spacing w:before="120"/>
        <w:ind w:firstLine="720"/>
        <w:jc w:val="both"/>
      </w:pPr>
      <w:r>
        <w:t xml:space="preserve">Priekšlikumi par MDP brokera funkcijas īstenošanu tiks tālāk izstrādāti rīcības plāna (skat. ziņojuma 8. sadaļu) pirmā punkta izpildes ietvaros.   </w:t>
      </w:r>
    </w:p>
    <w:p w:rsidR="00781866" w:rsidRPr="002D2950" w:rsidP="00626EF7" w14:paraId="21C6F3AC" w14:textId="77777777">
      <w:pPr>
        <w:jc w:val="both"/>
      </w:pPr>
    </w:p>
    <w:p w:rsidR="00781866" w:rsidRPr="002D2950" w:rsidP="00E40A97" w14:paraId="687ED26B" w14:textId="77777777">
      <w:pPr>
        <w:pStyle w:val="Heading2"/>
        <w:numPr>
          <w:ilvl w:val="1"/>
          <w:numId w:val="12"/>
        </w:numPr>
        <w:pBdr>
          <w:top w:val="nil"/>
          <w:left w:val="nil"/>
          <w:bottom w:val="nil"/>
          <w:right w:val="nil"/>
          <w:between w:val="nil"/>
        </w:pBdr>
        <w:spacing w:before="0" w:after="160" w:line="276" w:lineRule="auto"/>
        <w:contextualSpacing/>
        <w:jc w:val="both"/>
        <w:rPr>
          <w:sz w:val="24"/>
          <w:szCs w:val="24"/>
        </w:rPr>
      </w:pPr>
      <w:bookmarkStart w:id="300" w:name="_Toc498016992"/>
      <w:bookmarkStart w:id="301" w:name="_Toc498346637"/>
      <w:bookmarkStart w:id="302" w:name="_Toc505072527"/>
      <w:bookmarkStart w:id="303" w:name="_Toc256000044"/>
      <w:bookmarkStart w:id="304" w:name="_Toc256000090"/>
      <w:r w:rsidRPr="002D2950">
        <w:rPr>
          <w:sz w:val="24"/>
          <w:szCs w:val="24"/>
        </w:rPr>
        <w:t>Pakalpojumu salīdzināmība</w:t>
      </w:r>
      <w:bookmarkEnd w:id="304"/>
      <w:bookmarkEnd w:id="303"/>
      <w:bookmarkEnd w:id="300"/>
      <w:bookmarkEnd w:id="301"/>
      <w:bookmarkEnd w:id="302"/>
    </w:p>
    <w:p w:rsidR="00781866" w:rsidRPr="002D2950" w:rsidP="00071D3D" w14:paraId="645B47E8" w14:textId="36E38AFA">
      <w:pPr>
        <w:ind w:firstLine="720"/>
        <w:jc w:val="both"/>
      </w:pPr>
      <w:r w:rsidRPr="002D2950">
        <w:t xml:space="preserve">Neatkarīgi no izmantotā brokera finansējuma jau šobrīd ir skaidrs, ka virzība uz vienotu pakalpojumu modeli (t.sk. </w:t>
      </w:r>
      <w:r w:rsidRPr="002D2950" w:rsidR="00026DCF">
        <w:t>MDP</w:t>
      </w:r>
      <w:r w:rsidRPr="002D2950">
        <w:t>) paredz vienu no diviem vai kombinētu pakalpojumu izmaksu uzskaites un aprēķina modeli:</w:t>
      </w:r>
    </w:p>
    <w:p w:rsidR="00781866" w:rsidRPr="002D2950" w:rsidP="00E40A97" w14:paraId="1CE284D9" w14:textId="055D3116">
      <w:pPr>
        <w:pStyle w:val="ListParagraph"/>
        <w:numPr>
          <w:ilvl w:val="0"/>
          <w:numId w:val="7"/>
        </w:numPr>
        <w:pBdr>
          <w:top w:val="nil"/>
          <w:left w:val="nil"/>
          <w:bottom w:val="nil"/>
          <w:right w:val="nil"/>
          <w:between w:val="nil"/>
        </w:pBdr>
        <w:spacing w:after="400" w:line="276" w:lineRule="auto"/>
        <w:jc w:val="both"/>
      </w:pPr>
      <w:r w:rsidRPr="002D2950">
        <w:t>i</w:t>
      </w:r>
      <w:r w:rsidRPr="002D2950">
        <w:t>zmaksu dalīšana (</w:t>
      </w:r>
      <w:r w:rsidRPr="002D2950">
        <w:rPr>
          <w:i/>
          <w:iCs/>
        </w:rPr>
        <w:t>cost</w:t>
      </w:r>
      <w:r w:rsidRPr="002D2950">
        <w:rPr>
          <w:i/>
          <w:iCs/>
        </w:rPr>
        <w:t xml:space="preserve"> </w:t>
      </w:r>
      <w:r w:rsidRPr="002D2950">
        <w:rPr>
          <w:i/>
          <w:iCs/>
        </w:rPr>
        <w:t>sharing</w:t>
      </w:r>
      <w:r w:rsidRPr="002D2950">
        <w:t>): pakalpojuma saņēmējs maksā pakalpojuma sniedzējam par saņemto pakalpojumu atbilstoši cenrādim un/vai noslēgtajam līgumam</w:t>
      </w:r>
      <w:r w:rsidRPr="002D2950">
        <w:t>;</w:t>
      </w:r>
    </w:p>
    <w:p w:rsidR="00781866" w:rsidRPr="002D2950" w:rsidP="00E40A97" w14:paraId="390F2C15" w14:textId="64A4CC4B">
      <w:pPr>
        <w:pStyle w:val="ListParagraph"/>
        <w:numPr>
          <w:ilvl w:val="0"/>
          <w:numId w:val="7"/>
        </w:numPr>
        <w:pBdr>
          <w:top w:val="nil"/>
          <w:left w:val="nil"/>
          <w:bottom w:val="nil"/>
          <w:right w:val="nil"/>
          <w:between w:val="nil"/>
        </w:pBdr>
        <w:spacing w:after="120" w:line="276" w:lineRule="auto"/>
        <w:jc w:val="both"/>
      </w:pPr>
      <w:r w:rsidRPr="002D2950">
        <w:t>i</w:t>
      </w:r>
      <w:r w:rsidRPr="002D2950">
        <w:t>zmaksu demonstrēšana (</w:t>
      </w:r>
      <w:r w:rsidRPr="002D2950">
        <w:rPr>
          <w:i/>
          <w:iCs/>
        </w:rPr>
        <w:t>cost</w:t>
      </w:r>
      <w:r w:rsidRPr="002D2950">
        <w:rPr>
          <w:i/>
          <w:iCs/>
        </w:rPr>
        <w:t xml:space="preserve"> </w:t>
      </w:r>
      <w:r w:rsidRPr="002D2950">
        <w:rPr>
          <w:i/>
          <w:iCs/>
        </w:rPr>
        <w:t>showing</w:t>
      </w:r>
      <w:r w:rsidRPr="002D2950">
        <w:t xml:space="preserve">): kaut arī pakalpojuma saņēmējs par pakalpojumu nemaksā, pakalpojuma sniedzējs spēj demonstrēt un aprēķināt </w:t>
      </w:r>
      <w:r w:rsidRPr="002D2950">
        <w:t>pakalpojuma izmaksas balstoties uz pakalpojuma kvalitatīvajiem rādītājiem (pakalpojuma kvalitāte, sniegšanas apjoms vai citi).</w:t>
      </w:r>
    </w:p>
    <w:p w:rsidR="00781866" w:rsidRPr="002D2950" w:rsidP="00071D3D" w14:paraId="7D4EE088" w14:textId="57B9AFA2">
      <w:pPr>
        <w:spacing w:after="120"/>
        <w:ind w:firstLine="720"/>
        <w:jc w:val="both"/>
      </w:pPr>
      <w:r w:rsidRPr="002D2950">
        <w:t xml:space="preserve">MDP uzraudzības un koordinācijas funkcijas ietvaros būtiski ir sekot tam, lai tiktu veikta pakalpojumu izmaksu uzskaite un korekti to aprēķini. Ziņojuma </w:t>
      </w:r>
      <w:r w:rsidRPr="002D2950" w:rsidR="00C035DB">
        <w:t xml:space="preserve">sagatavošanas </w:t>
      </w:r>
      <w:r w:rsidRPr="002D2950">
        <w:t xml:space="preserve">laikā </w:t>
      </w:r>
      <w:r w:rsidRPr="002D2950" w:rsidR="00C035DB">
        <w:t xml:space="preserve">vēl </w:t>
      </w:r>
      <w:r w:rsidRPr="002D2950">
        <w:t xml:space="preserve">nav pieejama precīza informācija par prognozējamo valsts </w:t>
      </w:r>
      <w:r w:rsidRPr="002D2950">
        <w:t>kopmākoņa</w:t>
      </w:r>
      <w:r w:rsidRPr="002D2950">
        <w:t xml:space="preserve"> kapacitāti pret komerciālajos </w:t>
      </w:r>
      <w:r w:rsidRPr="002D2950">
        <w:t>mākoņdatošanas</w:t>
      </w:r>
      <w:r w:rsidRPr="002D2950">
        <w:t xml:space="preserve"> pakalpojumos izvietojamajiem informācijas resursiem, bet tiek prognozēts, </w:t>
      </w:r>
      <w:r w:rsidRPr="002D2950">
        <w:t xml:space="preserve">ka valsts </w:t>
      </w:r>
      <w:r w:rsidRPr="002D2950">
        <w:t>kopmākoņa</w:t>
      </w:r>
      <w:r w:rsidRPr="002D2950">
        <w:t xml:space="preserve"> izmantošanas izmaksas uz informācijas apstrādi un uzglabāšanu ilgtermiņā pārsniegs komerciālo pakalpojumu izmaksas</w:t>
      </w:r>
      <w:r w:rsidRPr="002D2950">
        <w:t xml:space="preserve"> un līdz ar to ir būtiski ieviest vienotas vadlīnijas informācijas klasifikācijā “MDP kā pirmā izvēle” kontekstā. </w:t>
      </w:r>
      <w:bookmarkStart w:id="305" w:name="_Toc497995238"/>
      <w:bookmarkStart w:id="306" w:name="_Toc498016993"/>
      <w:bookmarkStart w:id="307" w:name="_Toc496001896"/>
      <w:bookmarkStart w:id="308" w:name="_Toc497818696"/>
    </w:p>
    <w:p w:rsidR="00382562" w:rsidP="00B52088" w14:paraId="15245644" w14:textId="77777777">
      <w:pPr>
        <w:spacing w:after="120"/>
        <w:jc w:val="both"/>
        <w:rPr>
          <w:rFonts w:ascii="Georgia" w:eastAsia="Georgia" w:hAnsi="Georgia" w:cs="Georgia"/>
          <w:caps/>
          <w:sz w:val="48"/>
          <w:szCs w:val="48"/>
        </w:rPr>
      </w:pPr>
    </w:p>
    <w:p w:rsidR="00382562" w:rsidRPr="002D2950" w:rsidP="00B52088" w14:paraId="6022EB96" w14:textId="77777777">
      <w:pPr>
        <w:spacing w:after="120"/>
        <w:jc w:val="both"/>
        <w:rPr>
          <w:rFonts w:ascii="Georgia" w:eastAsia="Georgia" w:hAnsi="Georgia" w:cs="Georgia"/>
          <w:caps/>
          <w:sz w:val="48"/>
          <w:szCs w:val="48"/>
        </w:rPr>
      </w:pPr>
    </w:p>
    <w:p w:rsidR="00781866" w:rsidRPr="002D2950" w:rsidP="00E40A97" w14:paraId="5608BE16" w14:textId="14047E69">
      <w:pPr>
        <w:pStyle w:val="Heading1"/>
        <w:keepLines/>
        <w:numPr>
          <w:ilvl w:val="0"/>
          <w:numId w:val="12"/>
        </w:numPr>
        <w:pBdr>
          <w:top w:val="nil"/>
          <w:left w:val="nil"/>
          <w:bottom w:val="nil"/>
          <w:right w:val="nil"/>
          <w:between w:val="nil"/>
        </w:pBdr>
        <w:spacing w:before="0" w:after="200" w:line="276" w:lineRule="auto"/>
        <w:contextualSpacing/>
      </w:pPr>
      <w:bookmarkStart w:id="309" w:name="_Toc498346638"/>
      <w:bookmarkStart w:id="310" w:name="_Toc505072528"/>
      <w:bookmarkStart w:id="311" w:name="_Toc256000045"/>
      <w:bookmarkStart w:id="312" w:name="_Toc256000091"/>
      <w:r w:rsidRPr="002D2950">
        <w:t>Rīcības plāns</w:t>
      </w:r>
      <w:bookmarkEnd w:id="312"/>
      <w:bookmarkEnd w:id="311"/>
      <w:bookmarkEnd w:id="305"/>
      <w:bookmarkEnd w:id="306"/>
      <w:bookmarkEnd w:id="309"/>
      <w:bookmarkEnd w:id="310"/>
    </w:p>
    <w:p w:rsidR="00781866" w:rsidRPr="002D2950" w:rsidP="00071D3D" w14:paraId="2871356C" w14:textId="1E4A0B71">
      <w:pPr>
        <w:spacing w:after="120"/>
        <w:ind w:firstLine="720"/>
        <w:jc w:val="both"/>
      </w:pPr>
      <w:bookmarkEnd w:id="307"/>
      <w:bookmarkEnd w:id="308"/>
      <w:r w:rsidRPr="00303F24">
        <w:t xml:space="preserve">Šajā sadaļā ir formulēts rīcības plāns </w:t>
      </w:r>
      <w:r w:rsidRPr="00303F24" w:rsidR="004B4F9A">
        <w:t>Ziņojumā</w:t>
      </w:r>
      <w:r w:rsidRPr="00303F24">
        <w:t xml:space="preserve"> formulēto sasniedzamo mērķu un iekļauto MDP attīstības priekšlikumu </w:t>
      </w:r>
      <w:r w:rsidRPr="00303F24" w:rsidR="004B4F9A">
        <w:t>īstenošan</w:t>
      </w:r>
      <w:r w:rsidRPr="00303F24">
        <w:t>ai.</w:t>
      </w:r>
    </w:p>
    <w:p w:rsidR="00781866" w:rsidRPr="002D2950" w:rsidP="000C4955" w14:paraId="1A1B4B80" w14:textId="45BDBE47">
      <w:pPr>
        <w:pStyle w:val="Caption"/>
        <w:keepNext/>
        <w:spacing w:after="0" w:line="276" w:lineRule="auto"/>
        <w:jc w:val="right"/>
        <w:rPr>
          <w:b w:val="0"/>
          <w:color w:val="auto"/>
        </w:rPr>
      </w:pPr>
      <w:r w:rsidRPr="002D2950">
        <w:rPr>
          <w:b w:val="0"/>
          <w:color w:val="auto"/>
        </w:rPr>
        <w:t>Tabula Nr.</w:t>
      </w:r>
      <w:r w:rsidRPr="002D2950">
        <w:rPr>
          <w:b w:val="0"/>
          <w:color w:val="auto"/>
        </w:rPr>
        <w:fldChar w:fldCharType="begin"/>
      </w:r>
      <w:r w:rsidRPr="002D2950">
        <w:rPr>
          <w:b w:val="0"/>
          <w:color w:val="auto"/>
        </w:rPr>
        <w:instrText xml:space="preserve"> SEQ Tabula_Nr. \* ARABIC \s 1 </w:instrText>
      </w:r>
      <w:r w:rsidRPr="002D2950">
        <w:rPr>
          <w:b w:val="0"/>
          <w:color w:val="auto"/>
        </w:rPr>
        <w:fldChar w:fldCharType="separate"/>
      </w:r>
      <w:r w:rsidRPr="002D2950">
        <w:rPr>
          <w:b w:val="0"/>
          <w:color w:val="auto"/>
        </w:rPr>
        <w:t>1</w:t>
      </w:r>
      <w:r w:rsidRPr="002D2950">
        <w:rPr>
          <w:b w:val="0"/>
          <w:color w:val="auto"/>
        </w:rPr>
        <w:fldChar w:fldCharType="end"/>
      </w:r>
      <w:r w:rsidRPr="002D2950">
        <w:rPr>
          <w:b w:val="0"/>
          <w:color w:val="auto"/>
        </w:rPr>
        <w:t xml:space="preserve"> Rīcības plāns</w:t>
      </w:r>
    </w:p>
    <w:tbl>
      <w:tblPr>
        <w:tblW w:w="0" w:type="auto"/>
        <w:tblInd w:w="40" w:type="dxa"/>
        <w:tblBorders>
          <w:top w:val="nil"/>
          <w:left w:val="nil"/>
          <w:bottom w:val="nil"/>
          <w:right w:val="nil"/>
          <w:insideH w:val="nil"/>
          <w:insideV w:val="nil"/>
        </w:tblBorders>
        <w:tblCellMar>
          <w:top w:w="100" w:type="dxa"/>
          <w:left w:w="100" w:type="dxa"/>
          <w:bottom w:w="100" w:type="dxa"/>
          <w:right w:w="100" w:type="dxa"/>
        </w:tblCellMar>
        <w:tblLook w:val="0600"/>
      </w:tblPr>
      <w:tblGrid>
        <w:gridCol w:w="4747"/>
        <w:gridCol w:w="993"/>
        <w:gridCol w:w="1844"/>
        <w:gridCol w:w="1427"/>
      </w:tblGrid>
      <w:tr w14:paraId="1E8673D2" w14:textId="77777777" w:rsidTr="007230BF">
        <w:tblPrEx>
          <w:tblW w:w="0" w:type="auto"/>
          <w:tblInd w:w="40" w:type="dxa"/>
          <w:tblBorders>
            <w:top w:val="nil"/>
            <w:left w:val="nil"/>
            <w:bottom w:val="nil"/>
            <w:right w:val="nil"/>
            <w:insideH w:val="nil"/>
            <w:insideV w:val="nil"/>
          </w:tblBorders>
          <w:tblCellMar>
            <w:top w:w="100" w:type="dxa"/>
            <w:left w:w="100" w:type="dxa"/>
            <w:bottom w:w="100" w:type="dxa"/>
            <w:right w:w="100" w:type="dxa"/>
          </w:tblCellMar>
          <w:tblLook w:val="0600"/>
        </w:tblPrEx>
        <w:trPr>
          <w:trHeight w:val="230"/>
          <w:tblHeader/>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781866" w:rsidRPr="002D2950" w:rsidP="00626EF7" w14:paraId="242C2A1E" w14:textId="77777777">
            <w:pPr>
              <w:keepLines/>
              <w:widowControl w:val="0"/>
              <w:jc w:val="both"/>
              <w:rPr>
                <w:b/>
                <w:bCs/>
                <w:color w:val="000000"/>
                <w:sz w:val="20"/>
                <w:szCs w:val="20"/>
              </w:rPr>
            </w:pPr>
            <w:r w:rsidRPr="002D2950">
              <w:rPr>
                <w:b/>
                <w:bCs/>
                <w:color w:val="000000"/>
                <w:sz w:val="20"/>
                <w:szCs w:val="20"/>
              </w:rPr>
              <w:t>Rīcība</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781866" w:rsidRPr="002D2950" w:rsidP="00626EF7" w14:paraId="4D5898B7" w14:textId="77777777">
            <w:pPr>
              <w:keepLines/>
              <w:widowControl w:val="0"/>
              <w:jc w:val="both"/>
              <w:rPr>
                <w:b/>
                <w:bCs/>
                <w:color w:val="000000"/>
                <w:sz w:val="20"/>
                <w:szCs w:val="20"/>
              </w:rPr>
            </w:pPr>
            <w:r w:rsidRPr="002D2950">
              <w:rPr>
                <w:b/>
                <w:bCs/>
                <w:color w:val="000000"/>
                <w:sz w:val="20"/>
                <w:szCs w:val="20"/>
              </w:rPr>
              <w:t>Atbildīgā iestāde</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781866" w:rsidRPr="002D2950" w:rsidP="00626EF7" w14:paraId="5AE779D3" w14:textId="77777777">
            <w:pPr>
              <w:keepLines/>
              <w:widowControl w:val="0"/>
              <w:jc w:val="both"/>
              <w:rPr>
                <w:b/>
                <w:bCs/>
                <w:color w:val="000000"/>
                <w:sz w:val="20"/>
                <w:szCs w:val="20"/>
              </w:rPr>
            </w:pPr>
            <w:r w:rsidRPr="002D2950">
              <w:rPr>
                <w:b/>
                <w:bCs/>
                <w:color w:val="000000"/>
                <w:sz w:val="20"/>
                <w:szCs w:val="20"/>
              </w:rPr>
              <w:t>Iesaistītās iestādes</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781866" w:rsidRPr="002D2950" w:rsidP="00626EF7" w14:paraId="7D396938" w14:textId="77777777">
            <w:pPr>
              <w:keepLines/>
              <w:widowControl w:val="0"/>
              <w:jc w:val="both"/>
              <w:rPr>
                <w:b/>
                <w:bCs/>
                <w:color w:val="000000"/>
                <w:sz w:val="20"/>
                <w:szCs w:val="20"/>
              </w:rPr>
            </w:pPr>
            <w:r w:rsidRPr="002D2950">
              <w:rPr>
                <w:b/>
                <w:bCs/>
                <w:color w:val="000000"/>
                <w:sz w:val="20"/>
                <w:szCs w:val="20"/>
              </w:rPr>
              <w:t>Termiņš</w:t>
            </w:r>
          </w:p>
        </w:tc>
      </w:tr>
      <w:tr w14:paraId="78DD281D" w14:textId="77777777" w:rsidTr="007230BF">
        <w:tblPrEx>
          <w:tblW w:w="0" w:type="auto"/>
          <w:tblInd w:w="40" w:type="dxa"/>
          <w:tblCellMar>
            <w:top w:w="100" w:type="dxa"/>
            <w:left w:w="100" w:type="dxa"/>
            <w:bottom w:w="100" w:type="dxa"/>
            <w:right w:w="100" w:type="dxa"/>
          </w:tblCellMar>
          <w:tblLook w:val="0600"/>
        </w:tblPrEx>
        <w:trPr>
          <w:trHeight w:val="230"/>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2715F71D"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10B5D361"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2A7ADA6D"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461A4530" w14:textId="77777777">
            <w:pPr>
              <w:widowControl w:val="0"/>
              <w:jc w:val="both"/>
              <w:rPr>
                <w:color w:val="000000"/>
                <w:sz w:val="20"/>
                <w:szCs w:val="20"/>
              </w:rPr>
            </w:pPr>
          </w:p>
        </w:tc>
      </w:tr>
      <w:tr w14:paraId="113291F5" w14:textId="77777777" w:rsidTr="007230BF">
        <w:tblPrEx>
          <w:tblW w:w="0" w:type="auto"/>
          <w:tblInd w:w="40" w:type="dxa"/>
          <w:tblCellMar>
            <w:top w:w="100" w:type="dxa"/>
            <w:left w:w="100" w:type="dxa"/>
            <w:bottom w:w="100" w:type="dxa"/>
            <w:right w:w="100" w:type="dxa"/>
          </w:tblCellMar>
          <w:tblLook w:val="0600"/>
        </w:tblPrEx>
        <w:trPr>
          <w:trHeight w:val="230"/>
        </w:trPr>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5758CD08"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04BE8659"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1C34C107" w14:textId="77777777">
            <w:pPr>
              <w:widowControl w:val="0"/>
              <w:jc w:val="both"/>
              <w:rPr>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1866" w:rsidRPr="002D2950" w:rsidP="00626EF7" w14:paraId="2EDDE1F7" w14:textId="77777777">
            <w:pPr>
              <w:widowControl w:val="0"/>
              <w:jc w:val="both"/>
              <w:rPr>
                <w:color w:val="000000"/>
                <w:sz w:val="20"/>
                <w:szCs w:val="20"/>
              </w:rPr>
            </w:pPr>
          </w:p>
        </w:tc>
      </w:tr>
      <w:tr w14:paraId="0E0437EE"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0C4955" w14:paraId="5C161395" w14:textId="58A082A6">
            <w:pPr>
              <w:widowControl w:val="0"/>
              <w:tabs>
                <w:tab w:val="left" w:pos="1056"/>
              </w:tabs>
              <w:jc w:val="both"/>
              <w:rPr>
                <w:color w:val="000000"/>
                <w:sz w:val="20"/>
                <w:szCs w:val="20"/>
              </w:rPr>
            </w:pPr>
            <w:r w:rsidRPr="002D2950">
              <w:rPr>
                <w:color w:val="000000"/>
                <w:sz w:val="20"/>
                <w:szCs w:val="20"/>
              </w:rPr>
              <w:t>Priekšlikumu par MDP vadošās iestādes izveidi</w:t>
            </w:r>
            <w:r w:rsidRPr="002D2950" w:rsidR="000C4955">
              <w:rPr>
                <w:color w:val="000000"/>
                <w:sz w:val="20"/>
                <w:szCs w:val="20"/>
              </w:rPr>
              <w:t xml:space="preserve"> sagatavošana un iesniegšana apstiprināšanai MK</w:t>
            </w:r>
            <w:r w:rsidRPr="002D2950">
              <w:rPr>
                <w:color w:val="000000"/>
                <w:sz w:val="20"/>
                <w:szCs w:val="20"/>
              </w:rPr>
              <w:t>, lai nodrošinātu Ziņojumā definēto MDP brokera funkciju izpildi</w:t>
            </w:r>
            <w:r w:rsidRPr="002D2950" w:rsidR="000C4955">
              <w:rPr>
                <w:color w:val="000000"/>
                <w:sz w:val="20"/>
                <w:szCs w:val="20"/>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55FA2214" w14:textId="77777777">
            <w:pPr>
              <w:widowControl w:val="0"/>
              <w:jc w:val="both"/>
              <w:rPr>
                <w:color w:val="000000"/>
                <w:sz w:val="20"/>
                <w:szCs w:val="20"/>
              </w:rPr>
            </w:pPr>
            <w:r w:rsidRPr="002D2950">
              <w:rPr>
                <w:color w:val="000000"/>
                <w:sz w:val="20"/>
                <w:szCs w:val="20"/>
              </w:rPr>
              <w:t>VARAM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77FA4921" w14:textId="5357B171">
            <w:pPr>
              <w:widowControl w:val="0"/>
              <w:jc w:val="both"/>
              <w:rPr>
                <w:color w:val="000000"/>
                <w:sz w:val="20"/>
                <w:szCs w:val="20"/>
              </w:rPr>
            </w:pPr>
            <w:r w:rsidRPr="002D2950">
              <w:rPr>
                <w:color w:val="000000"/>
                <w:sz w:val="20"/>
                <w:szCs w:val="20"/>
              </w:rPr>
              <w:t xml:space="preserve">VRAA, SM, LVRTC, IeM, </w:t>
            </w:r>
            <w:r w:rsidRPr="002D2950">
              <w:rPr>
                <w:color w:val="000000"/>
                <w:sz w:val="20"/>
                <w:szCs w:val="20"/>
              </w:rPr>
              <w:t>IeMIC</w:t>
            </w:r>
            <w:r w:rsidRPr="002D2950">
              <w:rPr>
                <w:color w:val="000000"/>
                <w:sz w:val="20"/>
                <w:szCs w:val="20"/>
              </w:rPr>
              <w:t>, TM, TNA</w:t>
            </w:r>
            <w:r w:rsidR="002502CA">
              <w:rPr>
                <w:color w:val="000000"/>
                <w:sz w:val="20"/>
                <w:szCs w:val="20"/>
              </w:rPr>
              <w:t>, drošības iestādes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5D0E6A" w14:paraId="57D47E75" w14:textId="3EE2E652">
            <w:pPr>
              <w:widowControl w:val="0"/>
              <w:jc w:val="both"/>
              <w:rPr>
                <w:color w:val="000000"/>
                <w:sz w:val="20"/>
                <w:szCs w:val="20"/>
              </w:rPr>
            </w:pPr>
            <w:r w:rsidRPr="002D2950">
              <w:rPr>
                <w:color w:val="000000"/>
                <w:sz w:val="20"/>
                <w:szCs w:val="20"/>
              </w:rPr>
              <w:t>2018. gada</w:t>
            </w:r>
            <w:r w:rsidR="005D0E6A">
              <w:rPr>
                <w:color w:val="000000"/>
                <w:sz w:val="20"/>
                <w:szCs w:val="20"/>
              </w:rPr>
              <w:t xml:space="preserve"> augusts</w:t>
            </w:r>
          </w:p>
        </w:tc>
      </w:tr>
      <w:tr w14:paraId="7BBC4B02"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81656F" w14:paraId="52E26EBD" w14:textId="2366C959">
            <w:pPr>
              <w:widowControl w:val="0"/>
              <w:jc w:val="both"/>
              <w:rPr>
                <w:color w:val="000000"/>
                <w:sz w:val="20"/>
                <w:szCs w:val="20"/>
              </w:rPr>
            </w:pPr>
            <w:r w:rsidRPr="002D2950">
              <w:rPr>
                <w:color w:val="000000"/>
                <w:sz w:val="20"/>
                <w:szCs w:val="20"/>
              </w:rPr>
              <w:t>Valsts IKT infrastruktūras koplietošanas pakalpojumu attīstības koordinēšana IKT ERAF infrastruktūra</w:t>
            </w:r>
            <w:r w:rsidRPr="002D2950" w:rsidR="00D652A9">
              <w:rPr>
                <w:color w:val="000000"/>
                <w:sz w:val="20"/>
                <w:szCs w:val="20"/>
              </w:rPr>
              <w:t xml:space="preserve">s projektu uzraudzības </w:t>
            </w:r>
            <w:r w:rsidR="0081656F">
              <w:rPr>
                <w:color w:val="000000"/>
                <w:sz w:val="20"/>
                <w:szCs w:val="20"/>
              </w:rPr>
              <w:t xml:space="preserve">un valsts pārvaldes vienotās IKT arhitektūras pārvaldības </w:t>
            </w:r>
            <w:r w:rsidRPr="002D2950" w:rsidR="00D652A9">
              <w:rPr>
                <w:color w:val="000000"/>
                <w:sz w:val="20"/>
                <w:szCs w:val="20"/>
              </w:rPr>
              <w:t>tvērumā</w:t>
            </w:r>
            <w:r w:rsidR="0081656F">
              <w:rPr>
                <w:color w:val="000000"/>
                <w:sz w:val="20"/>
                <w:szCs w:val="20"/>
              </w:rPr>
              <w:t xml:space="preserve">, kā arī </w:t>
            </w:r>
            <w:r w:rsidR="005D0E6A">
              <w:rPr>
                <w:color w:val="000000"/>
                <w:sz w:val="20"/>
                <w:szCs w:val="20"/>
              </w:rPr>
              <w:t>atbalsta sniegšana MDP izmantošanas vadlīniju izmantošanā</w:t>
            </w:r>
            <w:r w:rsidRPr="002D2950" w:rsidR="00D652A9">
              <w:rPr>
                <w:color w:val="000000"/>
                <w:sz w:val="20"/>
                <w:szCs w:val="20"/>
              </w:rPr>
              <w:t>.</w:t>
            </w:r>
            <w:r w:rsidRPr="002D2950">
              <w:rPr>
                <w:color w:val="000000"/>
                <w:sz w:val="20"/>
                <w:szCs w:val="20"/>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53BF3B3A" w14:textId="77777777">
            <w:pPr>
              <w:widowControl w:val="0"/>
              <w:jc w:val="both"/>
              <w:rPr>
                <w:color w:val="000000"/>
                <w:sz w:val="20"/>
                <w:szCs w:val="20"/>
              </w:rPr>
            </w:pPr>
            <w:r w:rsidRPr="002D2950">
              <w:rPr>
                <w:color w:val="000000"/>
                <w:sz w:val="20"/>
                <w:szCs w:val="20"/>
              </w:rPr>
              <w:t>VARAM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A4FEF7E" w14:textId="77777777">
            <w:pPr>
              <w:widowControl w:val="0"/>
              <w:jc w:val="both"/>
              <w:rPr>
                <w:color w:val="000000"/>
                <w:sz w:val="20"/>
                <w:szCs w:val="20"/>
              </w:rPr>
            </w:pPr>
            <w:r w:rsidRPr="002D2950">
              <w:rPr>
                <w:color w:val="000000"/>
                <w:sz w:val="20"/>
                <w:szCs w:val="20"/>
              </w:rPr>
              <w:t>VRAA, LVRTC, IeM IC, LM, ZM, EM, VM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17A3A34C" w14:textId="77777777">
            <w:pPr>
              <w:widowControl w:val="0"/>
              <w:jc w:val="both"/>
              <w:rPr>
                <w:color w:val="000000"/>
                <w:sz w:val="20"/>
                <w:szCs w:val="20"/>
              </w:rPr>
            </w:pPr>
            <w:r w:rsidRPr="002D2950">
              <w:rPr>
                <w:color w:val="000000"/>
                <w:sz w:val="20"/>
                <w:szCs w:val="20"/>
              </w:rPr>
              <w:t>līdz funkcijas nodošanai MDP vadošajai iestāde</w:t>
            </w:r>
          </w:p>
        </w:tc>
      </w:tr>
      <w:tr w14:paraId="49A13C99"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019698F8" w14:textId="35A0C65E">
            <w:pPr>
              <w:widowControl w:val="0"/>
              <w:jc w:val="both"/>
              <w:rPr>
                <w:color w:val="000000"/>
                <w:sz w:val="20"/>
                <w:szCs w:val="20"/>
              </w:rPr>
            </w:pPr>
            <w:r w:rsidRPr="002D2950">
              <w:rPr>
                <w:color w:val="000000"/>
                <w:sz w:val="20"/>
                <w:szCs w:val="20"/>
              </w:rPr>
              <w:t>LVRTC centralizēto datu rezerves kopēšanas un sistēmu darbības atjaunošanas pakalpojumu attīstība</w:t>
            </w:r>
            <w:r w:rsidRPr="002D2950" w:rsidR="00D652A9">
              <w:rPr>
                <w:color w:val="000000"/>
                <w:sz w:val="20"/>
                <w:szCs w:val="20"/>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097724B5" w14:textId="77777777">
            <w:pPr>
              <w:widowControl w:val="0"/>
              <w:jc w:val="both"/>
              <w:rPr>
                <w:color w:val="000000"/>
                <w:sz w:val="20"/>
                <w:szCs w:val="20"/>
              </w:rPr>
            </w:pPr>
            <w:r w:rsidRPr="002D2950">
              <w:rPr>
                <w:color w:val="000000"/>
                <w:sz w:val="20"/>
                <w:szCs w:val="20"/>
              </w:rPr>
              <w:t>LVRTC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3AC7F997" w14:textId="77777777">
            <w:pPr>
              <w:widowControl w:val="0"/>
              <w:jc w:val="both"/>
              <w:rPr>
                <w:color w:val="000000"/>
                <w:sz w:val="20"/>
                <w:szCs w:val="20"/>
              </w:rPr>
            </w:pPr>
            <w:r w:rsidRPr="002D2950">
              <w:rPr>
                <w:color w:val="000000"/>
                <w:sz w:val="20"/>
                <w:szCs w:val="20"/>
              </w:rPr>
              <w:t>SM,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24BEDFED" w14:textId="77777777">
            <w:pPr>
              <w:widowControl w:val="0"/>
              <w:jc w:val="both"/>
              <w:rPr>
                <w:color w:val="000000"/>
                <w:sz w:val="20"/>
                <w:szCs w:val="20"/>
              </w:rPr>
            </w:pPr>
            <w:r w:rsidRPr="002D2950">
              <w:rPr>
                <w:color w:val="000000"/>
                <w:sz w:val="20"/>
                <w:szCs w:val="20"/>
              </w:rPr>
              <w:t>2020.gads</w:t>
            </w:r>
          </w:p>
        </w:tc>
      </w:tr>
      <w:tr w14:paraId="34563192"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499E8795" w14:textId="73E6C75B">
            <w:pPr>
              <w:widowControl w:val="0"/>
              <w:jc w:val="both"/>
              <w:rPr>
                <w:color w:val="000000"/>
                <w:sz w:val="20"/>
                <w:szCs w:val="20"/>
              </w:rPr>
            </w:pPr>
            <w:r w:rsidRPr="002D2950">
              <w:rPr>
                <w:color w:val="000000"/>
                <w:sz w:val="20"/>
                <w:szCs w:val="20"/>
              </w:rPr>
              <w:t>IeMIC</w:t>
            </w:r>
            <w:r w:rsidRPr="002D2950">
              <w:rPr>
                <w:color w:val="000000"/>
                <w:sz w:val="20"/>
                <w:szCs w:val="20"/>
              </w:rPr>
              <w:t xml:space="preserve"> MDP platformas attīstība</w:t>
            </w:r>
            <w:r w:rsidRPr="002D2950" w:rsidR="00D652A9">
              <w:rPr>
                <w:color w:val="000000"/>
                <w:sz w:val="20"/>
                <w:szCs w:val="20"/>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1C43C57" w14:textId="77777777">
            <w:pPr>
              <w:widowControl w:val="0"/>
              <w:jc w:val="both"/>
              <w:rPr>
                <w:color w:val="000000"/>
                <w:sz w:val="20"/>
                <w:szCs w:val="20"/>
              </w:rPr>
            </w:pPr>
            <w:r w:rsidRPr="002D2950">
              <w:rPr>
                <w:color w:val="000000"/>
                <w:sz w:val="20"/>
                <w:szCs w:val="20"/>
              </w:rPr>
              <w:t>IeM IC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404BADF2" w14:textId="77777777">
            <w:pPr>
              <w:widowControl w:val="0"/>
              <w:jc w:val="both"/>
              <w:rPr>
                <w:color w:val="000000"/>
                <w:sz w:val="20"/>
                <w:szCs w:val="20"/>
              </w:rPr>
            </w:pPr>
            <w:r w:rsidRPr="002D2950">
              <w:rPr>
                <w:color w:val="000000"/>
                <w:sz w:val="20"/>
                <w:szCs w:val="20"/>
              </w:rPr>
              <w:t>IeM,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325CFCAC" w14:textId="77777777">
            <w:pPr>
              <w:widowControl w:val="0"/>
              <w:jc w:val="both"/>
              <w:rPr>
                <w:color w:val="000000"/>
                <w:sz w:val="20"/>
                <w:szCs w:val="20"/>
              </w:rPr>
            </w:pPr>
            <w:r w:rsidRPr="002D2950">
              <w:rPr>
                <w:color w:val="000000"/>
                <w:sz w:val="20"/>
                <w:szCs w:val="20"/>
              </w:rPr>
              <w:t>2020.gads</w:t>
            </w:r>
          </w:p>
        </w:tc>
      </w:tr>
      <w:tr w14:paraId="19103D4D"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9B874C5" w14:textId="0A58ECFF">
            <w:pPr>
              <w:widowControl w:val="0"/>
              <w:jc w:val="both"/>
              <w:rPr>
                <w:color w:val="000000"/>
                <w:sz w:val="20"/>
                <w:szCs w:val="20"/>
              </w:rPr>
            </w:pPr>
            <w:r w:rsidRPr="002D2950">
              <w:rPr>
                <w:color w:val="000000"/>
                <w:sz w:val="20"/>
                <w:szCs w:val="20"/>
              </w:rPr>
              <w:t>VRAA koplietošanas IKT infras</w:t>
            </w:r>
            <w:r w:rsidR="005D0E6A">
              <w:rPr>
                <w:color w:val="000000"/>
                <w:sz w:val="20"/>
                <w:szCs w:val="20"/>
              </w:rPr>
              <w:t>truktūras pakalpojumu attīstība</w:t>
            </w:r>
            <w:r w:rsidRPr="002D2950" w:rsidR="00D652A9">
              <w:rPr>
                <w:color w:val="000000"/>
                <w:sz w:val="20"/>
                <w:szCs w:val="20"/>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4649563" w14:textId="77777777">
            <w:pPr>
              <w:widowControl w:val="0"/>
              <w:jc w:val="both"/>
              <w:rPr>
                <w:color w:val="000000"/>
                <w:sz w:val="20"/>
                <w:szCs w:val="20"/>
              </w:rPr>
            </w:pPr>
            <w:r w:rsidRPr="002D2950">
              <w:rPr>
                <w:color w:val="000000"/>
                <w:sz w:val="20"/>
                <w:szCs w:val="20"/>
              </w:rPr>
              <w:t>VRAA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01C3DF6B" w14:textId="77777777">
            <w:pPr>
              <w:widowControl w:val="0"/>
              <w:jc w:val="both"/>
              <w:rPr>
                <w:color w:val="000000"/>
                <w:sz w:val="20"/>
                <w:szCs w:val="20"/>
              </w:rPr>
            </w:pPr>
            <w:r w:rsidRPr="002D2950">
              <w:rPr>
                <w:color w:val="000000"/>
                <w:sz w:val="20"/>
                <w:szCs w:val="20"/>
              </w:rPr>
              <w:t>VARAM,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525EC74A" w14:textId="77777777">
            <w:pPr>
              <w:widowControl w:val="0"/>
              <w:jc w:val="both"/>
              <w:rPr>
                <w:color w:val="000000"/>
                <w:sz w:val="20"/>
                <w:szCs w:val="20"/>
              </w:rPr>
            </w:pPr>
            <w:r w:rsidRPr="002D2950">
              <w:rPr>
                <w:color w:val="000000"/>
                <w:sz w:val="20"/>
                <w:szCs w:val="20"/>
              </w:rPr>
              <w:t>2020.gads</w:t>
            </w:r>
          </w:p>
        </w:tc>
      </w:tr>
      <w:tr w14:paraId="7142DEAA"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1F0C6E2B" w14:textId="478523AF">
            <w:pPr>
              <w:widowControl w:val="0"/>
              <w:jc w:val="both"/>
              <w:rPr>
                <w:color w:val="000000"/>
                <w:sz w:val="20"/>
                <w:szCs w:val="20"/>
              </w:rPr>
            </w:pPr>
            <w:r w:rsidRPr="002D2950">
              <w:rPr>
                <w:color w:val="000000"/>
                <w:sz w:val="20"/>
                <w:szCs w:val="20"/>
              </w:rPr>
              <w:t>LM</w:t>
            </w:r>
            <w:r w:rsidRPr="002D2950">
              <w:rPr>
                <w:color w:val="000000"/>
                <w:sz w:val="20"/>
                <w:szCs w:val="20"/>
              </w:rPr>
              <w:t xml:space="preserve"> koplietošanas IKT infrastruktūras pakalpojumu attīstība</w:t>
            </w:r>
            <w:r w:rsidRPr="002D2950">
              <w:rPr>
                <w:color w:val="000000"/>
                <w:sz w:val="20"/>
                <w:szCs w:val="20"/>
              </w:rPr>
              <w:t>.</w:t>
            </w:r>
            <w:r w:rsidRPr="002D2950">
              <w:rPr>
                <w:color w:val="000000"/>
                <w:sz w:val="20"/>
                <w:szCs w:val="20"/>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3AEB2E21" w14:textId="77777777">
            <w:pPr>
              <w:widowControl w:val="0"/>
              <w:jc w:val="both"/>
              <w:rPr>
                <w:color w:val="000000"/>
                <w:sz w:val="20"/>
                <w:szCs w:val="20"/>
              </w:rPr>
            </w:pPr>
            <w:r w:rsidRPr="002D2950">
              <w:rPr>
                <w:color w:val="000000"/>
                <w:sz w:val="20"/>
                <w:szCs w:val="20"/>
              </w:rPr>
              <w:t>LM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B557EE7" w14:textId="77777777">
            <w:pPr>
              <w:widowControl w:val="0"/>
              <w:jc w:val="both"/>
              <w:rPr>
                <w:color w:val="000000"/>
                <w:sz w:val="20"/>
                <w:szCs w:val="20"/>
              </w:rPr>
            </w:pPr>
            <w:r w:rsidRPr="002D2950">
              <w:rPr>
                <w:color w:val="000000"/>
                <w:sz w:val="20"/>
                <w:szCs w:val="20"/>
              </w:rPr>
              <w:t>VSAA,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49F258BB" w14:textId="77777777">
            <w:pPr>
              <w:widowControl w:val="0"/>
              <w:jc w:val="both"/>
              <w:rPr>
                <w:color w:val="000000"/>
                <w:sz w:val="20"/>
                <w:szCs w:val="20"/>
              </w:rPr>
            </w:pPr>
            <w:r w:rsidRPr="002D2950">
              <w:rPr>
                <w:color w:val="000000"/>
                <w:sz w:val="20"/>
                <w:szCs w:val="20"/>
              </w:rPr>
              <w:t>2020.gads</w:t>
            </w:r>
          </w:p>
        </w:tc>
      </w:tr>
      <w:tr w14:paraId="489FCB1B"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2D650CB4" w14:textId="640F79CA">
            <w:pPr>
              <w:widowControl w:val="0"/>
              <w:jc w:val="both"/>
              <w:rPr>
                <w:color w:val="000000"/>
                <w:sz w:val="20"/>
                <w:szCs w:val="20"/>
              </w:rPr>
            </w:pPr>
            <w:r w:rsidRPr="002D2950">
              <w:rPr>
                <w:color w:val="000000"/>
                <w:sz w:val="20"/>
                <w:szCs w:val="20"/>
              </w:rPr>
              <w:t>ZM</w:t>
            </w:r>
            <w:r w:rsidRPr="002D2950">
              <w:rPr>
                <w:color w:val="000000"/>
                <w:sz w:val="20"/>
                <w:szCs w:val="20"/>
              </w:rPr>
              <w:t xml:space="preserve"> koplietošanas IKT infras</w:t>
            </w:r>
            <w:r w:rsidRPr="002D2950">
              <w:rPr>
                <w:color w:val="000000"/>
                <w:sz w:val="20"/>
                <w:szCs w:val="20"/>
              </w:rPr>
              <w:t>truktūras pakalpojumu attīstība.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18A5336E" w14:textId="77777777">
            <w:pPr>
              <w:widowControl w:val="0"/>
              <w:jc w:val="both"/>
              <w:rPr>
                <w:color w:val="000000"/>
                <w:sz w:val="20"/>
                <w:szCs w:val="20"/>
              </w:rPr>
            </w:pPr>
            <w:r w:rsidRPr="002D2950">
              <w:rPr>
                <w:color w:val="000000"/>
                <w:sz w:val="20"/>
                <w:szCs w:val="20"/>
              </w:rPr>
              <w:t>ZM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14B2B4DE" w14:textId="77777777">
            <w:pPr>
              <w:widowControl w:val="0"/>
              <w:jc w:val="both"/>
              <w:rPr>
                <w:color w:val="000000"/>
                <w:sz w:val="20"/>
                <w:szCs w:val="20"/>
              </w:rPr>
            </w:pPr>
            <w:r w:rsidRPr="002D2950">
              <w:rPr>
                <w:color w:val="000000"/>
                <w:sz w:val="20"/>
                <w:szCs w:val="20"/>
              </w:rPr>
              <w:t>LDC,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26D15B14" w14:textId="77777777">
            <w:pPr>
              <w:widowControl w:val="0"/>
              <w:jc w:val="both"/>
              <w:rPr>
                <w:color w:val="000000"/>
                <w:sz w:val="20"/>
                <w:szCs w:val="20"/>
              </w:rPr>
            </w:pPr>
            <w:r w:rsidRPr="002D2950">
              <w:rPr>
                <w:color w:val="000000"/>
                <w:sz w:val="20"/>
                <w:szCs w:val="20"/>
              </w:rPr>
              <w:t>2020.gads</w:t>
            </w:r>
          </w:p>
        </w:tc>
      </w:tr>
      <w:tr w14:paraId="329C8536" w14:textId="77777777" w:rsidTr="007230BF">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353FB788" w14:textId="18044EC1">
            <w:pPr>
              <w:widowControl w:val="0"/>
              <w:jc w:val="both"/>
              <w:rPr>
                <w:color w:val="000000"/>
                <w:sz w:val="20"/>
                <w:szCs w:val="20"/>
              </w:rPr>
            </w:pPr>
            <w:r w:rsidRPr="002D2950">
              <w:rPr>
                <w:color w:val="000000"/>
                <w:sz w:val="20"/>
                <w:szCs w:val="20"/>
              </w:rPr>
              <w:t>LVRTC datu apstrādes pakalpojumu attīstība atbilstoši EM un VM prasībām</w:t>
            </w:r>
            <w:r w:rsidRPr="002D2950" w:rsidR="00D652A9">
              <w:rPr>
                <w:color w:val="000000"/>
                <w:sz w:val="20"/>
                <w:szCs w:val="20"/>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6870A562" w14:textId="77777777">
            <w:pPr>
              <w:widowControl w:val="0"/>
              <w:jc w:val="both"/>
              <w:rPr>
                <w:color w:val="000000"/>
                <w:sz w:val="20"/>
                <w:szCs w:val="20"/>
              </w:rPr>
            </w:pPr>
            <w:r w:rsidRPr="002D2950">
              <w:rPr>
                <w:color w:val="000000"/>
                <w:sz w:val="20"/>
                <w:szCs w:val="20"/>
              </w:rPr>
              <w:t>LVRTC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44859DA8" w14:textId="77777777">
            <w:pPr>
              <w:widowControl w:val="0"/>
              <w:jc w:val="both"/>
              <w:rPr>
                <w:color w:val="000000"/>
                <w:sz w:val="20"/>
                <w:szCs w:val="20"/>
              </w:rPr>
            </w:pPr>
            <w:r w:rsidRPr="002D2950">
              <w:rPr>
                <w:color w:val="000000"/>
                <w:sz w:val="20"/>
                <w:szCs w:val="20"/>
              </w:rPr>
              <w:t>VM, EM, pakalpojuma izmantotāji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0" w:type="dxa"/>
              <w:left w:w="40" w:type="dxa"/>
              <w:bottom w:w="40" w:type="dxa"/>
              <w:right w:w="40" w:type="dxa"/>
            </w:tcMar>
          </w:tcPr>
          <w:p w:rsidR="00781866" w:rsidRPr="002D2950" w:rsidP="00626EF7" w14:paraId="54FE15F0" w14:textId="77777777">
            <w:pPr>
              <w:widowControl w:val="0"/>
              <w:jc w:val="both"/>
              <w:rPr>
                <w:color w:val="000000"/>
                <w:sz w:val="20"/>
                <w:szCs w:val="20"/>
              </w:rPr>
            </w:pPr>
            <w:r w:rsidRPr="002D2950">
              <w:rPr>
                <w:color w:val="000000"/>
                <w:sz w:val="20"/>
                <w:szCs w:val="20"/>
              </w:rPr>
              <w:t>2020.gads</w:t>
            </w:r>
          </w:p>
        </w:tc>
      </w:tr>
      <w:tr w14:paraId="07FC90B4" w14:textId="77777777" w:rsidTr="00412B33">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81656F" w:rsidRPr="002D2950" w:rsidP="0081656F" w14:paraId="6FC1980D" w14:textId="0A9E83BB">
            <w:pPr>
              <w:widowControl w:val="0"/>
              <w:jc w:val="both"/>
              <w:rPr>
                <w:color w:val="000000"/>
                <w:sz w:val="20"/>
                <w:szCs w:val="20"/>
              </w:rPr>
            </w:pPr>
            <w:r w:rsidRPr="0081656F">
              <w:rPr>
                <w:color w:val="000000"/>
                <w:sz w:val="20"/>
                <w:szCs w:val="20"/>
              </w:rPr>
              <w:t>TNA MD</w:t>
            </w:r>
            <w:r>
              <w:rPr>
                <w:color w:val="000000"/>
                <w:sz w:val="20"/>
                <w:szCs w:val="20"/>
              </w:rPr>
              <w:t>P</w:t>
            </w:r>
            <w:r w:rsidRPr="0081656F">
              <w:rPr>
                <w:color w:val="000000"/>
                <w:sz w:val="20"/>
                <w:szCs w:val="20"/>
              </w:rPr>
              <w:t xml:space="preserve"> platformas attīstība</w:t>
            </w:r>
          </w:p>
        </w:tc>
        <w:tc>
          <w:tcPr>
            <w:tcW w:w="0" w:type="auto"/>
            <w:tcBorders>
              <w:top w:val="single" w:sz="8" w:space="0" w:color="auto"/>
              <w:left w:val="nil"/>
              <w:bottom w:val="single" w:sz="8" w:space="0" w:color="auto"/>
              <w:right w:val="single" w:sz="8" w:space="0" w:color="auto"/>
            </w:tcBorders>
            <w:tcMar>
              <w:top w:w="40" w:type="dxa"/>
              <w:left w:w="40" w:type="dxa"/>
              <w:bottom w:w="40" w:type="dxa"/>
              <w:right w:w="40" w:type="dxa"/>
            </w:tcMar>
          </w:tcPr>
          <w:p w:rsidR="0081656F" w:rsidRPr="002D2950" w:rsidP="0081656F" w14:paraId="70F3260D" w14:textId="43861905">
            <w:pPr>
              <w:widowControl w:val="0"/>
              <w:jc w:val="both"/>
              <w:rPr>
                <w:color w:val="000000"/>
                <w:sz w:val="20"/>
                <w:szCs w:val="20"/>
              </w:rPr>
            </w:pPr>
            <w:r w:rsidRPr="0081656F">
              <w:rPr>
                <w:color w:val="000000"/>
                <w:sz w:val="20"/>
                <w:szCs w:val="20"/>
              </w:rPr>
              <w:t>TNA</w:t>
            </w:r>
          </w:p>
        </w:tc>
        <w:tc>
          <w:tcPr>
            <w:tcW w:w="0" w:type="auto"/>
            <w:tcBorders>
              <w:top w:val="single" w:sz="8" w:space="0" w:color="auto"/>
              <w:left w:val="nil"/>
              <w:bottom w:val="single" w:sz="8" w:space="0" w:color="auto"/>
              <w:right w:val="single" w:sz="8" w:space="0" w:color="auto"/>
            </w:tcBorders>
            <w:tcMar>
              <w:top w:w="40" w:type="dxa"/>
              <w:left w:w="40" w:type="dxa"/>
              <w:bottom w:w="40" w:type="dxa"/>
              <w:right w:w="40" w:type="dxa"/>
            </w:tcMar>
          </w:tcPr>
          <w:p w:rsidR="0081656F" w:rsidRPr="002D2950" w:rsidP="0081656F" w14:paraId="3B07C053" w14:textId="6CB9A58D">
            <w:pPr>
              <w:widowControl w:val="0"/>
              <w:jc w:val="both"/>
              <w:rPr>
                <w:color w:val="000000"/>
                <w:sz w:val="20"/>
                <w:szCs w:val="20"/>
              </w:rPr>
            </w:pPr>
            <w:r w:rsidRPr="0081656F">
              <w:rPr>
                <w:color w:val="000000"/>
                <w:sz w:val="20"/>
                <w:szCs w:val="20"/>
              </w:rPr>
              <w:t xml:space="preserve">TM, TM padotības iestādes, tiesas, </w:t>
            </w:r>
            <w:r>
              <w:rPr>
                <w:color w:val="000000"/>
                <w:sz w:val="20"/>
                <w:szCs w:val="20"/>
              </w:rPr>
              <w:t xml:space="preserve">citi </w:t>
            </w:r>
            <w:r w:rsidRPr="0081656F">
              <w:rPr>
                <w:color w:val="000000"/>
                <w:sz w:val="20"/>
                <w:szCs w:val="20"/>
              </w:rPr>
              <w:t>pakalp</w:t>
            </w:r>
            <w:r>
              <w:rPr>
                <w:color w:val="000000"/>
                <w:sz w:val="20"/>
                <w:szCs w:val="20"/>
              </w:rPr>
              <w:t xml:space="preserve">. </w:t>
            </w:r>
            <w:r w:rsidRPr="0081656F">
              <w:rPr>
                <w:color w:val="000000"/>
                <w:sz w:val="20"/>
                <w:szCs w:val="20"/>
              </w:rPr>
              <w:t>izmantotāji</w:t>
            </w:r>
          </w:p>
        </w:tc>
        <w:tc>
          <w:tcPr>
            <w:tcW w:w="0" w:type="auto"/>
            <w:tcBorders>
              <w:top w:val="single" w:sz="8" w:space="0" w:color="auto"/>
              <w:left w:val="nil"/>
              <w:bottom w:val="single" w:sz="8" w:space="0" w:color="auto"/>
              <w:right w:val="single" w:sz="8" w:space="0" w:color="auto"/>
            </w:tcBorders>
            <w:tcMar>
              <w:top w:w="40" w:type="dxa"/>
              <w:left w:w="40" w:type="dxa"/>
              <w:bottom w:w="40" w:type="dxa"/>
              <w:right w:w="40" w:type="dxa"/>
            </w:tcMar>
          </w:tcPr>
          <w:p w:rsidR="0081656F" w:rsidRPr="002D2950" w:rsidP="0081656F" w14:paraId="336A16E1" w14:textId="1DBC6987">
            <w:pPr>
              <w:widowControl w:val="0"/>
              <w:jc w:val="both"/>
              <w:rPr>
                <w:color w:val="000000"/>
                <w:sz w:val="20"/>
                <w:szCs w:val="20"/>
              </w:rPr>
            </w:pPr>
            <w:r w:rsidRPr="0081656F">
              <w:rPr>
                <w:color w:val="000000"/>
                <w:sz w:val="20"/>
                <w:szCs w:val="20"/>
              </w:rPr>
              <w:t>2020.gads</w:t>
            </w:r>
            <w:r w:rsidRPr="0081656F">
              <w:rPr>
                <w:color w:val="000000"/>
                <w:sz w:val="20"/>
                <w:szCs w:val="20"/>
              </w:rPr>
              <w:t xml:space="preserve"> </w:t>
            </w:r>
          </w:p>
        </w:tc>
      </w:tr>
      <w:tr w14:paraId="71ED4B12" w14:textId="77777777" w:rsidTr="000C31AB">
        <w:tblPrEx>
          <w:tblW w:w="0" w:type="auto"/>
          <w:tblInd w:w="40" w:type="dxa"/>
          <w:tblCellMar>
            <w:top w:w="100" w:type="dxa"/>
            <w:left w:w="100" w:type="dxa"/>
            <w:bottom w:w="100" w:type="dxa"/>
            <w:right w:w="100" w:type="dxa"/>
          </w:tblCellMar>
          <w:tblLook w:val="0600"/>
        </w:tblPrEx>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F56599" w:rsidRPr="002D2950" w:rsidP="00F56599" w14:paraId="24337C9E" w14:textId="5CE9BF6B">
            <w:pPr>
              <w:widowControl w:val="0"/>
              <w:jc w:val="both"/>
              <w:rPr>
                <w:color w:val="000000"/>
                <w:sz w:val="20"/>
                <w:szCs w:val="20"/>
              </w:rPr>
            </w:pPr>
            <w:r w:rsidRPr="00F56599">
              <w:rPr>
                <w:color w:val="000000"/>
                <w:sz w:val="20"/>
                <w:szCs w:val="20"/>
              </w:rPr>
              <w:t>VID koplietošanas datu noliktavas pakalpojuma attīstības izvērtējums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F56599" w:rsidRPr="002D2950" w:rsidP="00F56599" w14:paraId="66409003" w14:textId="0E61529A">
            <w:pPr>
              <w:widowControl w:val="0"/>
              <w:jc w:val="both"/>
              <w:rPr>
                <w:color w:val="000000"/>
                <w:sz w:val="20"/>
                <w:szCs w:val="20"/>
              </w:rPr>
            </w:pPr>
            <w:r w:rsidRPr="00F56599">
              <w:rPr>
                <w:color w:val="000000"/>
                <w:sz w:val="20"/>
                <w:szCs w:val="20"/>
              </w:rPr>
              <w:t>VID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F56599" w:rsidRPr="002D2950" w:rsidP="00F56599" w14:paraId="55E1C264" w14:textId="46AA928B">
            <w:pPr>
              <w:widowControl w:val="0"/>
              <w:jc w:val="both"/>
              <w:rPr>
                <w:color w:val="000000"/>
                <w:sz w:val="20"/>
                <w:szCs w:val="20"/>
              </w:rPr>
            </w:pPr>
            <w:r w:rsidRPr="00F56599">
              <w:rPr>
                <w:color w:val="000000"/>
                <w:sz w:val="20"/>
                <w:szCs w:val="20"/>
              </w:rPr>
              <w:t>Pakalpojuma lietotāji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F56599" w:rsidRPr="002D2950" w:rsidP="00F56599" w14:paraId="50EB6778" w14:textId="18C4CBF8">
            <w:pPr>
              <w:widowControl w:val="0"/>
              <w:jc w:val="both"/>
              <w:rPr>
                <w:color w:val="000000"/>
                <w:sz w:val="20"/>
                <w:szCs w:val="20"/>
              </w:rPr>
            </w:pPr>
            <w:r w:rsidRPr="00F56599">
              <w:rPr>
                <w:color w:val="000000"/>
                <w:sz w:val="20"/>
                <w:szCs w:val="20"/>
              </w:rPr>
              <w:t>2020.gads</w:t>
            </w:r>
          </w:p>
        </w:tc>
      </w:tr>
    </w:tbl>
    <w:p w:rsidR="00A05DE8" w:rsidRPr="002D2950" w:rsidP="009371A1" w14:paraId="741C145C" w14:textId="77777777">
      <w:pPr>
        <w:jc w:val="both"/>
        <w:rPr>
          <w:rStyle w:val="flexinput2"/>
          <w:sz w:val="22"/>
          <w:szCs w:val="22"/>
        </w:rPr>
      </w:pPr>
    </w:p>
    <w:p w:rsidR="0049113B" w:rsidP="009371A1" w14:paraId="4FC0049E" w14:textId="77777777">
      <w:pPr>
        <w:jc w:val="both"/>
        <w:rPr>
          <w:rStyle w:val="flexinput2"/>
          <w:sz w:val="22"/>
          <w:szCs w:val="22"/>
        </w:rPr>
      </w:pPr>
    </w:p>
    <w:p w:rsidR="002968DD" w:rsidRPr="002D2950" w:rsidP="009371A1" w14:paraId="06286642" w14:textId="2B01836F">
      <w:pPr>
        <w:jc w:val="both"/>
        <w:rPr>
          <w:rStyle w:val="flexinput2"/>
          <w:sz w:val="22"/>
          <w:szCs w:val="22"/>
        </w:rPr>
      </w:pPr>
      <w:r w:rsidRPr="002D2950">
        <w:rPr>
          <w:rStyle w:val="flexinput2"/>
          <w:sz w:val="22"/>
          <w:szCs w:val="22"/>
        </w:rPr>
        <w:t>I</w:t>
      </w:r>
      <w:r w:rsidRPr="002D2950">
        <w:rPr>
          <w:rStyle w:val="flexinput2"/>
          <w:sz w:val="22"/>
          <w:szCs w:val="22"/>
        </w:rPr>
        <w:t>esniedzējs:</w:t>
      </w:r>
    </w:p>
    <w:p w:rsidR="00F15A4F" w:rsidRPr="002D2950" w:rsidP="00AD4DFA" w14:paraId="16002314" w14:textId="09007380">
      <w:pPr>
        <w:jc w:val="both"/>
      </w:pPr>
      <w:r w:rsidRPr="002D2950">
        <w:t>v</w:t>
      </w:r>
      <w:r w:rsidRPr="002D2950" w:rsidR="005D46EB">
        <w:t>ides aizsardzības un reģionālās attīstības ministrs</w:t>
      </w:r>
      <w:r w:rsidRPr="002D2950" w:rsidR="005D46EB">
        <w:tab/>
      </w:r>
      <w:r w:rsidRPr="002D2950" w:rsidR="005D46EB">
        <w:tab/>
      </w:r>
      <w:r w:rsidRPr="002D2950" w:rsidR="005D46EB">
        <w:tab/>
      </w:r>
      <w:r w:rsidRPr="002D2950" w:rsidR="005D46EB">
        <w:tab/>
      </w:r>
      <w:r w:rsidRPr="002D2950" w:rsidR="00EF3C1B">
        <w:t xml:space="preserve">           </w:t>
      </w:r>
      <w:r w:rsidRPr="002D2950" w:rsidR="005D2DD7">
        <w:t xml:space="preserve"> </w:t>
      </w:r>
      <w:r w:rsidRPr="002D2950" w:rsidR="00FC3C3D">
        <w:t>K.Gerhards</w:t>
      </w:r>
    </w:p>
    <w:p w:rsidR="00AD4DFA" w:rsidRPr="002D2950" w:rsidP="00AD4DFA" w14:paraId="56E79C29" w14:textId="3CAA07F4">
      <w:pPr>
        <w:jc w:val="both"/>
      </w:pPr>
      <w:r w:rsidRPr="002D2950">
        <w:rPr>
          <w:rFonts w:ascii="Tahoma" w:hAnsi="Tahoma" w:cs="Tahoma"/>
        </w:rPr>
        <w:tab/>
      </w:r>
      <w:r w:rsidRPr="002D2950">
        <w:rPr>
          <w:rFonts w:ascii="Tahoma" w:hAnsi="Tahoma" w:cs="Tahoma"/>
        </w:rPr>
        <w:tab/>
      </w:r>
      <w:r w:rsidRPr="002D2950">
        <w:rPr>
          <w:rFonts w:ascii="Tahoma" w:hAnsi="Tahoma" w:cs="Tahoma"/>
        </w:rPr>
        <w:tab/>
      </w:r>
      <w:r w:rsidRPr="002D2950">
        <w:rPr>
          <w:rFonts w:ascii="Tahoma" w:hAnsi="Tahoma" w:cs="Tahoma"/>
        </w:rPr>
        <w:tab/>
      </w:r>
    </w:p>
    <w:p w:rsidR="0049113B" w:rsidP="009371A1" w14:paraId="147E0EB9" w14:textId="77777777">
      <w:pPr>
        <w:jc w:val="both"/>
      </w:pPr>
    </w:p>
    <w:p w:rsidR="009371A1" w:rsidRPr="002D2950" w:rsidP="009371A1" w14:paraId="6405DCB0" w14:textId="77777777">
      <w:pPr>
        <w:jc w:val="both"/>
      </w:pPr>
      <w:r w:rsidRPr="002D2950">
        <w:t>Vīza:</w:t>
      </w:r>
    </w:p>
    <w:p w:rsidR="00AD4DFA" w:rsidRPr="002D2950" w:rsidP="00AD4DFA" w14:paraId="4E1F0FD9" w14:textId="2145C6EB">
      <w:pPr>
        <w:jc w:val="both"/>
      </w:pPr>
      <w:r w:rsidRPr="002D2950">
        <w:t>valsts sekretārs</w:t>
      </w:r>
      <w:r w:rsidRPr="002D2950">
        <w:tab/>
      </w:r>
      <w:r w:rsidRPr="002D2950" w:rsidR="006E1148">
        <w:t xml:space="preserve">  </w:t>
      </w:r>
      <w:r w:rsidRPr="002D2950">
        <w:tab/>
      </w:r>
      <w:r w:rsidRPr="002D2950">
        <w:tab/>
      </w:r>
      <w:r w:rsidRPr="002D2950" w:rsidR="001F6218">
        <w:tab/>
      </w:r>
      <w:r w:rsidRPr="002D2950" w:rsidR="00EF3C1B">
        <w:t xml:space="preserve">              </w:t>
      </w:r>
      <w:r w:rsidRPr="002D2950" w:rsidR="009B7361">
        <w:tab/>
      </w:r>
      <w:r w:rsidRPr="002D2950" w:rsidR="009B7361">
        <w:tab/>
      </w:r>
      <w:r w:rsidRPr="002D2950" w:rsidR="009B7361">
        <w:tab/>
      </w:r>
      <w:r w:rsidRPr="002D2950" w:rsidR="00EF3C1B">
        <w:t xml:space="preserve"> </w:t>
      </w:r>
      <w:r w:rsidRPr="002D2950" w:rsidR="005D2DD7">
        <w:t xml:space="preserve"> </w:t>
      </w:r>
      <w:r w:rsidRPr="002D2950" w:rsidR="006E1148">
        <w:t xml:space="preserve">          </w:t>
      </w:r>
      <w:r w:rsidRPr="002D2950" w:rsidR="009B7361">
        <w:t>R</w:t>
      </w:r>
      <w:r w:rsidRPr="002D2950" w:rsidR="00FC3C3D">
        <w:t>.Muciņš</w:t>
      </w:r>
    </w:p>
    <w:p w:rsidR="001D5BB1" w:rsidRPr="002D2950" w:rsidP="00945AD4" w14:paraId="06A5E9F3" w14:textId="77777777">
      <w:pPr>
        <w:tabs>
          <w:tab w:val="left" w:pos="7380"/>
        </w:tabs>
        <w:ind w:right="-283"/>
        <w:jc w:val="both"/>
        <w:rPr>
          <w:sz w:val="16"/>
          <w:szCs w:val="16"/>
        </w:rPr>
      </w:pPr>
    </w:p>
    <w:p w:rsidR="0049113B" w:rsidP="00945AD4" w14:paraId="43078335" w14:textId="77777777">
      <w:pPr>
        <w:tabs>
          <w:tab w:val="left" w:pos="7380"/>
        </w:tabs>
        <w:ind w:right="-283"/>
        <w:jc w:val="both"/>
        <w:rPr>
          <w:color w:val="FF0000"/>
          <w:sz w:val="16"/>
          <w:szCs w:val="16"/>
        </w:rPr>
      </w:pPr>
    </w:p>
    <w:p w:rsidR="0049113B" w:rsidP="00945AD4" w14:paraId="12416458" w14:textId="77777777">
      <w:pPr>
        <w:tabs>
          <w:tab w:val="left" w:pos="7380"/>
        </w:tabs>
        <w:ind w:right="-283"/>
        <w:jc w:val="both"/>
        <w:rPr>
          <w:color w:val="FF0000"/>
          <w:sz w:val="16"/>
          <w:szCs w:val="16"/>
        </w:rPr>
      </w:pPr>
    </w:p>
    <w:p w:rsidR="0049113B" w:rsidP="00945AD4" w14:paraId="71B34082" w14:textId="77777777">
      <w:pPr>
        <w:tabs>
          <w:tab w:val="left" w:pos="7380"/>
        </w:tabs>
        <w:ind w:right="-283"/>
        <w:jc w:val="both"/>
        <w:rPr>
          <w:color w:val="FF0000"/>
          <w:sz w:val="16"/>
          <w:szCs w:val="16"/>
        </w:rPr>
      </w:pPr>
    </w:p>
    <w:p w:rsidR="0049113B" w:rsidP="00945AD4" w14:paraId="04BEB271" w14:textId="77777777">
      <w:pPr>
        <w:tabs>
          <w:tab w:val="left" w:pos="7380"/>
        </w:tabs>
        <w:ind w:right="-283"/>
        <w:jc w:val="both"/>
        <w:rPr>
          <w:color w:val="FF0000"/>
          <w:sz w:val="16"/>
          <w:szCs w:val="16"/>
        </w:rPr>
      </w:pPr>
    </w:p>
    <w:p w:rsidR="0049113B" w:rsidP="00945AD4" w14:paraId="22D04C3B" w14:textId="77777777">
      <w:pPr>
        <w:tabs>
          <w:tab w:val="left" w:pos="7380"/>
        </w:tabs>
        <w:ind w:right="-283"/>
        <w:jc w:val="both"/>
        <w:rPr>
          <w:color w:val="FF0000"/>
          <w:sz w:val="16"/>
          <w:szCs w:val="16"/>
        </w:rPr>
      </w:pPr>
    </w:p>
    <w:p w:rsidR="0049113B" w:rsidP="00945AD4" w14:paraId="2C09293C" w14:textId="77777777">
      <w:pPr>
        <w:tabs>
          <w:tab w:val="left" w:pos="7380"/>
        </w:tabs>
        <w:ind w:right="-283"/>
        <w:jc w:val="both"/>
        <w:rPr>
          <w:color w:val="FF0000"/>
          <w:sz w:val="16"/>
          <w:szCs w:val="16"/>
        </w:rPr>
      </w:pPr>
    </w:p>
    <w:p w:rsidR="0049113B" w:rsidP="00945AD4" w14:paraId="767FA64E" w14:textId="77777777">
      <w:pPr>
        <w:tabs>
          <w:tab w:val="left" w:pos="7380"/>
        </w:tabs>
        <w:ind w:right="-283"/>
        <w:jc w:val="both"/>
        <w:rPr>
          <w:color w:val="FF0000"/>
          <w:sz w:val="16"/>
          <w:szCs w:val="16"/>
        </w:rPr>
      </w:pPr>
    </w:p>
    <w:p w:rsidR="0049113B" w:rsidP="00945AD4" w14:paraId="1A1BF16E" w14:textId="77777777">
      <w:pPr>
        <w:tabs>
          <w:tab w:val="left" w:pos="7380"/>
        </w:tabs>
        <w:ind w:right="-283"/>
        <w:jc w:val="both"/>
        <w:rPr>
          <w:color w:val="FF0000"/>
          <w:sz w:val="16"/>
          <w:szCs w:val="16"/>
        </w:rPr>
      </w:pPr>
    </w:p>
    <w:p w:rsidR="0049113B" w:rsidP="00945AD4" w14:paraId="3D09BC70" w14:textId="77777777">
      <w:pPr>
        <w:tabs>
          <w:tab w:val="left" w:pos="7380"/>
        </w:tabs>
        <w:ind w:right="-283"/>
        <w:jc w:val="both"/>
        <w:rPr>
          <w:color w:val="FF0000"/>
          <w:sz w:val="16"/>
          <w:szCs w:val="16"/>
        </w:rPr>
      </w:pPr>
    </w:p>
    <w:p w:rsidR="0049113B" w:rsidP="00945AD4" w14:paraId="398EE65C" w14:textId="77777777">
      <w:pPr>
        <w:tabs>
          <w:tab w:val="left" w:pos="7380"/>
        </w:tabs>
        <w:ind w:right="-283"/>
        <w:jc w:val="both"/>
        <w:rPr>
          <w:color w:val="FF0000"/>
          <w:sz w:val="16"/>
          <w:szCs w:val="16"/>
        </w:rPr>
      </w:pPr>
    </w:p>
    <w:p w:rsidR="0049113B" w:rsidP="00945AD4" w14:paraId="3A2830D0" w14:textId="77777777">
      <w:pPr>
        <w:tabs>
          <w:tab w:val="left" w:pos="7380"/>
        </w:tabs>
        <w:ind w:right="-283"/>
        <w:jc w:val="both"/>
        <w:rPr>
          <w:color w:val="FF0000"/>
          <w:sz w:val="16"/>
          <w:szCs w:val="16"/>
        </w:rPr>
      </w:pPr>
    </w:p>
    <w:p w:rsidR="0049113B" w:rsidP="00945AD4" w14:paraId="32E569CA" w14:textId="77777777">
      <w:pPr>
        <w:tabs>
          <w:tab w:val="left" w:pos="7380"/>
        </w:tabs>
        <w:ind w:right="-283"/>
        <w:jc w:val="both"/>
        <w:rPr>
          <w:color w:val="FF0000"/>
          <w:sz w:val="16"/>
          <w:szCs w:val="16"/>
        </w:rPr>
      </w:pPr>
    </w:p>
    <w:p w:rsidR="0049113B" w:rsidP="00945AD4" w14:paraId="26183623" w14:textId="77777777">
      <w:pPr>
        <w:tabs>
          <w:tab w:val="left" w:pos="7380"/>
        </w:tabs>
        <w:ind w:right="-283"/>
        <w:jc w:val="both"/>
        <w:rPr>
          <w:color w:val="FF0000"/>
          <w:sz w:val="16"/>
          <w:szCs w:val="16"/>
        </w:rPr>
      </w:pPr>
    </w:p>
    <w:p w:rsidR="0049113B" w:rsidP="00945AD4" w14:paraId="09E1A8B2" w14:textId="77777777">
      <w:pPr>
        <w:tabs>
          <w:tab w:val="left" w:pos="7380"/>
        </w:tabs>
        <w:ind w:right="-283"/>
        <w:jc w:val="both"/>
        <w:rPr>
          <w:color w:val="FF0000"/>
          <w:sz w:val="16"/>
          <w:szCs w:val="16"/>
        </w:rPr>
      </w:pPr>
    </w:p>
    <w:p w:rsidR="0049113B" w:rsidP="00945AD4" w14:paraId="31116F2F" w14:textId="77777777">
      <w:pPr>
        <w:tabs>
          <w:tab w:val="left" w:pos="7380"/>
        </w:tabs>
        <w:ind w:right="-283"/>
        <w:jc w:val="both"/>
        <w:rPr>
          <w:color w:val="FF0000"/>
          <w:sz w:val="16"/>
          <w:szCs w:val="16"/>
        </w:rPr>
      </w:pPr>
    </w:p>
    <w:p w:rsidR="0049113B" w:rsidP="00945AD4" w14:paraId="04E33299" w14:textId="77777777">
      <w:pPr>
        <w:tabs>
          <w:tab w:val="left" w:pos="7380"/>
        </w:tabs>
        <w:ind w:right="-283"/>
        <w:jc w:val="both"/>
        <w:rPr>
          <w:color w:val="FF0000"/>
          <w:sz w:val="16"/>
          <w:szCs w:val="16"/>
        </w:rPr>
      </w:pPr>
    </w:p>
    <w:p w:rsidR="0049113B" w:rsidP="00945AD4" w14:paraId="1B18C6DD" w14:textId="77777777">
      <w:pPr>
        <w:tabs>
          <w:tab w:val="left" w:pos="7380"/>
        </w:tabs>
        <w:ind w:right="-283"/>
        <w:jc w:val="both"/>
        <w:rPr>
          <w:color w:val="FF0000"/>
          <w:sz w:val="16"/>
          <w:szCs w:val="16"/>
        </w:rPr>
      </w:pPr>
    </w:p>
    <w:p w:rsidR="0049113B" w:rsidP="00945AD4" w14:paraId="2091D75E" w14:textId="77777777">
      <w:pPr>
        <w:tabs>
          <w:tab w:val="left" w:pos="7380"/>
        </w:tabs>
        <w:ind w:right="-283"/>
        <w:jc w:val="both"/>
        <w:rPr>
          <w:color w:val="FF0000"/>
          <w:sz w:val="16"/>
          <w:szCs w:val="16"/>
        </w:rPr>
      </w:pPr>
    </w:p>
    <w:p w:rsidR="0049113B" w:rsidP="00945AD4" w14:paraId="15FFE4C7" w14:textId="77777777">
      <w:pPr>
        <w:tabs>
          <w:tab w:val="left" w:pos="7380"/>
        </w:tabs>
        <w:ind w:right="-283"/>
        <w:jc w:val="both"/>
        <w:rPr>
          <w:color w:val="FF0000"/>
          <w:sz w:val="16"/>
          <w:szCs w:val="16"/>
        </w:rPr>
      </w:pPr>
    </w:p>
    <w:p w:rsidR="0049113B" w:rsidP="00945AD4" w14:paraId="14F85F8B" w14:textId="77777777">
      <w:pPr>
        <w:tabs>
          <w:tab w:val="left" w:pos="7380"/>
        </w:tabs>
        <w:ind w:right="-283"/>
        <w:jc w:val="both"/>
        <w:rPr>
          <w:color w:val="FF0000"/>
          <w:sz w:val="16"/>
          <w:szCs w:val="16"/>
        </w:rPr>
      </w:pPr>
    </w:p>
    <w:p w:rsidR="0049113B" w:rsidP="00945AD4" w14:paraId="17760248" w14:textId="77777777">
      <w:pPr>
        <w:tabs>
          <w:tab w:val="left" w:pos="7380"/>
        </w:tabs>
        <w:ind w:right="-283"/>
        <w:jc w:val="both"/>
        <w:rPr>
          <w:color w:val="FF0000"/>
          <w:sz w:val="16"/>
          <w:szCs w:val="16"/>
        </w:rPr>
      </w:pPr>
    </w:p>
    <w:p w:rsidR="0049113B" w:rsidP="00945AD4" w14:paraId="25425322" w14:textId="77777777">
      <w:pPr>
        <w:tabs>
          <w:tab w:val="left" w:pos="7380"/>
        </w:tabs>
        <w:ind w:right="-283"/>
        <w:jc w:val="both"/>
        <w:rPr>
          <w:color w:val="FF0000"/>
          <w:sz w:val="16"/>
          <w:szCs w:val="16"/>
        </w:rPr>
      </w:pPr>
    </w:p>
    <w:p w:rsidR="0049113B" w:rsidP="00945AD4" w14:paraId="7C7C040F" w14:textId="77777777">
      <w:pPr>
        <w:tabs>
          <w:tab w:val="left" w:pos="7380"/>
        </w:tabs>
        <w:ind w:right="-283"/>
        <w:jc w:val="both"/>
        <w:rPr>
          <w:color w:val="FF0000"/>
          <w:sz w:val="16"/>
          <w:szCs w:val="16"/>
        </w:rPr>
      </w:pPr>
    </w:p>
    <w:p w:rsidR="0049113B" w:rsidP="00945AD4" w14:paraId="3CB4A2F1" w14:textId="77777777">
      <w:pPr>
        <w:tabs>
          <w:tab w:val="left" w:pos="7380"/>
        </w:tabs>
        <w:ind w:right="-283"/>
        <w:jc w:val="both"/>
        <w:rPr>
          <w:color w:val="FF0000"/>
          <w:sz w:val="16"/>
          <w:szCs w:val="16"/>
        </w:rPr>
      </w:pPr>
    </w:p>
    <w:p w:rsidR="00D26A2B" w:rsidP="00945AD4" w14:paraId="5345C74F" w14:textId="77777777">
      <w:pPr>
        <w:tabs>
          <w:tab w:val="left" w:pos="7380"/>
        </w:tabs>
        <w:ind w:right="-283"/>
        <w:jc w:val="both"/>
        <w:rPr>
          <w:color w:val="FF0000"/>
          <w:sz w:val="16"/>
          <w:szCs w:val="16"/>
        </w:rPr>
      </w:pPr>
    </w:p>
    <w:p w:rsidR="00D26A2B" w:rsidP="00945AD4" w14:paraId="36FC10BE" w14:textId="77777777">
      <w:pPr>
        <w:tabs>
          <w:tab w:val="left" w:pos="7380"/>
        </w:tabs>
        <w:ind w:right="-283"/>
        <w:jc w:val="both"/>
        <w:rPr>
          <w:color w:val="FF0000"/>
          <w:sz w:val="16"/>
          <w:szCs w:val="16"/>
        </w:rPr>
      </w:pPr>
    </w:p>
    <w:p w:rsidR="00D26A2B" w:rsidP="00945AD4" w14:paraId="7F1B2A34" w14:textId="77777777">
      <w:pPr>
        <w:tabs>
          <w:tab w:val="left" w:pos="7380"/>
        </w:tabs>
        <w:ind w:right="-283"/>
        <w:jc w:val="both"/>
        <w:rPr>
          <w:color w:val="FF0000"/>
          <w:sz w:val="16"/>
          <w:szCs w:val="16"/>
        </w:rPr>
      </w:pPr>
    </w:p>
    <w:p w:rsidR="00D26A2B" w:rsidP="00945AD4" w14:paraId="502EFD48" w14:textId="77777777">
      <w:pPr>
        <w:tabs>
          <w:tab w:val="left" w:pos="7380"/>
        </w:tabs>
        <w:ind w:right="-283"/>
        <w:jc w:val="both"/>
        <w:rPr>
          <w:color w:val="FF0000"/>
          <w:sz w:val="16"/>
          <w:szCs w:val="16"/>
        </w:rPr>
      </w:pPr>
    </w:p>
    <w:p w:rsidR="00D26A2B" w:rsidP="00945AD4" w14:paraId="35B79EAE" w14:textId="77777777">
      <w:pPr>
        <w:tabs>
          <w:tab w:val="left" w:pos="7380"/>
        </w:tabs>
        <w:ind w:right="-283"/>
        <w:jc w:val="both"/>
        <w:rPr>
          <w:color w:val="FF0000"/>
          <w:sz w:val="16"/>
          <w:szCs w:val="16"/>
        </w:rPr>
      </w:pPr>
      <w:bookmarkStart w:id="313" w:name="_GoBack"/>
      <w:bookmarkEnd w:id="313"/>
    </w:p>
    <w:p w:rsidR="0049113B" w:rsidP="00945AD4" w14:paraId="78DBDC2D" w14:textId="77777777">
      <w:pPr>
        <w:tabs>
          <w:tab w:val="left" w:pos="7380"/>
        </w:tabs>
        <w:ind w:right="-283"/>
        <w:jc w:val="both"/>
        <w:rPr>
          <w:color w:val="FF0000"/>
          <w:sz w:val="16"/>
          <w:szCs w:val="16"/>
        </w:rPr>
      </w:pPr>
    </w:p>
    <w:p w:rsidR="0049113B" w:rsidP="00945AD4" w14:paraId="393A58CC" w14:textId="77777777">
      <w:pPr>
        <w:tabs>
          <w:tab w:val="left" w:pos="7380"/>
        </w:tabs>
        <w:ind w:right="-283"/>
        <w:jc w:val="both"/>
        <w:rPr>
          <w:color w:val="FF0000"/>
          <w:sz w:val="16"/>
          <w:szCs w:val="16"/>
        </w:rPr>
      </w:pPr>
    </w:p>
    <w:p w:rsidR="00945AD4" w:rsidRPr="0049113B" w:rsidP="00945AD4" w14:paraId="077FA085" w14:textId="2B03F409">
      <w:pPr>
        <w:tabs>
          <w:tab w:val="left" w:pos="7380"/>
        </w:tabs>
        <w:ind w:right="-283"/>
        <w:jc w:val="both"/>
        <w:rPr>
          <w:sz w:val="16"/>
          <w:szCs w:val="16"/>
        </w:rPr>
      </w:pPr>
      <w:r>
        <w:rPr>
          <w:sz w:val="16"/>
          <w:szCs w:val="16"/>
        </w:rPr>
        <w:t>30</w:t>
      </w:r>
      <w:r w:rsidRPr="0049113B" w:rsidR="005B48CB">
        <w:rPr>
          <w:sz w:val="16"/>
          <w:szCs w:val="16"/>
        </w:rPr>
        <w:t>.</w:t>
      </w:r>
      <w:r w:rsidRPr="0049113B" w:rsidR="00262851">
        <w:rPr>
          <w:sz w:val="16"/>
          <w:szCs w:val="16"/>
        </w:rPr>
        <w:t>01</w:t>
      </w:r>
      <w:r w:rsidRPr="0049113B" w:rsidR="00B62E21">
        <w:rPr>
          <w:sz w:val="16"/>
          <w:szCs w:val="16"/>
        </w:rPr>
        <w:t>.201</w:t>
      </w:r>
      <w:r w:rsidRPr="0049113B" w:rsidR="00262851">
        <w:rPr>
          <w:sz w:val="16"/>
          <w:szCs w:val="16"/>
        </w:rPr>
        <w:t>8</w:t>
      </w:r>
      <w:r w:rsidRPr="0049113B" w:rsidR="00556DDE">
        <w:rPr>
          <w:sz w:val="16"/>
          <w:szCs w:val="16"/>
        </w:rPr>
        <w:t>. 1</w:t>
      </w:r>
      <w:r>
        <w:rPr>
          <w:sz w:val="16"/>
          <w:szCs w:val="16"/>
        </w:rPr>
        <w:t>1</w:t>
      </w:r>
      <w:r w:rsidRPr="0049113B" w:rsidR="0058449F">
        <w:rPr>
          <w:sz w:val="16"/>
          <w:szCs w:val="16"/>
        </w:rPr>
        <w:t>:</w:t>
      </w:r>
      <w:r w:rsidRPr="0049113B" w:rsidR="00DB28DA">
        <w:rPr>
          <w:sz w:val="16"/>
          <w:szCs w:val="16"/>
        </w:rPr>
        <w:t>3</w:t>
      </w:r>
      <w:r w:rsidRPr="0049113B" w:rsidR="00095CBC">
        <w:rPr>
          <w:sz w:val="16"/>
          <w:szCs w:val="16"/>
        </w:rPr>
        <w:t>0</w:t>
      </w:r>
    </w:p>
    <w:p w:rsidR="00945AD4" w:rsidRPr="0049113B" w:rsidP="00945AD4" w14:paraId="463DC9BC" w14:textId="48073EF9">
      <w:pPr>
        <w:tabs>
          <w:tab w:val="left" w:pos="7380"/>
        </w:tabs>
        <w:ind w:right="-283"/>
        <w:jc w:val="both"/>
        <w:rPr>
          <w:sz w:val="16"/>
          <w:szCs w:val="16"/>
        </w:rPr>
      </w:pPr>
      <w:r w:rsidRPr="0049113B">
        <w:rPr>
          <w:sz w:val="16"/>
          <w:szCs w:val="16"/>
        </w:rPr>
        <w:t>96</w:t>
      </w:r>
      <w:r w:rsidR="009C7A9E">
        <w:rPr>
          <w:sz w:val="16"/>
          <w:szCs w:val="16"/>
        </w:rPr>
        <w:t>08</w:t>
      </w:r>
    </w:p>
    <w:p w:rsidR="002B238C" w:rsidP="00945AD4" w14:paraId="22C61D9E" w14:textId="77777777">
      <w:pPr>
        <w:tabs>
          <w:tab w:val="left" w:pos="7380"/>
        </w:tabs>
        <w:ind w:right="-283"/>
        <w:jc w:val="both"/>
        <w:rPr>
          <w:sz w:val="16"/>
          <w:szCs w:val="16"/>
        </w:rPr>
      </w:pPr>
    </w:p>
    <w:p w:rsidR="002B238C" w:rsidRPr="002D2950" w:rsidP="002B238C" w14:paraId="14A60501" w14:textId="77777777">
      <w:pPr>
        <w:tabs>
          <w:tab w:val="left" w:pos="7380"/>
        </w:tabs>
        <w:ind w:right="-283"/>
        <w:jc w:val="both"/>
        <w:rPr>
          <w:rStyle w:val="Hyperlink"/>
          <w:color w:val="auto"/>
          <w:sz w:val="16"/>
          <w:szCs w:val="16"/>
        </w:rPr>
      </w:pPr>
      <w:r w:rsidRPr="002D2950">
        <w:rPr>
          <w:rStyle w:val="Hyperlink"/>
          <w:color w:val="auto"/>
          <w:sz w:val="16"/>
          <w:szCs w:val="16"/>
        </w:rPr>
        <w:t>Lauris Linabergs, 67026404</w:t>
      </w:r>
    </w:p>
    <w:p w:rsidR="002B238C" w:rsidRPr="002D2950" w:rsidP="002B238C" w14:paraId="401AA61E" w14:textId="77777777">
      <w:pPr>
        <w:tabs>
          <w:tab w:val="left" w:pos="7380"/>
        </w:tabs>
        <w:ind w:right="-283"/>
        <w:jc w:val="both"/>
      </w:pPr>
      <w:r w:rsidRPr="002D2950">
        <w:rPr>
          <w:rStyle w:val="Hyperlink"/>
          <w:color w:val="auto"/>
          <w:sz w:val="16"/>
          <w:szCs w:val="16"/>
        </w:rPr>
        <w:t>lauris.linabergs@varam.gov.lv</w:t>
      </w:r>
    </w:p>
    <w:p w:rsidR="002B238C" w:rsidRPr="002D2950" w:rsidP="00945AD4" w14:paraId="256AFE2F" w14:textId="77777777">
      <w:pPr>
        <w:tabs>
          <w:tab w:val="left" w:pos="7380"/>
        </w:tabs>
        <w:ind w:right="-283"/>
        <w:jc w:val="both"/>
        <w:rPr>
          <w:sz w:val="16"/>
          <w:szCs w:val="16"/>
        </w:rPr>
      </w:pPr>
    </w:p>
    <w:p w:rsidR="002B238C" w:rsidP="00282830" w14:paraId="540A79E9" w14:textId="77777777">
      <w:pPr>
        <w:tabs>
          <w:tab w:val="left" w:pos="7380"/>
        </w:tabs>
        <w:ind w:right="-283"/>
        <w:jc w:val="both"/>
        <w:rPr>
          <w:sz w:val="16"/>
          <w:szCs w:val="16"/>
        </w:rPr>
      </w:pPr>
    </w:p>
    <w:p w:rsidR="0006552D" w:rsidRPr="002D2950" w:rsidP="00282830" w14:paraId="770143A2" w14:textId="289FBEE0">
      <w:pPr>
        <w:tabs>
          <w:tab w:val="left" w:pos="7380"/>
        </w:tabs>
        <w:ind w:right="-283"/>
        <w:jc w:val="both"/>
        <w:rPr>
          <w:sz w:val="16"/>
          <w:szCs w:val="16"/>
        </w:rPr>
      </w:pPr>
      <w:r w:rsidRPr="002D2950">
        <w:rPr>
          <w:sz w:val="16"/>
          <w:szCs w:val="16"/>
        </w:rPr>
        <w:t>Vineta Brūvere</w:t>
      </w:r>
      <w:r w:rsidRPr="002D2950">
        <w:rPr>
          <w:sz w:val="16"/>
          <w:szCs w:val="16"/>
        </w:rPr>
        <w:t xml:space="preserve">, </w:t>
      </w:r>
      <w:r w:rsidRPr="002D2950" w:rsidR="001D5BB1">
        <w:rPr>
          <w:sz w:val="16"/>
          <w:szCs w:val="16"/>
        </w:rPr>
        <w:t>67026</w:t>
      </w:r>
      <w:r w:rsidRPr="002D2950">
        <w:rPr>
          <w:sz w:val="16"/>
          <w:szCs w:val="16"/>
        </w:rPr>
        <w:t>575</w:t>
      </w:r>
    </w:p>
    <w:p w:rsidR="00763897" w:rsidRPr="002D2950" w:rsidP="00282830" w14:paraId="3824DA9E" w14:textId="60FA5B92">
      <w:pPr>
        <w:tabs>
          <w:tab w:val="left" w:pos="7380"/>
        </w:tabs>
        <w:ind w:right="-283"/>
        <w:jc w:val="both"/>
        <w:rPr>
          <w:rStyle w:val="Hyperlink"/>
          <w:color w:val="auto"/>
          <w:sz w:val="16"/>
          <w:szCs w:val="16"/>
        </w:rPr>
      </w:pPr>
      <w:r>
        <w:fldChar w:fldCharType="begin"/>
      </w:r>
      <w:r>
        <w:instrText xml:space="preserve"> HYPERLINK "mailto:vineta.bruvere@varam.gov.lv" </w:instrText>
      </w:r>
      <w:r>
        <w:fldChar w:fldCharType="separate"/>
      </w:r>
      <w:r w:rsidRPr="002D2950" w:rsidR="006A417D">
        <w:rPr>
          <w:rStyle w:val="Hyperlink"/>
          <w:color w:val="auto"/>
          <w:sz w:val="16"/>
          <w:szCs w:val="16"/>
        </w:rPr>
        <w:t>vineta.bruvere@varam.gov.lv</w:t>
      </w:r>
      <w:r>
        <w:fldChar w:fldCharType="end"/>
      </w:r>
    </w:p>
    <w:sectPr w:rsidSect="00F5014A">
      <w:headerReference w:type="default" r:id="rId16"/>
      <w:footerReference w:type="default" r:id="rId17"/>
      <w:footerReference w:type="first" r:id="rId18"/>
      <w:pgSz w:w="11906" w:h="16838"/>
      <w:pgMar w:top="1134" w:right="113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DA6" w:rsidP="0036491C" w14:paraId="2A413AAF" w14:textId="77777777">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D36DA6" w:rsidRPr="005977EF" w:rsidP="0036491C" w14:paraId="49186C8C" w14:textId="29A95C7E">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VARAMZin_30</w:t>
    </w:r>
    <w:r>
      <w:rPr>
        <w:rFonts w:ascii="Times New Roman" w:eastAsia="Times New Roman" w:hAnsi="Times New Roman" w:cs="Times New Roman"/>
        <w:color w:val="auto"/>
        <w:spacing w:val="0"/>
        <w:kern w:val="0"/>
        <w:sz w:val="20"/>
        <w:szCs w:val="20"/>
      </w:rPr>
      <w:t>0118_mākoņdatošana</w:t>
    </w:r>
  </w:p>
  <w:p w:rsidR="00D36DA6" w:rsidRPr="005977EF" w:rsidP="0036491C" w14:paraId="2E65426C" w14:textId="77EFE45B">
    <w:pPr>
      <w:pStyle w:val="Title"/>
      <w:pBdr>
        <w:bottom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DA6" w:rsidRPr="00FB062C" w:rsidP="00DB26CB" w14:paraId="2FF92F6A" w14:textId="77777777">
    <w:pPr>
      <w:pStyle w:val="Footer"/>
      <w:jc w:val="both"/>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77D9" w:rsidP="004D78CB" w14:paraId="0738CCB1" w14:textId="77777777">
      <w:r>
        <w:separator/>
      </w:r>
    </w:p>
  </w:footnote>
  <w:footnote w:type="continuationSeparator" w:id="1">
    <w:p w:rsidR="00B877D9" w:rsidP="004D78CB" w14:paraId="182E8F50" w14:textId="77777777">
      <w:r>
        <w:continuationSeparator/>
      </w:r>
    </w:p>
  </w:footnote>
  <w:footnote w:id="2">
    <w:p w:rsidR="00D36DA6" w:rsidRPr="00420A11" w:rsidP="00781866" w14:paraId="5422FF92" w14:textId="77777777">
      <w:pPr>
        <w:rPr>
          <w:color w:val="365F91" w:themeColor="accent1" w:themeShade="BF"/>
          <w:sz w:val="18"/>
          <w:szCs w:val="18"/>
        </w:rPr>
      </w:pPr>
      <w:r w:rsidRPr="00420A11">
        <w:rPr>
          <w:color w:val="365F91" w:themeColor="accent1" w:themeShade="BF"/>
          <w:vertAlign w:val="superscript"/>
        </w:rPr>
        <w:footnoteRef/>
      </w:r>
      <w:r w:rsidRPr="00420A11">
        <w:rPr>
          <w:color w:val="365F91" w:themeColor="accent1" w:themeShade="BF"/>
          <w:sz w:val="20"/>
          <w:szCs w:val="20"/>
          <w:highlight w:val="white"/>
        </w:rPr>
        <w:t xml:space="preserve"> </w:t>
      </w:r>
      <w:r>
        <w:fldChar w:fldCharType="begin"/>
      </w:r>
      <w:r>
        <w:instrText xml:space="preserve"> HYPERLINK "https://www.gartner.com/doc/3811368/top--strategic-technology-trends?docdisp=share&amp;srcId=1-4398736771" </w:instrText>
      </w:r>
      <w:r>
        <w:fldChar w:fldCharType="separate"/>
      </w:r>
      <w:r w:rsidRPr="00420A11">
        <w:rPr>
          <w:color w:val="365F91" w:themeColor="accent1" w:themeShade="BF"/>
          <w:sz w:val="18"/>
          <w:szCs w:val="18"/>
          <w:highlight w:val="white"/>
          <w:u w:val="single"/>
        </w:rPr>
        <w:t>https://www.gartner.com/doc/3811368/top--</w:t>
      </w:r>
      <w:r w:rsidRPr="00420A11">
        <w:rPr>
          <w:color w:val="365F91" w:themeColor="accent1" w:themeShade="BF"/>
          <w:sz w:val="18"/>
          <w:szCs w:val="18"/>
          <w:highlight w:val="white"/>
          <w:u w:val="single"/>
        </w:rPr>
        <w:t>strategic-technology-trends?docdisp=share&amp;srcId=1</w:t>
      </w:r>
      <w:r w:rsidRPr="00420A11">
        <w:rPr>
          <w:color w:val="365F91" w:themeColor="accent1" w:themeShade="BF"/>
          <w:sz w:val="18"/>
          <w:szCs w:val="18"/>
          <w:highlight w:val="white"/>
          <w:u w:val="single"/>
        </w:rPr>
        <w:t>-4398736771</w:t>
      </w:r>
      <w:r>
        <w:fldChar w:fldCharType="end"/>
      </w:r>
    </w:p>
  </w:footnote>
  <w:footnote w:id="3">
    <w:p w:rsidR="00D36DA6" w:rsidRPr="00420A11" w:rsidP="00781866" w14:paraId="5DB357CF" w14:textId="77777777">
      <w:pPr>
        <w:rPr>
          <w:color w:val="365F91" w:themeColor="accent1" w:themeShade="BF"/>
          <w:sz w:val="18"/>
          <w:szCs w:val="18"/>
        </w:rPr>
      </w:pPr>
      <w:r w:rsidRPr="00420A11">
        <w:rPr>
          <w:color w:val="365F91" w:themeColor="accent1" w:themeShade="BF"/>
          <w:vertAlign w:val="superscript"/>
        </w:rPr>
        <w:footnoteRef/>
      </w:r>
      <w:r w:rsidRPr="00420A11">
        <w:rPr>
          <w:color w:val="365F91" w:themeColor="accent1" w:themeShade="BF"/>
          <w:sz w:val="20"/>
          <w:szCs w:val="20"/>
        </w:rPr>
        <w:t xml:space="preserve"> </w:t>
      </w:r>
      <w:r>
        <w:fldChar w:fldCharType="begin"/>
      </w:r>
      <w:r>
        <w:instrText xml:space="preserve"> HYPERLINK "http://ec.europa.eu/eurostat/statistics-explained/index.php/Cloud_computing_-_statistics_on_the_use_by_enterprises" </w:instrText>
      </w:r>
      <w:r>
        <w:fldChar w:fldCharType="separate"/>
      </w:r>
      <w:r w:rsidRPr="00420A11">
        <w:rPr>
          <w:color w:val="365F91" w:themeColor="accent1" w:themeShade="BF"/>
          <w:sz w:val="18"/>
          <w:szCs w:val="18"/>
          <w:u w:val="single"/>
        </w:rPr>
        <w:t>http://ec.europa.eu/eurostat/statistics-explained/index.php/Cloud_computing_-_statistics_on_the_use_by_enterprises</w:t>
      </w:r>
      <w:r>
        <w:fldChar w:fldCharType="end"/>
      </w:r>
      <w:r w:rsidRPr="00420A11">
        <w:rPr>
          <w:color w:val="365F91" w:themeColor="accent1" w:themeShade="BF"/>
          <w:sz w:val="18"/>
          <w:szCs w:val="18"/>
        </w:rPr>
        <w:t xml:space="preserve"> </w:t>
      </w:r>
    </w:p>
  </w:footnote>
  <w:footnote w:id="4">
    <w:p w:rsidR="00D36DA6" w:rsidP="00781866" w14:paraId="443C7CE3" w14:textId="77777777">
      <w:pPr>
        <w:rPr>
          <w:sz w:val="18"/>
          <w:szCs w:val="18"/>
        </w:rPr>
      </w:pPr>
      <w:r w:rsidRPr="00420A11">
        <w:rPr>
          <w:color w:val="365F91" w:themeColor="accent1" w:themeShade="BF"/>
          <w:vertAlign w:val="superscript"/>
        </w:rPr>
        <w:footnoteRef/>
      </w:r>
      <w:r w:rsidRPr="00420A11">
        <w:rPr>
          <w:color w:val="365F91" w:themeColor="accent1" w:themeShade="BF"/>
          <w:sz w:val="20"/>
          <w:szCs w:val="20"/>
        </w:rPr>
        <w:t xml:space="preserve"> </w:t>
      </w:r>
      <w:r>
        <w:fldChar w:fldCharType="begin"/>
      </w:r>
      <w:r>
        <w:instrText xml:space="preserve"> HYPERLINK "https://www.gartner.com/doc/3369117/cios-need-know-exploit-cloud?docdisp=share&amp;srcId=1-4398736771" </w:instrText>
      </w:r>
      <w:r>
        <w:fldChar w:fldCharType="separate"/>
      </w:r>
      <w:r w:rsidRPr="00420A11">
        <w:rPr>
          <w:color w:val="365F91" w:themeColor="accent1" w:themeShade="BF"/>
          <w:sz w:val="18"/>
          <w:szCs w:val="18"/>
          <w:highlight w:val="white"/>
          <w:u w:val="single"/>
        </w:rPr>
        <w:t>https://www.gartner.com/doc/3369117/cios-need-know-exploit-cloud?docdisp=share&amp;srcId=1-4398736771</w:t>
      </w:r>
      <w:r>
        <w:fldChar w:fldCharType="end"/>
      </w:r>
      <w:r w:rsidRPr="00A0217A">
        <w:rPr>
          <w:color w:val="4F81BD" w:themeColor="accent1"/>
          <w:sz w:val="18"/>
          <w:szCs w:val="18"/>
        </w:rPr>
        <w:t xml:space="preserve"> </w:t>
      </w:r>
    </w:p>
  </w:footnote>
  <w:footnote w:id="5">
    <w:p w:rsidR="00D36DA6" w14:paraId="6D59F818" w14:textId="5046FF05">
      <w:pPr>
        <w:pStyle w:val="FootnoteText"/>
      </w:pPr>
      <w:r>
        <w:rPr>
          <w:rStyle w:val="FootnoteReference"/>
        </w:rPr>
        <w:footnoteRef/>
      </w:r>
      <w:r w:rsidRPr="000B4E32">
        <w:rPr>
          <w:color w:val="365F91" w:themeColor="accent1" w:themeShade="BF"/>
          <w:u w:val="single"/>
        </w:rPr>
        <w:t xml:space="preserve"> https://www.eis.gov.lv/EIS/Categories/ </w:t>
      </w:r>
      <w:r w:rsidRPr="000B4E32">
        <w:rPr>
          <w:color w:val="365F91" w:themeColor="accent1" w:themeShade="BF"/>
          <w:u w:val="single"/>
        </w:rPr>
        <w:t>SearchCategories.aspx?Name=cloud</w:t>
      </w:r>
    </w:p>
  </w:footnote>
  <w:footnote w:id="6">
    <w:p w:rsidR="00D36DA6" w14:paraId="0010577D" w14:textId="6B829E7A">
      <w:pPr>
        <w:pStyle w:val="FootnoteText"/>
      </w:pPr>
      <w:r>
        <w:rPr>
          <w:rStyle w:val="FootnoteReference"/>
        </w:rPr>
        <w:footnoteRef/>
      </w:r>
      <w:r>
        <w:t xml:space="preserve"> </w:t>
      </w:r>
      <w:r w:rsidRPr="00CB173C">
        <w:rPr>
          <w:color w:val="0070C0"/>
          <w:u w:val="single"/>
        </w:rPr>
        <w:t>http://certusdomnica.lv/agenda/informacijas-un-komunikaciju-tehnologijas/</w:t>
      </w:r>
    </w:p>
  </w:footnote>
  <w:footnote w:id="7">
    <w:p w:rsidR="00D36DA6" w14:paraId="48A34CBD" w14:textId="6D52174B">
      <w:pPr>
        <w:pStyle w:val="FootnoteText"/>
      </w:pPr>
      <w:r>
        <w:rPr>
          <w:rStyle w:val="FootnoteReference"/>
        </w:rPr>
        <w:footnoteRef/>
      </w:r>
      <w:r>
        <w:t xml:space="preserve"> </w:t>
      </w:r>
      <w:r w:rsidRPr="00CC5D06">
        <w:t xml:space="preserve">Valsts informācijas resursu, sistēmu un sadarbspējas reģistra (VIRSIS) izveide un ieviešana, kas plānota ES fondu darbības programmas “Izaugsme un nodarbinātība” 2.2.1.specifiskā atbalsta mērķa “Nodrošināt publisko datu </w:t>
      </w:r>
      <w:r w:rsidRPr="00CC5D06">
        <w:t>atkalizmantošanas</w:t>
      </w:r>
      <w:r w:rsidRPr="00CC5D06">
        <w:t xml:space="preserve"> pieaugumu un efektīvu publiskās pārvaldes un privātā sektora mijiedarbību” 2.2.1.1.pasākuma “Centralizētu publiskās pārvaldes IKT platformu izveide, publiskās pārvaldes procesu optimizēšana un attīstība” (turpmāk – 2.2.1.1.pasākums) projekta Nr.2.2.1.1/16/I/001 “Publiskās pārvaldes informācijas un komunikāciju tehnoloģiju arhitektūras pārvaldības sistēma (PIKTAPS)” ietvaros.</w:t>
      </w:r>
    </w:p>
  </w:footnote>
  <w:footnote w:id="8">
    <w:p w:rsidR="00D36DA6" w:rsidP="00781866" w14:paraId="2D537892" w14:textId="77777777">
      <w:r>
        <w:rPr>
          <w:vertAlign w:val="superscript"/>
        </w:rPr>
        <w:footnoteRef/>
      </w:r>
      <w:r>
        <w:t xml:space="preserve"> </w:t>
      </w:r>
      <w:r>
        <w:fldChar w:fldCharType="begin"/>
      </w:r>
      <w:r>
        <w:instrText xml:space="preserve"> HYPERLINK "http://nvlpubs.nist.gov/nistpubs/Legacy/SP/nistspecialpublication800-145.pdf" </w:instrText>
      </w:r>
      <w:r>
        <w:fldChar w:fldCharType="separate"/>
      </w:r>
      <w:r w:rsidRPr="00DA360F">
        <w:rPr>
          <w:color w:val="1155CC"/>
          <w:sz w:val="18"/>
          <w:szCs w:val="18"/>
          <w:u w:val="single"/>
        </w:rPr>
        <w:t>http://nvlpubs.nist.gov/nistpubs/Legacy/SP/nistspecialpublication800-145.pdf</w:t>
      </w:r>
      <w:r>
        <w:fldChar w:fldCharType="end"/>
      </w:r>
      <w:r>
        <w:t xml:space="preserve"> </w:t>
      </w:r>
    </w:p>
  </w:footnote>
  <w:footnote w:id="9">
    <w:p w:rsidR="00D36DA6" w:rsidP="00781866" w14:paraId="7645557F" w14:textId="77777777">
      <w:r>
        <w:rPr>
          <w:vertAlign w:val="superscript"/>
        </w:rPr>
        <w:footnoteRef/>
      </w:r>
      <w:r>
        <w:t xml:space="preserve"> </w:t>
      </w:r>
      <w:r>
        <w:fldChar w:fldCharType="begin"/>
      </w:r>
      <w:r>
        <w:instrText xml:space="preserve"> HYPERLINK "https://www.docker.com/" </w:instrText>
      </w:r>
      <w:r>
        <w:fldChar w:fldCharType="separate"/>
      </w:r>
      <w:r w:rsidRPr="00395C66">
        <w:rPr>
          <w:rStyle w:val="Hyperlink"/>
          <w:sz w:val="18"/>
          <w:szCs w:val="18"/>
        </w:rPr>
        <w:t>https://www.docker.com/</w:t>
      </w:r>
      <w:r>
        <w:fldChar w:fldCharType="end"/>
      </w:r>
      <w:r>
        <w:rPr>
          <w:color w:val="1155CC"/>
          <w:sz w:val="18"/>
          <w:szCs w:val="18"/>
          <w:u w:val="single"/>
        </w:rPr>
        <w:t xml:space="preserve"> </w:t>
      </w:r>
    </w:p>
  </w:footnote>
  <w:footnote w:id="10">
    <w:p w:rsidR="00D36DA6" w:rsidP="00781866" w14:paraId="5CEDEEE2" w14:textId="77777777">
      <w:r>
        <w:rPr>
          <w:vertAlign w:val="superscript"/>
        </w:rPr>
        <w:footnoteRef/>
      </w:r>
      <w:r>
        <w:t xml:space="preserve"> </w:t>
      </w:r>
      <w:r>
        <w:fldChar w:fldCharType="begin"/>
      </w:r>
      <w:r>
        <w:instrText xml:space="preserve"> HYPERLINK "https://aws.amazon.com/lambda/" </w:instrText>
      </w:r>
      <w:r>
        <w:fldChar w:fldCharType="separate"/>
      </w:r>
      <w:r w:rsidRPr="00395C66">
        <w:rPr>
          <w:rStyle w:val="Hyperlink"/>
          <w:sz w:val="18"/>
          <w:szCs w:val="18"/>
        </w:rPr>
        <w:t>https://aws.amazon.com/lambda/</w:t>
      </w:r>
      <w:r>
        <w:fldChar w:fldCharType="end"/>
      </w:r>
      <w:r>
        <w:rPr>
          <w:color w:val="1155CC"/>
          <w:sz w:val="18"/>
          <w:szCs w:val="18"/>
          <w:u w:val="single"/>
        </w:rPr>
        <w:t xml:space="preserve"> </w:t>
      </w:r>
    </w:p>
  </w:footnote>
  <w:footnote w:id="11">
    <w:p w:rsidR="00D36DA6" w:rsidP="00781866" w14:paraId="2EF236C9" w14:textId="77777777">
      <w:pPr>
        <w:rPr>
          <w:sz w:val="18"/>
          <w:szCs w:val="18"/>
        </w:rPr>
      </w:pPr>
      <w:r>
        <w:rPr>
          <w:vertAlign w:val="superscript"/>
        </w:rPr>
        <w:footnoteRef/>
      </w:r>
      <w:r>
        <w:rPr>
          <w:sz w:val="20"/>
          <w:szCs w:val="20"/>
        </w:rPr>
        <w:t xml:space="preserve"> </w:t>
      </w:r>
      <w:r>
        <w:fldChar w:fldCharType="begin"/>
      </w:r>
      <w:r>
        <w:instrText xml:space="preserve"> HYPERLINK "https://ec.europa.eu/digital-single-market/en/free-flow-non-personal-data" </w:instrText>
      </w:r>
      <w:r>
        <w:fldChar w:fldCharType="separate"/>
      </w:r>
      <w:r>
        <w:rPr>
          <w:color w:val="1155CC"/>
          <w:sz w:val="18"/>
          <w:szCs w:val="18"/>
          <w:u w:val="single"/>
        </w:rPr>
        <w:t>https://ec.europa.eu/digital-single-market/en/free-flow-non-personal-data</w:t>
      </w:r>
      <w:r>
        <w:fldChar w:fldCharType="end"/>
      </w:r>
      <w:r>
        <w:rPr>
          <w:sz w:val="18"/>
          <w:szCs w:val="18"/>
        </w:rPr>
        <w:t xml:space="preserve"> </w:t>
      </w:r>
    </w:p>
  </w:footnote>
  <w:footnote w:id="12">
    <w:p w:rsidR="00D36DA6" w:rsidP="00781866" w14:paraId="1D2C78F7" w14:textId="77777777">
      <w:r>
        <w:rPr>
          <w:vertAlign w:val="superscript"/>
        </w:rPr>
        <w:footnoteRef/>
      </w:r>
      <w:r>
        <w:t xml:space="preserve"> </w:t>
      </w:r>
      <w:r>
        <w:fldChar w:fldCharType="begin"/>
      </w:r>
      <w:r>
        <w:instrText xml:space="preserve"> HYPERLINK "http://eur-lex.europa.eu/LexUriServ/LexUriServ.do?uri=OJ:L:2003:345:0090:0096:en:PDF" </w:instrText>
      </w:r>
      <w:r>
        <w:fldChar w:fldCharType="separate"/>
      </w:r>
      <w:r>
        <w:rPr>
          <w:color w:val="1155CC"/>
          <w:sz w:val="18"/>
          <w:szCs w:val="18"/>
          <w:u w:val="single"/>
        </w:rPr>
        <w:t>http://eur-lex.europa.eu/LexUriServ/LexUriServ.do?uri=OJ:L:2003:345:0090:0096:en:PDF</w:t>
      </w:r>
      <w:r>
        <w:fldChar w:fldCharType="end"/>
      </w:r>
      <w:r>
        <w:t xml:space="preserve"> </w:t>
      </w:r>
    </w:p>
  </w:footnote>
  <w:footnote w:id="13">
    <w:p w:rsidR="00D36DA6" w:rsidP="00781866" w14:paraId="4E295B32" w14:textId="77777777">
      <w:pPr>
        <w:rPr>
          <w:sz w:val="20"/>
          <w:szCs w:val="20"/>
        </w:rPr>
      </w:pPr>
      <w:r>
        <w:rPr>
          <w:vertAlign w:val="superscript"/>
        </w:rPr>
        <w:footnoteRef/>
      </w:r>
      <w:r>
        <w:rPr>
          <w:sz w:val="20"/>
          <w:szCs w:val="20"/>
        </w:rPr>
        <w:t xml:space="preserve"> </w:t>
      </w:r>
      <w:r>
        <w:fldChar w:fldCharType="begin"/>
      </w:r>
      <w:r>
        <w:instrText xml:space="preserve"> HYPERLINK "https://ec.europa.eu/digital-single-market/en/european-cloud-computing-strategy" </w:instrText>
      </w:r>
      <w:r>
        <w:fldChar w:fldCharType="separate"/>
      </w:r>
      <w:r w:rsidRPr="0086573F">
        <w:rPr>
          <w:color w:val="1155CC"/>
          <w:sz w:val="20"/>
          <w:szCs w:val="20"/>
        </w:rPr>
        <w:t>https://ec.europa.eu/digital-single-market/en/european-cloud-computing-strategy</w:t>
      </w:r>
      <w:r>
        <w:fldChar w:fldCharType="end"/>
      </w:r>
      <w:r>
        <w:t xml:space="preserve"> </w:t>
      </w:r>
    </w:p>
  </w:footnote>
  <w:footnote w:id="14">
    <w:p w:rsidR="00D36DA6" w14:paraId="3008F6C5" w14:textId="576ADC4F">
      <w:pPr>
        <w:pStyle w:val="FootnoteText"/>
      </w:pPr>
      <w:r>
        <w:rPr>
          <w:rStyle w:val="FootnoteReference"/>
        </w:rPr>
        <w:footnoteRef/>
      </w:r>
      <w:r>
        <w:t xml:space="preserve"> </w:t>
      </w:r>
      <w:r w:rsidRPr="001A71A1">
        <w:t>http://www.csb.gov.lv/notikumi/167-uznemumu-izmanto-makondatosanas-pakalpojumus-45913.html</w:t>
      </w:r>
    </w:p>
  </w:footnote>
  <w:footnote w:id="15">
    <w:p w:rsidR="00D36DA6" w14:paraId="68AF6083" w14:textId="3074CEB6">
      <w:pPr>
        <w:pStyle w:val="FootnoteText"/>
      </w:pPr>
      <w:r>
        <w:rPr>
          <w:rStyle w:val="FootnoteReference"/>
        </w:rPr>
        <w:footnoteRef/>
      </w:r>
      <w:r>
        <w:t xml:space="preserve"> </w:t>
      </w:r>
      <w:r w:rsidRPr="001A71A1">
        <w:t>https://www.idgenterprise.com/resource/research/2016-idg-enterprise-cloud-computing-survey/</w:t>
      </w:r>
    </w:p>
  </w:footnote>
  <w:footnote w:id="16">
    <w:p w:rsidR="00D36DA6" w:rsidP="00781866" w14:paraId="239C613C" w14:textId="77777777">
      <w:pPr>
        <w:rPr>
          <w:sz w:val="20"/>
          <w:szCs w:val="20"/>
        </w:rPr>
      </w:pPr>
      <w:r>
        <w:rPr>
          <w:vertAlign w:val="superscript"/>
        </w:rPr>
        <w:footnoteRef/>
      </w:r>
      <w:r>
        <w:rPr>
          <w:sz w:val="20"/>
          <w:szCs w:val="20"/>
        </w:rPr>
        <w:t xml:space="preserve"> </w:t>
      </w:r>
      <w:r>
        <w:fldChar w:fldCharType="begin"/>
      </w:r>
      <w:r>
        <w:instrText xml:space="preserve"> HYPERLINK "http://www.finance.gov.au/blog/2016/04/22release-of-cloud-services-panel-discussion-paper/" </w:instrText>
      </w:r>
      <w:r>
        <w:fldChar w:fldCharType="separate"/>
      </w:r>
      <w:r>
        <w:rPr>
          <w:color w:val="1155CC"/>
          <w:sz w:val="20"/>
          <w:szCs w:val="20"/>
          <w:u w:val="single"/>
        </w:rPr>
        <w:t>http://www.finance.gov.au/blog/2016/04/22release-of-cloud-services-panel-discussion-paper/</w:t>
      </w:r>
      <w:r>
        <w:fldChar w:fldCharType="end"/>
      </w:r>
      <w:r>
        <w:rPr>
          <w:sz w:val="20"/>
          <w:szCs w:val="20"/>
        </w:rPr>
        <w:t xml:space="preserve"> </w:t>
      </w:r>
    </w:p>
  </w:footnote>
  <w:footnote w:id="17">
    <w:p w:rsidR="00D36DA6" w:rsidP="00781866" w14:paraId="414B0CFE" w14:textId="77777777">
      <w:pPr>
        <w:rPr>
          <w:sz w:val="20"/>
          <w:szCs w:val="20"/>
        </w:rPr>
      </w:pPr>
      <w:r>
        <w:rPr>
          <w:vertAlign w:val="superscript"/>
        </w:rPr>
        <w:footnoteRef/>
      </w:r>
      <w:r>
        <w:rPr>
          <w:sz w:val="20"/>
          <w:szCs w:val="20"/>
        </w:rPr>
        <w:t xml:space="preserve"> </w:t>
      </w:r>
      <w:r>
        <w:fldChar w:fldCharType="begin"/>
      </w:r>
      <w:r>
        <w:instrText xml:space="preserve"> HYPERLINK "https://www.gov.uk/guidance/how-to-assess-a-hosting-business-case" </w:instrText>
      </w:r>
      <w:r>
        <w:fldChar w:fldCharType="separate"/>
      </w:r>
      <w:r>
        <w:rPr>
          <w:color w:val="1155CC"/>
          <w:sz w:val="20"/>
          <w:szCs w:val="20"/>
          <w:u w:val="single"/>
        </w:rPr>
        <w:t>https://www.gov.uk/guidance/how-to-assess-a-hosting-business-case</w:t>
      </w:r>
      <w:r>
        <w:fldChar w:fldCharType="end"/>
      </w:r>
      <w:r>
        <w:rPr>
          <w:sz w:val="20"/>
          <w:szCs w:val="20"/>
        </w:rPr>
        <w:t xml:space="preserve"> </w:t>
      </w:r>
    </w:p>
  </w:footnote>
  <w:footnote w:id="18">
    <w:p w:rsidR="00D36DA6" w:rsidP="00781866" w14:paraId="773E5013" w14:textId="77777777">
      <w:pPr>
        <w:rPr>
          <w:sz w:val="20"/>
          <w:szCs w:val="20"/>
        </w:rPr>
      </w:pPr>
      <w:r>
        <w:rPr>
          <w:vertAlign w:val="superscript"/>
        </w:rPr>
        <w:footnoteRef/>
      </w:r>
      <w:r>
        <w:rPr>
          <w:sz w:val="20"/>
          <w:szCs w:val="20"/>
        </w:rPr>
        <w:t xml:space="preserve"> </w:t>
      </w:r>
      <w:r>
        <w:fldChar w:fldCharType="begin"/>
      </w:r>
      <w:r>
        <w:instrText xml:space="preserve"> HYPERLINK "https://www.gov.uk/guidance/government-cloud-first-policy" </w:instrText>
      </w:r>
      <w:r>
        <w:fldChar w:fldCharType="separate"/>
      </w:r>
      <w:r>
        <w:rPr>
          <w:color w:val="1155CC"/>
          <w:sz w:val="20"/>
          <w:szCs w:val="20"/>
          <w:u w:val="single"/>
        </w:rPr>
        <w:t>https://www.gov.uk/guidance/government-cloud-first-policy</w:t>
      </w:r>
      <w:r>
        <w:fldChar w:fldCharType="end"/>
      </w:r>
      <w:r>
        <w:rPr>
          <w:sz w:val="20"/>
          <w:szCs w:val="20"/>
        </w:rPr>
        <w:t xml:space="preserve"> </w:t>
      </w:r>
    </w:p>
  </w:footnote>
  <w:footnote w:id="19">
    <w:p w:rsidR="00D36DA6" w14:paraId="7E358094" w14:textId="5A6CBB1B">
      <w:pPr>
        <w:pStyle w:val="FootnoteText"/>
      </w:pPr>
      <w:r>
        <w:rPr>
          <w:rStyle w:val="FootnoteReference"/>
        </w:rPr>
        <w:footnoteRef/>
      </w:r>
      <w:r w:rsidRPr="009A0AD5">
        <w:rPr>
          <w:rFonts w:ascii="Times New Roman" w:eastAsia="Times New Roman" w:hAnsi="Times New Roman" w:cs="Times New Roman"/>
          <w:color w:val="1155CC"/>
          <w:u w:val="single"/>
        </w:rPr>
        <w:t xml:space="preserve"> https://ec.europa.eu/digital-single-market/en/news/measuring-economic-impact-cloud-computing-europe</w:t>
      </w:r>
    </w:p>
  </w:footnote>
  <w:footnote w:id="20">
    <w:p w:rsidR="00D36DA6" w:rsidP="00781866" w14:paraId="2C92E702" w14:textId="77777777">
      <w:pPr>
        <w:rPr>
          <w:sz w:val="16"/>
          <w:szCs w:val="16"/>
        </w:rPr>
      </w:pPr>
      <w:r>
        <w:rPr>
          <w:vertAlign w:val="superscript"/>
        </w:rPr>
        <w:footnoteRef/>
      </w:r>
      <w:r>
        <w:rPr>
          <w:sz w:val="20"/>
          <w:szCs w:val="20"/>
        </w:rPr>
        <w:t xml:space="preserve"> </w:t>
      </w:r>
      <w:r>
        <w:fldChar w:fldCharType="begin"/>
      </w:r>
      <w:r>
        <w:instrText xml:space="preserve"> HYPERLINK "https://www.gartner.com/doc/3419017/evolving-sharedservice-organization-higher-maturity?docdisp=share&amp;srcId=1-4398736771" </w:instrText>
      </w:r>
      <w:r>
        <w:fldChar w:fldCharType="separate"/>
      </w:r>
      <w:r>
        <w:rPr>
          <w:color w:val="1155CC"/>
          <w:sz w:val="18"/>
          <w:szCs w:val="18"/>
          <w:u w:val="single"/>
        </w:rPr>
        <w:t>https://www.gartner.com/doc/3419017/evolving-sharedservice-organization-higher-maturity?docdisp=share&amp;srcId=1-4398736771</w:t>
      </w:r>
      <w:r>
        <w:fldChar w:fldCharType="end"/>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2104477"/>
      <w:docPartObj>
        <w:docPartGallery w:val="Page Numbers (Top of Page)"/>
        <w:docPartUnique/>
      </w:docPartObj>
    </w:sdtPr>
    <w:sdtEndPr>
      <w:rPr>
        <w:noProof/>
      </w:rPr>
    </w:sdtEndPr>
    <w:sdtContent>
      <w:p w:rsidR="00D36DA6" w14:paraId="495DE1DD" w14:textId="23037D4E">
        <w:pPr>
          <w:pStyle w:val="Header"/>
          <w:jc w:val="center"/>
        </w:pPr>
        <w:r>
          <w:fldChar w:fldCharType="begin"/>
        </w:r>
        <w:r>
          <w:instrText xml:space="preserve"> PAGE   \* MERGEFORMAT </w:instrText>
        </w:r>
        <w:r>
          <w:fldChar w:fldCharType="separate"/>
        </w:r>
        <w:r w:rsidR="00D26A2B">
          <w:rPr>
            <w:noProof/>
          </w:rPr>
          <w:t>38</w:t>
        </w:r>
        <w:r>
          <w:rPr>
            <w:noProof/>
          </w:rPr>
          <w:fldChar w:fldCharType="end"/>
        </w:r>
      </w:p>
    </w:sdtContent>
  </w:sdt>
  <w:p w:rsidR="00D36DA6" w14:paraId="31AEB0C8" w14:textId="50D237C5">
    <w:pPr>
      <w:pStyle w:val="Header"/>
    </w:pPr>
  </w:p>
  <w:p w:rsidR="00D36DA6" w14:paraId="15C0A5C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8525BFA"/>
    <w:multiLevelType w:val="hybridMultilevel"/>
    <w:tmpl w:val="ADEA95D6"/>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9540A2D"/>
    <w:multiLevelType w:val="hybridMultilevel"/>
    <w:tmpl w:val="32E85F0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1">
    <w:nsid w:val="0CE9682D"/>
    <w:multiLevelType w:val="multilevel"/>
    <w:tmpl w:val="BF0E2684"/>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1">
    <w:nsid w:val="0D31368A"/>
    <w:multiLevelType w:val="hybridMultilevel"/>
    <w:tmpl w:val="096E0740"/>
    <w:lvl w:ilvl="0">
      <w:start w:val="2017"/>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0D85623A"/>
    <w:multiLevelType w:val="multilevel"/>
    <w:tmpl w:val="3AF41E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1">
    <w:nsid w:val="166C5EE4"/>
    <w:multiLevelType w:val="multilevel"/>
    <w:tmpl w:val="22D0FC1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1">
    <w:nsid w:val="18011F15"/>
    <w:multiLevelType w:val="multilevel"/>
    <w:tmpl w:val="535C675C"/>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1">
    <w:nsid w:val="18582383"/>
    <w:multiLevelType w:val="multilevel"/>
    <w:tmpl w:val="045C90A6"/>
    <w:lvl w:ilvl="0">
      <w:start w:val="2017"/>
      <w:numFmt w:val="bullet"/>
      <w:lvlText w:val="-"/>
      <w:lvlJc w:val="left"/>
      <w:pPr>
        <w:ind w:left="720" w:hanging="360"/>
      </w:pPr>
      <w:rPr>
        <w:rFonts w:ascii="Arial" w:eastAsia="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1">
    <w:nsid w:val="19CA0CFC"/>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1">
    <w:nsid w:val="24905D98"/>
    <w:multiLevelType w:val="multilevel"/>
    <w:tmpl w:val="C77EE08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1">
    <w:nsid w:val="25F61AC4"/>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29973CE4"/>
    <w:multiLevelType w:val="multilevel"/>
    <w:tmpl w:val="4F8AC510"/>
    <w:lvl w:ilvl="0">
      <w:start w:val="2017"/>
      <w:numFmt w:val="bullet"/>
      <w:lvlText w:val="-"/>
      <w:lvlJc w:val="left"/>
      <w:pPr>
        <w:ind w:left="1080" w:hanging="360"/>
      </w:pPr>
      <w:rPr>
        <w:rFonts w:ascii="Arial" w:eastAsia="Arial" w:hAnsi="Arial" w:cs="Aria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1">
    <w:nsid w:val="2B1A2F5D"/>
    <w:multiLevelType w:val="hybridMultilevel"/>
    <w:tmpl w:val="8C6C7EF6"/>
    <w:lvl w:ilvl="0">
      <w:start w:val="2017"/>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2CB85B6E"/>
    <w:multiLevelType w:val="multilevel"/>
    <w:tmpl w:val="B18E3C64"/>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1">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122285D"/>
    <w:multiLevelType w:val="hybridMultilevel"/>
    <w:tmpl w:val="6ED080B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3808489E"/>
    <w:multiLevelType w:val="multilevel"/>
    <w:tmpl w:val="F79EEC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1">
    <w:nsid w:val="3BFE2D95"/>
    <w:multiLevelType w:val="hybridMultilevel"/>
    <w:tmpl w:val="EB360060"/>
    <w:lvl w:ilvl="0">
      <w:start w:val="2017"/>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3C4307DE"/>
    <w:multiLevelType w:val="multilevel"/>
    <w:tmpl w:val="EBA6DDC0"/>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1">
    <w:nsid w:val="3C6E19A7"/>
    <w:multiLevelType w:val="multilevel"/>
    <w:tmpl w:val="937804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1">
    <w:nsid w:val="3C7D4D9F"/>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1">
    <w:nsid w:val="460F00BA"/>
    <w:multiLevelType w:val="multilevel"/>
    <w:tmpl w:val="0D7A5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1">
    <w:nsid w:val="49BC628C"/>
    <w:multiLevelType w:val="multilevel"/>
    <w:tmpl w:val="927064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1">
    <w:nsid w:val="4E031413"/>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1">
    <w:nsid w:val="4E5029D4"/>
    <w:multiLevelType w:val="multilevel"/>
    <w:tmpl w:val="AD1ED3D6"/>
    <w:lvl w:ilvl="0">
      <w:start w:val="2017"/>
      <w:numFmt w:val="bullet"/>
      <w:lvlText w:val="-"/>
      <w:lvlJc w:val="left"/>
      <w:pPr>
        <w:ind w:left="1080" w:hanging="360"/>
      </w:pPr>
      <w:rPr>
        <w:rFonts w:ascii="Arial" w:eastAsia="Arial" w:hAnsi="Arial" w:cs="Aria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1">
    <w:nsid w:val="4EBB3132"/>
    <w:multiLevelType w:val="hybridMultilevel"/>
    <w:tmpl w:val="F27879AA"/>
    <w:lvl w:ilvl="0">
      <w:start w:val="2017"/>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4F9C5C77"/>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1">
    <w:nsid w:val="53F05991"/>
    <w:multiLevelType w:val="multilevel"/>
    <w:tmpl w:val="9CCCB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1">
    <w:nsid w:val="57C156F6"/>
    <w:multiLevelType w:val="multilevel"/>
    <w:tmpl w:val="E37466D4"/>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1">
    <w:nsid w:val="5857463E"/>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1">
    <w:nsid w:val="5D263A10"/>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1">
    <w:nsid w:val="5E6E7025"/>
    <w:multiLevelType w:val="multilevel"/>
    <w:tmpl w:val="369ED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1">
    <w:nsid w:val="60D04FE1"/>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1">
    <w:nsid w:val="63F274EB"/>
    <w:multiLevelType w:val="multilevel"/>
    <w:tmpl w:val="48181EF6"/>
    <w:lvl w:ilvl="0">
      <w:start w:val="1"/>
      <w:numFmt w:val="bullet"/>
      <w:lvlText w:val="●"/>
      <w:lvlJc w:val="left"/>
      <w:pPr>
        <w:ind w:left="1080" w:hanging="360"/>
      </w:pPr>
      <w:rPr>
        <w:u w:val="none"/>
      </w:rPr>
    </w:lvl>
    <w:lvl w:ilvl="1">
      <w:start w:val="2017"/>
      <w:numFmt w:val="bullet"/>
      <w:lvlText w:val="-"/>
      <w:lvlJc w:val="left"/>
      <w:pPr>
        <w:ind w:left="1800" w:hanging="360"/>
      </w:pPr>
      <w:rPr>
        <w:rFonts w:ascii="Arial" w:eastAsia="Arial" w:hAnsi="Arial" w:cs="Aria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1">
    <w:nsid w:val="643F09D9"/>
    <w:multiLevelType w:val="hybridMultilevel"/>
    <w:tmpl w:val="F97CCC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5F81613"/>
    <w:multiLevelType w:val="multilevel"/>
    <w:tmpl w:val="292270D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1">
    <w:nsid w:val="699A0E35"/>
    <w:multiLevelType w:val="multilevel"/>
    <w:tmpl w:val="7E52A844"/>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1">
    <w:nsid w:val="72D80997"/>
    <w:multiLevelType w:val="multilevel"/>
    <w:tmpl w:val="2582497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1">
    <w:nsid w:val="79A6249D"/>
    <w:multiLevelType w:val="hybridMultilevel"/>
    <w:tmpl w:val="BC221CCA"/>
    <w:lvl w:ilvl="0">
      <w:start w:val="1"/>
      <w:numFmt w:val="bullet"/>
      <w:pStyle w:val="Tablelist"/>
      <w:lvlText w:val=""/>
      <w:lvlJc w:val="left"/>
      <w:pPr>
        <w:tabs>
          <w:tab w:val="num" w:pos="397"/>
        </w:tabs>
        <w:ind w:left="397"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1">
    <w:nsid w:val="7F594B53"/>
    <w:multiLevelType w:val="multilevel"/>
    <w:tmpl w:val="CB307D5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0"/>
  </w:num>
  <w:num w:numId="3">
    <w:abstractNumId w:val="17"/>
  </w:num>
  <w:num w:numId="4">
    <w:abstractNumId w:val="34"/>
  </w:num>
  <w:num w:numId="5">
    <w:abstractNumId w:val="3"/>
  </w:num>
  <w:num w:numId="6">
    <w:abstractNumId w:val="24"/>
  </w:num>
  <w:num w:numId="7">
    <w:abstractNumId w:val="35"/>
  </w:num>
  <w:num w:numId="8">
    <w:abstractNumId w:val="30"/>
  </w:num>
  <w:num w:numId="9">
    <w:abstractNumId w:val="42"/>
  </w:num>
  <w:num w:numId="10">
    <w:abstractNumId w:val="29"/>
  </w:num>
  <w:num w:numId="11">
    <w:abstractNumId w:val="32"/>
  </w:num>
  <w:num w:numId="12">
    <w:abstractNumId w:val="25"/>
  </w:num>
  <w:num w:numId="13">
    <w:abstractNumId w:val="22"/>
  </w:num>
  <w:num w:numId="14">
    <w:abstractNumId w:val="23"/>
  </w:num>
  <w:num w:numId="15">
    <w:abstractNumId w:val="33"/>
  </w:num>
  <w:num w:numId="16">
    <w:abstractNumId w:val="26"/>
  </w:num>
  <w:num w:numId="17">
    <w:abstractNumId w:val="31"/>
  </w:num>
  <w:num w:numId="18">
    <w:abstractNumId w:val="39"/>
  </w:num>
  <w:num w:numId="19">
    <w:abstractNumId w:val="9"/>
  </w:num>
  <w:num w:numId="20">
    <w:abstractNumId w:val="16"/>
  </w:num>
  <w:num w:numId="21">
    <w:abstractNumId w:val="10"/>
  </w:num>
  <w:num w:numId="22">
    <w:abstractNumId w:val="20"/>
  </w:num>
  <w:num w:numId="23">
    <w:abstractNumId w:val="28"/>
  </w:num>
  <w:num w:numId="24">
    <w:abstractNumId w:val="5"/>
  </w:num>
  <w:num w:numId="25">
    <w:abstractNumId w:val="15"/>
  </w:num>
  <w:num w:numId="26">
    <w:abstractNumId w:val="7"/>
  </w:num>
  <w:num w:numId="27">
    <w:abstractNumId w:val="27"/>
  </w:num>
  <w:num w:numId="28">
    <w:abstractNumId w:val="38"/>
  </w:num>
  <w:num w:numId="29">
    <w:abstractNumId w:val="11"/>
  </w:num>
  <w:num w:numId="30">
    <w:abstractNumId w:val="21"/>
  </w:num>
  <w:num w:numId="31">
    <w:abstractNumId w:val="19"/>
  </w:num>
  <w:num w:numId="32">
    <w:abstractNumId w:val="4"/>
  </w:num>
  <w:num w:numId="33">
    <w:abstractNumId w:val="12"/>
  </w:num>
  <w:num w:numId="34">
    <w:abstractNumId w:val="40"/>
  </w:num>
  <w:num w:numId="35">
    <w:abstractNumId w:val="6"/>
  </w:num>
  <w:num w:numId="36">
    <w:abstractNumId w:val="18"/>
  </w:num>
  <w:num w:numId="37">
    <w:abstractNumId w:val="8"/>
  </w:num>
  <w:num w:numId="38">
    <w:abstractNumId w:val="37"/>
  </w:num>
  <w:num w:numId="39">
    <w:abstractNumId w:val="43"/>
  </w:num>
  <w:num w:numId="40">
    <w:abstractNumId w:val="1"/>
  </w:num>
  <w:num w:numId="41">
    <w:abstractNumId w:val="2"/>
  </w:num>
  <w:num w:numId="42">
    <w:abstractNumId w:val="13"/>
  </w:num>
  <w:num w:numId="43">
    <w:abstractNumId w:val="1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CB"/>
    <w:rsid w:val="000006DC"/>
    <w:rsid w:val="0000153E"/>
    <w:rsid w:val="0000183E"/>
    <w:rsid w:val="00002134"/>
    <w:rsid w:val="00004C4C"/>
    <w:rsid w:val="00007B4B"/>
    <w:rsid w:val="00010528"/>
    <w:rsid w:val="00011A06"/>
    <w:rsid w:val="00011B48"/>
    <w:rsid w:val="00013169"/>
    <w:rsid w:val="00013466"/>
    <w:rsid w:val="000141F3"/>
    <w:rsid w:val="00014204"/>
    <w:rsid w:val="00015F7E"/>
    <w:rsid w:val="00016321"/>
    <w:rsid w:val="000206DB"/>
    <w:rsid w:val="000207A7"/>
    <w:rsid w:val="00021D09"/>
    <w:rsid w:val="00021D5F"/>
    <w:rsid w:val="00024448"/>
    <w:rsid w:val="00024C46"/>
    <w:rsid w:val="000256EA"/>
    <w:rsid w:val="00025CDC"/>
    <w:rsid w:val="00026DCF"/>
    <w:rsid w:val="00026F24"/>
    <w:rsid w:val="00026FD3"/>
    <w:rsid w:val="000276BA"/>
    <w:rsid w:val="0003160D"/>
    <w:rsid w:val="00032878"/>
    <w:rsid w:val="00034E1D"/>
    <w:rsid w:val="0003601C"/>
    <w:rsid w:val="00041515"/>
    <w:rsid w:val="0004355A"/>
    <w:rsid w:val="00044F70"/>
    <w:rsid w:val="00045C10"/>
    <w:rsid w:val="00050B24"/>
    <w:rsid w:val="000520E6"/>
    <w:rsid w:val="000521CA"/>
    <w:rsid w:val="00052424"/>
    <w:rsid w:val="000532A6"/>
    <w:rsid w:val="00053729"/>
    <w:rsid w:val="0005438C"/>
    <w:rsid w:val="000544FE"/>
    <w:rsid w:val="00054975"/>
    <w:rsid w:val="00057F98"/>
    <w:rsid w:val="00060379"/>
    <w:rsid w:val="00060A20"/>
    <w:rsid w:val="00061869"/>
    <w:rsid w:val="00061BB6"/>
    <w:rsid w:val="00063B62"/>
    <w:rsid w:val="00064379"/>
    <w:rsid w:val="00064CFA"/>
    <w:rsid w:val="000653C6"/>
    <w:rsid w:val="0006552D"/>
    <w:rsid w:val="00065DE7"/>
    <w:rsid w:val="00067B70"/>
    <w:rsid w:val="00071D3D"/>
    <w:rsid w:val="000778BE"/>
    <w:rsid w:val="000816A9"/>
    <w:rsid w:val="0008177D"/>
    <w:rsid w:val="00082069"/>
    <w:rsid w:val="000826D9"/>
    <w:rsid w:val="00085862"/>
    <w:rsid w:val="00085A04"/>
    <w:rsid w:val="000862A3"/>
    <w:rsid w:val="0008644A"/>
    <w:rsid w:val="0008669E"/>
    <w:rsid w:val="000900BE"/>
    <w:rsid w:val="000908A1"/>
    <w:rsid w:val="00092769"/>
    <w:rsid w:val="000950A6"/>
    <w:rsid w:val="00095455"/>
    <w:rsid w:val="00095CBC"/>
    <w:rsid w:val="00095D43"/>
    <w:rsid w:val="0009631F"/>
    <w:rsid w:val="000965A8"/>
    <w:rsid w:val="00096DE4"/>
    <w:rsid w:val="00097307"/>
    <w:rsid w:val="00097861"/>
    <w:rsid w:val="000A01D2"/>
    <w:rsid w:val="000A07D0"/>
    <w:rsid w:val="000A18E8"/>
    <w:rsid w:val="000A3EB8"/>
    <w:rsid w:val="000A4C15"/>
    <w:rsid w:val="000A4CA3"/>
    <w:rsid w:val="000A4E56"/>
    <w:rsid w:val="000A602C"/>
    <w:rsid w:val="000A6A5D"/>
    <w:rsid w:val="000B0C02"/>
    <w:rsid w:val="000B2774"/>
    <w:rsid w:val="000B2786"/>
    <w:rsid w:val="000B3704"/>
    <w:rsid w:val="000B4DAF"/>
    <w:rsid w:val="000B4E32"/>
    <w:rsid w:val="000B5AE5"/>
    <w:rsid w:val="000B7E10"/>
    <w:rsid w:val="000C0A7E"/>
    <w:rsid w:val="000C2088"/>
    <w:rsid w:val="000C31AB"/>
    <w:rsid w:val="000C3BAC"/>
    <w:rsid w:val="000C47D7"/>
    <w:rsid w:val="000C4955"/>
    <w:rsid w:val="000C6236"/>
    <w:rsid w:val="000C6878"/>
    <w:rsid w:val="000C6B8A"/>
    <w:rsid w:val="000C7D86"/>
    <w:rsid w:val="000D0546"/>
    <w:rsid w:val="000D0B7E"/>
    <w:rsid w:val="000D1931"/>
    <w:rsid w:val="000D1BDC"/>
    <w:rsid w:val="000D1E39"/>
    <w:rsid w:val="000D24DB"/>
    <w:rsid w:val="000D489A"/>
    <w:rsid w:val="000D48B7"/>
    <w:rsid w:val="000D53E3"/>
    <w:rsid w:val="000D633F"/>
    <w:rsid w:val="000D6D40"/>
    <w:rsid w:val="000D6DA2"/>
    <w:rsid w:val="000D78C0"/>
    <w:rsid w:val="000D797E"/>
    <w:rsid w:val="000D79B2"/>
    <w:rsid w:val="000E0B36"/>
    <w:rsid w:val="000E1104"/>
    <w:rsid w:val="000E26FC"/>
    <w:rsid w:val="000E30BD"/>
    <w:rsid w:val="000E31AC"/>
    <w:rsid w:val="000E3FEC"/>
    <w:rsid w:val="000E45BB"/>
    <w:rsid w:val="000E5DAA"/>
    <w:rsid w:val="000E7754"/>
    <w:rsid w:val="000F00F4"/>
    <w:rsid w:val="000F0163"/>
    <w:rsid w:val="000F16C7"/>
    <w:rsid w:val="000F215C"/>
    <w:rsid w:val="000F2474"/>
    <w:rsid w:val="000F2695"/>
    <w:rsid w:val="000F309B"/>
    <w:rsid w:val="000F3B1D"/>
    <w:rsid w:val="000F3C8A"/>
    <w:rsid w:val="000F3E02"/>
    <w:rsid w:val="000F5AB3"/>
    <w:rsid w:val="000F5E2C"/>
    <w:rsid w:val="000F5ECA"/>
    <w:rsid w:val="000F7D4D"/>
    <w:rsid w:val="001049A1"/>
    <w:rsid w:val="00104B9E"/>
    <w:rsid w:val="001057B0"/>
    <w:rsid w:val="00107E04"/>
    <w:rsid w:val="00110C20"/>
    <w:rsid w:val="00112C2F"/>
    <w:rsid w:val="00112C7D"/>
    <w:rsid w:val="0011340C"/>
    <w:rsid w:val="001141A8"/>
    <w:rsid w:val="0011745F"/>
    <w:rsid w:val="00117B9B"/>
    <w:rsid w:val="00120307"/>
    <w:rsid w:val="00123BF1"/>
    <w:rsid w:val="00123C56"/>
    <w:rsid w:val="00123FDA"/>
    <w:rsid w:val="00123FDE"/>
    <w:rsid w:val="001242CA"/>
    <w:rsid w:val="00124903"/>
    <w:rsid w:val="00124C9B"/>
    <w:rsid w:val="001255EF"/>
    <w:rsid w:val="00125669"/>
    <w:rsid w:val="00126929"/>
    <w:rsid w:val="00126AB8"/>
    <w:rsid w:val="00126F46"/>
    <w:rsid w:val="00127F12"/>
    <w:rsid w:val="00130069"/>
    <w:rsid w:val="0013303F"/>
    <w:rsid w:val="00133921"/>
    <w:rsid w:val="00135A06"/>
    <w:rsid w:val="001405F6"/>
    <w:rsid w:val="001409B3"/>
    <w:rsid w:val="0014165C"/>
    <w:rsid w:val="00141D48"/>
    <w:rsid w:val="0014307D"/>
    <w:rsid w:val="00143472"/>
    <w:rsid w:val="00143C6F"/>
    <w:rsid w:val="00143CD9"/>
    <w:rsid w:val="00151362"/>
    <w:rsid w:val="001524FE"/>
    <w:rsid w:val="0015259E"/>
    <w:rsid w:val="00155651"/>
    <w:rsid w:val="00155866"/>
    <w:rsid w:val="00155B88"/>
    <w:rsid w:val="001561BF"/>
    <w:rsid w:val="00160FE5"/>
    <w:rsid w:val="00161D99"/>
    <w:rsid w:val="001623E3"/>
    <w:rsid w:val="0016275B"/>
    <w:rsid w:val="00162D95"/>
    <w:rsid w:val="00164416"/>
    <w:rsid w:val="00164D95"/>
    <w:rsid w:val="00164DDA"/>
    <w:rsid w:val="00166B80"/>
    <w:rsid w:val="0016758C"/>
    <w:rsid w:val="00171F3A"/>
    <w:rsid w:val="001725DF"/>
    <w:rsid w:val="00173C17"/>
    <w:rsid w:val="001758B1"/>
    <w:rsid w:val="00176364"/>
    <w:rsid w:val="00176613"/>
    <w:rsid w:val="00184065"/>
    <w:rsid w:val="00184244"/>
    <w:rsid w:val="0018680C"/>
    <w:rsid w:val="00186E0A"/>
    <w:rsid w:val="001873F7"/>
    <w:rsid w:val="001874C5"/>
    <w:rsid w:val="00190B0D"/>
    <w:rsid w:val="00191383"/>
    <w:rsid w:val="0019188A"/>
    <w:rsid w:val="00191BE5"/>
    <w:rsid w:val="00192A16"/>
    <w:rsid w:val="0019444B"/>
    <w:rsid w:val="0019529E"/>
    <w:rsid w:val="0019657C"/>
    <w:rsid w:val="001A09EB"/>
    <w:rsid w:val="001A2094"/>
    <w:rsid w:val="001A2525"/>
    <w:rsid w:val="001A2684"/>
    <w:rsid w:val="001A53EB"/>
    <w:rsid w:val="001A60C0"/>
    <w:rsid w:val="001A6E18"/>
    <w:rsid w:val="001A71A1"/>
    <w:rsid w:val="001B022E"/>
    <w:rsid w:val="001B1A72"/>
    <w:rsid w:val="001B238A"/>
    <w:rsid w:val="001B2656"/>
    <w:rsid w:val="001B27A4"/>
    <w:rsid w:val="001B38A3"/>
    <w:rsid w:val="001B3E66"/>
    <w:rsid w:val="001B66F4"/>
    <w:rsid w:val="001B67D2"/>
    <w:rsid w:val="001B776B"/>
    <w:rsid w:val="001C1733"/>
    <w:rsid w:val="001C2F73"/>
    <w:rsid w:val="001C378E"/>
    <w:rsid w:val="001C54A7"/>
    <w:rsid w:val="001C58BA"/>
    <w:rsid w:val="001C5CFE"/>
    <w:rsid w:val="001C66DB"/>
    <w:rsid w:val="001C68E7"/>
    <w:rsid w:val="001C78A7"/>
    <w:rsid w:val="001D19E7"/>
    <w:rsid w:val="001D39B7"/>
    <w:rsid w:val="001D40BC"/>
    <w:rsid w:val="001D44B3"/>
    <w:rsid w:val="001D51D9"/>
    <w:rsid w:val="001D569C"/>
    <w:rsid w:val="001D5BB1"/>
    <w:rsid w:val="001D6821"/>
    <w:rsid w:val="001D6C4A"/>
    <w:rsid w:val="001D7C78"/>
    <w:rsid w:val="001D7D14"/>
    <w:rsid w:val="001E1C28"/>
    <w:rsid w:val="001E39CA"/>
    <w:rsid w:val="001E4650"/>
    <w:rsid w:val="001E5EE6"/>
    <w:rsid w:val="001E6B5A"/>
    <w:rsid w:val="001E6FC6"/>
    <w:rsid w:val="001F0626"/>
    <w:rsid w:val="001F30DD"/>
    <w:rsid w:val="001F3464"/>
    <w:rsid w:val="001F3CE1"/>
    <w:rsid w:val="001F4CC4"/>
    <w:rsid w:val="001F6013"/>
    <w:rsid w:val="001F6218"/>
    <w:rsid w:val="001F7DC4"/>
    <w:rsid w:val="0020135A"/>
    <w:rsid w:val="00201D04"/>
    <w:rsid w:val="00202C5B"/>
    <w:rsid w:val="0020404C"/>
    <w:rsid w:val="00204C0B"/>
    <w:rsid w:val="0020512B"/>
    <w:rsid w:val="00205FE3"/>
    <w:rsid w:val="00206AE7"/>
    <w:rsid w:val="00206B7B"/>
    <w:rsid w:val="00206C7C"/>
    <w:rsid w:val="002072B8"/>
    <w:rsid w:val="00207883"/>
    <w:rsid w:val="00210EA8"/>
    <w:rsid w:val="00211153"/>
    <w:rsid w:val="00211F39"/>
    <w:rsid w:val="00213647"/>
    <w:rsid w:val="002143CF"/>
    <w:rsid w:val="002159D9"/>
    <w:rsid w:val="00215C52"/>
    <w:rsid w:val="00216ADC"/>
    <w:rsid w:val="0022087E"/>
    <w:rsid w:val="00222056"/>
    <w:rsid w:val="00224FC9"/>
    <w:rsid w:val="002269B9"/>
    <w:rsid w:val="002305A1"/>
    <w:rsid w:val="0023060B"/>
    <w:rsid w:val="002310CB"/>
    <w:rsid w:val="00232B28"/>
    <w:rsid w:val="00233B3E"/>
    <w:rsid w:val="00235400"/>
    <w:rsid w:val="00235DDD"/>
    <w:rsid w:val="00236709"/>
    <w:rsid w:val="00236DA2"/>
    <w:rsid w:val="00237EAC"/>
    <w:rsid w:val="0024102A"/>
    <w:rsid w:val="00241B28"/>
    <w:rsid w:val="00244FB6"/>
    <w:rsid w:val="002458CF"/>
    <w:rsid w:val="00247305"/>
    <w:rsid w:val="00247FE9"/>
    <w:rsid w:val="002502CA"/>
    <w:rsid w:val="002513F2"/>
    <w:rsid w:val="00251470"/>
    <w:rsid w:val="002515F6"/>
    <w:rsid w:val="00253093"/>
    <w:rsid w:val="00253835"/>
    <w:rsid w:val="00254FA9"/>
    <w:rsid w:val="002560A8"/>
    <w:rsid w:val="002569EA"/>
    <w:rsid w:val="00257BCB"/>
    <w:rsid w:val="00257BF9"/>
    <w:rsid w:val="00260241"/>
    <w:rsid w:val="0026078D"/>
    <w:rsid w:val="00262851"/>
    <w:rsid w:val="00262D6E"/>
    <w:rsid w:val="00263E0D"/>
    <w:rsid w:val="00263F94"/>
    <w:rsid w:val="00264D5B"/>
    <w:rsid w:val="00264D9F"/>
    <w:rsid w:val="0026518D"/>
    <w:rsid w:val="00265FE4"/>
    <w:rsid w:val="0027066D"/>
    <w:rsid w:val="0027139A"/>
    <w:rsid w:val="002717E4"/>
    <w:rsid w:val="00271B50"/>
    <w:rsid w:val="00271C94"/>
    <w:rsid w:val="00271FF1"/>
    <w:rsid w:val="0027312A"/>
    <w:rsid w:val="002747C5"/>
    <w:rsid w:val="00275CF4"/>
    <w:rsid w:val="00276A9B"/>
    <w:rsid w:val="002801DD"/>
    <w:rsid w:val="002813DD"/>
    <w:rsid w:val="00282830"/>
    <w:rsid w:val="00283586"/>
    <w:rsid w:val="0028519D"/>
    <w:rsid w:val="002859AC"/>
    <w:rsid w:val="00285A96"/>
    <w:rsid w:val="00285D95"/>
    <w:rsid w:val="00286133"/>
    <w:rsid w:val="00290108"/>
    <w:rsid w:val="002901C3"/>
    <w:rsid w:val="00290DBC"/>
    <w:rsid w:val="00293B76"/>
    <w:rsid w:val="00295CEB"/>
    <w:rsid w:val="002968DD"/>
    <w:rsid w:val="002A0852"/>
    <w:rsid w:val="002A39D7"/>
    <w:rsid w:val="002A3CAA"/>
    <w:rsid w:val="002A3D5C"/>
    <w:rsid w:val="002A47FE"/>
    <w:rsid w:val="002A4EEA"/>
    <w:rsid w:val="002A6F3B"/>
    <w:rsid w:val="002A7B6B"/>
    <w:rsid w:val="002A7C86"/>
    <w:rsid w:val="002B238C"/>
    <w:rsid w:val="002B3C47"/>
    <w:rsid w:val="002B4881"/>
    <w:rsid w:val="002B52BB"/>
    <w:rsid w:val="002B52F2"/>
    <w:rsid w:val="002B5AAA"/>
    <w:rsid w:val="002B5C92"/>
    <w:rsid w:val="002B7922"/>
    <w:rsid w:val="002B7F71"/>
    <w:rsid w:val="002C1D51"/>
    <w:rsid w:val="002C2C10"/>
    <w:rsid w:val="002C4044"/>
    <w:rsid w:val="002C570D"/>
    <w:rsid w:val="002C7624"/>
    <w:rsid w:val="002D0062"/>
    <w:rsid w:val="002D2950"/>
    <w:rsid w:val="002D35C2"/>
    <w:rsid w:val="002D362B"/>
    <w:rsid w:val="002D6C36"/>
    <w:rsid w:val="002E0191"/>
    <w:rsid w:val="002E053D"/>
    <w:rsid w:val="002E0DEE"/>
    <w:rsid w:val="002E1CE9"/>
    <w:rsid w:val="002E233A"/>
    <w:rsid w:val="002E2B70"/>
    <w:rsid w:val="002E2E72"/>
    <w:rsid w:val="002E435A"/>
    <w:rsid w:val="002E4DD7"/>
    <w:rsid w:val="002E5258"/>
    <w:rsid w:val="002E599A"/>
    <w:rsid w:val="002F1162"/>
    <w:rsid w:val="002F4086"/>
    <w:rsid w:val="002F4387"/>
    <w:rsid w:val="002F4FA2"/>
    <w:rsid w:val="002F60D5"/>
    <w:rsid w:val="002F76E3"/>
    <w:rsid w:val="00301B39"/>
    <w:rsid w:val="00303F24"/>
    <w:rsid w:val="00303FD9"/>
    <w:rsid w:val="00304490"/>
    <w:rsid w:val="00304CF2"/>
    <w:rsid w:val="00305CC6"/>
    <w:rsid w:val="00306896"/>
    <w:rsid w:val="00311195"/>
    <w:rsid w:val="00311579"/>
    <w:rsid w:val="0031359A"/>
    <w:rsid w:val="003150C6"/>
    <w:rsid w:val="00315ABE"/>
    <w:rsid w:val="003174A5"/>
    <w:rsid w:val="00320064"/>
    <w:rsid w:val="00320920"/>
    <w:rsid w:val="00321431"/>
    <w:rsid w:val="00323024"/>
    <w:rsid w:val="00324FC1"/>
    <w:rsid w:val="003259DD"/>
    <w:rsid w:val="00326ACB"/>
    <w:rsid w:val="00330F9F"/>
    <w:rsid w:val="00331E21"/>
    <w:rsid w:val="00332DDB"/>
    <w:rsid w:val="00333AE6"/>
    <w:rsid w:val="0033711C"/>
    <w:rsid w:val="003378F7"/>
    <w:rsid w:val="00337E1F"/>
    <w:rsid w:val="00340ED7"/>
    <w:rsid w:val="00340F60"/>
    <w:rsid w:val="00340FA4"/>
    <w:rsid w:val="0034113E"/>
    <w:rsid w:val="0034154E"/>
    <w:rsid w:val="003439C1"/>
    <w:rsid w:val="00344A47"/>
    <w:rsid w:val="003464AA"/>
    <w:rsid w:val="00346CE6"/>
    <w:rsid w:val="003475AB"/>
    <w:rsid w:val="0035029F"/>
    <w:rsid w:val="00351154"/>
    <w:rsid w:val="003511C3"/>
    <w:rsid w:val="00351B65"/>
    <w:rsid w:val="00353202"/>
    <w:rsid w:val="003539AA"/>
    <w:rsid w:val="00354713"/>
    <w:rsid w:val="00356259"/>
    <w:rsid w:val="003575BA"/>
    <w:rsid w:val="00357602"/>
    <w:rsid w:val="0035786A"/>
    <w:rsid w:val="00361439"/>
    <w:rsid w:val="003614B8"/>
    <w:rsid w:val="00361C1B"/>
    <w:rsid w:val="00363D36"/>
    <w:rsid w:val="003642BE"/>
    <w:rsid w:val="0036491C"/>
    <w:rsid w:val="003655F7"/>
    <w:rsid w:val="00365FE9"/>
    <w:rsid w:val="0036636E"/>
    <w:rsid w:val="003670C6"/>
    <w:rsid w:val="00370A22"/>
    <w:rsid w:val="003712DF"/>
    <w:rsid w:val="003716A4"/>
    <w:rsid w:val="003746A0"/>
    <w:rsid w:val="0037498D"/>
    <w:rsid w:val="00375249"/>
    <w:rsid w:val="00375971"/>
    <w:rsid w:val="003762DD"/>
    <w:rsid w:val="00380249"/>
    <w:rsid w:val="00381537"/>
    <w:rsid w:val="00382562"/>
    <w:rsid w:val="00383A10"/>
    <w:rsid w:val="00384B71"/>
    <w:rsid w:val="003853A6"/>
    <w:rsid w:val="0039010B"/>
    <w:rsid w:val="00391BF8"/>
    <w:rsid w:val="0039240C"/>
    <w:rsid w:val="00392431"/>
    <w:rsid w:val="00392861"/>
    <w:rsid w:val="003934D1"/>
    <w:rsid w:val="003941C1"/>
    <w:rsid w:val="00394398"/>
    <w:rsid w:val="0039492D"/>
    <w:rsid w:val="003954FF"/>
    <w:rsid w:val="00395633"/>
    <w:rsid w:val="00395C66"/>
    <w:rsid w:val="00397341"/>
    <w:rsid w:val="003A1C68"/>
    <w:rsid w:val="003A2652"/>
    <w:rsid w:val="003A2715"/>
    <w:rsid w:val="003A276B"/>
    <w:rsid w:val="003A3442"/>
    <w:rsid w:val="003A3513"/>
    <w:rsid w:val="003A37AB"/>
    <w:rsid w:val="003A4A82"/>
    <w:rsid w:val="003A65B8"/>
    <w:rsid w:val="003A6F6C"/>
    <w:rsid w:val="003A6FA9"/>
    <w:rsid w:val="003A7C2E"/>
    <w:rsid w:val="003A7D63"/>
    <w:rsid w:val="003B0DAB"/>
    <w:rsid w:val="003B3CB6"/>
    <w:rsid w:val="003B5897"/>
    <w:rsid w:val="003B5DA6"/>
    <w:rsid w:val="003B734E"/>
    <w:rsid w:val="003C090E"/>
    <w:rsid w:val="003C0C22"/>
    <w:rsid w:val="003C1240"/>
    <w:rsid w:val="003C16F2"/>
    <w:rsid w:val="003C2602"/>
    <w:rsid w:val="003C2682"/>
    <w:rsid w:val="003C2C86"/>
    <w:rsid w:val="003C2EB4"/>
    <w:rsid w:val="003C660F"/>
    <w:rsid w:val="003D0DF9"/>
    <w:rsid w:val="003D1903"/>
    <w:rsid w:val="003D1EB2"/>
    <w:rsid w:val="003D25DB"/>
    <w:rsid w:val="003D30C2"/>
    <w:rsid w:val="003D3EE8"/>
    <w:rsid w:val="003D420C"/>
    <w:rsid w:val="003D4F4D"/>
    <w:rsid w:val="003D5515"/>
    <w:rsid w:val="003D6192"/>
    <w:rsid w:val="003D66EC"/>
    <w:rsid w:val="003D6875"/>
    <w:rsid w:val="003D7E54"/>
    <w:rsid w:val="003E0735"/>
    <w:rsid w:val="003E277C"/>
    <w:rsid w:val="003E30C6"/>
    <w:rsid w:val="003E3D65"/>
    <w:rsid w:val="003E43DF"/>
    <w:rsid w:val="003E4BC4"/>
    <w:rsid w:val="003E5C2E"/>
    <w:rsid w:val="003E5F07"/>
    <w:rsid w:val="003E6388"/>
    <w:rsid w:val="003E7BE6"/>
    <w:rsid w:val="003F0229"/>
    <w:rsid w:val="003F0B6A"/>
    <w:rsid w:val="003F1547"/>
    <w:rsid w:val="003F4E57"/>
    <w:rsid w:val="003F5205"/>
    <w:rsid w:val="003F528F"/>
    <w:rsid w:val="003F5C06"/>
    <w:rsid w:val="003F6F93"/>
    <w:rsid w:val="003F7B1C"/>
    <w:rsid w:val="004010E7"/>
    <w:rsid w:val="00401E29"/>
    <w:rsid w:val="00403145"/>
    <w:rsid w:val="004033B8"/>
    <w:rsid w:val="00404FFA"/>
    <w:rsid w:val="004071D4"/>
    <w:rsid w:val="00407AC0"/>
    <w:rsid w:val="00410629"/>
    <w:rsid w:val="00412B33"/>
    <w:rsid w:val="004142D2"/>
    <w:rsid w:val="00414A44"/>
    <w:rsid w:val="00414B57"/>
    <w:rsid w:val="00414E6A"/>
    <w:rsid w:val="00415DD7"/>
    <w:rsid w:val="00416306"/>
    <w:rsid w:val="00416A1F"/>
    <w:rsid w:val="0041798A"/>
    <w:rsid w:val="00420A11"/>
    <w:rsid w:val="0042236C"/>
    <w:rsid w:val="00423763"/>
    <w:rsid w:val="00424D3D"/>
    <w:rsid w:val="004250F9"/>
    <w:rsid w:val="00425396"/>
    <w:rsid w:val="004268C9"/>
    <w:rsid w:val="00427328"/>
    <w:rsid w:val="00430B04"/>
    <w:rsid w:val="00430FE8"/>
    <w:rsid w:val="00431D8E"/>
    <w:rsid w:val="00431FA4"/>
    <w:rsid w:val="004342E7"/>
    <w:rsid w:val="00434998"/>
    <w:rsid w:val="004354DB"/>
    <w:rsid w:val="00436996"/>
    <w:rsid w:val="004373C0"/>
    <w:rsid w:val="0043773C"/>
    <w:rsid w:val="00440337"/>
    <w:rsid w:val="00440ED1"/>
    <w:rsid w:val="00442A5D"/>
    <w:rsid w:val="00442AAD"/>
    <w:rsid w:val="00443DCE"/>
    <w:rsid w:val="0044412C"/>
    <w:rsid w:val="00444329"/>
    <w:rsid w:val="00445369"/>
    <w:rsid w:val="00445D76"/>
    <w:rsid w:val="00446232"/>
    <w:rsid w:val="00450B11"/>
    <w:rsid w:val="004510CA"/>
    <w:rsid w:val="00451162"/>
    <w:rsid w:val="00452162"/>
    <w:rsid w:val="00452CD7"/>
    <w:rsid w:val="0045495C"/>
    <w:rsid w:val="00454B37"/>
    <w:rsid w:val="00456B4E"/>
    <w:rsid w:val="0046023D"/>
    <w:rsid w:val="004608CA"/>
    <w:rsid w:val="00460DC9"/>
    <w:rsid w:val="004615DE"/>
    <w:rsid w:val="00461BD5"/>
    <w:rsid w:val="004624B1"/>
    <w:rsid w:val="00462967"/>
    <w:rsid w:val="0046317B"/>
    <w:rsid w:val="004631C5"/>
    <w:rsid w:val="00463FC8"/>
    <w:rsid w:val="00464ECA"/>
    <w:rsid w:val="00465064"/>
    <w:rsid w:val="00465D4E"/>
    <w:rsid w:val="0046655D"/>
    <w:rsid w:val="00467B3D"/>
    <w:rsid w:val="00470435"/>
    <w:rsid w:val="00470BEB"/>
    <w:rsid w:val="004727BB"/>
    <w:rsid w:val="004736E1"/>
    <w:rsid w:val="004741E5"/>
    <w:rsid w:val="0047468F"/>
    <w:rsid w:val="00475BD2"/>
    <w:rsid w:val="004776A1"/>
    <w:rsid w:val="00477A4E"/>
    <w:rsid w:val="00480F2A"/>
    <w:rsid w:val="0048132C"/>
    <w:rsid w:val="004818B1"/>
    <w:rsid w:val="00482559"/>
    <w:rsid w:val="004831F7"/>
    <w:rsid w:val="00484058"/>
    <w:rsid w:val="004865F2"/>
    <w:rsid w:val="004875CA"/>
    <w:rsid w:val="0049040B"/>
    <w:rsid w:val="0049080D"/>
    <w:rsid w:val="00490A09"/>
    <w:rsid w:val="0049113B"/>
    <w:rsid w:val="00492B51"/>
    <w:rsid w:val="00493445"/>
    <w:rsid w:val="004940BA"/>
    <w:rsid w:val="004964E6"/>
    <w:rsid w:val="004A0246"/>
    <w:rsid w:val="004A075E"/>
    <w:rsid w:val="004A3548"/>
    <w:rsid w:val="004A3C31"/>
    <w:rsid w:val="004A5045"/>
    <w:rsid w:val="004A5712"/>
    <w:rsid w:val="004A63AD"/>
    <w:rsid w:val="004A6C9F"/>
    <w:rsid w:val="004A771B"/>
    <w:rsid w:val="004B0E29"/>
    <w:rsid w:val="004B2417"/>
    <w:rsid w:val="004B26A6"/>
    <w:rsid w:val="004B3674"/>
    <w:rsid w:val="004B3851"/>
    <w:rsid w:val="004B44F7"/>
    <w:rsid w:val="004B4981"/>
    <w:rsid w:val="004B4F9A"/>
    <w:rsid w:val="004B5D83"/>
    <w:rsid w:val="004C0302"/>
    <w:rsid w:val="004C15FD"/>
    <w:rsid w:val="004C394D"/>
    <w:rsid w:val="004C3B72"/>
    <w:rsid w:val="004C4F36"/>
    <w:rsid w:val="004C5009"/>
    <w:rsid w:val="004C5475"/>
    <w:rsid w:val="004C6C05"/>
    <w:rsid w:val="004C7138"/>
    <w:rsid w:val="004D4E90"/>
    <w:rsid w:val="004D70A1"/>
    <w:rsid w:val="004D7290"/>
    <w:rsid w:val="004D78CB"/>
    <w:rsid w:val="004E216F"/>
    <w:rsid w:val="004F0912"/>
    <w:rsid w:val="004F0CA0"/>
    <w:rsid w:val="004F10BA"/>
    <w:rsid w:val="004F1357"/>
    <w:rsid w:val="004F2358"/>
    <w:rsid w:val="004F3928"/>
    <w:rsid w:val="005012BB"/>
    <w:rsid w:val="00501AF6"/>
    <w:rsid w:val="00502DE0"/>
    <w:rsid w:val="00503012"/>
    <w:rsid w:val="005035D6"/>
    <w:rsid w:val="00503A67"/>
    <w:rsid w:val="005045BB"/>
    <w:rsid w:val="0050482E"/>
    <w:rsid w:val="00505A3A"/>
    <w:rsid w:val="0050732B"/>
    <w:rsid w:val="005077F3"/>
    <w:rsid w:val="0051096D"/>
    <w:rsid w:val="0051278A"/>
    <w:rsid w:val="00512A0A"/>
    <w:rsid w:val="0051303C"/>
    <w:rsid w:val="005139D9"/>
    <w:rsid w:val="005177D6"/>
    <w:rsid w:val="00520EF6"/>
    <w:rsid w:val="00520EFC"/>
    <w:rsid w:val="00522D3F"/>
    <w:rsid w:val="00522F0B"/>
    <w:rsid w:val="00523B58"/>
    <w:rsid w:val="00524B85"/>
    <w:rsid w:val="00524CB9"/>
    <w:rsid w:val="0052505D"/>
    <w:rsid w:val="0052583C"/>
    <w:rsid w:val="0052670B"/>
    <w:rsid w:val="005268A0"/>
    <w:rsid w:val="005269C6"/>
    <w:rsid w:val="005304A3"/>
    <w:rsid w:val="00531ACF"/>
    <w:rsid w:val="005320B6"/>
    <w:rsid w:val="0053238A"/>
    <w:rsid w:val="005331CC"/>
    <w:rsid w:val="00533C42"/>
    <w:rsid w:val="00533CBC"/>
    <w:rsid w:val="00534100"/>
    <w:rsid w:val="00540F56"/>
    <w:rsid w:val="00541250"/>
    <w:rsid w:val="0054152F"/>
    <w:rsid w:val="00542519"/>
    <w:rsid w:val="00543DDC"/>
    <w:rsid w:val="00544679"/>
    <w:rsid w:val="0054497E"/>
    <w:rsid w:val="00545B66"/>
    <w:rsid w:val="00546913"/>
    <w:rsid w:val="00550461"/>
    <w:rsid w:val="00550677"/>
    <w:rsid w:val="00552559"/>
    <w:rsid w:val="0055288D"/>
    <w:rsid w:val="005529C1"/>
    <w:rsid w:val="00552D20"/>
    <w:rsid w:val="0055325A"/>
    <w:rsid w:val="00553FED"/>
    <w:rsid w:val="00554707"/>
    <w:rsid w:val="005556C3"/>
    <w:rsid w:val="00555756"/>
    <w:rsid w:val="0055662E"/>
    <w:rsid w:val="00556DDE"/>
    <w:rsid w:val="00560A7B"/>
    <w:rsid w:val="00561D29"/>
    <w:rsid w:val="00561F13"/>
    <w:rsid w:val="005628B9"/>
    <w:rsid w:val="00563F25"/>
    <w:rsid w:val="00564BAD"/>
    <w:rsid w:val="005660B9"/>
    <w:rsid w:val="00566D5E"/>
    <w:rsid w:val="00567702"/>
    <w:rsid w:val="0056777A"/>
    <w:rsid w:val="0057165A"/>
    <w:rsid w:val="00572268"/>
    <w:rsid w:val="00572BAC"/>
    <w:rsid w:val="00573186"/>
    <w:rsid w:val="0057396E"/>
    <w:rsid w:val="005741FC"/>
    <w:rsid w:val="00574993"/>
    <w:rsid w:val="00574C3A"/>
    <w:rsid w:val="005772B0"/>
    <w:rsid w:val="005815F2"/>
    <w:rsid w:val="005829DA"/>
    <w:rsid w:val="0058347E"/>
    <w:rsid w:val="0058449F"/>
    <w:rsid w:val="00584564"/>
    <w:rsid w:val="00584856"/>
    <w:rsid w:val="00585B98"/>
    <w:rsid w:val="00586BA8"/>
    <w:rsid w:val="00586D20"/>
    <w:rsid w:val="00587D28"/>
    <w:rsid w:val="00590571"/>
    <w:rsid w:val="00590997"/>
    <w:rsid w:val="005910B5"/>
    <w:rsid w:val="00591424"/>
    <w:rsid w:val="00591AF2"/>
    <w:rsid w:val="00592774"/>
    <w:rsid w:val="00592C76"/>
    <w:rsid w:val="005933CA"/>
    <w:rsid w:val="00593840"/>
    <w:rsid w:val="00593C97"/>
    <w:rsid w:val="0059534F"/>
    <w:rsid w:val="00595E39"/>
    <w:rsid w:val="005964CB"/>
    <w:rsid w:val="0059693D"/>
    <w:rsid w:val="00597374"/>
    <w:rsid w:val="005977EF"/>
    <w:rsid w:val="005A0670"/>
    <w:rsid w:val="005A0871"/>
    <w:rsid w:val="005A0978"/>
    <w:rsid w:val="005A192D"/>
    <w:rsid w:val="005A3025"/>
    <w:rsid w:val="005A32C4"/>
    <w:rsid w:val="005A3620"/>
    <w:rsid w:val="005A5204"/>
    <w:rsid w:val="005A67FA"/>
    <w:rsid w:val="005A6898"/>
    <w:rsid w:val="005A7301"/>
    <w:rsid w:val="005A7802"/>
    <w:rsid w:val="005A7EFB"/>
    <w:rsid w:val="005B0B2F"/>
    <w:rsid w:val="005B0FB0"/>
    <w:rsid w:val="005B1519"/>
    <w:rsid w:val="005B16BA"/>
    <w:rsid w:val="005B19E4"/>
    <w:rsid w:val="005B1E52"/>
    <w:rsid w:val="005B3E9F"/>
    <w:rsid w:val="005B42C0"/>
    <w:rsid w:val="005B48CB"/>
    <w:rsid w:val="005B52FF"/>
    <w:rsid w:val="005B61E2"/>
    <w:rsid w:val="005C0E24"/>
    <w:rsid w:val="005C2372"/>
    <w:rsid w:val="005C2B65"/>
    <w:rsid w:val="005C3231"/>
    <w:rsid w:val="005C3704"/>
    <w:rsid w:val="005C42CE"/>
    <w:rsid w:val="005C4EA7"/>
    <w:rsid w:val="005C6C5B"/>
    <w:rsid w:val="005C7304"/>
    <w:rsid w:val="005C7EEE"/>
    <w:rsid w:val="005D00DA"/>
    <w:rsid w:val="005D0E6A"/>
    <w:rsid w:val="005D1114"/>
    <w:rsid w:val="005D1E60"/>
    <w:rsid w:val="005D2309"/>
    <w:rsid w:val="005D23AC"/>
    <w:rsid w:val="005D2C23"/>
    <w:rsid w:val="005D2DD7"/>
    <w:rsid w:val="005D410F"/>
    <w:rsid w:val="005D46EB"/>
    <w:rsid w:val="005D5FAE"/>
    <w:rsid w:val="005D620D"/>
    <w:rsid w:val="005E03ED"/>
    <w:rsid w:val="005E0FAC"/>
    <w:rsid w:val="005E15F2"/>
    <w:rsid w:val="005E224F"/>
    <w:rsid w:val="005E38C0"/>
    <w:rsid w:val="005E3B10"/>
    <w:rsid w:val="005E5280"/>
    <w:rsid w:val="005E69A1"/>
    <w:rsid w:val="005F192D"/>
    <w:rsid w:val="005F1ED8"/>
    <w:rsid w:val="005F25ED"/>
    <w:rsid w:val="005F29EB"/>
    <w:rsid w:val="005F4A66"/>
    <w:rsid w:val="005F51CA"/>
    <w:rsid w:val="005F53D5"/>
    <w:rsid w:val="005F5C1C"/>
    <w:rsid w:val="005F6232"/>
    <w:rsid w:val="005F6728"/>
    <w:rsid w:val="005F6F97"/>
    <w:rsid w:val="005F749B"/>
    <w:rsid w:val="00600372"/>
    <w:rsid w:val="006020EC"/>
    <w:rsid w:val="00603192"/>
    <w:rsid w:val="0060357F"/>
    <w:rsid w:val="006036FD"/>
    <w:rsid w:val="00603F6B"/>
    <w:rsid w:val="00604046"/>
    <w:rsid w:val="00604D1B"/>
    <w:rsid w:val="00604D7C"/>
    <w:rsid w:val="006057CE"/>
    <w:rsid w:val="0060709F"/>
    <w:rsid w:val="0060733B"/>
    <w:rsid w:val="006079B5"/>
    <w:rsid w:val="006109C2"/>
    <w:rsid w:val="00611860"/>
    <w:rsid w:val="0061307C"/>
    <w:rsid w:val="006130CF"/>
    <w:rsid w:val="00614094"/>
    <w:rsid w:val="00614AC3"/>
    <w:rsid w:val="00616D97"/>
    <w:rsid w:val="0061724C"/>
    <w:rsid w:val="006172B5"/>
    <w:rsid w:val="006173C1"/>
    <w:rsid w:val="00617564"/>
    <w:rsid w:val="00620304"/>
    <w:rsid w:val="006206B9"/>
    <w:rsid w:val="00621490"/>
    <w:rsid w:val="00624180"/>
    <w:rsid w:val="006246AA"/>
    <w:rsid w:val="00624BC7"/>
    <w:rsid w:val="00624D77"/>
    <w:rsid w:val="00626EF7"/>
    <w:rsid w:val="006310FF"/>
    <w:rsid w:val="00632FC1"/>
    <w:rsid w:val="00633336"/>
    <w:rsid w:val="00633652"/>
    <w:rsid w:val="006345D7"/>
    <w:rsid w:val="00635BF6"/>
    <w:rsid w:val="00636591"/>
    <w:rsid w:val="00641662"/>
    <w:rsid w:val="006416E9"/>
    <w:rsid w:val="00641F33"/>
    <w:rsid w:val="006420FB"/>
    <w:rsid w:val="006427D5"/>
    <w:rsid w:val="00642DA9"/>
    <w:rsid w:val="00643B0A"/>
    <w:rsid w:val="00645B55"/>
    <w:rsid w:val="00647BED"/>
    <w:rsid w:val="006502E5"/>
    <w:rsid w:val="006506D0"/>
    <w:rsid w:val="006508D9"/>
    <w:rsid w:val="0065124C"/>
    <w:rsid w:val="006518F1"/>
    <w:rsid w:val="006528F5"/>
    <w:rsid w:val="0065371B"/>
    <w:rsid w:val="00653BB1"/>
    <w:rsid w:val="00653BBB"/>
    <w:rsid w:val="00654DAA"/>
    <w:rsid w:val="00654F56"/>
    <w:rsid w:val="00655124"/>
    <w:rsid w:val="006553CE"/>
    <w:rsid w:val="00656D4A"/>
    <w:rsid w:val="00656D9D"/>
    <w:rsid w:val="0065707E"/>
    <w:rsid w:val="0066270C"/>
    <w:rsid w:val="00662B62"/>
    <w:rsid w:val="00663012"/>
    <w:rsid w:val="00664724"/>
    <w:rsid w:val="00664A1B"/>
    <w:rsid w:val="006678E3"/>
    <w:rsid w:val="006709EE"/>
    <w:rsid w:val="00670CEB"/>
    <w:rsid w:val="00672C8B"/>
    <w:rsid w:val="00673FB3"/>
    <w:rsid w:val="00674817"/>
    <w:rsid w:val="0067541C"/>
    <w:rsid w:val="00675661"/>
    <w:rsid w:val="00683692"/>
    <w:rsid w:val="00683CF5"/>
    <w:rsid w:val="00684EB5"/>
    <w:rsid w:val="006852EF"/>
    <w:rsid w:val="0068745E"/>
    <w:rsid w:val="006908AB"/>
    <w:rsid w:val="00690F29"/>
    <w:rsid w:val="006913E6"/>
    <w:rsid w:val="006928BD"/>
    <w:rsid w:val="006942B1"/>
    <w:rsid w:val="006948C6"/>
    <w:rsid w:val="006967F3"/>
    <w:rsid w:val="006A1042"/>
    <w:rsid w:val="006A222C"/>
    <w:rsid w:val="006A417D"/>
    <w:rsid w:val="006A457E"/>
    <w:rsid w:val="006A4995"/>
    <w:rsid w:val="006A5D08"/>
    <w:rsid w:val="006A5DE4"/>
    <w:rsid w:val="006A5F27"/>
    <w:rsid w:val="006A6F4E"/>
    <w:rsid w:val="006A71CB"/>
    <w:rsid w:val="006A7880"/>
    <w:rsid w:val="006B242E"/>
    <w:rsid w:val="006B2A27"/>
    <w:rsid w:val="006B2D03"/>
    <w:rsid w:val="006B3BED"/>
    <w:rsid w:val="006B3C40"/>
    <w:rsid w:val="006B3CCC"/>
    <w:rsid w:val="006B3DA3"/>
    <w:rsid w:val="006B5021"/>
    <w:rsid w:val="006B5A41"/>
    <w:rsid w:val="006B5A8A"/>
    <w:rsid w:val="006B5C8A"/>
    <w:rsid w:val="006B77B9"/>
    <w:rsid w:val="006C00B6"/>
    <w:rsid w:val="006C06BB"/>
    <w:rsid w:val="006C1D49"/>
    <w:rsid w:val="006C1F39"/>
    <w:rsid w:val="006C305E"/>
    <w:rsid w:val="006C4E76"/>
    <w:rsid w:val="006D0FCD"/>
    <w:rsid w:val="006D12B9"/>
    <w:rsid w:val="006D1588"/>
    <w:rsid w:val="006D212B"/>
    <w:rsid w:val="006D3BDB"/>
    <w:rsid w:val="006D3E38"/>
    <w:rsid w:val="006D4698"/>
    <w:rsid w:val="006D4C8A"/>
    <w:rsid w:val="006D6BAC"/>
    <w:rsid w:val="006D7170"/>
    <w:rsid w:val="006E0931"/>
    <w:rsid w:val="006E1148"/>
    <w:rsid w:val="006E1919"/>
    <w:rsid w:val="006E1EA6"/>
    <w:rsid w:val="006E21FB"/>
    <w:rsid w:val="006E5428"/>
    <w:rsid w:val="006E54DD"/>
    <w:rsid w:val="006E5B80"/>
    <w:rsid w:val="006E6EFB"/>
    <w:rsid w:val="006F0C33"/>
    <w:rsid w:val="006F1C0A"/>
    <w:rsid w:val="006F209B"/>
    <w:rsid w:val="006F2E96"/>
    <w:rsid w:val="006F30AA"/>
    <w:rsid w:val="006F34A9"/>
    <w:rsid w:val="006F3B4C"/>
    <w:rsid w:val="006F5F4D"/>
    <w:rsid w:val="006F69E1"/>
    <w:rsid w:val="006F6F4B"/>
    <w:rsid w:val="006F7155"/>
    <w:rsid w:val="006F7355"/>
    <w:rsid w:val="006F789A"/>
    <w:rsid w:val="006F7FAD"/>
    <w:rsid w:val="00700636"/>
    <w:rsid w:val="00702CB5"/>
    <w:rsid w:val="007047AC"/>
    <w:rsid w:val="00704B6B"/>
    <w:rsid w:val="007067A4"/>
    <w:rsid w:val="00711347"/>
    <w:rsid w:val="00711769"/>
    <w:rsid w:val="00711A68"/>
    <w:rsid w:val="007124C3"/>
    <w:rsid w:val="00712ABF"/>
    <w:rsid w:val="00713910"/>
    <w:rsid w:val="00713AB6"/>
    <w:rsid w:val="00713D9B"/>
    <w:rsid w:val="007161E4"/>
    <w:rsid w:val="00716A80"/>
    <w:rsid w:val="00720E23"/>
    <w:rsid w:val="00720ED6"/>
    <w:rsid w:val="007211E8"/>
    <w:rsid w:val="00722955"/>
    <w:rsid w:val="007230BF"/>
    <w:rsid w:val="00723650"/>
    <w:rsid w:val="00724B28"/>
    <w:rsid w:val="00724B78"/>
    <w:rsid w:val="00725F33"/>
    <w:rsid w:val="0073330F"/>
    <w:rsid w:val="0073374F"/>
    <w:rsid w:val="007339E1"/>
    <w:rsid w:val="00733B73"/>
    <w:rsid w:val="007342A0"/>
    <w:rsid w:val="00735A7B"/>
    <w:rsid w:val="0073693F"/>
    <w:rsid w:val="00737B7F"/>
    <w:rsid w:val="00740400"/>
    <w:rsid w:val="007409E4"/>
    <w:rsid w:val="0074232B"/>
    <w:rsid w:val="00743461"/>
    <w:rsid w:val="00744F80"/>
    <w:rsid w:val="00745ADD"/>
    <w:rsid w:val="00746079"/>
    <w:rsid w:val="00746413"/>
    <w:rsid w:val="0074660E"/>
    <w:rsid w:val="00746EFC"/>
    <w:rsid w:val="00747C93"/>
    <w:rsid w:val="00750AF9"/>
    <w:rsid w:val="00753BBE"/>
    <w:rsid w:val="00754384"/>
    <w:rsid w:val="00760506"/>
    <w:rsid w:val="0076077E"/>
    <w:rsid w:val="00760C4F"/>
    <w:rsid w:val="00761000"/>
    <w:rsid w:val="00762B10"/>
    <w:rsid w:val="007636B1"/>
    <w:rsid w:val="00763897"/>
    <w:rsid w:val="00766588"/>
    <w:rsid w:val="00766644"/>
    <w:rsid w:val="00771547"/>
    <w:rsid w:val="00771F86"/>
    <w:rsid w:val="00772AE0"/>
    <w:rsid w:val="007733D5"/>
    <w:rsid w:val="00773DC4"/>
    <w:rsid w:val="00774275"/>
    <w:rsid w:val="00775C3F"/>
    <w:rsid w:val="007776DD"/>
    <w:rsid w:val="00777A8C"/>
    <w:rsid w:val="0078036E"/>
    <w:rsid w:val="007809C1"/>
    <w:rsid w:val="00781866"/>
    <w:rsid w:val="007821AD"/>
    <w:rsid w:val="00785A30"/>
    <w:rsid w:val="00791C9A"/>
    <w:rsid w:val="00792335"/>
    <w:rsid w:val="00792658"/>
    <w:rsid w:val="00792FE5"/>
    <w:rsid w:val="007937E7"/>
    <w:rsid w:val="00793AA2"/>
    <w:rsid w:val="007964C7"/>
    <w:rsid w:val="007A46CF"/>
    <w:rsid w:val="007A6222"/>
    <w:rsid w:val="007B1520"/>
    <w:rsid w:val="007B2E9A"/>
    <w:rsid w:val="007B47FC"/>
    <w:rsid w:val="007B4E82"/>
    <w:rsid w:val="007B5E59"/>
    <w:rsid w:val="007B7577"/>
    <w:rsid w:val="007C01D6"/>
    <w:rsid w:val="007C16ED"/>
    <w:rsid w:val="007C4B21"/>
    <w:rsid w:val="007C5123"/>
    <w:rsid w:val="007C783D"/>
    <w:rsid w:val="007C7EBA"/>
    <w:rsid w:val="007D153D"/>
    <w:rsid w:val="007D38E9"/>
    <w:rsid w:val="007D59DB"/>
    <w:rsid w:val="007E06A9"/>
    <w:rsid w:val="007E10BD"/>
    <w:rsid w:val="007E19A7"/>
    <w:rsid w:val="007E2214"/>
    <w:rsid w:val="007E2E34"/>
    <w:rsid w:val="007E31AD"/>
    <w:rsid w:val="007E3EA5"/>
    <w:rsid w:val="007E45B8"/>
    <w:rsid w:val="007E4E7A"/>
    <w:rsid w:val="007E6E57"/>
    <w:rsid w:val="007F0694"/>
    <w:rsid w:val="007F0C90"/>
    <w:rsid w:val="007F0F52"/>
    <w:rsid w:val="007F1292"/>
    <w:rsid w:val="007F3E9E"/>
    <w:rsid w:val="007F6266"/>
    <w:rsid w:val="007F691B"/>
    <w:rsid w:val="007F6936"/>
    <w:rsid w:val="007F79A6"/>
    <w:rsid w:val="007F7D85"/>
    <w:rsid w:val="0080489F"/>
    <w:rsid w:val="008059B6"/>
    <w:rsid w:val="00806423"/>
    <w:rsid w:val="00806B47"/>
    <w:rsid w:val="00810B66"/>
    <w:rsid w:val="00811171"/>
    <w:rsid w:val="00812DF6"/>
    <w:rsid w:val="008131B8"/>
    <w:rsid w:val="00814AFF"/>
    <w:rsid w:val="0081656F"/>
    <w:rsid w:val="00816608"/>
    <w:rsid w:val="00816956"/>
    <w:rsid w:val="008207A8"/>
    <w:rsid w:val="00821BAA"/>
    <w:rsid w:val="00822791"/>
    <w:rsid w:val="00822AB4"/>
    <w:rsid w:val="00822C15"/>
    <w:rsid w:val="00824CCA"/>
    <w:rsid w:val="008252F9"/>
    <w:rsid w:val="00825596"/>
    <w:rsid w:val="00826099"/>
    <w:rsid w:val="00826FAE"/>
    <w:rsid w:val="00833635"/>
    <w:rsid w:val="008348E9"/>
    <w:rsid w:val="00835AEE"/>
    <w:rsid w:val="00836267"/>
    <w:rsid w:val="00836869"/>
    <w:rsid w:val="00836CFC"/>
    <w:rsid w:val="00842D49"/>
    <w:rsid w:val="008434EA"/>
    <w:rsid w:val="008440B5"/>
    <w:rsid w:val="0084422F"/>
    <w:rsid w:val="00844D7B"/>
    <w:rsid w:val="00845931"/>
    <w:rsid w:val="00845A90"/>
    <w:rsid w:val="008464B0"/>
    <w:rsid w:val="008464C6"/>
    <w:rsid w:val="008478B7"/>
    <w:rsid w:val="008510D0"/>
    <w:rsid w:val="00851131"/>
    <w:rsid w:val="008511D3"/>
    <w:rsid w:val="00851DE4"/>
    <w:rsid w:val="008540D0"/>
    <w:rsid w:val="00854BB9"/>
    <w:rsid w:val="0085536F"/>
    <w:rsid w:val="00855AC5"/>
    <w:rsid w:val="008562AD"/>
    <w:rsid w:val="00856A8B"/>
    <w:rsid w:val="0085773C"/>
    <w:rsid w:val="008577D6"/>
    <w:rsid w:val="00860599"/>
    <w:rsid w:val="0086072A"/>
    <w:rsid w:val="008620AB"/>
    <w:rsid w:val="00862F30"/>
    <w:rsid w:val="00863020"/>
    <w:rsid w:val="00864DB2"/>
    <w:rsid w:val="00864EDE"/>
    <w:rsid w:val="0086573F"/>
    <w:rsid w:val="00865E37"/>
    <w:rsid w:val="00866811"/>
    <w:rsid w:val="00866CE2"/>
    <w:rsid w:val="008704D5"/>
    <w:rsid w:val="00871101"/>
    <w:rsid w:val="008713E8"/>
    <w:rsid w:val="0087156E"/>
    <w:rsid w:val="008735BF"/>
    <w:rsid w:val="008742D2"/>
    <w:rsid w:val="008756D5"/>
    <w:rsid w:val="00875B93"/>
    <w:rsid w:val="0087692D"/>
    <w:rsid w:val="0088336B"/>
    <w:rsid w:val="00883643"/>
    <w:rsid w:val="00883996"/>
    <w:rsid w:val="00883FC4"/>
    <w:rsid w:val="00884B52"/>
    <w:rsid w:val="008851A5"/>
    <w:rsid w:val="008856F4"/>
    <w:rsid w:val="00885B36"/>
    <w:rsid w:val="0088692A"/>
    <w:rsid w:val="00887DEB"/>
    <w:rsid w:val="00891288"/>
    <w:rsid w:val="008915B6"/>
    <w:rsid w:val="00891FA6"/>
    <w:rsid w:val="00892095"/>
    <w:rsid w:val="00897258"/>
    <w:rsid w:val="00897B4D"/>
    <w:rsid w:val="00897C8F"/>
    <w:rsid w:val="00897E94"/>
    <w:rsid w:val="008A02E4"/>
    <w:rsid w:val="008A18BE"/>
    <w:rsid w:val="008A382F"/>
    <w:rsid w:val="008A462C"/>
    <w:rsid w:val="008A5969"/>
    <w:rsid w:val="008A62D5"/>
    <w:rsid w:val="008B139D"/>
    <w:rsid w:val="008B1831"/>
    <w:rsid w:val="008B1C4A"/>
    <w:rsid w:val="008B288F"/>
    <w:rsid w:val="008B28ED"/>
    <w:rsid w:val="008B29E0"/>
    <w:rsid w:val="008B4F89"/>
    <w:rsid w:val="008B5E04"/>
    <w:rsid w:val="008B6CD2"/>
    <w:rsid w:val="008B7458"/>
    <w:rsid w:val="008C03EF"/>
    <w:rsid w:val="008C0B7A"/>
    <w:rsid w:val="008C180C"/>
    <w:rsid w:val="008C1F63"/>
    <w:rsid w:val="008C21B7"/>
    <w:rsid w:val="008C2349"/>
    <w:rsid w:val="008C23AF"/>
    <w:rsid w:val="008C5987"/>
    <w:rsid w:val="008C5FCA"/>
    <w:rsid w:val="008C6A64"/>
    <w:rsid w:val="008C6B29"/>
    <w:rsid w:val="008C6EBD"/>
    <w:rsid w:val="008D2427"/>
    <w:rsid w:val="008D2D6C"/>
    <w:rsid w:val="008D5F1F"/>
    <w:rsid w:val="008D7181"/>
    <w:rsid w:val="008D72DA"/>
    <w:rsid w:val="008D7959"/>
    <w:rsid w:val="008E11F8"/>
    <w:rsid w:val="008E2349"/>
    <w:rsid w:val="008E235E"/>
    <w:rsid w:val="008E371D"/>
    <w:rsid w:val="008E3F33"/>
    <w:rsid w:val="008E65A0"/>
    <w:rsid w:val="008F0653"/>
    <w:rsid w:val="008F20C9"/>
    <w:rsid w:val="008F25D7"/>
    <w:rsid w:val="008F3BEE"/>
    <w:rsid w:val="008F56A1"/>
    <w:rsid w:val="008F57A0"/>
    <w:rsid w:val="008F7C6D"/>
    <w:rsid w:val="0090044B"/>
    <w:rsid w:val="00902DB0"/>
    <w:rsid w:val="00905B04"/>
    <w:rsid w:val="00905CC2"/>
    <w:rsid w:val="009071BD"/>
    <w:rsid w:val="00907BBF"/>
    <w:rsid w:val="00907D65"/>
    <w:rsid w:val="0091000A"/>
    <w:rsid w:val="00910569"/>
    <w:rsid w:val="00910975"/>
    <w:rsid w:val="00912B66"/>
    <w:rsid w:val="009131B3"/>
    <w:rsid w:val="00913D8B"/>
    <w:rsid w:val="00915244"/>
    <w:rsid w:val="0091537D"/>
    <w:rsid w:val="00916AE1"/>
    <w:rsid w:val="009219C6"/>
    <w:rsid w:val="00921AFC"/>
    <w:rsid w:val="00921BE5"/>
    <w:rsid w:val="009232FC"/>
    <w:rsid w:val="00923DBE"/>
    <w:rsid w:val="00923DC4"/>
    <w:rsid w:val="009245AD"/>
    <w:rsid w:val="009246E9"/>
    <w:rsid w:val="00924B17"/>
    <w:rsid w:val="0092623D"/>
    <w:rsid w:val="00927B5C"/>
    <w:rsid w:val="009311B9"/>
    <w:rsid w:val="009320E0"/>
    <w:rsid w:val="009352EA"/>
    <w:rsid w:val="009366F2"/>
    <w:rsid w:val="009367A2"/>
    <w:rsid w:val="00936F2E"/>
    <w:rsid w:val="0093711A"/>
    <w:rsid w:val="009371A1"/>
    <w:rsid w:val="00937740"/>
    <w:rsid w:val="0094038C"/>
    <w:rsid w:val="00940758"/>
    <w:rsid w:val="009439B0"/>
    <w:rsid w:val="00944D22"/>
    <w:rsid w:val="00945817"/>
    <w:rsid w:val="00945AD4"/>
    <w:rsid w:val="009474CE"/>
    <w:rsid w:val="009474E0"/>
    <w:rsid w:val="0095014B"/>
    <w:rsid w:val="00950752"/>
    <w:rsid w:val="00950756"/>
    <w:rsid w:val="00950B2C"/>
    <w:rsid w:val="0095144B"/>
    <w:rsid w:val="00951492"/>
    <w:rsid w:val="00952C18"/>
    <w:rsid w:val="00952C37"/>
    <w:rsid w:val="009534AE"/>
    <w:rsid w:val="009552DF"/>
    <w:rsid w:val="009556B9"/>
    <w:rsid w:val="009558EB"/>
    <w:rsid w:val="00955BB4"/>
    <w:rsid w:val="009565A1"/>
    <w:rsid w:val="009568B1"/>
    <w:rsid w:val="009569C5"/>
    <w:rsid w:val="0095784B"/>
    <w:rsid w:val="00960B4D"/>
    <w:rsid w:val="00962398"/>
    <w:rsid w:val="00962968"/>
    <w:rsid w:val="00963592"/>
    <w:rsid w:val="00964518"/>
    <w:rsid w:val="0096611A"/>
    <w:rsid w:val="009661F4"/>
    <w:rsid w:val="00966233"/>
    <w:rsid w:val="00966BB5"/>
    <w:rsid w:val="00967089"/>
    <w:rsid w:val="00967F38"/>
    <w:rsid w:val="00971087"/>
    <w:rsid w:val="00975892"/>
    <w:rsid w:val="00976C50"/>
    <w:rsid w:val="00981EEF"/>
    <w:rsid w:val="00982E51"/>
    <w:rsid w:val="00983064"/>
    <w:rsid w:val="009849F6"/>
    <w:rsid w:val="00986805"/>
    <w:rsid w:val="00986DE1"/>
    <w:rsid w:val="0098700C"/>
    <w:rsid w:val="00987531"/>
    <w:rsid w:val="00987C2A"/>
    <w:rsid w:val="009903CA"/>
    <w:rsid w:val="00990A39"/>
    <w:rsid w:val="009924BB"/>
    <w:rsid w:val="00996FE1"/>
    <w:rsid w:val="00997C83"/>
    <w:rsid w:val="00997D9D"/>
    <w:rsid w:val="00997DCC"/>
    <w:rsid w:val="009A05AB"/>
    <w:rsid w:val="009A0AD5"/>
    <w:rsid w:val="009A2297"/>
    <w:rsid w:val="009A24C5"/>
    <w:rsid w:val="009A2882"/>
    <w:rsid w:val="009A3843"/>
    <w:rsid w:val="009A3DE9"/>
    <w:rsid w:val="009A595A"/>
    <w:rsid w:val="009A70C1"/>
    <w:rsid w:val="009B1DBD"/>
    <w:rsid w:val="009B2E3E"/>
    <w:rsid w:val="009B41B5"/>
    <w:rsid w:val="009B43EF"/>
    <w:rsid w:val="009B5D87"/>
    <w:rsid w:val="009B7361"/>
    <w:rsid w:val="009B75BC"/>
    <w:rsid w:val="009B77BA"/>
    <w:rsid w:val="009B7B45"/>
    <w:rsid w:val="009C01CC"/>
    <w:rsid w:val="009C0552"/>
    <w:rsid w:val="009C137B"/>
    <w:rsid w:val="009C1821"/>
    <w:rsid w:val="009C387E"/>
    <w:rsid w:val="009C423A"/>
    <w:rsid w:val="009C4F5C"/>
    <w:rsid w:val="009C6760"/>
    <w:rsid w:val="009C723D"/>
    <w:rsid w:val="009C7A9E"/>
    <w:rsid w:val="009D3129"/>
    <w:rsid w:val="009D399C"/>
    <w:rsid w:val="009D3A8F"/>
    <w:rsid w:val="009D4150"/>
    <w:rsid w:val="009D4357"/>
    <w:rsid w:val="009D43D5"/>
    <w:rsid w:val="009D46C3"/>
    <w:rsid w:val="009D4D48"/>
    <w:rsid w:val="009D50ED"/>
    <w:rsid w:val="009D56E8"/>
    <w:rsid w:val="009E012D"/>
    <w:rsid w:val="009E1CB9"/>
    <w:rsid w:val="009E1DAF"/>
    <w:rsid w:val="009E2448"/>
    <w:rsid w:val="009E30C7"/>
    <w:rsid w:val="009E3F3C"/>
    <w:rsid w:val="009E59B1"/>
    <w:rsid w:val="009E5BB4"/>
    <w:rsid w:val="009E7F3E"/>
    <w:rsid w:val="009F110B"/>
    <w:rsid w:val="009F11F6"/>
    <w:rsid w:val="009F2E84"/>
    <w:rsid w:val="009F3799"/>
    <w:rsid w:val="009F407D"/>
    <w:rsid w:val="009F4195"/>
    <w:rsid w:val="009F51D6"/>
    <w:rsid w:val="009F5DA8"/>
    <w:rsid w:val="009F6676"/>
    <w:rsid w:val="009F7DC0"/>
    <w:rsid w:val="00A00BE3"/>
    <w:rsid w:val="00A0217A"/>
    <w:rsid w:val="00A038A2"/>
    <w:rsid w:val="00A04178"/>
    <w:rsid w:val="00A051EF"/>
    <w:rsid w:val="00A05DE8"/>
    <w:rsid w:val="00A075BE"/>
    <w:rsid w:val="00A07E71"/>
    <w:rsid w:val="00A104BC"/>
    <w:rsid w:val="00A119B5"/>
    <w:rsid w:val="00A137E5"/>
    <w:rsid w:val="00A13DA5"/>
    <w:rsid w:val="00A14305"/>
    <w:rsid w:val="00A15B7E"/>
    <w:rsid w:val="00A2144C"/>
    <w:rsid w:val="00A22531"/>
    <w:rsid w:val="00A22E65"/>
    <w:rsid w:val="00A23478"/>
    <w:rsid w:val="00A26526"/>
    <w:rsid w:val="00A268E6"/>
    <w:rsid w:val="00A30684"/>
    <w:rsid w:val="00A312A1"/>
    <w:rsid w:val="00A319AE"/>
    <w:rsid w:val="00A337A3"/>
    <w:rsid w:val="00A338DE"/>
    <w:rsid w:val="00A34D57"/>
    <w:rsid w:val="00A35D7B"/>
    <w:rsid w:val="00A368ED"/>
    <w:rsid w:val="00A3792D"/>
    <w:rsid w:val="00A37BA9"/>
    <w:rsid w:val="00A37CD2"/>
    <w:rsid w:val="00A40CD4"/>
    <w:rsid w:val="00A43093"/>
    <w:rsid w:val="00A45AEC"/>
    <w:rsid w:val="00A45E16"/>
    <w:rsid w:val="00A45EBF"/>
    <w:rsid w:val="00A45F9D"/>
    <w:rsid w:val="00A47167"/>
    <w:rsid w:val="00A47D92"/>
    <w:rsid w:val="00A50813"/>
    <w:rsid w:val="00A51078"/>
    <w:rsid w:val="00A5233D"/>
    <w:rsid w:val="00A5261E"/>
    <w:rsid w:val="00A537C3"/>
    <w:rsid w:val="00A539AB"/>
    <w:rsid w:val="00A54354"/>
    <w:rsid w:val="00A55315"/>
    <w:rsid w:val="00A56DFF"/>
    <w:rsid w:val="00A605EC"/>
    <w:rsid w:val="00A613DA"/>
    <w:rsid w:val="00A6290B"/>
    <w:rsid w:val="00A632CB"/>
    <w:rsid w:val="00A645FC"/>
    <w:rsid w:val="00A64AE7"/>
    <w:rsid w:val="00A65682"/>
    <w:rsid w:val="00A6568E"/>
    <w:rsid w:val="00A657F4"/>
    <w:rsid w:val="00A658CF"/>
    <w:rsid w:val="00A66B56"/>
    <w:rsid w:val="00A7008D"/>
    <w:rsid w:val="00A70EAF"/>
    <w:rsid w:val="00A72D68"/>
    <w:rsid w:val="00A73EB0"/>
    <w:rsid w:val="00A75750"/>
    <w:rsid w:val="00A75FA1"/>
    <w:rsid w:val="00A77328"/>
    <w:rsid w:val="00A800F5"/>
    <w:rsid w:val="00A80C16"/>
    <w:rsid w:val="00A80D62"/>
    <w:rsid w:val="00A81B90"/>
    <w:rsid w:val="00A83E38"/>
    <w:rsid w:val="00A848BC"/>
    <w:rsid w:val="00A87E7A"/>
    <w:rsid w:val="00A91619"/>
    <w:rsid w:val="00A91E63"/>
    <w:rsid w:val="00A9290F"/>
    <w:rsid w:val="00A93F3B"/>
    <w:rsid w:val="00A94A8D"/>
    <w:rsid w:val="00AA0778"/>
    <w:rsid w:val="00AA0881"/>
    <w:rsid w:val="00AA0C10"/>
    <w:rsid w:val="00AA11FE"/>
    <w:rsid w:val="00AA12E0"/>
    <w:rsid w:val="00AA1C7F"/>
    <w:rsid w:val="00AA1C9E"/>
    <w:rsid w:val="00AA3559"/>
    <w:rsid w:val="00AA378B"/>
    <w:rsid w:val="00AA3F00"/>
    <w:rsid w:val="00AA5C94"/>
    <w:rsid w:val="00AA5F31"/>
    <w:rsid w:val="00AA6EA7"/>
    <w:rsid w:val="00AA6FE5"/>
    <w:rsid w:val="00AA704E"/>
    <w:rsid w:val="00AA7298"/>
    <w:rsid w:val="00AA75C7"/>
    <w:rsid w:val="00AB1813"/>
    <w:rsid w:val="00AB37AB"/>
    <w:rsid w:val="00AB3AC8"/>
    <w:rsid w:val="00AB525D"/>
    <w:rsid w:val="00AB57B4"/>
    <w:rsid w:val="00AB5B36"/>
    <w:rsid w:val="00AB6501"/>
    <w:rsid w:val="00AB7750"/>
    <w:rsid w:val="00AC047F"/>
    <w:rsid w:val="00AC0501"/>
    <w:rsid w:val="00AC50E1"/>
    <w:rsid w:val="00AC5300"/>
    <w:rsid w:val="00AC6E30"/>
    <w:rsid w:val="00AC78B2"/>
    <w:rsid w:val="00AC7E0A"/>
    <w:rsid w:val="00AD263B"/>
    <w:rsid w:val="00AD3F9A"/>
    <w:rsid w:val="00AD423D"/>
    <w:rsid w:val="00AD470B"/>
    <w:rsid w:val="00AD4DFA"/>
    <w:rsid w:val="00AD5210"/>
    <w:rsid w:val="00AD59F6"/>
    <w:rsid w:val="00AD6356"/>
    <w:rsid w:val="00AD7B46"/>
    <w:rsid w:val="00AD7DE5"/>
    <w:rsid w:val="00AE149E"/>
    <w:rsid w:val="00AE1A6B"/>
    <w:rsid w:val="00AE352D"/>
    <w:rsid w:val="00AE38C4"/>
    <w:rsid w:val="00AE3CD9"/>
    <w:rsid w:val="00AE4A78"/>
    <w:rsid w:val="00AE55AA"/>
    <w:rsid w:val="00AF018E"/>
    <w:rsid w:val="00AF13B2"/>
    <w:rsid w:val="00AF2D55"/>
    <w:rsid w:val="00AF3C15"/>
    <w:rsid w:val="00AF75BF"/>
    <w:rsid w:val="00AF76D6"/>
    <w:rsid w:val="00B0001F"/>
    <w:rsid w:val="00B00490"/>
    <w:rsid w:val="00B00C2B"/>
    <w:rsid w:val="00B011E9"/>
    <w:rsid w:val="00B03500"/>
    <w:rsid w:val="00B0379D"/>
    <w:rsid w:val="00B04649"/>
    <w:rsid w:val="00B04658"/>
    <w:rsid w:val="00B051ED"/>
    <w:rsid w:val="00B05879"/>
    <w:rsid w:val="00B05DC7"/>
    <w:rsid w:val="00B063D5"/>
    <w:rsid w:val="00B06E0E"/>
    <w:rsid w:val="00B1070A"/>
    <w:rsid w:val="00B10787"/>
    <w:rsid w:val="00B10A29"/>
    <w:rsid w:val="00B10C18"/>
    <w:rsid w:val="00B126B2"/>
    <w:rsid w:val="00B12E1A"/>
    <w:rsid w:val="00B1340B"/>
    <w:rsid w:val="00B141C3"/>
    <w:rsid w:val="00B152B2"/>
    <w:rsid w:val="00B17813"/>
    <w:rsid w:val="00B2329C"/>
    <w:rsid w:val="00B24082"/>
    <w:rsid w:val="00B2422F"/>
    <w:rsid w:val="00B32C83"/>
    <w:rsid w:val="00B33BE9"/>
    <w:rsid w:val="00B344CB"/>
    <w:rsid w:val="00B36BCE"/>
    <w:rsid w:val="00B372B6"/>
    <w:rsid w:val="00B401E9"/>
    <w:rsid w:val="00B409F1"/>
    <w:rsid w:val="00B416FD"/>
    <w:rsid w:val="00B41E8A"/>
    <w:rsid w:val="00B4320F"/>
    <w:rsid w:val="00B4330C"/>
    <w:rsid w:val="00B44CBB"/>
    <w:rsid w:val="00B513A3"/>
    <w:rsid w:val="00B52088"/>
    <w:rsid w:val="00B5271E"/>
    <w:rsid w:val="00B5275B"/>
    <w:rsid w:val="00B52893"/>
    <w:rsid w:val="00B528DB"/>
    <w:rsid w:val="00B54739"/>
    <w:rsid w:val="00B54FA4"/>
    <w:rsid w:val="00B55450"/>
    <w:rsid w:val="00B558D5"/>
    <w:rsid w:val="00B56C32"/>
    <w:rsid w:val="00B62B39"/>
    <w:rsid w:val="00B62E21"/>
    <w:rsid w:val="00B64994"/>
    <w:rsid w:val="00B66373"/>
    <w:rsid w:val="00B66C35"/>
    <w:rsid w:val="00B6753B"/>
    <w:rsid w:val="00B67E2A"/>
    <w:rsid w:val="00B7096D"/>
    <w:rsid w:val="00B712EE"/>
    <w:rsid w:val="00B738CF"/>
    <w:rsid w:val="00B7551D"/>
    <w:rsid w:val="00B755C6"/>
    <w:rsid w:val="00B755D1"/>
    <w:rsid w:val="00B77C13"/>
    <w:rsid w:val="00B77CEB"/>
    <w:rsid w:val="00B802CE"/>
    <w:rsid w:val="00B811BE"/>
    <w:rsid w:val="00B81536"/>
    <w:rsid w:val="00B8228A"/>
    <w:rsid w:val="00B82B97"/>
    <w:rsid w:val="00B8488B"/>
    <w:rsid w:val="00B862F7"/>
    <w:rsid w:val="00B86B61"/>
    <w:rsid w:val="00B87585"/>
    <w:rsid w:val="00B877D9"/>
    <w:rsid w:val="00B87FA1"/>
    <w:rsid w:val="00B90B7C"/>
    <w:rsid w:val="00B90C6D"/>
    <w:rsid w:val="00B91F4A"/>
    <w:rsid w:val="00B94865"/>
    <w:rsid w:val="00B957A2"/>
    <w:rsid w:val="00B96DC1"/>
    <w:rsid w:val="00BA0791"/>
    <w:rsid w:val="00BA12C8"/>
    <w:rsid w:val="00BA12D1"/>
    <w:rsid w:val="00BA147C"/>
    <w:rsid w:val="00BA2B63"/>
    <w:rsid w:val="00BA38CA"/>
    <w:rsid w:val="00BA6D3F"/>
    <w:rsid w:val="00BA7E2E"/>
    <w:rsid w:val="00BB0DA4"/>
    <w:rsid w:val="00BB1F74"/>
    <w:rsid w:val="00BB22E0"/>
    <w:rsid w:val="00BB274D"/>
    <w:rsid w:val="00BB387A"/>
    <w:rsid w:val="00BB4486"/>
    <w:rsid w:val="00BB5341"/>
    <w:rsid w:val="00BB562F"/>
    <w:rsid w:val="00BC19D3"/>
    <w:rsid w:val="00BC22A9"/>
    <w:rsid w:val="00BC38AA"/>
    <w:rsid w:val="00BC4B57"/>
    <w:rsid w:val="00BC5FEB"/>
    <w:rsid w:val="00BC609F"/>
    <w:rsid w:val="00BC60D4"/>
    <w:rsid w:val="00BC6F9C"/>
    <w:rsid w:val="00BC72E3"/>
    <w:rsid w:val="00BD2734"/>
    <w:rsid w:val="00BD2891"/>
    <w:rsid w:val="00BD3C7D"/>
    <w:rsid w:val="00BD3C8F"/>
    <w:rsid w:val="00BD3FF2"/>
    <w:rsid w:val="00BD457D"/>
    <w:rsid w:val="00BD46CC"/>
    <w:rsid w:val="00BD5302"/>
    <w:rsid w:val="00BD55FC"/>
    <w:rsid w:val="00BD6984"/>
    <w:rsid w:val="00BE0663"/>
    <w:rsid w:val="00BE1404"/>
    <w:rsid w:val="00BE233D"/>
    <w:rsid w:val="00BE31DF"/>
    <w:rsid w:val="00BE366F"/>
    <w:rsid w:val="00BE38FC"/>
    <w:rsid w:val="00BE5060"/>
    <w:rsid w:val="00BE506A"/>
    <w:rsid w:val="00BF09C8"/>
    <w:rsid w:val="00BF246F"/>
    <w:rsid w:val="00BF4A5A"/>
    <w:rsid w:val="00BF5C89"/>
    <w:rsid w:val="00BF67B3"/>
    <w:rsid w:val="00BF6884"/>
    <w:rsid w:val="00BF7783"/>
    <w:rsid w:val="00C01C52"/>
    <w:rsid w:val="00C01E24"/>
    <w:rsid w:val="00C026AA"/>
    <w:rsid w:val="00C02E44"/>
    <w:rsid w:val="00C02E9E"/>
    <w:rsid w:val="00C03497"/>
    <w:rsid w:val="00C035DB"/>
    <w:rsid w:val="00C04D7B"/>
    <w:rsid w:val="00C071BE"/>
    <w:rsid w:val="00C07485"/>
    <w:rsid w:val="00C101F7"/>
    <w:rsid w:val="00C106B5"/>
    <w:rsid w:val="00C12A8E"/>
    <w:rsid w:val="00C13750"/>
    <w:rsid w:val="00C13DF4"/>
    <w:rsid w:val="00C14ACD"/>
    <w:rsid w:val="00C14D8D"/>
    <w:rsid w:val="00C20BBB"/>
    <w:rsid w:val="00C20C32"/>
    <w:rsid w:val="00C20D76"/>
    <w:rsid w:val="00C212F2"/>
    <w:rsid w:val="00C225B5"/>
    <w:rsid w:val="00C23979"/>
    <w:rsid w:val="00C23A45"/>
    <w:rsid w:val="00C24E58"/>
    <w:rsid w:val="00C27F70"/>
    <w:rsid w:val="00C30AF7"/>
    <w:rsid w:val="00C31492"/>
    <w:rsid w:val="00C314EE"/>
    <w:rsid w:val="00C31D41"/>
    <w:rsid w:val="00C33D15"/>
    <w:rsid w:val="00C34333"/>
    <w:rsid w:val="00C3617B"/>
    <w:rsid w:val="00C37615"/>
    <w:rsid w:val="00C445DE"/>
    <w:rsid w:val="00C45120"/>
    <w:rsid w:val="00C46474"/>
    <w:rsid w:val="00C465A4"/>
    <w:rsid w:val="00C467DE"/>
    <w:rsid w:val="00C46CD3"/>
    <w:rsid w:val="00C50603"/>
    <w:rsid w:val="00C51B22"/>
    <w:rsid w:val="00C520C9"/>
    <w:rsid w:val="00C54857"/>
    <w:rsid w:val="00C55925"/>
    <w:rsid w:val="00C56AFC"/>
    <w:rsid w:val="00C57A54"/>
    <w:rsid w:val="00C60728"/>
    <w:rsid w:val="00C60D34"/>
    <w:rsid w:val="00C646BA"/>
    <w:rsid w:val="00C64E08"/>
    <w:rsid w:val="00C65075"/>
    <w:rsid w:val="00C65094"/>
    <w:rsid w:val="00C710BE"/>
    <w:rsid w:val="00C711FB"/>
    <w:rsid w:val="00C717A7"/>
    <w:rsid w:val="00C74933"/>
    <w:rsid w:val="00C77CFB"/>
    <w:rsid w:val="00C8115C"/>
    <w:rsid w:val="00C81310"/>
    <w:rsid w:val="00C8135F"/>
    <w:rsid w:val="00C8140D"/>
    <w:rsid w:val="00C81F6C"/>
    <w:rsid w:val="00C83EBA"/>
    <w:rsid w:val="00C853BF"/>
    <w:rsid w:val="00C87307"/>
    <w:rsid w:val="00C9042C"/>
    <w:rsid w:val="00C90AF0"/>
    <w:rsid w:val="00C9180C"/>
    <w:rsid w:val="00C92402"/>
    <w:rsid w:val="00C92D26"/>
    <w:rsid w:val="00C94944"/>
    <w:rsid w:val="00C967A9"/>
    <w:rsid w:val="00C97356"/>
    <w:rsid w:val="00C9766B"/>
    <w:rsid w:val="00C976E9"/>
    <w:rsid w:val="00C97FB9"/>
    <w:rsid w:val="00CA0CC7"/>
    <w:rsid w:val="00CA25E6"/>
    <w:rsid w:val="00CA3256"/>
    <w:rsid w:val="00CA5087"/>
    <w:rsid w:val="00CA58AA"/>
    <w:rsid w:val="00CA5969"/>
    <w:rsid w:val="00CA6220"/>
    <w:rsid w:val="00CA6A11"/>
    <w:rsid w:val="00CB05B8"/>
    <w:rsid w:val="00CB0E80"/>
    <w:rsid w:val="00CB173C"/>
    <w:rsid w:val="00CB19F6"/>
    <w:rsid w:val="00CB1E85"/>
    <w:rsid w:val="00CB1EE1"/>
    <w:rsid w:val="00CB26C6"/>
    <w:rsid w:val="00CB40E2"/>
    <w:rsid w:val="00CB4DB9"/>
    <w:rsid w:val="00CB5D0A"/>
    <w:rsid w:val="00CB602A"/>
    <w:rsid w:val="00CC5D06"/>
    <w:rsid w:val="00CC7B59"/>
    <w:rsid w:val="00CD155D"/>
    <w:rsid w:val="00CD3118"/>
    <w:rsid w:val="00CD4780"/>
    <w:rsid w:val="00CD4F6E"/>
    <w:rsid w:val="00CD5D55"/>
    <w:rsid w:val="00CD68E1"/>
    <w:rsid w:val="00CD6A28"/>
    <w:rsid w:val="00CD7D77"/>
    <w:rsid w:val="00CE1726"/>
    <w:rsid w:val="00CE1F4B"/>
    <w:rsid w:val="00CE275A"/>
    <w:rsid w:val="00CE32D1"/>
    <w:rsid w:val="00CE3F5E"/>
    <w:rsid w:val="00CE6B02"/>
    <w:rsid w:val="00CF1EC4"/>
    <w:rsid w:val="00CF2C10"/>
    <w:rsid w:val="00CF39C0"/>
    <w:rsid w:val="00CF6FF4"/>
    <w:rsid w:val="00CF7CE8"/>
    <w:rsid w:val="00CF7F85"/>
    <w:rsid w:val="00D007D7"/>
    <w:rsid w:val="00D00E76"/>
    <w:rsid w:val="00D0366E"/>
    <w:rsid w:val="00D04C52"/>
    <w:rsid w:val="00D07386"/>
    <w:rsid w:val="00D077C0"/>
    <w:rsid w:val="00D10899"/>
    <w:rsid w:val="00D117B7"/>
    <w:rsid w:val="00D11C8E"/>
    <w:rsid w:val="00D12467"/>
    <w:rsid w:val="00D127A2"/>
    <w:rsid w:val="00D12E20"/>
    <w:rsid w:val="00D14212"/>
    <w:rsid w:val="00D1571D"/>
    <w:rsid w:val="00D17113"/>
    <w:rsid w:val="00D174F2"/>
    <w:rsid w:val="00D17957"/>
    <w:rsid w:val="00D20265"/>
    <w:rsid w:val="00D23BF0"/>
    <w:rsid w:val="00D24A38"/>
    <w:rsid w:val="00D257B7"/>
    <w:rsid w:val="00D26A2B"/>
    <w:rsid w:val="00D26CD5"/>
    <w:rsid w:val="00D27F85"/>
    <w:rsid w:val="00D301A7"/>
    <w:rsid w:val="00D301D3"/>
    <w:rsid w:val="00D31708"/>
    <w:rsid w:val="00D31FDB"/>
    <w:rsid w:val="00D34030"/>
    <w:rsid w:val="00D3426C"/>
    <w:rsid w:val="00D34BB6"/>
    <w:rsid w:val="00D360E2"/>
    <w:rsid w:val="00D361EF"/>
    <w:rsid w:val="00D36611"/>
    <w:rsid w:val="00D36823"/>
    <w:rsid w:val="00D36DA6"/>
    <w:rsid w:val="00D41C45"/>
    <w:rsid w:val="00D41CAA"/>
    <w:rsid w:val="00D4302D"/>
    <w:rsid w:val="00D430FA"/>
    <w:rsid w:val="00D44276"/>
    <w:rsid w:val="00D46B45"/>
    <w:rsid w:val="00D52179"/>
    <w:rsid w:val="00D526ED"/>
    <w:rsid w:val="00D5351B"/>
    <w:rsid w:val="00D5376D"/>
    <w:rsid w:val="00D5551C"/>
    <w:rsid w:val="00D570AD"/>
    <w:rsid w:val="00D60088"/>
    <w:rsid w:val="00D6099A"/>
    <w:rsid w:val="00D60B7D"/>
    <w:rsid w:val="00D6177A"/>
    <w:rsid w:val="00D6243F"/>
    <w:rsid w:val="00D62AB7"/>
    <w:rsid w:val="00D630AD"/>
    <w:rsid w:val="00D64BF4"/>
    <w:rsid w:val="00D652A9"/>
    <w:rsid w:val="00D65C4F"/>
    <w:rsid w:val="00D66A24"/>
    <w:rsid w:val="00D67ADB"/>
    <w:rsid w:val="00D707E8"/>
    <w:rsid w:val="00D719F8"/>
    <w:rsid w:val="00D72690"/>
    <w:rsid w:val="00D73843"/>
    <w:rsid w:val="00D76DAB"/>
    <w:rsid w:val="00D778CA"/>
    <w:rsid w:val="00D829F9"/>
    <w:rsid w:val="00D82AA8"/>
    <w:rsid w:val="00D8342B"/>
    <w:rsid w:val="00D83B67"/>
    <w:rsid w:val="00D84E9D"/>
    <w:rsid w:val="00D8633E"/>
    <w:rsid w:val="00D87A0F"/>
    <w:rsid w:val="00D91927"/>
    <w:rsid w:val="00D94EFD"/>
    <w:rsid w:val="00D959E5"/>
    <w:rsid w:val="00D95BE4"/>
    <w:rsid w:val="00D96B52"/>
    <w:rsid w:val="00D96D8F"/>
    <w:rsid w:val="00DA0AF3"/>
    <w:rsid w:val="00DA226B"/>
    <w:rsid w:val="00DA2447"/>
    <w:rsid w:val="00DA2AD7"/>
    <w:rsid w:val="00DA360F"/>
    <w:rsid w:val="00DA406A"/>
    <w:rsid w:val="00DA4D8B"/>
    <w:rsid w:val="00DA5466"/>
    <w:rsid w:val="00DA633F"/>
    <w:rsid w:val="00DB0E27"/>
    <w:rsid w:val="00DB1C50"/>
    <w:rsid w:val="00DB26CB"/>
    <w:rsid w:val="00DB28DA"/>
    <w:rsid w:val="00DB523B"/>
    <w:rsid w:val="00DC086F"/>
    <w:rsid w:val="00DC13C7"/>
    <w:rsid w:val="00DC1D4D"/>
    <w:rsid w:val="00DC222F"/>
    <w:rsid w:val="00DC4438"/>
    <w:rsid w:val="00DC4466"/>
    <w:rsid w:val="00DC454D"/>
    <w:rsid w:val="00DC50CF"/>
    <w:rsid w:val="00DC52B5"/>
    <w:rsid w:val="00DC54F8"/>
    <w:rsid w:val="00DC63BA"/>
    <w:rsid w:val="00DC6963"/>
    <w:rsid w:val="00DC74FE"/>
    <w:rsid w:val="00DC7D1A"/>
    <w:rsid w:val="00DD085E"/>
    <w:rsid w:val="00DD172F"/>
    <w:rsid w:val="00DD1A2C"/>
    <w:rsid w:val="00DD236B"/>
    <w:rsid w:val="00DD377B"/>
    <w:rsid w:val="00DD4ADE"/>
    <w:rsid w:val="00DD5637"/>
    <w:rsid w:val="00DD60D4"/>
    <w:rsid w:val="00DD655E"/>
    <w:rsid w:val="00DD6AA2"/>
    <w:rsid w:val="00DD744E"/>
    <w:rsid w:val="00DE0223"/>
    <w:rsid w:val="00DE03D3"/>
    <w:rsid w:val="00DE096F"/>
    <w:rsid w:val="00DE0B5C"/>
    <w:rsid w:val="00DE208B"/>
    <w:rsid w:val="00DE2A44"/>
    <w:rsid w:val="00DE6FBB"/>
    <w:rsid w:val="00DE75AC"/>
    <w:rsid w:val="00DF0D7D"/>
    <w:rsid w:val="00DF1363"/>
    <w:rsid w:val="00DF16F8"/>
    <w:rsid w:val="00DF23CC"/>
    <w:rsid w:val="00DF2C7D"/>
    <w:rsid w:val="00DF2F08"/>
    <w:rsid w:val="00DF405A"/>
    <w:rsid w:val="00DF5652"/>
    <w:rsid w:val="00E002F3"/>
    <w:rsid w:val="00E00DA9"/>
    <w:rsid w:val="00E02426"/>
    <w:rsid w:val="00E02C29"/>
    <w:rsid w:val="00E03628"/>
    <w:rsid w:val="00E044D0"/>
    <w:rsid w:val="00E05A9E"/>
    <w:rsid w:val="00E107D0"/>
    <w:rsid w:val="00E13976"/>
    <w:rsid w:val="00E14647"/>
    <w:rsid w:val="00E1645F"/>
    <w:rsid w:val="00E16D96"/>
    <w:rsid w:val="00E16F80"/>
    <w:rsid w:val="00E21232"/>
    <w:rsid w:val="00E2165F"/>
    <w:rsid w:val="00E21936"/>
    <w:rsid w:val="00E22F3F"/>
    <w:rsid w:val="00E23784"/>
    <w:rsid w:val="00E23B7E"/>
    <w:rsid w:val="00E24108"/>
    <w:rsid w:val="00E26C70"/>
    <w:rsid w:val="00E2759C"/>
    <w:rsid w:val="00E32B72"/>
    <w:rsid w:val="00E32F4E"/>
    <w:rsid w:val="00E33A66"/>
    <w:rsid w:val="00E33A6C"/>
    <w:rsid w:val="00E34CCE"/>
    <w:rsid w:val="00E36FEF"/>
    <w:rsid w:val="00E37554"/>
    <w:rsid w:val="00E40A97"/>
    <w:rsid w:val="00E40E28"/>
    <w:rsid w:val="00E42180"/>
    <w:rsid w:val="00E436EE"/>
    <w:rsid w:val="00E43B6C"/>
    <w:rsid w:val="00E477B7"/>
    <w:rsid w:val="00E47CFD"/>
    <w:rsid w:val="00E50348"/>
    <w:rsid w:val="00E52AC0"/>
    <w:rsid w:val="00E56263"/>
    <w:rsid w:val="00E60021"/>
    <w:rsid w:val="00E60B72"/>
    <w:rsid w:val="00E60C2C"/>
    <w:rsid w:val="00E65028"/>
    <w:rsid w:val="00E65CA9"/>
    <w:rsid w:val="00E66A8F"/>
    <w:rsid w:val="00E67294"/>
    <w:rsid w:val="00E674BA"/>
    <w:rsid w:val="00E703D7"/>
    <w:rsid w:val="00E725E8"/>
    <w:rsid w:val="00E72BCE"/>
    <w:rsid w:val="00E75748"/>
    <w:rsid w:val="00E77285"/>
    <w:rsid w:val="00E8085F"/>
    <w:rsid w:val="00E8090E"/>
    <w:rsid w:val="00E814E9"/>
    <w:rsid w:val="00E855CB"/>
    <w:rsid w:val="00E86C65"/>
    <w:rsid w:val="00E87BE4"/>
    <w:rsid w:val="00E901B6"/>
    <w:rsid w:val="00E92B27"/>
    <w:rsid w:val="00E941BA"/>
    <w:rsid w:val="00E96618"/>
    <w:rsid w:val="00E96810"/>
    <w:rsid w:val="00E96A49"/>
    <w:rsid w:val="00E97363"/>
    <w:rsid w:val="00E97AC6"/>
    <w:rsid w:val="00EA20CC"/>
    <w:rsid w:val="00EA3616"/>
    <w:rsid w:val="00EA4558"/>
    <w:rsid w:val="00EA4C24"/>
    <w:rsid w:val="00EA74A2"/>
    <w:rsid w:val="00EB04CE"/>
    <w:rsid w:val="00EB0F23"/>
    <w:rsid w:val="00EB123F"/>
    <w:rsid w:val="00EB1B45"/>
    <w:rsid w:val="00EB3B3B"/>
    <w:rsid w:val="00EB4DB9"/>
    <w:rsid w:val="00EB4F20"/>
    <w:rsid w:val="00EB5323"/>
    <w:rsid w:val="00EB5BF9"/>
    <w:rsid w:val="00EB5F79"/>
    <w:rsid w:val="00EB61E2"/>
    <w:rsid w:val="00EB6C95"/>
    <w:rsid w:val="00EB7119"/>
    <w:rsid w:val="00EB7B4B"/>
    <w:rsid w:val="00EC06B4"/>
    <w:rsid w:val="00EC0DDE"/>
    <w:rsid w:val="00EC152D"/>
    <w:rsid w:val="00EC2676"/>
    <w:rsid w:val="00EC268A"/>
    <w:rsid w:val="00EC41C3"/>
    <w:rsid w:val="00EC57BF"/>
    <w:rsid w:val="00EC670D"/>
    <w:rsid w:val="00EC6CC9"/>
    <w:rsid w:val="00ED0614"/>
    <w:rsid w:val="00ED151A"/>
    <w:rsid w:val="00ED349D"/>
    <w:rsid w:val="00ED36A8"/>
    <w:rsid w:val="00ED39DB"/>
    <w:rsid w:val="00ED43D3"/>
    <w:rsid w:val="00ED548B"/>
    <w:rsid w:val="00ED6694"/>
    <w:rsid w:val="00ED6F1E"/>
    <w:rsid w:val="00EE1756"/>
    <w:rsid w:val="00EE2D89"/>
    <w:rsid w:val="00EE2FA9"/>
    <w:rsid w:val="00EE3FFE"/>
    <w:rsid w:val="00EE6293"/>
    <w:rsid w:val="00EE6A58"/>
    <w:rsid w:val="00EE7521"/>
    <w:rsid w:val="00EF292E"/>
    <w:rsid w:val="00EF342A"/>
    <w:rsid w:val="00EF3C1B"/>
    <w:rsid w:val="00EF4A7A"/>
    <w:rsid w:val="00EF5665"/>
    <w:rsid w:val="00EF57A7"/>
    <w:rsid w:val="00EF589A"/>
    <w:rsid w:val="00EF7A65"/>
    <w:rsid w:val="00F006C2"/>
    <w:rsid w:val="00F049B6"/>
    <w:rsid w:val="00F04CA6"/>
    <w:rsid w:val="00F04FD8"/>
    <w:rsid w:val="00F05BEB"/>
    <w:rsid w:val="00F06C22"/>
    <w:rsid w:val="00F0766A"/>
    <w:rsid w:val="00F101DB"/>
    <w:rsid w:val="00F12528"/>
    <w:rsid w:val="00F126B1"/>
    <w:rsid w:val="00F14E2C"/>
    <w:rsid w:val="00F15A4F"/>
    <w:rsid w:val="00F17050"/>
    <w:rsid w:val="00F231DB"/>
    <w:rsid w:val="00F24F97"/>
    <w:rsid w:val="00F253B8"/>
    <w:rsid w:val="00F261B9"/>
    <w:rsid w:val="00F26FC5"/>
    <w:rsid w:val="00F30172"/>
    <w:rsid w:val="00F3051C"/>
    <w:rsid w:val="00F3104C"/>
    <w:rsid w:val="00F312A8"/>
    <w:rsid w:val="00F324FB"/>
    <w:rsid w:val="00F3278E"/>
    <w:rsid w:val="00F32FB5"/>
    <w:rsid w:val="00F335EC"/>
    <w:rsid w:val="00F36302"/>
    <w:rsid w:val="00F37367"/>
    <w:rsid w:val="00F40083"/>
    <w:rsid w:val="00F40599"/>
    <w:rsid w:val="00F409C1"/>
    <w:rsid w:val="00F40A47"/>
    <w:rsid w:val="00F412F2"/>
    <w:rsid w:val="00F4185B"/>
    <w:rsid w:val="00F41C7F"/>
    <w:rsid w:val="00F447BC"/>
    <w:rsid w:val="00F456A5"/>
    <w:rsid w:val="00F45D0E"/>
    <w:rsid w:val="00F464ED"/>
    <w:rsid w:val="00F47763"/>
    <w:rsid w:val="00F47E25"/>
    <w:rsid w:val="00F47F4F"/>
    <w:rsid w:val="00F5014A"/>
    <w:rsid w:val="00F512AB"/>
    <w:rsid w:val="00F518FD"/>
    <w:rsid w:val="00F52642"/>
    <w:rsid w:val="00F52B84"/>
    <w:rsid w:val="00F52D77"/>
    <w:rsid w:val="00F531BD"/>
    <w:rsid w:val="00F5551C"/>
    <w:rsid w:val="00F56599"/>
    <w:rsid w:val="00F600DC"/>
    <w:rsid w:val="00F617E6"/>
    <w:rsid w:val="00F61ECD"/>
    <w:rsid w:val="00F637FA"/>
    <w:rsid w:val="00F63FE4"/>
    <w:rsid w:val="00F64772"/>
    <w:rsid w:val="00F6507D"/>
    <w:rsid w:val="00F65272"/>
    <w:rsid w:val="00F65A5B"/>
    <w:rsid w:val="00F720A3"/>
    <w:rsid w:val="00F72EB0"/>
    <w:rsid w:val="00F73903"/>
    <w:rsid w:val="00F73A77"/>
    <w:rsid w:val="00F74351"/>
    <w:rsid w:val="00F74D42"/>
    <w:rsid w:val="00F75B64"/>
    <w:rsid w:val="00F77E85"/>
    <w:rsid w:val="00F80F27"/>
    <w:rsid w:val="00F81343"/>
    <w:rsid w:val="00F82C70"/>
    <w:rsid w:val="00F850A8"/>
    <w:rsid w:val="00F86101"/>
    <w:rsid w:val="00F87810"/>
    <w:rsid w:val="00F90FF4"/>
    <w:rsid w:val="00F91256"/>
    <w:rsid w:val="00F9150D"/>
    <w:rsid w:val="00F92200"/>
    <w:rsid w:val="00F928D3"/>
    <w:rsid w:val="00F92932"/>
    <w:rsid w:val="00F93942"/>
    <w:rsid w:val="00F94154"/>
    <w:rsid w:val="00F9642F"/>
    <w:rsid w:val="00F96AED"/>
    <w:rsid w:val="00F9786F"/>
    <w:rsid w:val="00F97FEF"/>
    <w:rsid w:val="00FA0E3C"/>
    <w:rsid w:val="00FA178E"/>
    <w:rsid w:val="00FA1B66"/>
    <w:rsid w:val="00FA29E2"/>
    <w:rsid w:val="00FA3A29"/>
    <w:rsid w:val="00FA4E96"/>
    <w:rsid w:val="00FA5A64"/>
    <w:rsid w:val="00FA5ACF"/>
    <w:rsid w:val="00FB062C"/>
    <w:rsid w:val="00FB1341"/>
    <w:rsid w:val="00FB175D"/>
    <w:rsid w:val="00FB24DE"/>
    <w:rsid w:val="00FB2E94"/>
    <w:rsid w:val="00FB4318"/>
    <w:rsid w:val="00FB5EA0"/>
    <w:rsid w:val="00FB5EF5"/>
    <w:rsid w:val="00FB5F05"/>
    <w:rsid w:val="00FB66EA"/>
    <w:rsid w:val="00FB6757"/>
    <w:rsid w:val="00FB6913"/>
    <w:rsid w:val="00FB7314"/>
    <w:rsid w:val="00FC0197"/>
    <w:rsid w:val="00FC12C1"/>
    <w:rsid w:val="00FC16B6"/>
    <w:rsid w:val="00FC2A17"/>
    <w:rsid w:val="00FC368A"/>
    <w:rsid w:val="00FC3C3D"/>
    <w:rsid w:val="00FC47F6"/>
    <w:rsid w:val="00FC559D"/>
    <w:rsid w:val="00FC73CF"/>
    <w:rsid w:val="00FC7919"/>
    <w:rsid w:val="00FC7BBE"/>
    <w:rsid w:val="00FC7FC0"/>
    <w:rsid w:val="00FD0C3D"/>
    <w:rsid w:val="00FD1D0A"/>
    <w:rsid w:val="00FD3DD8"/>
    <w:rsid w:val="00FD442F"/>
    <w:rsid w:val="00FD45DB"/>
    <w:rsid w:val="00FD5173"/>
    <w:rsid w:val="00FD522C"/>
    <w:rsid w:val="00FD5E45"/>
    <w:rsid w:val="00FD673F"/>
    <w:rsid w:val="00FE0E17"/>
    <w:rsid w:val="00FE2181"/>
    <w:rsid w:val="00FE28CF"/>
    <w:rsid w:val="00FE3F19"/>
    <w:rsid w:val="00FF0351"/>
    <w:rsid w:val="00FF1C31"/>
    <w:rsid w:val="00FF28E8"/>
    <w:rsid w:val="00FF31B1"/>
    <w:rsid w:val="00FF517E"/>
    <w:rsid w:val="00FF5A27"/>
    <w:rsid w:val="00FF6C96"/>
    <w:rsid w:val="00FF7370"/>
    <w:rsid w:val="00FF7872"/>
    <w:rsid w:val="00FF79FF"/>
    <w:rsid w:val="00FF7A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A0FA74-E414-4404-AFAA-5B1692F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nhideWhenUsed/>
    <w:qFormat/>
    <w:rsid w:val="00FA1B66"/>
    <w:pPr>
      <w:keepNext/>
      <w:keepLines/>
      <w:numPr>
        <w:ilvl w:val="3"/>
        <w:numId w:val="3"/>
      </w:numPr>
      <w:spacing w:before="200"/>
      <w:outlineLvl w:val="3"/>
    </w:pPr>
    <w:rPr>
      <w:rFonts w:eastAsiaTheme="majorEastAsia"/>
      <w:b/>
      <w:bCs/>
      <w:iCs/>
    </w:rPr>
  </w:style>
  <w:style w:type="paragraph" w:styleId="Heading5">
    <w:name w:val="heading 5"/>
    <w:basedOn w:val="Normal"/>
    <w:next w:val="Normal"/>
    <w:link w:val="Heading5Char"/>
    <w:rsid w:val="00781866"/>
    <w:pPr>
      <w:keepNext/>
      <w:keepLines/>
      <w:pBdr>
        <w:top w:val="nil"/>
        <w:left w:val="nil"/>
        <w:bottom w:val="nil"/>
        <w:right w:val="nil"/>
        <w:between w:val="nil"/>
      </w:pBdr>
      <w:spacing w:before="160" w:line="276" w:lineRule="auto"/>
      <w:ind w:left="1008" w:hanging="1008"/>
      <w:contextualSpacing/>
      <w:jc w:val="both"/>
      <w:outlineLvl w:val="4"/>
    </w:pPr>
    <w:rPr>
      <w:rFonts w:ascii="Trebuchet MS" w:eastAsia="Trebuchet MS" w:hAnsi="Trebuchet MS" w:cs="Trebuchet MS"/>
      <w:color w:val="666666"/>
      <w:sz w:val="22"/>
      <w:szCs w:val="22"/>
      <w:lang w:val="lv" w:eastAsia="en-US"/>
    </w:rPr>
  </w:style>
  <w:style w:type="paragraph" w:styleId="Heading6">
    <w:name w:val="heading 6"/>
    <w:basedOn w:val="Normal"/>
    <w:next w:val="Normal"/>
    <w:link w:val="Heading6Char"/>
    <w:rsid w:val="00781866"/>
    <w:pPr>
      <w:keepNext/>
      <w:keepLines/>
      <w:pBdr>
        <w:top w:val="nil"/>
        <w:left w:val="nil"/>
        <w:bottom w:val="nil"/>
        <w:right w:val="nil"/>
        <w:between w:val="nil"/>
      </w:pBdr>
      <w:spacing w:before="160" w:line="276" w:lineRule="auto"/>
      <w:ind w:left="1152" w:hanging="1152"/>
      <w:contextualSpacing/>
      <w:jc w:val="both"/>
      <w:outlineLvl w:val="5"/>
    </w:pPr>
    <w:rPr>
      <w:rFonts w:ascii="Trebuchet MS" w:eastAsia="Trebuchet MS" w:hAnsi="Trebuchet MS" w:cs="Trebuchet MS"/>
      <w:i/>
      <w:color w:val="666666"/>
      <w:sz w:val="22"/>
      <w:szCs w:val="22"/>
      <w:lang w:val="lv" w:eastAsia="en-US"/>
    </w:rPr>
  </w:style>
  <w:style w:type="paragraph" w:styleId="Heading7">
    <w:name w:val="heading 7"/>
    <w:basedOn w:val="Normal"/>
    <w:next w:val="Normal"/>
    <w:link w:val="Heading7Char"/>
    <w:uiPriority w:val="9"/>
    <w:semiHidden/>
    <w:unhideWhenUsed/>
    <w:qFormat/>
    <w:rsid w:val="00781866"/>
    <w:pPr>
      <w:keepNext/>
      <w:keepLines/>
      <w:pBdr>
        <w:top w:val="nil"/>
        <w:left w:val="nil"/>
        <w:bottom w:val="nil"/>
        <w:right w:val="nil"/>
        <w:between w:val="nil"/>
      </w:pBdr>
      <w:spacing w:before="40" w:line="276" w:lineRule="auto"/>
      <w:ind w:left="1296" w:hanging="1296"/>
      <w:contextualSpacing/>
      <w:jc w:val="both"/>
      <w:outlineLvl w:val="6"/>
    </w:pPr>
    <w:rPr>
      <w:rFonts w:asciiTheme="majorHAnsi" w:eastAsiaTheme="majorEastAsia" w:hAnsiTheme="majorHAnsi" w:cstheme="majorBidi"/>
      <w:i/>
      <w:iCs/>
      <w:color w:val="243F60" w:themeColor="accent1" w:themeShade="7F"/>
      <w:sz w:val="22"/>
      <w:szCs w:val="22"/>
      <w:lang w:val="lv" w:eastAsia="en-US"/>
    </w:rPr>
  </w:style>
  <w:style w:type="paragraph" w:styleId="Heading8">
    <w:name w:val="heading 8"/>
    <w:basedOn w:val="Normal"/>
    <w:next w:val="Normal"/>
    <w:link w:val="Heading8Char"/>
    <w:uiPriority w:val="9"/>
    <w:semiHidden/>
    <w:unhideWhenUsed/>
    <w:qFormat/>
    <w:rsid w:val="00781866"/>
    <w:pPr>
      <w:keepNext/>
      <w:keepLines/>
      <w:pBdr>
        <w:top w:val="nil"/>
        <w:left w:val="nil"/>
        <w:bottom w:val="nil"/>
        <w:right w:val="nil"/>
        <w:between w:val="nil"/>
      </w:pBdr>
      <w:spacing w:before="40" w:line="276" w:lineRule="auto"/>
      <w:ind w:left="1440" w:hanging="1440"/>
      <w:contextualSpacing/>
      <w:jc w:val="both"/>
      <w:outlineLvl w:val="7"/>
    </w:pPr>
    <w:rPr>
      <w:rFonts w:asciiTheme="majorHAnsi" w:eastAsiaTheme="majorEastAsia" w:hAnsiTheme="majorHAnsi" w:cstheme="majorBidi"/>
      <w:color w:val="272727" w:themeColor="text1" w:themeTint="D8"/>
      <w:sz w:val="21"/>
      <w:szCs w:val="21"/>
      <w:lang w:val="lv" w:eastAsia="en-US"/>
    </w:rPr>
  </w:style>
  <w:style w:type="paragraph" w:styleId="Heading9">
    <w:name w:val="heading 9"/>
    <w:basedOn w:val="Normal"/>
    <w:next w:val="Normal"/>
    <w:link w:val="Heading9Char"/>
    <w:uiPriority w:val="9"/>
    <w:semiHidden/>
    <w:unhideWhenUsed/>
    <w:qFormat/>
    <w:rsid w:val="00781866"/>
    <w:pPr>
      <w:keepNext/>
      <w:keepLines/>
      <w:pBdr>
        <w:top w:val="nil"/>
        <w:left w:val="nil"/>
        <w:bottom w:val="nil"/>
        <w:right w:val="nil"/>
        <w:between w:val="nil"/>
      </w:pBdr>
      <w:spacing w:before="40" w:line="276"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lang w:val="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hAnsi="Times New Roman" w:eastAsiaTheme="majorEastAsia"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rsid w:val="00FA1B66"/>
    <w:rPr>
      <w:rFonts w:ascii="Times New Roman" w:hAnsi="Times New Roman" w:eastAsiaTheme="majorEastAsia"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hAnsi="Arial" w:eastAsiaTheme="minorEastAsia"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Normal (Web) Char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 w:type="character" w:customStyle="1" w:styleId="Heading5Char">
    <w:name w:val="Heading 5 Char"/>
    <w:basedOn w:val="DefaultParagraphFont"/>
    <w:link w:val="Heading5"/>
    <w:rsid w:val="00781866"/>
    <w:rPr>
      <w:rFonts w:ascii="Trebuchet MS" w:eastAsia="Trebuchet MS" w:hAnsi="Trebuchet MS" w:cs="Trebuchet MS"/>
      <w:color w:val="666666"/>
      <w:lang w:val="lv"/>
    </w:rPr>
  </w:style>
  <w:style w:type="character" w:customStyle="1" w:styleId="Heading6Char">
    <w:name w:val="Heading 6 Char"/>
    <w:basedOn w:val="DefaultParagraphFont"/>
    <w:link w:val="Heading6"/>
    <w:rsid w:val="00781866"/>
    <w:rPr>
      <w:rFonts w:ascii="Trebuchet MS" w:eastAsia="Trebuchet MS" w:hAnsi="Trebuchet MS" w:cs="Trebuchet MS"/>
      <w:i/>
      <w:color w:val="666666"/>
      <w:lang w:val="lv"/>
    </w:rPr>
  </w:style>
  <w:style w:type="character" w:customStyle="1" w:styleId="Heading7Char">
    <w:name w:val="Heading 7 Char"/>
    <w:basedOn w:val="DefaultParagraphFont"/>
    <w:link w:val="Heading7"/>
    <w:uiPriority w:val="9"/>
    <w:semiHidden/>
    <w:rsid w:val="00781866"/>
    <w:rPr>
      <w:rFonts w:asciiTheme="majorHAnsi" w:eastAsiaTheme="majorEastAsia" w:hAnsiTheme="majorHAnsi" w:cstheme="majorBidi"/>
      <w:i/>
      <w:iCs/>
      <w:color w:val="243F60" w:themeColor="accent1" w:themeShade="7F"/>
      <w:lang w:val="lv"/>
    </w:rPr>
  </w:style>
  <w:style w:type="character" w:customStyle="1" w:styleId="Heading8Char">
    <w:name w:val="Heading 8 Char"/>
    <w:basedOn w:val="DefaultParagraphFont"/>
    <w:link w:val="Heading8"/>
    <w:uiPriority w:val="9"/>
    <w:semiHidden/>
    <w:rsid w:val="00781866"/>
    <w:rPr>
      <w:rFonts w:asciiTheme="majorHAnsi" w:eastAsiaTheme="majorEastAsia" w:hAnsiTheme="majorHAnsi" w:cstheme="majorBidi"/>
      <w:color w:val="272727" w:themeColor="text1" w:themeTint="D8"/>
      <w:sz w:val="21"/>
      <w:szCs w:val="21"/>
      <w:lang w:val="lv"/>
    </w:rPr>
  </w:style>
  <w:style w:type="character" w:customStyle="1" w:styleId="Heading9Char">
    <w:name w:val="Heading 9 Char"/>
    <w:basedOn w:val="DefaultParagraphFont"/>
    <w:link w:val="Heading9"/>
    <w:uiPriority w:val="9"/>
    <w:semiHidden/>
    <w:rsid w:val="00781866"/>
    <w:rPr>
      <w:rFonts w:asciiTheme="majorHAnsi" w:eastAsiaTheme="majorEastAsia" w:hAnsiTheme="majorHAnsi" w:cstheme="majorBidi"/>
      <w:i/>
      <w:iCs/>
      <w:color w:val="272727" w:themeColor="text1" w:themeTint="D8"/>
      <w:sz w:val="21"/>
      <w:szCs w:val="21"/>
      <w:lang w:val="lv"/>
    </w:rPr>
  </w:style>
  <w:style w:type="paragraph" w:styleId="Subtitle">
    <w:name w:val="Subtitle"/>
    <w:basedOn w:val="Normal"/>
    <w:next w:val="Normal"/>
    <w:link w:val="SubtitleChar"/>
    <w:rsid w:val="00781866"/>
    <w:pPr>
      <w:keepNext/>
      <w:keepLines/>
      <w:pBdr>
        <w:top w:val="nil"/>
        <w:left w:val="nil"/>
        <w:bottom w:val="nil"/>
        <w:right w:val="nil"/>
        <w:between w:val="nil"/>
      </w:pBdr>
      <w:spacing w:after="200" w:line="276" w:lineRule="auto"/>
      <w:contextualSpacing/>
      <w:jc w:val="both"/>
    </w:pPr>
    <w:rPr>
      <w:rFonts w:ascii="Trebuchet MS" w:eastAsia="Trebuchet MS" w:hAnsi="Trebuchet MS" w:cs="Trebuchet MS"/>
      <w:i/>
      <w:color w:val="666666"/>
      <w:sz w:val="26"/>
      <w:szCs w:val="26"/>
      <w:lang w:val="lv" w:eastAsia="en-US"/>
    </w:rPr>
  </w:style>
  <w:style w:type="character" w:customStyle="1" w:styleId="SubtitleChar">
    <w:name w:val="Subtitle Char"/>
    <w:basedOn w:val="DefaultParagraphFont"/>
    <w:link w:val="Subtitle"/>
    <w:rsid w:val="00781866"/>
    <w:rPr>
      <w:rFonts w:ascii="Trebuchet MS" w:eastAsia="Trebuchet MS" w:hAnsi="Trebuchet MS" w:cs="Trebuchet MS"/>
      <w:i/>
      <w:color w:val="666666"/>
      <w:sz w:val="26"/>
      <w:szCs w:val="26"/>
      <w:lang w:val="lv"/>
    </w:rPr>
  </w:style>
  <w:style w:type="character" w:customStyle="1" w:styleId="Neatrisintapieminana1">
    <w:name w:val="Neatrisināta pieminēšana1"/>
    <w:basedOn w:val="DefaultParagraphFont"/>
    <w:uiPriority w:val="99"/>
    <w:semiHidden/>
    <w:unhideWhenUsed/>
    <w:rsid w:val="00781866"/>
    <w:rPr>
      <w:color w:val="808080"/>
      <w:shd w:val="clear" w:color="auto" w:fill="E6E6E6"/>
    </w:rPr>
  </w:style>
  <w:style w:type="character" w:customStyle="1" w:styleId="st">
    <w:name w:val="st"/>
    <w:basedOn w:val="DefaultParagraphFont"/>
    <w:rsid w:val="00E4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tif" /><Relationship Id="rId14" Type="http://schemas.openxmlformats.org/officeDocument/2006/relationships/image" Target="media/image9.png" /><Relationship Id="rId15" Type="http://schemas.openxmlformats.org/officeDocument/2006/relationships/image" Target="media/image10.tif"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38036-2C91-4DFE-B39A-49F91596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51737</Words>
  <Characters>29491</Characters>
  <Application>Microsoft Office Word</Application>
  <DocSecurity>0</DocSecurity>
  <Lines>245</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81066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5</cp:revision>
  <cp:lastPrinted>2018-01-29T14:08:00Z</cp:lastPrinted>
  <dcterms:created xsi:type="dcterms:W3CDTF">2018-01-30T08:50:00Z</dcterms:created>
  <dcterms:modified xsi:type="dcterms:W3CDTF">2018-01-30T09:32:00Z</dcterms:modified>
</cp:coreProperties>
</file>