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9BC4" w14:textId="646DDF05" w:rsidR="00E31D78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4. pielikums</w:t>
      </w:r>
    </w:p>
    <w:p w14:paraId="7F867768" w14:textId="77777777" w:rsidR="00E31D78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649FBC60" w14:textId="2C451CBB" w:rsidR="00E31D78" w:rsidRDefault="00E31D78" w:rsidP="00E31D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2018. gada </w:t>
      </w:r>
      <w:r w:rsidR="00A0057A">
        <w:rPr>
          <w:sz w:val="28"/>
          <w:szCs w:val="28"/>
        </w:rPr>
        <w:t>13. februār</w:t>
      </w:r>
      <w:r w:rsidR="00A0057A">
        <w:rPr>
          <w:sz w:val="28"/>
          <w:szCs w:val="28"/>
        </w:rPr>
        <w:t>a</w:t>
      </w:r>
    </w:p>
    <w:p w14:paraId="5F0AA8C8" w14:textId="7B2D504E" w:rsidR="00E31D78" w:rsidRDefault="00E31D78" w:rsidP="00E31D78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A0057A">
        <w:rPr>
          <w:sz w:val="28"/>
          <w:szCs w:val="28"/>
        </w:rPr>
        <w:t>79</w:t>
      </w:r>
      <w:bookmarkStart w:id="0" w:name="_GoBack"/>
      <w:bookmarkEnd w:id="0"/>
    </w:p>
    <w:p w14:paraId="35CC12FA" w14:textId="77777777" w:rsidR="0039529D" w:rsidRPr="009D3115" w:rsidRDefault="0039529D" w:rsidP="009D3115">
      <w:pPr>
        <w:jc w:val="both"/>
        <w:rPr>
          <w:sz w:val="28"/>
          <w:szCs w:val="26"/>
          <w:highlight w:val="yellow"/>
        </w:rPr>
      </w:pPr>
    </w:p>
    <w:p w14:paraId="35CC12FB" w14:textId="39B1A8AF" w:rsidR="00B02196" w:rsidRPr="009D3115" w:rsidRDefault="00CC1F2B" w:rsidP="00B02196">
      <w:pPr>
        <w:jc w:val="center"/>
        <w:rPr>
          <w:rStyle w:val="Hyperlink"/>
          <w:b/>
          <w:color w:val="auto"/>
          <w:sz w:val="28"/>
          <w:szCs w:val="28"/>
        </w:rPr>
      </w:pPr>
      <w:r w:rsidRPr="009D3115">
        <w:rPr>
          <w:b/>
          <w:bCs/>
          <w:sz w:val="28"/>
        </w:rPr>
        <w:t>Pārskats par piešķirtās valsts budžeta dotācijas izlietojumu 201</w:t>
      </w:r>
      <w:r w:rsidR="00614214" w:rsidRPr="009D3115">
        <w:rPr>
          <w:b/>
          <w:bCs/>
          <w:sz w:val="28"/>
        </w:rPr>
        <w:t>8</w:t>
      </w:r>
      <w:r w:rsidRPr="009D3115">
        <w:rPr>
          <w:b/>
          <w:bCs/>
          <w:sz w:val="28"/>
        </w:rPr>
        <w:t xml:space="preserve">. gadā </w:t>
      </w:r>
      <w:r w:rsidR="005F656B" w:rsidRPr="009D3115">
        <w:rPr>
          <w:b/>
          <w:bCs/>
          <w:sz w:val="28"/>
          <w:szCs w:val="28"/>
        </w:rPr>
        <w:t>v</w:t>
      </w:r>
      <w:r w:rsidRPr="009D3115">
        <w:rPr>
          <w:b/>
          <w:bCs/>
          <w:sz w:val="28"/>
          <w:szCs w:val="28"/>
        </w:rPr>
        <w:t>alsts un pašvaldību vienoto klientu apkalpošanas centru uzturēšanai</w:t>
      </w:r>
    </w:p>
    <w:p w14:paraId="35CC12FC" w14:textId="62DBE8EC" w:rsidR="002112FB" w:rsidRDefault="002112FB" w:rsidP="00622406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5B4396" w14:paraId="28CA7BA2" w14:textId="77777777" w:rsidTr="0031449F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37B55439" w:rsidR="009474B8" w:rsidRPr="005B4396" w:rsidRDefault="009474B8" w:rsidP="0031449F">
            <w:r w:rsidRPr="005B4396">
              <w:t>Datu apkopošanas pamatojums – Ministru kabineta 2018.</w:t>
            </w:r>
            <w:r>
              <w:t> </w:t>
            </w:r>
            <w:r w:rsidRPr="005B4396">
              <w:t xml:space="preserve">gada </w:t>
            </w:r>
            <w:r w:rsidR="00481517">
              <w:t>13. februāra</w:t>
            </w:r>
            <w:r w:rsidRPr="005B4396">
              <w:t xml:space="preserve"> noteikumi Nr.</w:t>
            </w:r>
            <w:r>
              <w:t> </w:t>
            </w:r>
            <w:r w:rsidR="00481517">
              <w:t>79</w:t>
            </w:r>
            <w:r w:rsidRPr="005B4396">
              <w:t xml:space="preserve"> "Kārtība, kādā izmanto 2018. gadam paredzēto apropriāciju valsts un pašvaldību vienoto klientu apkalpošanas centru tīkla izveidei, uzturēšanai un publisko pakalpojumu sistēmas pilnveidei"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2DB03524" w:rsidR="009474B8" w:rsidRPr="005B4396" w:rsidRDefault="009474B8" w:rsidP="0031449F">
            <w:pPr>
              <w:jc w:val="right"/>
            </w:pPr>
            <w:r w:rsidRPr="005B4396">
              <w:t>Veidlapa Nr. </w:t>
            </w:r>
            <w:r w:rsidRPr="00E83A3D">
              <w:rPr>
                <w:sz w:val="22"/>
                <w:szCs w:val="22"/>
              </w:rPr>
              <w:t>VARAM_KAC_UZT</w:t>
            </w:r>
          </w:p>
        </w:tc>
      </w:tr>
      <w:tr w:rsidR="009474B8" w:rsidRPr="005B4396" w14:paraId="7121D424" w14:textId="77777777" w:rsidTr="0031449F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5B4396" w:rsidRDefault="009474B8" w:rsidP="0031449F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1FA9B42E" w:rsidR="009474B8" w:rsidRPr="005B4396" w:rsidRDefault="009474B8" w:rsidP="0031449F">
            <w:pPr>
              <w:jc w:val="center"/>
              <w:rPr>
                <w:b/>
                <w:bCs/>
              </w:rPr>
            </w:pPr>
            <w:r w:rsidRPr="009474B8">
              <w:rPr>
                <w:b/>
                <w:bCs/>
                <w:szCs w:val="28"/>
              </w:rPr>
              <w:t xml:space="preserve">Pārskats par </w:t>
            </w:r>
            <w:r>
              <w:rPr>
                <w:b/>
                <w:bCs/>
                <w:szCs w:val="28"/>
              </w:rPr>
              <w:br/>
            </w:r>
            <w:r w:rsidRPr="009474B8">
              <w:rPr>
                <w:b/>
                <w:bCs/>
                <w:szCs w:val="28"/>
              </w:rPr>
              <w:t>piešķirtās valsts budžeta dotācijas izlietojumu valsts un pašvaldības vienot</w:t>
            </w:r>
            <w:r w:rsidR="00C35D76">
              <w:rPr>
                <w:b/>
                <w:bCs/>
                <w:szCs w:val="28"/>
              </w:rPr>
              <w:t>o</w:t>
            </w:r>
            <w:r w:rsidRPr="009474B8">
              <w:rPr>
                <w:b/>
                <w:bCs/>
                <w:szCs w:val="28"/>
              </w:rPr>
              <w:t xml:space="preserve"> klientu apkalpošanas centr</w:t>
            </w:r>
            <w:r w:rsidR="00C35D76">
              <w:rPr>
                <w:b/>
                <w:bCs/>
                <w:szCs w:val="28"/>
              </w:rPr>
              <w:t>u</w:t>
            </w:r>
            <w:r w:rsidRPr="009474B8">
              <w:rPr>
                <w:b/>
                <w:bCs/>
                <w:szCs w:val="28"/>
              </w:rPr>
              <w:t xml:space="preserve"> uzturēšanai</w:t>
            </w:r>
          </w:p>
        </w:tc>
      </w:tr>
      <w:tr w:rsidR="009474B8" w:rsidRPr="005B4396" w14:paraId="5105BA5B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5B4396" w:rsidRDefault="009474B8" w:rsidP="0031449F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5B4396" w:rsidRDefault="009474B8" w:rsidP="0031449F">
            <w:pPr>
              <w:jc w:val="center"/>
            </w:pPr>
            <w:r w:rsidRPr="005B4396">
              <w:t>KODI</w:t>
            </w:r>
          </w:p>
        </w:tc>
      </w:tr>
      <w:tr w:rsidR="009474B8" w:rsidRPr="005B4396" w14:paraId="7EE8842C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5B4396" w:rsidRDefault="009474B8" w:rsidP="0031449F">
            <w:r w:rsidRPr="005B4396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5B4396" w:rsidRDefault="009474B8" w:rsidP="0031449F">
            <w:pPr>
              <w:jc w:val="center"/>
            </w:pPr>
          </w:p>
        </w:tc>
      </w:tr>
      <w:tr w:rsidR="009474B8" w:rsidRPr="005B4396" w14:paraId="1CC154DE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31449F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31449F">
            <w:pPr>
              <w:jc w:val="center"/>
            </w:pPr>
          </w:p>
        </w:tc>
      </w:tr>
    </w:tbl>
    <w:p w14:paraId="2983A185" w14:textId="39D8217E" w:rsidR="009474B8" w:rsidRDefault="009474B8" w:rsidP="00622406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proofErr w:type="spellStart"/>
            <w:r w:rsidRPr="00C35D76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020439B3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</w:t>
            </w:r>
            <w:r w:rsidRPr="005C1DAD">
              <w:rPr>
                <w:iCs/>
                <w:spacing w:val="-2"/>
                <w:sz w:val="20"/>
                <w:szCs w:val="20"/>
              </w:rPr>
              <w:lastRenderedPageBreak/>
              <w:t xml:space="preserve">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Pasta, telefona un citi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9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A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apkuri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Bankas komisija,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B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C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12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13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Informācijas sistēmas licenču nomas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67B8BFE9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Citi pakalpojumi (</w:t>
            </w:r>
            <w:r w:rsidR="00C35D76" w:rsidRPr="00C35D76">
              <w:rPr>
                <w:i/>
                <w:iCs/>
                <w:sz w:val="20"/>
                <w:szCs w:val="20"/>
              </w:rPr>
              <w:t>a</w:t>
            </w:r>
            <w:r w:rsidRPr="00C35D76">
              <w:rPr>
                <w:i/>
                <w:iCs/>
                <w:sz w:val="20"/>
                <w:szCs w:val="20"/>
              </w:rPr>
              <w:t>izpilda Ventspils pilsētas dome</w:t>
            </w:r>
            <w:r w:rsidRPr="00F633A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20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21" w14:textId="77777777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iepriekš neklasificētie pakalpojumu veidi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2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3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4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5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26CAB356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Krājumi, materiāli, energoresursi, preces, biroja preces un inventārs, k</w:t>
            </w:r>
            <w:r w:rsidR="009141E0">
              <w:rPr>
                <w:sz w:val="20"/>
                <w:szCs w:val="20"/>
              </w:rPr>
              <w:t>o</w:t>
            </w:r>
            <w:r w:rsidRPr="00F633A6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precēm iestādes administratīvās darbības nodrošināšanai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lastRenderedPageBreak/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6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66" w14:textId="153B1A9D" w:rsidR="002C731D" w:rsidRPr="00F633A6" w:rsidRDefault="002C731D" w:rsidP="009141E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67" w14:textId="1E78A412" w:rsidR="002C731D" w:rsidRPr="00F633A6" w:rsidRDefault="002C731D" w:rsidP="009141E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8" w14:textId="286FDF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9" w14:textId="6B975A4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B" w14:textId="77777777" w:rsidR="002C731D" w:rsidRPr="00F633A6" w:rsidRDefault="002C731D" w:rsidP="009141E0">
            <w:pPr>
              <w:spacing w:after="80"/>
              <w:rPr>
                <w:sz w:val="20"/>
                <w:szCs w:val="20"/>
              </w:rPr>
            </w:pPr>
          </w:p>
        </w:tc>
      </w:tr>
      <w:tr w:rsidR="00852213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5C1DAD" w:rsidRPr="005B4396" w14:paraId="3FD4F2C3" w14:textId="77777777" w:rsidTr="0031449F">
        <w:trPr>
          <w:trHeight w:val="780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173CACEF" w:rsidR="005C1DAD" w:rsidRPr="005B4396" w:rsidRDefault="005C1DAD" w:rsidP="0031449F">
            <w:pPr>
              <w:spacing w:before="40" w:after="40"/>
              <w:jc w:val="both"/>
              <w:rPr>
                <w:szCs w:val="22"/>
              </w:rPr>
            </w:pPr>
            <w:r w:rsidRPr="005B4396">
              <w:rPr>
                <w:szCs w:val="22"/>
              </w:rPr>
              <w:t>Apliecinu, ka saņemtā valsts budžeta dotācija izmantota atbilstoši Ministru kabineta 2018.</w:t>
            </w:r>
            <w:r>
              <w:rPr>
                <w:szCs w:val="22"/>
              </w:rPr>
              <w:t> </w:t>
            </w:r>
            <w:r w:rsidRPr="005B4396">
              <w:rPr>
                <w:szCs w:val="22"/>
              </w:rPr>
              <w:t xml:space="preserve">gada </w:t>
            </w:r>
            <w:r w:rsidR="00481517">
              <w:rPr>
                <w:szCs w:val="22"/>
              </w:rPr>
              <w:t>13. februāra</w:t>
            </w:r>
            <w:r w:rsidRPr="005B4396">
              <w:rPr>
                <w:szCs w:val="22"/>
              </w:rPr>
              <w:t xml:space="preserve"> noteikumiem Nr.</w:t>
            </w:r>
            <w:r>
              <w:rPr>
                <w:szCs w:val="22"/>
              </w:rPr>
              <w:t> </w:t>
            </w:r>
            <w:r w:rsidR="00481517">
              <w:rPr>
                <w:szCs w:val="22"/>
              </w:rPr>
              <w:t>79</w:t>
            </w:r>
            <w:r w:rsidRPr="005B4396">
              <w:rPr>
                <w:szCs w:val="22"/>
              </w:rPr>
              <w:t xml:space="preserve"> "Kārtība, kādā izmanto 2018. gadam paredzēto apropriāciju valsts un pašvaldību vienoto klientu apkalpošanas centru tīkla izveidei, uzturēšanai un publisko pakalpojumu sistēmas pilnveidei"</w:t>
            </w:r>
          </w:p>
        </w:tc>
      </w:tr>
    </w:tbl>
    <w:p w14:paraId="1321AB06" w14:textId="77777777" w:rsidR="005C1DAD" w:rsidRDefault="005C1DAD" w:rsidP="005C1DAD"/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C1DAD" w:rsidRPr="005B4396" w14:paraId="4704D977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C1DAD" w:rsidRPr="005B4396" w14:paraId="2AF87D69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  <w:tr w:rsidR="005C1DAD" w:rsidRPr="005B4396" w14:paraId="426F3DB4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5B4396" w:rsidRDefault="005C1DAD" w:rsidP="0031449F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75193EB1" w14:textId="77777777" w:rsidR="005C1DAD" w:rsidRPr="005B4396" w:rsidRDefault="005C1DAD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7BE35638" w14:textId="77777777" w:rsidR="005C1DAD" w:rsidRDefault="005C1DAD" w:rsidP="005C1DAD"/>
    <w:p w14:paraId="5B6F91E9" w14:textId="77777777" w:rsidR="005C1DAD" w:rsidRPr="00303B8D" w:rsidRDefault="005C1DAD" w:rsidP="005C1DA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>rekvizītu "paraksts"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14:paraId="75507B8D" w14:textId="77777777" w:rsidR="00E31D78" w:rsidRDefault="00E31D78" w:rsidP="00D85891">
      <w:pPr>
        <w:ind w:firstLine="720"/>
        <w:rPr>
          <w:sz w:val="28"/>
          <w:szCs w:val="28"/>
        </w:rPr>
      </w:pPr>
    </w:p>
    <w:p w14:paraId="2BA0C69C" w14:textId="77777777" w:rsidR="00E31D78" w:rsidRPr="00347B25" w:rsidRDefault="00E31D78" w:rsidP="00D85891">
      <w:pPr>
        <w:ind w:firstLine="720"/>
        <w:rPr>
          <w:sz w:val="28"/>
          <w:szCs w:val="28"/>
        </w:rPr>
      </w:pPr>
    </w:p>
    <w:p w14:paraId="51F02836" w14:textId="77777777" w:rsidR="00E31D78" w:rsidRPr="00347B25" w:rsidRDefault="00E31D78" w:rsidP="00D85891">
      <w:pPr>
        <w:ind w:firstLine="720"/>
        <w:rPr>
          <w:sz w:val="28"/>
          <w:szCs w:val="28"/>
        </w:rPr>
      </w:pPr>
    </w:p>
    <w:p w14:paraId="05437BC8" w14:textId="77777777" w:rsidR="00E31D78" w:rsidRDefault="00E31D78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08F06B2C" w14:textId="77777777" w:rsidR="00E31D78" w:rsidRPr="00347B25" w:rsidRDefault="00E31D78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Pr="00347B25"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Kaspars Gerhards</w:t>
      </w:r>
    </w:p>
    <w:sectPr w:rsidR="00E31D78" w:rsidRPr="00347B25" w:rsidSect="00E31D7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14D7" w14:textId="77777777" w:rsidR="00961285" w:rsidRDefault="00CC1F2B">
      <w:r>
        <w:separator/>
      </w:r>
    </w:p>
  </w:endnote>
  <w:endnote w:type="continuationSeparator" w:id="0">
    <w:p w14:paraId="35CC14D9" w14:textId="77777777" w:rsidR="00961285" w:rsidRDefault="00CC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E139" w14:textId="0CA497DA" w:rsidR="00E31D78" w:rsidRPr="00864FDD" w:rsidRDefault="00E31D78" w:rsidP="00E31D78">
    <w:pPr>
      <w:pStyle w:val="Footer"/>
      <w:rPr>
        <w:sz w:val="20"/>
      </w:rPr>
    </w:pPr>
    <w:r>
      <w:rPr>
        <w:sz w:val="16"/>
        <w:szCs w:val="16"/>
      </w:rPr>
      <w:t>N0179_8p4</w:t>
    </w:r>
    <w:proofErr w:type="gramStart"/>
    <w:r w:rsidR="006932B1">
      <w:rPr>
        <w:sz w:val="16"/>
        <w:szCs w:val="16"/>
      </w:rPr>
      <w:t xml:space="preserve">    </w:t>
    </w:r>
    <w:r w:rsidR="006932B1" w:rsidRPr="00864FDD">
      <w:rPr>
        <w:sz w:val="20"/>
      </w:rPr>
      <w:t xml:space="preserve"> 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14D2" w14:textId="4F8FDE17" w:rsidR="00FA30C0" w:rsidRPr="00864FDD" w:rsidRDefault="00E31D78" w:rsidP="00864FDD">
    <w:pPr>
      <w:pStyle w:val="Footer"/>
      <w:rPr>
        <w:sz w:val="20"/>
      </w:rPr>
    </w:pPr>
    <w:r>
      <w:rPr>
        <w:sz w:val="16"/>
        <w:szCs w:val="16"/>
      </w:rPr>
      <w:t>N0179_8p4</w:t>
    </w:r>
    <w:proofErr w:type="gramStart"/>
    <w:r w:rsidR="006932B1">
      <w:rPr>
        <w:sz w:val="16"/>
        <w:szCs w:val="16"/>
      </w:rPr>
      <w:t xml:space="preserve">   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14D3" w14:textId="77777777" w:rsidR="00961285" w:rsidRDefault="00CC1F2B">
      <w:r>
        <w:separator/>
      </w:r>
    </w:p>
  </w:footnote>
  <w:footnote w:type="continuationSeparator" w:id="0">
    <w:p w14:paraId="35CC14D5" w14:textId="77777777" w:rsidR="00961285" w:rsidRDefault="00CC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693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CC14D0" w14:textId="166244CF" w:rsidR="00FA30C0" w:rsidRDefault="00CC1F2B" w:rsidP="005A6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3701"/>
    <w:rsid w:val="00045145"/>
    <w:rsid w:val="0004631C"/>
    <w:rsid w:val="00046822"/>
    <w:rsid w:val="00061F01"/>
    <w:rsid w:val="000628E8"/>
    <w:rsid w:val="0006386A"/>
    <w:rsid w:val="00063C29"/>
    <w:rsid w:val="000651F0"/>
    <w:rsid w:val="00065F8C"/>
    <w:rsid w:val="000663E8"/>
    <w:rsid w:val="00066585"/>
    <w:rsid w:val="00067AFA"/>
    <w:rsid w:val="00071053"/>
    <w:rsid w:val="00072022"/>
    <w:rsid w:val="00072A17"/>
    <w:rsid w:val="00074919"/>
    <w:rsid w:val="00075E8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D5425"/>
    <w:rsid w:val="000D5DDF"/>
    <w:rsid w:val="000E040E"/>
    <w:rsid w:val="000E657F"/>
    <w:rsid w:val="000F0BED"/>
    <w:rsid w:val="000F165B"/>
    <w:rsid w:val="000F6E98"/>
    <w:rsid w:val="001021EC"/>
    <w:rsid w:val="001024B7"/>
    <w:rsid w:val="001043A5"/>
    <w:rsid w:val="00106674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265"/>
    <w:rsid w:val="001317C3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E59D8"/>
    <w:rsid w:val="001F20B6"/>
    <w:rsid w:val="001F3039"/>
    <w:rsid w:val="001F6151"/>
    <w:rsid w:val="00200A2F"/>
    <w:rsid w:val="002012B8"/>
    <w:rsid w:val="00202B69"/>
    <w:rsid w:val="00203275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117D"/>
    <w:rsid w:val="002763B3"/>
    <w:rsid w:val="00281F62"/>
    <w:rsid w:val="0028240C"/>
    <w:rsid w:val="00285C60"/>
    <w:rsid w:val="00287632"/>
    <w:rsid w:val="0028770D"/>
    <w:rsid w:val="00290BFE"/>
    <w:rsid w:val="00295409"/>
    <w:rsid w:val="002971DC"/>
    <w:rsid w:val="00297AC5"/>
    <w:rsid w:val="002A35A7"/>
    <w:rsid w:val="002A3C74"/>
    <w:rsid w:val="002A5C7B"/>
    <w:rsid w:val="002A7746"/>
    <w:rsid w:val="002B0E27"/>
    <w:rsid w:val="002B1C75"/>
    <w:rsid w:val="002B29A6"/>
    <w:rsid w:val="002C1327"/>
    <w:rsid w:val="002C2E9F"/>
    <w:rsid w:val="002C350E"/>
    <w:rsid w:val="002C731D"/>
    <w:rsid w:val="002D0ED1"/>
    <w:rsid w:val="002D2FEB"/>
    <w:rsid w:val="002E287A"/>
    <w:rsid w:val="002E4EB5"/>
    <w:rsid w:val="002F1DC0"/>
    <w:rsid w:val="002F3781"/>
    <w:rsid w:val="002F3C2A"/>
    <w:rsid w:val="002F6C70"/>
    <w:rsid w:val="00301349"/>
    <w:rsid w:val="0030200C"/>
    <w:rsid w:val="003027C8"/>
    <w:rsid w:val="00304DD1"/>
    <w:rsid w:val="00307464"/>
    <w:rsid w:val="00307CD5"/>
    <w:rsid w:val="0031008A"/>
    <w:rsid w:val="0031176D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4431"/>
    <w:rsid w:val="00394DF3"/>
    <w:rsid w:val="0039529D"/>
    <w:rsid w:val="0039738B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4F36"/>
    <w:rsid w:val="004266F1"/>
    <w:rsid w:val="004277DA"/>
    <w:rsid w:val="004301DA"/>
    <w:rsid w:val="00431E4D"/>
    <w:rsid w:val="004348CA"/>
    <w:rsid w:val="00434BF9"/>
    <w:rsid w:val="00436324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6B01"/>
    <w:rsid w:val="00467532"/>
    <w:rsid w:val="00480710"/>
    <w:rsid w:val="00481517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4099"/>
    <w:rsid w:val="004E6F9A"/>
    <w:rsid w:val="004E7F44"/>
    <w:rsid w:val="004F1494"/>
    <w:rsid w:val="004F2AC9"/>
    <w:rsid w:val="004F34BB"/>
    <w:rsid w:val="00502138"/>
    <w:rsid w:val="00502409"/>
    <w:rsid w:val="00503E4E"/>
    <w:rsid w:val="0050651D"/>
    <w:rsid w:val="0051512F"/>
    <w:rsid w:val="00523534"/>
    <w:rsid w:val="00523ED1"/>
    <w:rsid w:val="0052435F"/>
    <w:rsid w:val="0052688C"/>
    <w:rsid w:val="00527224"/>
    <w:rsid w:val="00527DDD"/>
    <w:rsid w:val="0053145E"/>
    <w:rsid w:val="00534DD7"/>
    <w:rsid w:val="0053706D"/>
    <w:rsid w:val="005379CC"/>
    <w:rsid w:val="0054021D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87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4214"/>
    <w:rsid w:val="00616D19"/>
    <w:rsid w:val="00620368"/>
    <w:rsid w:val="006206CE"/>
    <w:rsid w:val="00621178"/>
    <w:rsid w:val="00622406"/>
    <w:rsid w:val="00624EF3"/>
    <w:rsid w:val="0063221E"/>
    <w:rsid w:val="00634685"/>
    <w:rsid w:val="00635918"/>
    <w:rsid w:val="006375AE"/>
    <w:rsid w:val="006407B3"/>
    <w:rsid w:val="00641CF2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B72"/>
    <w:rsid w:val="00825B2F"/>
    <w:rsid w:val="00825E45"/>
    <w:rsid w:val="00830FE1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33086"/>
    <w:rsid w:val="00934255"/>
    <w:rsid w:val="00936880"/>
    <w:rsid w:val="00937654"/>
    <w:rsid w:val="00943760"/>
    <w:rsid w:val="009474B8"/>
    <w:rsid w:val="00952596"/>
    <w:rsid w:val="00960859"/>
    <w:rsid w:val="00961285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DC3"/>
    <w:rsid w:val="00A505C1"/>
    <w:rsid w:val="00A506C8"/>
    <w:rsid w:val="00A57CB6"/>
    <w:rsid w:val="00A603DB"/>
    <w:rsid w:val="00A60C94"/>
    <w:rsid w:val="00A61074"/>
    <w:rsid w:val="00A62564"/>
    <w:rsid w:val="00A63ECC"/>
    <w:rsid w:val="00A6467F"/>
    <w:rsid w:val="00A702AD"/>
    <w:rsid w:val="00A755CB"/>
    <w:rsid w:val="00A757F0"/>
    <w:rsid w:val="00A80BC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A23"/>
    <w:rsid w:val="00AA763C"/>
    <w:rsid w:val="00AA7A7E"/>
    <w:rsid w:val="00AB06BE"/>
    <w:rsid w:val="00AB0AB1"/>
    <w:rsid w:val="00AB1910"/>
    <w:rsid w:val="00AC2ED0"/>
    <w:rsid w:val="00AC3305"/>
    <w:rsid w:val="00AC372E"/>
    <w:rsid w:val="00AC57ED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50A1"/>
    <w:rsid w:val="00C052C1"/>
    <w:rsid w:val="00C10653"/>
    <w:rsid w:val="00C17F9F"/>
    <w:rsid w:val="00C21597"/>
    <w:rsid w:val="00C21856"/>
    <w:rsid w:val="00C23FBE"/>
    <w:rsid w:val="00C25F2A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3CD5"/>
    <w:rsid w:val="00DC040D"/>
    <w:rsid w:val="00DC70CD"/>
    <w:rsid w:val="00DC743D"/>
    <w:rsid w:val="00DC7D39"/>
    <w:rsid w:val="00DD5E92"/>
    <w:rsid w:val="00DD6CB7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49C5"/>
    <w:rsid w:val="00EC4F3E"/>
    <w:rsid w:val="00ED1429"/>
    <w:rsid w:val="00ED1695"/>
    <w:rsid w:val="00ED1FD6"/>
    <w:rsid w:val="00ED7B45"/>
    <w:rsid w:val="00EE6CD8"/>
    <w:rsid w:val="00EF2169"/>
    <w:rsid w:val="00EF3E24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8E5D-A7CD-4DC8-AC69-6360D85E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2018.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2018. gadam paredzēto apropriāciju Valsts un pašvaldību vienoto klientu apkalpošanas centru tīkla izveidei, uzturēšanai un publisko pakalpojumu sistēmas pilnveidei</dc:title>
  <dc:subject>3.pielikums</dc:subject>
  <dc:creator>Maija Anspoka</dc:creator>
  <cp:keywords>VPVKAC</cp:keywords>
  <dc:description>67026938, maija.anspoka@varam.gov.lv</dc:description>
  <cp:lastModifiedBy>Leontine Babkina</cp:lastModifiedBy>
  <cp:revision>20</cp:revision>
  <cp:lastPrinted>2018-02-07T14:28:00Z</cp:lastPrinted>
  <dcterms:created xsi:type="dcterms:W3CDTF">2017-11-14T12:39:00Z</dcterms:created>
  <dcterms:modified xsi:type="dcterms:W3CDTF">2018-02-13T14:43:00Z</dcterms:modified>
</cp:coreProperties>
</file>