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94C55" w:rsidRPr="005414BF" w:rsidP="00894C55" w14:paraId="47116B6E" w14:textId="6AD4E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4"/>
            <w:lang w:eastAsia="lv-LV"/>
          </w:rPr>
          <w:id w:val="1744461323"/>
          <w:placeholder>
            <w:docPart w:val="B2513C7936974E769D1103048039203D"/>
          </w:placeholder>
          <w:richText/>
        </w:sdtPr>
        <w:sdtContent>
          <w:r w:rsidR="00110828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4"/>
              <w:lang w:eastAsia="lv-LV"/>
            </w:rPr>
            <w:t>Ministru kabineta noteikumu projekta “</w:t>
          </w:r>
          <w:r w:rsidRPr="00110828" w:rsidR="00110828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4"/>
              <w:lang w:eastAsia="lv-LV"/>
            </w:rPr>
            <w:t>Grozījum</w:t>
          </w:r>
          <w:r w:rsidR="00FE486F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4"/>
              <w:lang w:eastAsia="lv-LV"/>
            </w:rPr>
            <w:t>s</w:t>
          </w:r>
          <w:r w:rsidRPr="00110828" w:rsidR="00110828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4"/>
              <w:lang w:eastAsia="lv-LV"/>
            </w:rPr>
            <w:t xml:space="preserve"> Ministru kabineta 2014. gada 11. marta noteikumos Nr.134 „Noteikumi par vienoto veselības nozares elektronisko informācijas sistēmu”</w:t>
          </w:r>
        </w:sdtContent>
      </w:sdt>
      <w:r w:rsidR="001108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”</w:t>
      </w:r>
      <w:r w:rsidRPr="005414BF" w:rsidR="003B0B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br/>
      </w:r>
      <w:r w:rsidRPr="00541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sākotnējās ietekmes novērtējuma ziņojums (anotācija)</w:t>
      </w:r>
    </w:p>
    <w:p w:rsidR="00E5323B" w:rsidRPr="00894C55" w:rsidP="00894C55" w14:paraId="025328F7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44"/>
        <w:gridCol w:w="6511"/>
      </w:tblGrid>
      <w:tr w14:paraId="6DA2001B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7489F" w:rsidP="001B6A66" w14:paraId="4B5742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val="sv-SE" w:eastAsia="lv-LV"/>
              </w:rPr>
            </w:pPr>
            <w:r w:rsidRPr="0097489F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val="sv-SE" w:eastAsia="lv-LV"/>
              </w:rPr>
              <w:t>Tiesību akta projekta anotācijas kopsavilkums</w:t>
            </w:r>
          </w:p>
        </w:tc>
      </w:tr>
      <w:tr w14:paraId="1ED6F3F4" w14:textId="77777777" w:rsidTr="00DA602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7489F" w:rsidP="00E5323B" w14:paraId="7AEB02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</w:pPr>
            <w:r w:rsidRPr="0097489F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ED7" w:rsidRPr="00FC640D" w:rsidP="00FC640D" w14:paraId="24CE7122" w14:textId="56D2D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F01B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mēr</w:t>
            </w:r>
            <w:r w:rsidRPr="00F01B83" w:rsidR="00E35FE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ķi</w:t>
            </w:r>
            <w:r w:rsidR="00FC640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 ir </w:t>
            </w:r>
            <w:r w:rsidRPr="00FC640D" w:rsidR="00DA602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pagarināt termiņu (līdz 2018.gada 3</w:t>
            </w:r>
            <w:r w:rsidR="004A3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0</w:t>
            </w:r>
            <w:r w:rsidRPr="00FC640D" w:rsidR="00DA602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  <w:r w:rsidR="004A3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novembrim</w:t>
            </w:r>
            <w:r w:rsidRPr="00FC640D" w:rsidR="00DA602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), līdz kuram 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vienotajā veselības nozares elektroniskajā informācijas sistēm</w:t>
            </w:r>
            <w:r w:rsidR="0040712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ā 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(turpmāk – </w:t>
            </w:r>
            <w:r w:rsidRPr="00FC640D" w:rsidR="00DA602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veselības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informācijas</w:t>
            </w:r>
            <w:r w:rsidRPr="00FC640D" w:rsidR="00DA602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sistēm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a)</w:t>
            </w:r>
            <w:r w:rsidRPr="00FC640D" w:rsidR="00DA602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sagatavotu 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elektronisko </w:t>
            </w:r>
            <w:r w:rsidRPr="00FC640D" w:rsidR="00DA602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nosūtījumu ārstniecības iestāde </w:t>
            </w:r>
            <w:r w:rsidR="004A3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pacientam izsniedz papīra formā.</w:t>
            </w:r>
            <w:r w:rsidRPr="00FC640D" w:rsidR="00DA602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</w:p>
        </w:tc>
      </w:tr>
    </w:tbl>
    <w:p w:rsidR="0002086E" w:rsidP="00E5323B" w14:paraId="5D778CE8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:rsidR="00E5323B" w:rsidRPr="001B6A66" w:rsidP="00E5323B" w14:paraId="37599FDF" w14:textId="61A3A180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B6A6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2387"/>
        <w:gridCol w:w="6087"/>
      </w:tblGrid>
      <w:tr w14:paraId="1A6A8125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6162C5" w:rsidP="001B6A66" w14:paraId="04570B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</w:pPr>
            <w:r w:rsidRPr="006162C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  <w:t>I. Tiesību akta projekta izstrādes nepieciešamība</w:t>
            </w:r>
          </w:p>
        </w:tc>
      </w:tr>
      <w:tr w14:paraId="0949C1DA" w14:textId="77777777" w:rsidTr="00EB01C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6E0E17" w:rsidP="00E5323B" w14:paraId="02E92B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6E0E1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BAA" w:rsidP="00E5323B" w14:paraId="4630FD67" w14:textId="46EC64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E0E1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Pamatojums</w:t>
            </w:r>
          </w:p>
          <w:p w:rsidR="00196BAA" w:rsidRPr="00196BAA" w:rsidP="00196BAA" w14:paraId="3C42CCAE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196BAA" w:rsidRPr="00196BAA" w:rsidP="00196BAA" w14:paraId="12C2C822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196BAA" w:rsidRPr="00196BAA" w:rsidP="00196BAA" w14:paraId="54202BEA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196BAA" w:rsidRPr="00196BAA" w:rsidP="00196BAA" w14:paraId="7932A86F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196BAA" w:rsidRPr="00196BAA" w:rsidP="00196BAA" w14:paraId="4037E061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196BAA" w:rsidRPr="00196BAA" w:rsidP="00196BAA" w14:paraId="4FAED68D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E5323B" w:rsidRPr="00196BAA" w:rsidP="00196BAA" w14:paraId="75DB7F44" w14:textId="3AA7B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10F" w:rsidRPr="00CF682E" w:rsidP="0018610F" w14:paraId="60762CDD" w14:textId="2A71B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CF682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Ministru kabineta noteikumu projekts „Grozījum</w:t>
            </w:r>
            <w:r w:rsidR="00AC71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Pr="00CF682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Ministru kabineta 2014. gada 11. marta noteikumos Nr.134 „Noteikumi par vienoto veselības nozares elektronisko informācijas sistēmu”” (turpmāk – Noteikumu projekts) izstrādāts pamatojoties uz:</w:t>
            </w:r>
          </w:p>
          <w:p w:rsidR="0018610F" w:rsidRPr="00CF682E" w:rsidP="0018610F" w14:paraId="30A3FFF7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</w:p>
          <w:p w:rsidR="0018610F" w:rsidRPr="00CF682E" w:rsidP="0018610F" w14:paraId="1E9F6CDE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CF682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1.Deklarācijas par Māra Kučinska vadītā Ministru kabineta iecerēto darbību 131.punktu:</w:t>
            </w:r>
          </w:p>
          <w:p w:rsidR="0018610F" w:rsidRPr="00CF682E" w:rsidP="0018610F" w14:paraId="652034B9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CF682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“131.Pabeigsim vienotās veselības nozares elektroniskās informācijas sistēmas ieviešanu, nodrošināsim pilnvērtīgu tās darbību un attīstību”.</w:t>
            </w:r>
          </w:p>
          <w:p w:rsidR="0018610F" w:rsidRPr="00CF682E" w:rsidP="0018610F" w14:paraId="1F938044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</w:p>
          <w:p w:rsidR="00E5323B" w:rsidRPr="008F0187" w:rsidP="0018610F" w14:paraId="78AC691F" w14:textId="48E6C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CF682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  <w:r w:rsidRPr="00CF682E" w:rsidR="008F01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Ārstniecības likuma 78</w:t>
            </w:r>
            <w:r w:rsidR="00D372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.panta otro daļu un 79.panta 1.</w:t>
            </w:r>
            <w:r w:rsidR="00D372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vertAlign w:val="superscript"/>
                <w:lang w:eastAsia="lv-LV"/>
              </w:rPr>
              <w:t>1</w:t>
            </w:r>
            <w:r w:rsidRPr="00CF682E" w:rsidR="008F01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daļu.</w:t>
            </w:r>
          </w:p>
        </w:tc>
      </w:tr>
      <w:tr w14:paraId="0C012ACA" w14:textId="77777777" w:rsidTr="00EB01C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CF682E" w:rsidP="00E5323B" w14:paraId="6D9E77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</w:pPr>
            <w:r w:rsidRPr="00CF682E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  <w:t>2.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7CE" w:rsidP="00E5323B" w14:paraId="7365CDE1" w14:textId="0DCFE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D16F8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5B67CE" w:rsidRPr="005B67CE" w:rsidP="005B67CE" w14:paraId="2C44B6EA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B67CE" w:rsidRPr="005B67CE" w:rsidP="005B67CE" w14:paraId="5B078804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B67CE" w:rsidRPr="005B67CE" w:rsidP="005B67CE" w14:paraId="71135EBF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E5323B" w:rsidRPr="005B67CE" w:rsidP="005B67CE" w14:paraId="7C3B5C0E" w14:textId="4AF9E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7C8" w:rsidRPr="009507C8" w:rsidP="009507C8" w14:paraId="1870E17C" w14:textId="796BF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Saskaņā ar </w:t>
            </w:r>
            <w:r w:rsidRPr="00881B65"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Ministru kabineta 2014. gada 11. marta noteikum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u</w:t>
            </w:r>
            <w:r w:rsidRPr="00881B65"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Nr.134 „Noteikumi par vienoto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veselības nozares elektronisko </w:t>
            </w:r>
            <w:r w:rsidRPr="00881B65"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informācijas sistēmu”</w:t>
            </w:r>
            <w:r w:rsidR="0040712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45.2.apakšpunktu nosūtījumu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ambulatora/stacionāra pakalpojuma saņemšanai</w:t>
            </w:r>
            <w:r w:rsidR="005B67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(turpmāk – e-nosūtījums)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ārstniecības iestāde izsniedz elektroniski veselības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informācijas sistēmā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no 2018.gada 1.janvāra, bet </w:t>
            </w:r>
            <w:r w:rsidR="00AC71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saskaņā ar noteikumu 36.punktu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līdz </w:t>
            </w:r>
            <w:r w:rsidR="001F1EB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2018.gada 28.februārim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nodrošina tā izdrukāšanu un izsniegšanu </w:t>
            </w:r>
            <w:r w:rsidR="001F1EB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pacientam papīra formā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tā</w:t>
            </w:r>
            <w:r w:rsidR="001F1EB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  <w:r w:rsidRPr="009507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Ir</w:t>
            </w:r>
            <w:r w:rsidRPr="009507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identificēta nepieciešamība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pagarināt termiņu, līdz kuram veselības 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informācijas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sistēmā sagatavotais e-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nosūtījums izdrukājams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un izsniedzamas papīra formātā.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</w:p>
          <w:p w:rsidR="00881B65" w:rsidP="009507C8" w14:paraId="343FEAFA" w14:textId="3BDAF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507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Ārstniecības iestādes klientu un pacientu reģistratori</w:t>
            </w:r>
            <w:r w:rsidR="00E2607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em</w:t>
            </w:r>
            <w:r w:rsidRPr="009507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(profesijas kods Profesiju </w:t>
            </w:r>
            <w:r w:rsidR="00E2607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klasifikatorā: 3344 02 ), </w:t>
            </w:r>
            <w:r w:rsidRPr="009507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lai nodrošinātu darba pienākumu izpildi - apstrādātu pacienta pierakstu (</w:t>
            </w:r>
            <w:r w:rsidRPr="009507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t.sk.arī</w:t>
            </w:r>
            <w:r w:rsidRPr="009507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veiktu, anulētu, labotu vai atgādinātu par pierakstu u.tml.) uz konkrētu veselības aprūpes pakalpojumu, nepieciešama </w:t>
            </w:r>
            <w:r w:rsidR="005B67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e-</w:t>
            </w:r>
            <w:r w:rsidRPr="009507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</w:t>
            </w:r>
            <w:r w:rsidR="00197D1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osūtījumā ietvertā informācija, tas ir, tiesības piekļūt e-nosūtījumam veselības informācijas sistēmā. Lai to nodrošinātu, </w:t>
            </w:r>
            <w:r w:rsidRPr="00FE486F"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ārstniecības iestādes klientu un pacientu reģistrator</w:t>
            </w:r>
            <w:r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i</w:t>
            </w:r>
            <w:r w:rsidRPr="00FE486F"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jā</w:t>
            </w:r>
            <w:r w:rsidRPr="00FE486F"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iekļau</w:t>
            </w:r>
            <w:r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j</w:t>
            </w:r>
            <w:r w:rsidRPr="00FE486F"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Ārstniecības personu un ārstniecības atbalsta personu re</w:t>
            </w:r>
            <w:r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ģistrā (turpmāk – Reģistrs)</w:t>
            </w:r>
            <w:r w:rsidR="00197D1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  <w:r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Valsts sekretāru 2018.gada 8.februāra sanāksmē ir izsludināti</w:t>
            </w:r>
            <w:r w:rsidRPr="009507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grozīj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umi Ministru kabineta 2016.gada </w:t>
            </w:r>
            <w:r w:rsidRPr="009507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24.maija noteikumos Nr.317 “Ārstniecības personu un ārstniecības atbalsta personu reģistra izveides, papildin</w:t>
            </w:r>
            <w:r w:rsidR="00B1336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āšanas un uzturēšanas kārtība”, </w:t>
            </w:r>
            <w:r w:rsidRPr="009507C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lai ārstniecības iestādes klientu un pacientu reģistrator</w:t>
            </w:r>
            <w:r w:rsidR="0009260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u iekļautu </w:t>
            </w:r>
            <w:r w:rsidR="00F1525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Reģistr</w:t>
            </w:r>
            <w:r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ā</w:t>
            </w:r>
            <w:r w:rsidR="00F1525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. Reģistrs piešķirs šīm personām tiesības </w:t>
            </w:r>
            <w:r w:rsidRPr="00F1525A" w:rsidR="00F1525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iesaistīt</w:t>
            </w:r>
            <w:r w:rsidR="00F1525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ies</w:t>
            </w:r>
            <w:r w:rsidRPr="00F1525A" w:rsidR="00F1525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veselības aprūpes procesa nodrošināšanā</w:t>
            </w:r>
            <w:r w:rsidR="00F1525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 K</w:t>
            </w:r>
            <w:r w:rsidRPr="00F1525A" w:rsidR="00F1525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lientu un pacientu reģistrator</w:t>
            </w:r>
            <w:r w:rsidR="00F1525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i netiks sertificēti. Ne visās profesijās (specialitātēs) ir nepieciešams sertifikāts, tā, piemēram, ārstniecības persona – māsas palīgs tiek reģistrēts Reģistrā, bet netiek sertificēts. Sertifikācijas nepieciešamību izvērtē ņemot vērā konkrētās profesijas (specialitātes)  pienākumus un iesaistes apjomu veselības aprūpes procesa nodrošināšanā.</w:t>
            </w:r>
            <w:r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FE486F"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Klientu un pacientu reģistrator</w:t>
            </w:r>
            <w:r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 darba pienākumi ir galvenokārt saistīti ar administratīvajiem pienākumiem – pacientu reģistrēšanu, pierakstu veikšanu, informēšanu par ārstu pieņemšanas laikiem u.tml.</w:t>
            </w:r>
            <w:r w:rsidRPr="00FE486F" w:rsidR="00FE486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Valsts sekretāru 2018.gada 8.februāra sanāksmē ir izsludināti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arī </w:t>
            </w:r>
            <w:r w:rsidRP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grozījumi Ministru kabineta 2014. gada 11. marta noteikum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os</w:t>
            </w:r>
            <w:r w:rsidRP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Nr.134 „Noteikumi par vienoto veselības nozares elektronisko informācijas sistēmu”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, lai </w:t>
            </w:r>
            <w:r w:rsidRP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papildināt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u</w:t>
            </w:r>
            <w:r w:rsidRP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noteikumus ar kārtību, kādā ārstniecības iestādes klientu un pacientu reģistrators ir tiesīgs apstrādāt pacienta datus e-veselības sistēmā.</w:t>
            </w:r>
          </w:p>
          <w:p w:rsidR="00D3433A" w:rsidRPr="00CF682E" w:rsidP="006E6107" w14:paraId="53E825DB" w14:textId="7EA0C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Pēc 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grozījumu pieņemšanas </w:t>
            </w:r>
            <w:r w:rsidRPr="00881B65"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Ministru kabineta 2016.gada 24.maija noteikumos Nr.317 </w:t>
            </w:r>
            <w:r w:rsidRPr="00881B65"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“Ārstniecības personu un ārstniecības atbalsta personu reģistra izveides, papildināšanas un uzturēšanas kārtība”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40712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un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40712A" w:rsidR="0040712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Ministru kabineta 2014. gada 11. marta noteikum</w:t>
            </w:r>
            <w:r w:rsidR="0040712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os</w:t>
            </w:r>
            <w:r w:rsidRPr="0040712A" w:rsidR="0040712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Nr.134 „Noteikumi par vienoto veselības nozares elektronisko informācijas sistēmu” 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Nacionālais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veselības dienes</w:t>
            </w:r>
            <w:r w:rsidR="00E1049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izveido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="0040712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veselības informācijas sistēmas</w:t>
            </w:r>
            <w:r w:rsidRPr="00E2607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klientu un pacientu reģistratora lietotāja tiesību</w:t>
            </w:r>
            <w:r w:rsidRPr="00E2607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datu kopum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</w:t>
            </w:r>
            <w:r w:rsidRPr="00E2607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lai nodrošinātu pacienta datu aizsardzību un to datu apstrādi nepieciešamajā apjomā.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Pamatojoties uz minēto, 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termiņu, līdz kuram v</w:t>
            </w:r>
            <w:r w:rsidRPr="00E26071"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eselības informācijas sistēmā izrakstītos 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e-nosūtījumus</w:t>
            </w:r>
            <w:r w:rsidRPr="00E26071"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ārsts izdrukā un izsniedz pacientam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papīra formātā </w:t>
            </w:r>
            <w:r w:rsidRPr="00E26071"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nepieciešams 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pagarināt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par </w:t>
            </w:r>
            <w:r w:rsidR="004A3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mēnešiem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(līdz 2018.gada 3</w:t>
            </w:r>
            <w:r w:rsidR="004A3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0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  <w:r w:rsidR="004A3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novembrim</w:t>
            </w:r>
            <w:r w:rsid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), </w:t>
            </w:r>
            <w:r w:rsidRPr="004A3A65" w:rsidR="004A3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Tādējādi tiks nodrošināta pakāpeniska e-nosūtījumu ieviešana, </w:t>
            </w:r>
            <w:r w:rsidR="005F6A1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vienlaikus </w:t>
            </w:r>
            <w:bookmarkStart w:id="0" w:name="_GoBack"/>
            <w:bookmarkEnd w:id="0"/>
            <w:r w:rsidRPr="004A3A65" w:rsidR="004A3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līdz lietotāja tiesību iegūšanai veselības informācijas sistēmā klientu un pacientu reģistratori piekļūs e-nosūtījumiem papīra formātā, kas viņiem nepieciešams, lai nodrošinātu korektu pacienta pieraksta izveidi un apstrādi.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No 2019.gada 1.</w:t>
            </w:r>
            <w:r w:rsidR="004A3A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decembra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e-nosūtījumi nebūs jāizdrukā.</w:t>
            </w:r>
          </w:p>
        </w:tc>
      </w:tr>
      <w:tr w14:paraId="280B0ED2" w14:textId="77777777" w:rsidTr="00EB01C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6162C5" w:rsidP="00E5323B" w14:paraId="23D32D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162C5" w:rsidP="00E5323B" w14:paraId="779491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9AD" w:rsidRPr="006162C5" w:rsidP="000C49AD" w14:paraId="19B0A087" w14:textId="59A7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Nacionālais veselības dienests</w:t>
            </w: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. </w:t>
            </w:r>
          </w:p>
        </w:tc>
      </w:tr>
      <w:tr w14:paraId="69D609C1" w14:textId="77777777" w:rsidTr="00EB01C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6162C5" w:rsidP="00E5323B" w14:paraId="4B4455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162C5" w:rsidP="00E5323B" w14:paraId="178FCB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162C5" w:rsidP="00E5323B" w14:paraId="028CAD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E5323B" w:rsidP="00E5323B" w14:paraId="53411DC3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2387"/>
        <w:gridCol w:w="6087"/>
      </w:tblGrid>
      <w:tr w14:paraId="4B84954E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6162C5" w:rsidP="001B6A66" w14:paraId="041F9A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42E9F2F6" w14:textId="77777777" w:rsidTr="00EB01C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6162C5" w:rsidP="00E5323B" w14:paraId="3860B1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162C5" w:rsidP="00E5323B" w14:paraId="708DC3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Sabiedrības </w:t>
            </w: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mērķgrupas</w:t>
            </w: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3A9" w:rsidRPr="006162C5" w:rsidP="00E5323B" w14:paraId="099C28B2" w14:textId="6DC9BA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Visi Latvijas iedzīvotāji - 1 950</w:t>
            </w:r>
            <w:r w:rsidRPr="006162C5" w:rsidR="0057578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 </w:t>
            </w: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116</w:t>
            </w:r>
            <w:r>
              <w:rPr>
                <w:rStyle w:val="FootnoteReference"/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footnoteReference w:id="2"/>
            </w:r>
            <w:r w:rsid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:rsidR="00A713A9" w:rsidRPr="006162C5" w:rsidP="00E5323B" w14:paraId="46D1FD1F" w14:textId="041F5B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Ārstniecības iestādes</w:t>
            </w:r>
            <w:r w:rsidRPr="006162C5" w:rsidR="00187E6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(stacionārās ārstniecības iestādes, ambulatorās ārstniecības iestādes, ģimenes ārstu un pārējo speciālistu prakses, zobārstniecības iestādes, fizioterapeitu, </w:t>
            </w:r>
            <w:r w:rsidRPr="006162C5" w:rsidR="00187E6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ergoterapeitu</w:t>
            </w:r>
            <w:r w:rsidRPr="006162C5" w:rsidR="00187E6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prakses)</w:t>
            </w:r>
            <w:r w:rsid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- 3786</w:t>
            </w:r>
            <w:r>
              <w:rPr>
                <w:rStyle w:val="FootnoteReference"/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footnoteReference w:id="3"/>
            </w:r>
            <w:r w:rsidRPr="006162C5" w:rsidR="0057578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:rsidR="00A713A9" w:rsidP="00E5323B" w14:paraId="00E85A8B" w14:textId="50A9B6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Praktizējošie ārsti - 5741, t.sk., praktizējošie ģimenes ārsti 1333 </w:t>
            </w:r>
            <w:r w:rsid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(bez stažieriem un rezidentiem)</w:t>
            </w: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  <w:r>
              <w:rPr>
                <w:rStyle w:val="FootnoteReference"/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footnoteReference w:id="4"/>
            </w:r>
          </w:p>
          <w:p w:rsidR="00FD362D" w:rsidRPr="006162C5" w:rsidP="00E5323B" w14:paraId="3B6E9892" w14:textId="6F75D8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FD362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Ārstniecības iestāžu informācijas sistēmu izstrādātāji (5), kuru sistēmas ir integrētas ar e-veselības sistēmu)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:rsidR="00A713A9" w:rsidRPr="006162C5" w:rsidP="00E5323B" w14:paraId="323628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Veselības inspekcija</w:t>
            </w:r>
          </w:p>
          <w:p w:rsidR="00D102B6" w:rsidRPr="006162C5" w:rsidP="00E5323B" w14:paraId="46CD0948" w14:textId="7715B1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Nacionālais veselības dienests</w:t>
            </w:r>
          </w:p>
        </w:tc>
      </w:tr>
      <w:tr w14:paraId="56843126" w14:textId="77777777" w:rsidTr="00EB01C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6162C5" w:rsidP="00E5323B" w14:paraId="241A9F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2.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162C5" w:rsidP="00E5323B" w14:paraId="2C56C3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bookmarkStart w:id="1" w:name="_Hlk504485820"/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  <w:bookmarkEnd w:id="1"/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37E" w:rsidRPr="006162C5" w:rsidP="008E637E" w14:paraId="46BB4C9B" w14:textId="6B9A9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neierobežo konkurenci.</w:t>
            </w:r>
          </w:p>
          <w:p w:rsidR="005F106E" w:rsidRPr="006162C5" w:rsidP="008E637E" w14:paraId="1A76B180" w14:textId="499BF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Projektam nav ietekmes uz vidi un nevalstiskajām organizācijām.</w:t>
            </w:r>
          </w:p>
        </w:tc>
      </w:tr>
      <w:tr w14:paraId="7D9DA47F" w14:textId="77777777" w:rsidTr="00EB01C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6162C5" w:rsidP="00E5323B" w14:paraId="285E5A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162C5" w:rsidP="00E5323B" w14:paraId="46CBFF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162C5" w:rsidP="00E5323B" w14:paraId="1B288C5E" w14:textId="0B0FE1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14:paraId="2A85B1AE" w14:textId="77777777" w:rsidTr="00EB01C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6162C5" w:rsidP="00E5323B" w14:paraId="23BC9E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162C5" w:rsidP="00E5323B" w14:paraId="162283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162C5" w:rsidP="00E5323B" w14:paraId="4510A48E" w14:textId="54384F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14:paraId="7432373C" w14:textId="77777777" w:rsidTr="00EB01C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6162C5" w:rsidP="00E5323B" w14:paraId="65FE2E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  <w:t>5.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162C5" w:rsidP="00E5323B" w14:paraId="6353C9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162C5" w:rsidP="00E5323B" w14:paraId="20764498" w14:textId="35692E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Nav.</w:t>
            </w:r>
          </w:p>
        </w:tc>
      </w:tr>
    </w:tbl>
    <w:p w:rsidR="00E5323B" w:rsidRPr="006162C5" w:rsidP="00E5323B" w14:paraId="457DE598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8"/>
          <w:szCs w:val="28"/>
          <w:lang w:val="en-US" w:eastAsia="lv-LV"/>
        </w:rPr>
      </w:pPr>
      <w:r w:rsidRPr="006162C5">
        <w:rPr>
          <w:rFonts w:ascii="Times New Roman" w:eastAsia="Times New Roman" w:hAnsi="Times New Roman" w:cs="Times New Roman"/>
          <w:iCs/>
          <w:color w:val="414142"/>
          <w:sz w:val="28"/>
          <w:szCs w:val="28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1C54EC32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6162C5" w:rsidP="001B6A66" w14:paraId="09DDC8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14:paraId="76A1B320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6162C5" w:rsidP="001B6A66" w14:paraId="00F5F4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E5323B" w:rsidP="00E5323B" w14:paraId="3461C93D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9"/>
        <w:gridCol w:w="2804"/>
        <w:gridCol w:w="5842"/>
      </w:tblGrid>
      <w:tr w14:paraId="7DFE3346" w14:textId="77777777" w:rsidTr="00AF7B38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3"/>
          </w:tcPr>
          <w:p w:rsidR="005444B1" w:rsidRPr="006162C5" w:rsidP="001B6A66" w14:paraId="2671FCDB" w14:textId="03F2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14:paraId="134D9A0D" w14:textId="77777777" w:rsidTr="0038119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02" w:type="pct"/>
          </w:tcPr>
          <w:p w:rsidR="005444B1" w:rsidRPr="0038119C" w:rsidP="005444B1" w14:paraId="4BB02D75" w14:textId="2D46B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42" w:type="pct"/>
            <w:hideMark/>
          </w:tcPr>
          <w:p w:rsidR="005444B1" w:rsidRPr="006162C5" w:rsidP="005444B1" w14:paraId="4CC0FBDD" w14:textId="6E90F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6162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Saistītie tiesību aktu projekti</w:t>
            </w:r>
          </w:p>
        </w:tc>
        <w:tc>
          <w:tcPr>
            <w:tcW w:w="3190" w:type="pct"/>
            <w:vAlign w:val="center"/>
          </w:tcPr>
          <w:p w:rsidR="00202513" w:rsidP="008214B4" w14:paraId="6075886A" w14:textId="7297A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Jāveic grozījumi Ministru kabineta 2016. gada 24. maija noteikumos Nr. 317 “Ārstniecības personu un ārstniecības atbalsta personu reģistra izveides, papildināšanas un uzturēšanas kārtība”</w:t>
            </w:r>
            <w:r w:rsidR="00F114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(VSS-137)</w:t>
            </w:r>
            <w:r w:rsidRPr="003811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, lai </w:t>
            </w:r>
            <w:r w:rsidRPr="00FE486F" w:rsidR="00FE48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ārstniecības iestādes klientu un pacientu reģistratoru iekļautu </w:t>
            </w:r>
            <w:r w:rsidR="00FE48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R</w:t>
            </w:r>
            <w:r w:rsidRPr="00FE486F" w:rsidR="00FE48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eģistrā</w:t>
            </w:r>
            <w:r w:rsidR="00FE48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3811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(profesijas kods Profesiju klasifikatorā: 3344 02). </w:t>
            </w:r>
          </w:p>
          <w:p w:rsidR="003B44E8" w:rsidP="008214B4" w14:paraId="44CA14B8" w14:textId="435DB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Jāveic grozījumi Ministru kabineta 2014.gada 11.marta noteikumos </w:t>
            </w:r>
            <w:r w:rsidR="00F114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r.134 “Noteikumi par vienoto veselības nozares elektronisko informācijas sistēmu</w:t>
            </w:r>
            <w:r w:rsidR="00F114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” (VSS-129), lai noteiktu, kurus datus klientu un pacientu reģistratoram ir tiesības apstrādāt e-veselības sistēmā. </w:t>
            </w:r>
          </w:p>
          <w:p w:rsidR="00F11465" w:rsidRPr="0038119C" w:rsidP="008214B4" w14:paraId="1C01FCD8" w14:textId="3233E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Abi projekti izsludināti Valsts sekretāru 2018.gada 8.februāra sanāksmē.</w:t>
            </w:r>
          </w:p>
        </w:tc>
      </w:tr>
      <w:tr w14:paraId="3D168F8D" w14:textId="77777777" w:rsidTr="00AF7B3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02" w:type="pct"/>
          </w:tcPr>
          <w:p w:rsidR="005444B1" w:rsidRPr="0038119C" w:rsidP="005444B1" w14:paraId="0C7D8B24" w14:textId="2B555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42" w:type="pct"/>
            <w:vAlign w:val="center"/>
          </w:tcPr>
          <w:p w:rsidR="005444B1" w:rsidRPr="0038119C" w:rsidP="005444B1" w14:paraId="5E87A0E9" w14:textId="1C20B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3190" w:type="pct"/>
            <w:vAlign w:val="center"/>
          </w:tcPr>
          <w:p w:rsidR="005444B1" w:rsidRPr="0038119C" w:rsidP="005444B1" w14:paraId="0627B9FB" w14:textId="29ECB0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Veselības ministrija</w:t>
            </w:r>
          </w:p>
        </w:tc>
      </w:tr>
      <w:tr w14:paraId="3556A36F" w14:textId="77777777" w:rsidTr="00AF7B3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02" w:type="pct"/>
          </w:tcPr>
          <w:p w:rsidR="005444B1" w:rsidRPr="0038119C" w:rsidP="005444B1" w14:paraId="52847F1F" w14:textId="1F16A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42" w:type="pct"/>
            <w:vAlign w:val="center"/>
          </w:tcPr>
          <w:p w:rsidR="005444B1" w:rsidRPr="0038119C" w:rsidP="005444B1" w14:paraId="1C8CC4EC" w14:textId="36F66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90" w:type="pct"/>
            <w:vAlign w:val="center"/>
          </w:tcPr>
          <w:p w:rsidR="005444B1" w:rsidRPr="0038119C" w:rsidP="005444B1" w14:paraId="5AA63546" w14:textId="68664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8214B4" w:rsidP="00E5323B" w14:paraId="231BA550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214B4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350C16C9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709B8" w:rsidP="001B6A66" w14:paraId="76A1B7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709B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14:paraId="53EB4EE8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FD6E88" w:rsidP="001B6A66" w14:paraId="2BD2E0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0709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FD6E88" w:rsidP="00E5323B" w14:paraId="053F0CDA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8"/>
          <w:szCs w:val="28"/>
          <w:lang w:val="en-US" w:eastAsia="lv-LV"/>
        </w:rPr>
      </w:pPr>
      <w:r w:rsidRPr="00FD6E88">
        <w:rPr>
          <w:rFonts w:ascii="Times New Roman" w:eastAsia="Times New Roman" w:hAnsi="Times New Roman" w:cs="Times New Roman"/>
          <w:iCs/>
          <w:color w:val="414142"/>
          <w:sz w:val="28"/>
          <w:szCs w:val="28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53629C22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FD6E88" w:rsidP="001B6A66" w14:paraId="5EDCB0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FD6E8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14:paraId="062CC23F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FD6E88" w:rsidP="00E5323B" w14:paraId="090C9B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</w:pPr>
            <w:r w:rsidRPr="00FD6E88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8119C" w:rsidP="00E5323B" w14:paraId="43A7B4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8119C" w:rsidP="00E5323B" w14:paraId="13CEF8D5" w14:textId="688B5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Ārstniecības iestādes tiks informētas par e-nosūtījuma izdrukāšanas un izsniegšana papīra formātā termiņa pagarināšanu.</w:t>
            </w:r>
          </w:p>
        </w:tc>
      </w:tr>
      <w:tr w14:paraId="68CA7472" w14:textId="77777777" w:rsidTr="00881B6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FD6E88" w:rsidP="00E5323B" w14:paraId="7E24AD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</w:pPr>
            <w:r w:rsidRPr="00FD6E88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8119C" w:rsidP="00E5323B" w14:paraId="6023AD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23B" w:rsidRPr="0038119C" w:rsidP="008214B4" w14:paraId="53B884C6" w14:textId="69CE2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Ārstniecības iestādes tiks informētas par e-nosūtījuma izdrukāšanas un izsniegšana papīra formātā termiņa pagarināšanu.</w:t>
            </w:r>
          </w:p>
        </w:tc>
      </w:tr>
      <w:tr w14:paraId="6124405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FD6E88" w:rsidP="00E5323B" w14:paraId="39E235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</w:pPr>
            <w:r w:rsidRPr="00FD6E88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8119C" w:rsidP="00E5323B" w14:paraId="36283B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8119C" w:rsidP="00E5323B" w14:paraId="4078460D" w14:textId="270567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881B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14:paraId="1AD8D5AD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FD6E88" w:rsidP="00E5323B" w14:paraId="46C4CE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</w:pPr>
            <w:r w:rsidRPr="00FD6E88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8119C" w:rsidP="00E5323B" w14:paraId="0720B1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8119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709B8" w:rsidP="00E5323B" w14:paraId="0C470007" w14:textId="67E435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FD6E88" w:rsidP="00E5323B" w14:paraId="0B8A0C1E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8"/>
          <w:szCs w:val="28"/>
          <w:lang w:val="en-US" w:eastAsia="lv-LV"/>
        </w:rPr>
      </w:pPr>
      <w:r w:rsidRPr="00FD6E88">
        <w:rPr>
          <w:rFonts w:ascii="Times New Roman" w:eastAsia="Times New Roman" w:hAnsi="Times New Roman" w:cs="Times New Roman"/>
          <w:iCs/>
          <w:color w:val="414142"/>
          <w:sz w:val="28"/>
          <w:szCs w:val="28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6BB26E4C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FD6E88" w:rsidP="001B6A66" w14:paraId="49FF8C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val="en-US" w:eastAsia="lv-LV"/>
              </w:rPr>
            </w:pPr>
            <w:r w:rsidRPr="00FD6E88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val="en-US" w:eastAsia="lv-LV"/>
              </w:rPr>
              <w:t xml:space="preserve">VII. </w:t>
            </w:r>
            <w:r w:rsidRPr="00FD6E88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14:paraId="7D2BAF97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709B8" w:rsidP="00E5323B" w14:paraId="373E37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709B8" w:rsidP="00E5323B" w14:paraId="68E0ED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709B8" w:rsidP="00E5323B" w14:paraId="1807C560" w14:textId="712129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Nacionālais veselības dienests, Veselības inspekcija</w:t>
            </w:r>
          </w:p>
        </w:tc>
      </w:tr>
      <w:tr w14:paraId="42A9AFC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709B8" w:rsidP="00E5323B" w14:paraId="0FFC2B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709B8" w:rsidP="00E5323B" w14:paraId="580FE4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89F" w:rsidRPr="000709B8" w:rsidP="00E5323B" w14:paraId="74BE46A9" w14:textId="1343F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sv-SE" w:eastAsia="lv-LV"/>
              </w:rPr>
            </w:pPr>
            <w:r w:rsidRP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sv-SE" w:eastAsia="lv-LV"/>
              </w:rPr>
              <w:t>Projekts tiks īstenots institūciju esošo cilvēkresursu ietvaros. Noteikumu projekts nenosaka jaunas institūcijas veidošanu vai institūciju reorganizāciju un likvidāciju.</w:t>
            </w:r>
          </w:p>
        </w:tc>
      </w:tr>
      <w:tr w14:paraId="0B3418FF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709B8" w:rsidP="00E5323B" w14:paraId="02C8BB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709B8" w:rsidP="00E5323B" w14:paraId="69BEF0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709B8" w:rsidP="00E5323B" w14:paraId="5D2C6539" w14:textId="75F5FD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709B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C25B49" w:rsidRPr="000709B8" w:rsidP="00894C55" w14:paraId="68AFA794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23B" w:rsidRPr="00894C55" w:rsidP="00894C55" w14:paraId="35BCDAC4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74" w:rsidRPr="0021722E" w:rsidP="00054774" w14:paraId="633B7C30" w14:textId="77777777">
      <w:pPr>
        <w:pStyle w:val="Bezatstarpm1"/>
        <w:rPr>
          <w:rFonts w:ascii="Times New Roman" w:hAnsi="Times New Roman"/>
          <w:sz w:val="28"/>
          <w:szCs w:val="28"/>
          <w:lang w:val="lv-LV"/>
        </w:rPr>
      </w:pPr>
      <w:r w:rsidRPr="0021722E">
        <w:rPr>
          <w:rFonts w:ascii="Times New Roman" w:hAnsi="Times New Roman"/>
          <w:sz w:val="28"/>
          <w:szCs w:val="28"/>
          <w:lang w:val="lv-LV"/>
        </w:rPr>
        <w:t>Ministru prezidents,</w:t>
      </w:r>
    </w:p>
    <w:p w:rsidR="00054774" w:rsidRPr="00054774" w:rsidP="00054774" w14:paraId="7C182330" w14:textId="6E7EBC71">
      <w:pPr>
        <w:pStyle w:val="Bezatstarpm1"/>
        <w:rPr>
          <w:rFonts w:ascii="Times New Roman" w:hAnsi="Times New Roman"/>
          <w:sz w:val="28"/>
          <w:szCs w:val="28"/>
          <w:lang w:val="lv-LV"/>
        </w:rPr>
      </w:pPr>
      <w:r w:rsidRPr="00054774">
        <w:rPr>
          <w:rFonts w:ascii="Times New Roman" w:hAnsi="Times New Roman"/>
          <w:sz w:val="28"/>
          <w:szCs w:val="28"/>
          <w:lang w:val="lv-LV"/>
        </w:rPr>
        <w:t>veselības ministra pienākumu izpildītājs                                 </w:t>
      </w:r>
      <w:r w:rsidRPr="00054774">
        <w:rPr>
          <w:rFonts w:ascii="Times New Roman" w:hAnsi="Times New Roman"/>
          <w:sz w:val="28"/>
          <w:szCs w:val="28"/>
          <w:lang w:val="lv-LV"/>
        </w:rPr>
        <w:tab/>
        <w:t>Māris Kučinskis</w:t>
      </w:r>
    </w:p>
    <w:p w:rsidR="00054774" w:rsidRPr="0021722E" w:rsidP="00054774" w14:paraId="450ADBE7" w14:textId="77777777">
      <w:pPr>
        <w:pStyle w:val="NoSpacing"/>
        <w:rPr>
          <w:sz w:val="28"/>
          <w:szCs w:val="28"/>
        </w:rPr>
      </w:pPr>
    </w:p>
    <w:p w:rsidR="00054774" w:rsidRPr="0021722E" w:rsidP="00054774" w14:paraId="4CA3034F" w14:textId="77777777">
      <w:pPr>
        <w:pStyle w:val="NoSpacing"/>
        <w:rPr>
          <w:sz w:val="28"/>
          <w:szCs w:val="28"/>
        </w:rPr>
      </w:pPr>
    </w:p>
    <w:p w:rsidR="00054774" w:rsidRPr="0021722E" w:rsidP="00054774" w14:paraId="24C2D819" w14:textId="4ED1F8C6">
      <w:pPr>
        <w:pStyle w:val="NoSpacing"/>
        <w:rPr>
          <w:rFonts w:eastAsia="Lucida Sans Unicode"/>
          <w:kern w:val="3"/>
          <w:sz w:val="28"/>
          <w:szCs w:val="28"/>
        </w:rPr>
      </w:pPr>
      <w:r w:rsidRPr="0021722E">
        <w:rPr>
          <w:sz w:val="28"/>
          <w:szCs w:val="28"/>
        </w:rPr>
        <w:t>Vīza: Valsts sekretārs</w:t>
      </w:r>
      <w:r w:rsidRPr="0021722E">
        <w:rPr>
          <w:sz w:val="28"/>
          <w:szCs w:val="28"/>
        </w:rPr>
        <w:tab/>
      </w:r>
      <w:r w:rsidRPr="0021722E">
        <w:rPr>
          <w:sz w:val="28"/>
          <w:szCs w:val="28"/>
        </w:rPr>
        <w:tab/>
      </w:r>
      <w:r w:rsidRPr="0021722E">
        <w:rPr>
          <w:sz w:val="28"/>
          <w:szCs w:val="28"/>
        </w:rPr>
        <w:tab/>
      </w:r>
      <w:r w:rsidRPr="0021722E">
        <w:rPr>
          <w:sz w:val="28"/>
          <w:szCs w:val="28"/>
        </w:rPr>
        <w:tab/>
      </w:r>
      <w:r w:rsidRPr="0021722E">
        <w:rPr>
          <w:sz w:val="28"/>
          <w:szCs w:val="28"/>
        </w:rPr>
        <w:tab/>
      </w:r>
      <w:r w:rsidRPr="0021722E">
        <w:rPr>
          <w:sz w:val="28"/>
          <w:szCs w:val="28"/>
        </w:rPr>
        <w:tab/>
      </w:r>
      <w:r w:rsidRPr="0021722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1722E">
        <w:rPr>
          <w:sz w:val="28"/>
          <w:szCs w:val="28"/>
        </w:rPr>
        <w:t>Aivars Lapiņš</w:t>
      </w:r>
    </w:p>
    <w:p w:rsidR="00894C55" w:rsidRPr="00894C55" w:rsidP="00894C55" w14:paraId="02EBECF9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P="00894C55" w14:paraId="2FEEBD50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P="00894C55" w14:paraId="74E16A06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P="00894C55" w14:paraId="06AD4F5C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P="00894C55" w14:paraId="41CA348B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894C55" w:rsidP="00894C55" w14:paraId="054E9436" w14:textId="758A5BD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Boltāne</w:t>
      </w:r>
      <w:r w:rsidR="00D133F8">
        <w:rPr>
          <w:rFonts w:ascii="Times New Roman" w:hAnsi="Times New Roman" w:cs="Times New Roman"/>
          <w:sz w:val="24"/>
          <w:szCs w:val="28"/>
        </w:rPr>
        <w:t xml:space="preserve"> </w:t>
      </w:r>
      <w:r w:rsidRPr="00894C55" w:rsidR="00D133F8">
        <w:rPr>
          <w:rFonts w:ascii="Times New Roman" w:hAnsi="Times New Roman" w:cs="Times New Roman"/>
          <w:sz w:val="24"/>
          <w:szCs w:val="28"/>
        </w:rPr>
        <w:t>67</w:t>
      </w:r>
      <w:r>
        <w:rPr>
          <w:rFonts w:ascii="Times New Roman" w:hAnsi="Times New Roman" w:cs="Times New Roman"/>
          <w:sz w:val="24"/>
          <w:szCs w:val="28"/>
        </w:rPr>
        <w:t>876154</w:t>
      </w:r>
    </w:p>
    <w:p w:rsidR="00894C55" w:rsidRPr="00894C55" w:rsidP="00894C55" w14:paraId="32989BAF" w14:textId="20FBD5D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laura</w:t>
      </w:r>
      <w:r w:rsidRPr="00894C5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boltane</w:t>
      </w:r>
      <w:r w:rsidRPr="00894C55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</w:rPr>
        <w:t>vm</w:t>
      </w:r>
      <w:r w:rsidRPr="00894C55">
        <w:rPr>
          <w:rFonts w:ascii="Times New Roman" w:hAnsi="Times New Roman" w:cs="Times New Roman"/>
          <w:sz w:val="24"/>
          <w:szCs w:val="28"/>
        </w:rPr>
        <w:t>.gov.lv</w:t>
      </w:r>
    </w:p>
    <w:sectPr w:rsidSect="009770FA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6071" w:rsidRPr="00894C55" w14:paraId="26FCC200" w14:textId="5874BB7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MKanot_</w:t>
    </w:r>
    <w:r w:rsidR="00881B65">
      <w:rPr>
        <w:rFonts w:ascii="Times New Roman" w:hAnsi="Times New Roman" w:cs="Times New Roman"/>
        <w:sz w:val="20"/>
        <w:szCs w:val="20"/>
      </w:rPr>
      <w:t>1</w:t>
    </w:r>
    <w:r w:rsidR="00FE486F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0</w:t>
    </w:r>
    <w:r w:rsidR="00881B65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18_groz134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6071" w:rsidRPr="009A2654" w14:paraId="4A384DBF" w14:textId="6622A32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</w:t>
    </w:r>
    <w:r w:rsidR="005B67CE">
      <w:rPr>
        <w:rFonts w:ascii="Times New Roman" w:hAnsi="Times New Roman" w:cs="Times New Roman"/>
        <w:sz w:val="20"/>
        <w:szCs w:val="20"/>
      </w:rPr>
      <w:t>1</w:t>
    </w:r>
    <w:r w:rsidR="00FE486F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0</w:t>
    </w:r>
    <w:r w:rsidR="005B67CE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18_groz134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26071" w:rsidP="00894C55" w14:paraId="74EA72D6" w14:textId="77777777">
      <w:pPr>
        <w:spacing w:after="0" w:line="240" w:lineRule="auto"/>
      </w:pPr>
      <w:r>
        <w:separator/>
      </w:r>
    </w:p>
  </w:footnote>
  <w:footnote w:type="continuationSeparator" w:id="1">
    <w:p w:rsidR="00E26071" w:rsidP="00894C55" w14:paraId="1A3FD114" w14:textId="77777777">
      <w:pPr>
        <w:spacing w:after="0" w:line="240" w:lineRule="auto"/>
      </w:pPr>
      <w:r>
        <w:continuationSeparator/>
      </w:r>
    </w:p>
  </w:footnote>
  <w:footnote w:id="2">
    <w:p w:rsidR="00E26071" w:rsidRPr="00FD362D" w14:paraId="423AA597" w14:textId="2E84B3D6">
      <w:pPr>
        <w:pStyle w:val="FootnoteText"/>
        <w:rPr>
          <w:rFonts w:ascii="Times New Roman" w:hAnsi="Times New Roman" w:cs="Times New Roman"/>
        </w:rPr>
      </w:pPr>
      <w:r w:rsidRPr="00FD362D">
        <w:rPr>
          <w:rStyle w:val="FootnoteReference"/>
          <w:rFonts w:ascii="Times New Roman" w:hAnsi="Times New Roman" w:cs="Times New Roman"/>
        </w:rPr>
        <w:footnoteRef/>
      </w:r>
      <w:r w:rsidRPr="00FD36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0709B8">
        <w:rPr>
          <w:rFonts w:ascii="Times New Roman" w:hAnsi="Times New Roman" w:cs="Times New Roman"/>
        </w:rPr>
        <w:t>edzīvotāju skaits Latvijā 2017.gada sākumā</w:t>
      </w:r>
      <w:r>
        <w:rPr>
          <w:rFonts w:ascii="Times New Roman" w:hAnsi="Times New Roman" w:cs="Times New Roman"/>
        </w:rPr>
        <w:t>.</w:t>
      </w:r>
      <w:r w:rsidRPr="000709B8">
        <w:rPr>
          <w:rFonts w:ascii="Times New Roman" w:hAnsi="Times New Roman" w:cs="Times New Roman"/>
        </w:rPr>
        <w:t xml:space="preserve"> </w:t>
      </w:r>
      <w:r w:rsidRPr="00FD362D">
        <w:rPr>
          <w:rFonts w:ascii="Times New Roman" w:hAnsi="Times New Roman" w:cs="Times New Roman"/>
        </w:rPr>
        <w:t>Centrālās statistikas pārvaldes dati</w:t>
      </w:r>
    </w:p>
  </w:footnote>
  <w:footnote w:id="3">
    <w:p w:rsidR="00E26071" w:rsidRPr="00FD362D" w14:paraId="5EEF6207" w14:textId="6A0F1256">
      <w:pPr>
        <w:pStyle w:val="FootnoteText"/>
        <w:rPr>
          <w:rFonts w:ascii="Times New Roman" w:hAnsi="Times New Roman" w:cs="Times New Roman"/>
        </w:rPr>
      </w:pPr>
      <w:r w:rsidRPr="00FD362D">
        <w:rPr>
          <w:rStyle w:val="FootnoteReference"/>
          <w:rFonts w:ascii="Times New Roman" w:hAnsi="Times New Roman" w:cs="Times New Roman"/>
        </w:rPr>
        <w:footnoteRef/>
      </w:r>
      <w:r w:rsidRPr="00FD36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Ā</w:t>
      </w:r>
      <w:r w:rsidRPr="000709B8">
        <w:rPr>
          <w:rFonts w:ascii="Times New Roman" w:hAnsi="Times New Roman" w:cs="Times New Roman"/>
        </w:rPr>
        <w:t>rstniecības iestāžu skaits Latvijā 2017.gada 19.decembrī</w:t>
      </w:r>
      <w:r>
        <w:rPr>
          <w:rFonts w:ascii="Times New Roman" w:hAnsi="Times New Roman" w:cs="Times New Roman"/>
        </w:rPr>
        <w:t>.</w:t>
      </w:r>
      <w:r w:rsidRPr="000709B8">
        <w:rPr>
          <w:rFonts w:ascii="Times New Roman" w:hAnsi="Times New Roman" w:cs="Times New Roman"/>
        </w:rPr>
        <w:t xml:space="preserve"> </w:t>
      </w:r>
      <w:r w:rsidRPr="00FD362D">
        <w:rPr>
          <w:rFonts w:ascii="Times New Roman" w:hAnsi="Times New Roman" w:cs="Times New Roman"/>
        </w:rPr>
        <w:t xml:space="preserve">Ārstniecības iestāžu reģistra dati </w:t>
      </w:r>
    </w:p>
  </w:footnote>
  <w:footnote w:id="4">
    <w:p w:rsidR="00E26071" w:rsidRPr="00FD362D" w14:paraId="20908E05" w14:textId="4A74A681">
      <w:pPr>
        <w:pStyle w:val="FootnoteText"/>
        <w:rPr>
          <w:rFonts w:ascii="Times New Roman" w:hAnsi="Times New Roman" w:cs="Times New Roman"/>
        </w:rPr>
      </w:pPr>
      <w:r w:rsidRPr="00FD362D">
        <w:rPr>
          <w:rStyle w:val="FootnoteReference"/>
          <w:rFonts w:ascii="Times New Roman" w:hAnsi="Times New Roman" w:cs="Times New Roman"/>
        </w:rPr>
        <w:footnoteRef/>
      </w:r>
      <w:r w:rsidRPr="00FD36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709B8">
        <w:rPr>
          <w:rFonts w:ascii="Times New Roman" w:hAnsi="Times New Roman" w:cs="Times New Roman"/>
        </w:rPr>
        <w:t>kaits 2016.gadā</w:t>
      </w:r>
      <w:r>
        <w:rPr>
          <w:rFonts w:ascii="Times New Roman" w:hAnsi="Times New Roman" w:cs="Times New Roman"/>
        </w:rPr>
        <w:t>.</w:t>
      </w:r>
      <w:r w:rsidRPr="000709B8">
        <w:rPr>
          <w:rFonts w:ascii="Times New Roman" w:hAnsi="Times New Roman" w:cs="Times New Roman"/>
        </w:rPr>
        <w:t xml:space="preserve"> </w:t>
      </w:r>
      <w:r w:rsidRPr="00FD362D">
        <w:rPr>
          <w:rFonts w:ascii="Times New Roman" w:hAnsi="Times New Roman" w:cs="Times New Roman"/>
        </w:rPr>
        <w:t>Latvijas veselības aprūpes statistikas gadagrāmata 2016. Slimību profilakses un kontroles centrs, Rīga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2956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E26071" w:rsidRPr="00C25B49" w14:paraId="0701EDCC" w14:textId="19A89D93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F6A14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540114D"/>
    <w:multiLevelType w:val="hybridMultilevel"/>
    <w:tmpl w:val="3C865C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42F2F84"/>
    <w:multiLevelType w:val="hybridMultilevel"/>
    <w:tmpl w:val="4F642F48"/>
    <w:lvl w:ilvl="0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5" w:hanging="360"/>
      </w:pPr>
    </w:lvl>
    <w:lvl w:ilvl="2" w:tentative="1">
      <w:start w:val="1"/>
      <w:numFmt w:val="lowerRoman"/>
      <w:lvlText w:val="%3."/>
      <w:lvlJc w:val="right"/>
      <w:pPr>
        <w:ind w:left="3015" w:hanging="180"/>
      </w:pPr>
    </w:lvl>
    <w:lvl w:ilvl="3" w:tentative="1">
      <w:start w:val="1"/>
      <w:numFmt w:val="decimal"/>
      <w:lvlText w:val="%4."/>
      <w:lvlJc w:val="left"/>
      <w:pPr>
        <w:ind w:left="3735" w:hanging="360"/>
      </w:pPr>
    </w:lvl>
    <w:lvl w:ilvl="4" w:tentative="1">
      <w:start w:val="1"/>
      <w:numFmt w:val="lowerLetter"/>
      <w:lvlText w:val="%5."/>
      <w:lvlJc w:val="left"/>
      <w:pPr>
        <w:ind w:left="4455" w:hanging="360"/>
      </w:pPr>
    </w:lvl>
    <w:lvl w:ilvl="5" w:tentative="1">
      <w:start w:val="1"/>
      <w:numFmt w:val="lowerRoman"/>
      <w:lvlText w:val="%6."/>
      <w:lvlJc w:val="right"/>
      <w:pPr>
        <w:ind w:left="5175" w:hanging="180"/>
      </w:pPr>
    </w:lvl>
    <w:lvl w:ilvl="6" w:tentative="1">
      <w:start w:val="1"/>
      <w:numFmt w:val="decimal"/>
      <w:lvlText w:val="%7."/>
      <w:lvlJc w:val="left"/>
      <w:pPr>
        <w:ind w:left="5895" w:hanging="360"/>
      </w:pPr>
    </w:lvl>
    <w:lvl w:ilvl="7" w:tentative="1">
      <w:start w:val="1"/>
      <w:numFmt w:val="lowerLetter"/>
      <w:lvlText w:val="%8."/>
      <w:lvlJc w:val="left"/>
      <w:pPr>
        <w:ind w:left="6615" w:hanging="360"/>
      </w:pPr>
    </w:lvl>
    <w:lvl w:ilvl="8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086E"/>
    <w:rsid w:val="00054774"/>
    <w:rsid w:val="000709B8"/>
    <w:rsid w:val="0009260E"/>
    <w:rsid w:val="000A1231"/>
    <w:rsid w:val="000C49AD"/>
    <w:rsid w:val="000C7670"/>
    <w:rsid w:val="000F0524"/>
    <w:rsid w:val="00110828"/>
    <w:rsid w:val="0013065E"/>
    <w:rsid w:val="00132547"/>
    <w:rsid w:val="00147597"/>
    <w:rsid w:val="00180268"/>
    <w:rsid w:val="0018610F"/>
    <w:rsid w:val="00187E6B"/>
    <w:rsid w:val="00196BAA"/>
    <w:rsid w:val="00197D18"/>
    <w:rsid w:val="001B6A66"/>
    <w:rsid w:val="001E1259"/>
    <w:rsid w:val="001F1EBC"/>
    <w:rsid w:val="00202513"/>
    <w:rsid w:val="0021722E"/>
    <w:rsid w:val="00243426"/>
    <w:rsid w:val="0024365F"/>
    <w:rsid w:val="00250B0B"/>
    <w:rsid w:val="002673C7"/>
    <w:rsid w:val="0029724B"/>
    <w:rsid w:val="002C18C0"/>
    <w:rsid w:val="002E1996"/>
    <w:rsid w:val="002E1C05"/>
    <w:rsid w:val="0030095C"/>
    <w:rsid w:val="003041BE"/>
    <w:rsid w:val="0030624F"/>
    <w:rsid w:val="0038119C"/>
    <w:rsid w:val="003943CF"/>
    <w:rsid w:val="003A79F0"/>
    <w:rsid w:val="003B0BF9"/>
    <w:rsid w:val="003B44E8"/>
    <w:rsid w:val="003D0EE9"/>
    <w:rsid w:val="003D29F0"/>
    <w:rsid w:val="003E0791"/>
    <w:rsid w:val="003F28AC"/>
    <w:rsid w:val="00404709"/>
    <w:rsid w:val="0040712A"/>
    <w:rsid w:val="004454FE"/>
    <w:rsid w:val="00456E40"/>
    <w:rsid w:val="00471F27"/>
    <w:rsid w:val="00490BA0"/>
    <w:rsid w:val="004A3A65"/>
    <w:rsid w:val="004A51CC"/>
    <w:rsid w:val="004C2240"/>
    <w:rsid w:val="004C6C33"/>
    <w:rsid w:val="004E1EC0"/>
    <w:rsid w:val="004E49BD"/>
    <w:rsid w:val="004F5031"/>
    <w:rsid w:val="0050178F"/>
    <w:rsid w:val="005058EE"/>
    <w:rsid w:val="00530E60"/>
    <w:rsid w:val="005414BF"/>
    <w:rsid w:val="005444B1"/>
    <w:rsid w:val="00567255"/>
    <w:rsid w:val="00575781"/>
    <w:rsid w:val="00584EE3"/>
    <w:rsid w:val="00591BB1"/>
    <w:rsid w:val="005B67CE"/>
    <w:rsid w:val="005F106E"/>
    <w:rsid w:val="005F144F"/>
    <w:rsid w:val="005F5725"/>
    <w:rsid w:val="005F6A14"/>
    <w:rsid w:val="006162C5"/>
    <w:rsid w:val="00621658"/>
    <w:rsid w:val="00633B00"/>
    <w:rsid w:val="006908BA"/>
    <w:rsid w:val="006B73D8"/>
    <w:rsid w:val="006E0E17"/>
    <w:rsid w:val="006E1081"/>
    <w:rsid w:val="006E6107"/>
    <w:rsid w:val="00706704"/>
    <w:rsid w:val="00720585"/>
    <w:rsid w:val="00735BBE"/>
    <w:rsid w:val="00772874"/>
    <w:rsid w:val="00773AF6"/>
    <w:rsid w:val="00795F71"/>
    <w:rsid w:val="007C150F"/>
    <w:rsid w:val="007E73AB"/>
    <w:rsid w:val="00813640"/>
    <w:rsid w:val="00816C11"/>
    <w:rsid w:val="008214B4"/>
    <w:rsid w:val="00844745"/>
    <w:rsid w:val="0085053E"/>
    <w:rsid w:val="00881B65"/>
    <w:rsid w:val="00894C55"/>
    <w:rsid w:val="008B6981"/>
    <w:rsid w:val="008E637E"/>
    <w:rsid w:val="008F0187"/>
    <w:rsid w:val="00907C59"/>
    <w:rsid w:val="00932165"/>
    <w:rsid w:val="009507C8"/>
    <w:rsid w:val="00961AE5"/>
    <w:rsid w:val="0097489F"/>
    <w:rsid w:val="009770FA"/>
    <w:rsid w:val="00990D58"/>
    <w:rsid w:val="009A2654"/>
    <w:rsid w:val="009B21DF"/>
    <w:rsid w:val="009C2DF8"/>
    <w:rsid w:val="009C61E3"/>
    <w:rsid w:val="009E1AA1"/>
    <w:rsid w:val="009F7E03"/>
    <w:rsid w:val="00A10FC3"/>
    <w:rsid w:val="00A6073E"/>
    <w:rsid w:val="00A713A9"/>
    <w:rsid w:val="00A966A5"/>
    <w:rsid w:val="00AC1983"/>
    <w:rsid w:val="00AC717F"/>
    <w:rsid w:val="00AE5567"/>
    <w:rsid w:val="00AF7B38"/>
    <w:rsid w:val="00B0108F"/>
    <w:rsid w:val="00B03F2D"/>
    <w:rsid w:val="00B13369"/>
    <w:rsid w:val="00B16480"/>
    <w:rsid w:val="00B2165C"/>
    <w:rsid w:val="00B25E8D"/>
    <w:rsid w:val="00B30BD7"/>
    <w:rsid w:val="00B8533A"/>
    <w:rsid w:val="00BA20AA"/>
    <w:rsid w:val="00BB56CE"/>
    <w:rsid w:val="00BD4425"/>
    <w:rsid w:val="00C165A5"/>
    <w:rsid w:val="00C25B49"/>
    <w:rsid w:val="00C856BF"/>
    <w:rsid w:val="00CC047C"/>
    <w:rsid w:val="00CD526E"/>
    <w:rsid w:val="00CE5657"/>
    <w:rsid w:val="00CF0E41"/>
    <w:rsid w:val="00CF682E"/>
    <w:rsid w:val="00CF718E"/>
    <w:rsid w:val="00D102B6"/>
    <w:rsid w:val="00D133F8"/>
    <w:rsid w:val="00D14A3E"/>
    <w:rsid w:val="00D16F8B"/>
    <w:rsid w:val="00D3433A"/>
    <w:rsid w:val="00D37247"/>
    <w:rsid w:val="00DA6025"/>
    <w:rsid w:val="00DE4815"/>
    <w:rsid w:val="00E03ED7"/>
    <w:rsid w:val="00E10495"/>
    <w:rsid w:val="00E26071"/>
    <w:rsid w:val="00E35F93"/>
    <w:rsid w:val="00E35FE3"/>
    <w:rsid w:val="00E3716B"/>
    <w:rsid w:val="00E5323B"/>
    <w:rsid w:val="00E76722"/>
    <w:rsid w:val="00E77C63"/>
    <w:rsid w:val="00E8749E"/>
    <w:rsid w:val="00E9035D"/>
    <w:rsid w:val="00E90C01"/>
    <w:rsid w:val="00EA486E"/>
    <w:rsid w:val="00EB01C3"/>
    <w:rsid w:val="00F01B83"/>
    <w:rsid w:val="00F11465"/>
    <w:rsid w:val="00F1525A"/>
    <w:rsid w:val="00F17604"/>
    <w:rsid w:val="00F5199D"/>
    <w:rsid w:val="00F57B0C"/>
    <w:rsid w:val="00F6063D"/>
    <w:rsid w:val="00FA2CAC"/>
    <w:rsid w:val="00FB1505"/>
    <w:rsid w:val="00FC5AA9"/>
    <w:rsid w:val="00FC640D"/>
    <w:rsid w:val="00FC652F"/>
    <w:rsid w:val="00FD362D"/>
    <w:rsid w:val="00FD6E88"/>
    <w:rsid w:val="00FE486F"/>
    <w:rsid w:val="00FF5D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8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8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81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2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5FE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5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rsid w:val="000547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ezatstarpm1">
    <w:name w:val="Bez atstarpēm1"/>
    <w:uiPriority w:val="1"/>
    <w:qFormat/>
    <w:rsid w:val="0005477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294C4A"/>
    <w:rsid w:val="00344186"/>
    <w:rsid w:val="003E620D"/>
    <w:rsid w:val="0046442B"/>
    <w:rsid w:val="00472F39"/>
    <w:rsid w:val="00523A63"/>
    <w:rsid w:val="00790997"/>
    <w:rsid w:val="008B623B"/>
    <w:rsid w:val="008D39C9"/>
    <w:rsid w:val="009C1B4C"/>
    <w:rsid w:val="00AD4A2F"/>
    <w:rsid w:val="00B3767C"/>
    <w:rsid w:val="00C00671"/>
    <w:rsid w:val="00E0713A"/>
    <w:rsid w:val="00F40EE9"/>
    <w:rsid w:val="00FF5D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1">
    <w:name w:val="B2513C7936974E769D1103048039203D1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2">
    <w:name w:val="B2513C7936974E769D1103048039203D2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3">
    <w:name w:val="B2513C7936974E769D1103048039203D3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4">
    <w:name w:val="B2513C7936974E769D1103048039203D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  <w:rPr>
      <w:sz w:val="22"/>
      <w:szCs w:val="22"/>
    </w:rPr>
  </w:style>
  <w:style w:type="paragraph" w:customStyle="1" w:styleId="B2513C7936974E769D1103048039203D5">
    <w:name w:val="B2513C7936974E769D1103048039203D5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6">
    <w:name w:val="B2513C7936974E769D1103048039203D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">
    <w:name w:val="62FCE0315F9A49B88D7551D29C9154E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7">
    <w:name w:val="B2513C7936974E769D1103048039203D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1">
    <w:name w:val="62FCE0315F9A49B88D7551D29C9154E7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2EC51BD30FC49B48874927AFE5E926E">
    <w:name w:val="C2EC51BD30FC49B48874927AFE5E926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8">
    <w:name w:val="B2513C7936974E769D1103048039203D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2">
    <w:name w:val="62FCE0315F9A49B88D7551D29C9154E7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2EC51BD30FC49B48874927AFE5E926E1">
    <w:name w:val="C2EC51BD30FC49B48874927AFE5E926E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37ADDDF53DEB4F699DF97E9C2EC547DB">
    <w:name w:val="37ADDDF53DEB4F699DF97E9C2EC547D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882A66A9A7E49BE846FCEA215C187D9">
    <w:name w:val="B882A66A9A7E49BE846FCEA215C187D9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77BE940338849AB90331A56F15E01FD">
    <w:name w:val="C77BE940338849AB90331A56F15E01FD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50B7E6C5AD6489E8C714D8EC783E3AC">
    <w:name w:val="F50B7E6C5AD6489E8C714D8EC783E3A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56C3CC8D3A94A1B88E371E00A30BEC8">
    <w:name w:val="A56C3CC8D3A94A1B88E371E00A30BEC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CD890FA1480480A84CCD1734B4CE6A2">
    <w:name w:val="DCD890FA1480480A84CCD1734B4CE6A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93EA44F1D0485D82ACD8E2B4A9B9D8">
    <w:name w:val="FD93EA44F1D0485D82ACD8E2B4A9B9D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C4D5345DEEB475885E517E1AFA92084">
    <w:name w:val="0C4D5345DEEB475885E517E1AFA9208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E7F8690D7F544BEAD1F6F2489583A57">
    <w:name w:val="AE7F8690D7F544BEAD1F6F2489583A5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D994A3434154A1C8CFE169FE8FE6B1A">
    <w:name w:val="7D994A3434154A1C8CFE169FE8FE6B1A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9F03AB0F83F4AFC92313E2A195DF3C8">
    <w:name w:val="E9F03AB0F83F4AFC92313E2A195DF3C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8843F41EB2548D7B8A34FB3D43A4CEC">
    <w:name w:val="A8843F41EB2548D7B8A34FB3D43A4CE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50E0D89D7D740E39A72FD51262F3F52">
    <w:name w:val="E50E0D89D7D740E39A72FD51262F3F5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BAAB5749A0B4C46979E3CF195A3E134">
    <w:name w:val="8BAAB5749A0B4C46979E3CF195A3E13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671BD77F5FD414D82E008C54ECA0496">
    <w:name w:val="2671BD77F5FD414D82E008C54ECA049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B37051406224FEBB83B2F6F9BB208E1">
    <w:name w:val="6B37051406224FEBB83B2F6F9BB208E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64BFDC0193B4E8B946F90FA96F17F3F">
    <w:name w:val="764BFDC0193B4E8B946F90FA96F17F3F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841105969B14DE49F05D9296F7C652E">
    <w:name w:val="2841105969B14DE49F05D9296F7C652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5EB6D4A958A4331A96091AD983955EE">
    <w:name w:val="E5EB6D4A958A4331A96091AD983955E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5C206170F8425BA6EE971CD4237B78">
    <w:name w:val="FD5C206170F8425BA6EE971CD4237B7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910B44650FB04E46BA92AE92B1A964F6">
    <w:name w:val="910B44650FB04E46BA92AE92B1A964F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3D82EA56B4A45D28413144B2F7F5968">
    <w:name w:val="13D82EA56B4A45D28413144B2F7F596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E95B9A01F8340438A8C23164C47A7EB">
    <w:name w:val="FE95B9A01F8340438A8C23164C47A7E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B232B1C7DC94AA0937BF44A74D7501B">
    <w:name w:val="DB232B1C7DC94AA0937BF44A74D7501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7E4A7E527044C2690FE643CD510DBB5">
    <w:name w:val="E7E4A7E527044C2690FE643CD510DBB5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4AE388897F6C4CAA85289D11247F4B60">
    <w:name w:val="4AE388897F6C4CAA85289D11247F4B60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35449F15B804DFCBB464B8F8CF23968">
    <w:name w:val="035449F15B804DFCBB464B8F8CF2396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51BFF4D6FA5E427E8B2BB4394305981E">
    <w:name w:val="51BFF4D6FA5E427E8B2BB4394305981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5610D5460FE7443BBFE4C402F8F872EC">
    <w:name w:val="5610D5460FE7443BBFE4C402F8F872E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D970DF03814E08AAAE176B3A069D53">
    <w:name w:val="FDD970DF03814E08AAAE176B3A069D53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ACA54E693CD4D0BAD637E54C82C88FF">
    <w:name w:val="1ACA54E693CD4D0BAD637E54C82C88FF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6E4DF0885D242E391774F1A0758BD2D">
    <w:name w:val="16E4DF0885D242E391774F1A0758BD2D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3EA5-D1B6-45EE-86A0-355BCFD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5508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2014. gada 11. marta noteikumos Nr.134 „Noteikumi par vienoto veselības nozares elektronisko informācijas sistēmu””</vt:lpstr>
    </vt:vector>
  </TitlesOfParts>
  <Company>Veselības ministrija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2014. gada 11. marta noteikumos Nr.134 „Noteikumi par vienoto veselības nozares elektronisko informācijas sistēmu””</dc:title>
  <dc:subject>Anotācija</dc:subject>
  <dc:creator>Laura Boltāne</dc:creator>
  <dc:description>67876154, laura.boltane@vm.gov.lv</dc:description>
  <cp:lastModifiedBy>Laura Boltāne</cp:lastModifiedBy>
  <cp:revision>3</cp:revision>
  <cp:lastPrinted>2018-01-24T13:08:00Z</cp:lastPrinted>
  <dcterms:created xsi:type="dcterms:W3CDTF">2018-02-15T14:39:00Z</dcterms:created>
  <dcterms:modified xsi:type="dcterms:W3CDTF">2018-02-15T14:40:00Z</dcterms:modified>
</cp:coreProperties>
</file>