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E3EBE" w:rsidRPr="00C13B43" w:rsidP="006235C8" w14:paraId="033C7568" w14:textId="77777777">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C13B43">
        <w:rPr>
          <w:rFonts w:ascii="Times New Roman" w:eastAsia="Times New Roman" w:hAnsi="Times New Roman" w:cs="Times New Roman"/>
          <w:b/>
          <w:bCs/>
          <w:color w:val="000000" w:themeColor="text1"/>
          <w:sz w:val="28"/>
          <w:szCs w:val="24"/>
          <w:lang w:eastAsia="lv-LV"/>
        </w:rPr>
        <w:t>Ministru kabineta noteikumu projekta “</w:t>
      </w:r>
      <w:r w:rsidR="006235C8">
        <w:rPr>
          <w:rFonts w:ascii="Times New Roman" w:eastAsia="Times New Roman" w:hAnsi="Times New Roman" w:cs="Times New Roman"/>
          <w:b/>
          <w:bCs/>
          <w:color w:val="000000" w:themeColor="text1"/>
          <w:sz w:val="28"/>
          <w:szCs w:val="24"/>
          <w:lang w:eastAsia="lv-LV"/>
        </w:rPr>
        <w:t xml:space="preserve">Grozījumi Ministru kabineta </w:t>
      </w:r>
      <w:r w:rsidRPr="006235C8" w:rsidR="006235C8">
        <w:rPr>
          <w:rFonts w:ascii="Times New Roman" w:eastAsia="Times New Roman" w:hAnsi="Times New Roman" w:cs="Times New Roman"/>
          <w:b/>
          <w:bCs/>
          <w:color w:val="000000" w:themeColor="text1"/>
          <w:sz w:val="28"/>
          <w:szCs w:val="24"/>
          <w:lang w:eastAsia="lv-LV"/>
        </w:rPr>
        <w:t>2013.gada 29.janvāra</w:t>
      </w:r>
      <w:r w:rsidR="006235C8">
        <w:rPr>
          <w:rFonts w:ascii="Times New Roman" w:eastAsia="Times New Roman" w:hAnsi="Times New Roman" w:cs="Times New Roman"/>
          <w:b/>
          <w:bCs/>
          <w:color w:val="000000" w:themeColor="text1"/>
          <w:sz w:val="28"/>
          <w:szCs w:val="24"/>
          <w:lang w:eastAsia="lv-LV"/>
        </w:rPr>
        <w:t xml:space="preserve"> </w:t>
      </w:r>
      <w:r w:rsidRPr="006235C8" w:rsidR="006235C8">
        <w:rPr>
          <w:rFonts w:ascii="Times New Roman" w:eastAsia="Times New Roman" w:hAnsi="Times New Roman" w:cs="Times New Roman"/>
          <w:b/>
          <w:bCs/>
          <w:color w:val="000000" w:themeColor="text1"/>
          <w:sz w:val="28"/>
          <w:szCs w:val="24"/>
          <w:lang w:eastAsia="lv-LV"/>
        </w:rPr>
        <w:t>noteikumos Nr.64 “Parāda atgūšanas pakalpojuma sniedzēju licencēšanas kārtība”</w:t>
      </w:r>
      <w:r w:rsidRPr="00C13B43">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rsidR="005E3EBE" w:rsidRPr="00C13B43" w:rsidP="005E3EBE" w14:paraId="4170D353" w14:textId="77777777">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4D3C3878" w14:textId="77777777" w:rsidTr="007116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2067E801"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 Tiesību akta projekta izstrādes nepieciešamība</w:t>
            </w:r>
          </w:p>
        </w:tc>
      </w:tr>
      <w:tr w14:paraId="06A61ACC" w14:textId="77777777" w:rsidTr="00711659">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1A4F1FB9"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880C4A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E3EBE" w:rsidRPr="00163E5E" w:rsidP="00711659" w14:paraId="2F057A09" w14:textId="398F7423">
            <w:pPr>
              <w:spacing w:after="0" w:line="240" w:lineRule="auto"/>
              <w:jc w:val="both"/>
              <w:rPr>
                <w:rFonts w:ascii="Times New Roman" w:eastAsia="Times New Roman" w:hAnsi="Times New Roman" w:cs="Times New Roman"/>
                <w:color w:val="000000" w:themeColor="text1"/>
                <w:sz w:val="24"/>
                <w:szCs w:val="24"/>
                <w:lang w:eastAsia="lv-LV"/>
              </w:rPr>
            </w:pPr>
            <w:r w:rsidRPr="00163E5E">
              <w:rPr>
                <w:rFonts w:ascii="Times New Roman" w:eastAsia="Times New Roman" w:hAnsi="Times New Roman" w:cs="Times New Roman"/>
                <w:color w:val="000000" w:themeColor="text1"/>
                <w:sz w:val="24"/>
                <w:szCs w:val="24"/>
                <w:lang w:eastAsia="lv-LV"/>
              </w:rPr>
              <w:t xml:space="preserve">2017.gada 24.maija </w:t>
            </w:r>
            <w:r w:rsidRPr="00AF3131">
              <w:rPr>
                <w:rFonts w:ascii="Times New Roman" w:eastAsia="Times New Roman" w:hAnsi="Times New Roman" w:cs="Times New Roman"/>
                <w:color w:val="000000" w:themeColor="text1"/>
                <w:sz w:val="24"/>
                <w:szCs w:val="24"/>
                <w:lang w:eastAsia="lv-LV"/>
              </w:rPr>
              <w:t xml:space="preserve">Pasākumu </w:t>
            </w:r>
            <w:r w:rsidRPr="00AF3131" w:rsidR="00E347EF">
              <w:rPr>
                <w:rFonts w:ascii="Times New Roman" w:eastAsia="Times New Roman" w:hAnsi="Times New Roman" w:cs="Times New Roman"/>
                <w:color w:val="000000" w:themeColor="text1"/>
                <w:sz w:val="24"/>
                <w:szCs w:val="24"/>
                <w:lang w:eastAsia="lv-LV"/>
              </w:rPr>
              <w:t>plān</w:t>
            </w:r>
            <w:r w:rsidR="00E347EF">
              <w:rPr>
                <w:rFonts w:ascii="Times New Roman" w:eastAsia="Times New Roman" w:hAnsi="Times New Roman" w:cs="Times New Roman"/>
                <w:color w:val="000000" w:themeColor="text1"/>
                <w:sz w:val="24"/>
                <w:szCs w:val="24"/>
                <w:lang w:eastAsia="lv-LV"/>
              </w:rPr>
              <w:t>s</w:t>
            </w:r>
            <w:r w:rsidRPr="00AF3131" w:rsidR="00E347EF">
              <w:rPr>
                <w:rFonts w:ascii="Times New Roman" w:eastAsia="Times New Roman" w:hAnsi="Times New Roman" w:cs="Times New Roman"/>
                <w:color w:val="000000" w:themeColor="text1"/>
                <w:sz w:val="24"/>
                <w:szCs w:val="24"/>
                <w:lang w:eastAsia="lv-LV"/>
              </w:rPr>
              <w:t xml:space="preserve"> </w:t>
            </w:r>
            <w:r w:rsidRPr="00AF3131">
              <w:rPr>
                <w:rFonts w:ascii="Times New Roman" w:eastAsia="Times New Roman" w:hAnsi="Times New Roman" w:cs="Times New Roman"/>
                <w:color w:val="000000" w:themeColor="text1"/>
                <w:sz w:val="24"/>
                <w:szCs w:val="24"/>
                <w:lang w:eastAsia="lv-LV"/>
              </w:rPr>
              <w:t>noziedzīgi iegūtu līdzekļu legalizācijas un terorisma finansēšanas risku ierobežošanai 2017. – 2019.gadam</w:t>
            </w:r>
            <w:r>
              <w:rPr>
                <w:rFonts w:ascii="Times New Roman" w:eastAsia="Times New Roman" w:hAnsi="Times New Roman" w:cs="Times New Roman"/>
                <w:bCs/>
                <w:color w:val="000000" w:themeColor="text1"/>
                <w:sz w:val="24"/>
                <w:szCs w:val="24"/>
                <w:lang w:eastAsia="lv-LV"/>
              </w:rPr>
              <w:t xml:space="preserve"> </w:t>
            </w:r>
            <w:r w:rsidRPr="00163E5E">
              <w:rPr>
                <w:rFonts w:ascii="Times New Roman" w:eastAsia="Times New Roman" w:hAnsi="Times New Roman" w:cs="Times New Roman"/>
                <w:color w:val="000000" w:themeColor="text1"/>
                <w:sz w:val="24"/>
                <w:szCs w:val="24"/>
                <w:lang w:eastAsia="lv-LV"/>
              </w:rPr>
              <w:t>2.3.</w:t>
            </w:r>
            <w:r w:rsidR="001548D8">
              <w:rPr>
                <w:rFonts w:ascii="Times New Roman" w:eastAsia="Times New Roman" w:hAnsi="Times New Roman" w:cs="Times New Roman"/>
                <w:color w:val="000000" w:themeColor="text1"/>
                <w:sz w:val="24"/>
                <w:szCs w:val="24"/>
                <w:lang w:eastAsia="lv-LV"/>
              </w:rPr>
              <w:t>apakš</w:t>
            </w:r>
            <w:r w:rsidRPr="00163E5E">
              <w:rPr>
                <w:rFonts w:ascii="Times New Roman" w:eastAsia="Times New Roman" w:hAnsi="Times New Roman" w:cs="Times New Roman"/>
                <w:color w:val="000000" w:themeColor="text1"/>
                <w:sz w:val="24"/>
                <w:szCs w:val="24"/>
                <w:lang w:eastAsia="lv-LV"/>
              </w:rPr>
              <w:t>punkts</w:t>
            </w:r>
            <w:r>
              <w:rPr>
                <w:rFonts w:ascii="Times New Roman" w:eastAsia="Times New Roman" w:hAnsi="Times New Roman" w:cs="Times New Roman"/>
                <w:color w:val="000000" w:themeColor="text1"/>
                <w:sz w:val="24"/>
                <w:szCs w:val="24"/>
                <w:lang w:eastAsia="lv-LV"/>
              </w:rPr>
              <w:t xml:space="preserve"> </w:t>
            </w:r>
          </w:p>
          <w:p w:rsidR="005E3EBE" w:rsidRPr="00C13B43" w:rsidP="00711659" w14:paraId="002781AB" w14:textId="77777777">
            <w:pPr>
              <w:spacing w:after="0" w:line="240" w:lineRule="auto"/>
              <w:rPr>
                <w:rFonts w:ascii="Times New Roman" w:eastAsia="Times New Roman" w:hAnsi="Times New Roman" w:cs="Times New Roman"/>
                <w:color w:val="000000" w:themeColor="text1"/>
                <w:sz w:val="24"/>
                <w:szCs w:val="24"/>
                <w:lang w:eastAsia="lv-LV"/>
              </w:rPr>
            </w:pPr>
          </w:p>
        </w:tc>
      </w:tr>
      <w:tr w14:paraId="690295AF" w14:textId="77777777" w:rsidTr="00711659">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2D5EB4E4"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C47" w:rsidP="00711659" w14:paraId="254E5A32" w14:textId="13E25288">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C97C47" w:rsidRPr="00C97C47" w:rsidP="00C97C47" w14:paraId="3F86CCD9" w14:textId="77777777">
            <w:pPr>
              <w:rPr>
                <w:rFonts w:ascii="Times New Roman" w:eastAsia="Times New Roman" w:hAnsi="Times New Roman" w:cs="Times New Roman"/>
                <w:sz w:val="24"/>
                <w:szCs w:val="24"/>
                <w:lang w:eastAsia="lv-LV"/>
              </w:rPr>
            </w:pPr>
          </w:p>
          <w:p w:rsidR="00C97C47" w:rsidRPr="00C97C47" w:rsidP="00C97C47" w14:paraId="4F920F75" w14:textId="77777777">
            <w:pPr>
              <w:rPr>
                <w:rFonts w:ascii="Times New Roman" w:eastAsia="Times New Roman" w:hAnsi="Times New Roman" w:cs="Times New Roman"/>
                <w:sz w:val="24"/>
                <w:szCs w:val="24"/>
                <w:lang w:eastAsia="lv-LV"/>
              </w:rPr>
            </w:pPr>
          </w:p>
          <w:p w:rsidR="00C97C47" w:rsidRPr="00C97C47" w:rsidP="00C97C47" w14:paraId="79B228A5" w14:textId="77777777">
            <w:pPr>
              <w:rPr>
                <w:rFonts w:ascii="Times New Roman" w:eastAsia="Times New Roman" w:hAnsi="Times New Roman" w:cs="Times New Roman"/>
                <w:sz w:val="24"/>
                <w:szCs w:val="24"/>
                <w:lang w:eastAsia="lv-LV"/>
              </w:rPr>
            </w:pPr>
          </w:p>
          <w:p w:rsidR="00C97C47" w:rsidRPr="00C97C47" w:rsidP="00C97C47" w14:paraId="7A541F39" w14:textId="77777777">
            <w:pPr>
              <w:rPr>
                <w:rFonts w:ascii="Times New Roman" w:eastAsia="Times New Roman" w:hAnsi="Times New Roman" w:cs="Times New Roman"/>
                <w:sz w:val="24"/>
                <w:szCs w:val="24"/>
                <w:lang w:eastAsia="lv-LV"/>
              </w:rPr>
            </w:pPr>
          </w:p>
          <w:p w:rsidR="00C97C47" w:rsidRPr="00C97C47" w:rsidP="00C97C47" w14:paraId="69D07399" w14:textId="77777777">
            <w:pPr>
              <w:rPr>
                <w:rFonts w:ascii="Times New Roman" w:eastAsia="Times New Roman" w:hAnsi="Times New Roman" w:cs="Times New Roman"/>
                <w:sz w:val="24"/>
                <w:szCs w:val="24"/>
                <w:lang w:eastAsia="lv-LV"/>
              </w:rPr>
            </w:pPr>
          </w:p>
          <w:p w:rsidR="00C97C47" w:rsidRPr="00C97C47" w:rsidP="00C97C47" w14:paraId="0F681DB1" w14:textId="77777777">
            <w:pPr>
              <w:rPr>
                <w:rFonts w:ascii="Times New Roman" w:eastAsia="Times New Roman" w:hAnsi="Times New Roman" w:cs="Times New Roman"/>
                <w:sz w:val="24"/>
                <w:szCs w:val="24"/>
                <w:lang w:eastAsia="lv-LV"/>
              </w:rPr>
            </w:pPr>
          </w:p>
          <w:p w:rsidR="00C97C47" w:rsidRPr="00C97C47" w:rsidP="00C97C47" w14:paraId="64475B1E" w14:textId="77777777">
            <w:pPr>
              <w:rPr>
                <w:rFonts w:ascii="Times New Roman" w:eastAsia="Times New Roman" w:hAnsi="Times New Roman" w:cs="Times New Roman"/>
                <w:sz w:val="24"/>
                <w:szCs w:val="24"/>
                <w:lang w:eastAsia="lv-LV"/>
              </w:rPr>
            </w:pPr>
          </w:p>
          <w:p w:rsidR="00C97C47" w:rsidRPr="00C97C47" w:rsidP="00C97C47" w14:paraId="565365F2" w14:textId="77777777">
            <w:pPr>
              <w:rPr>
                <w:rFonts w:ascii="Times New Roman" w:eastAsia="Times New Roman" w:hAnsi="Times New Roman" w:cs="Times New Roman"/>
                <w:sz w:val="24"/>
                <w:szCs w:val="24"/>
                <w:lang w:eastAsia="lv-LV"/>
              </w:rPr>
            </w:pPr>
          </w:p>
          <w:p w:rsidR="00C97C47" w:rsidRPr="00C97C47" w:rsidP="00C97C47" w14:paraId="7DE12B2C" w14:textId="77777777">
            <w:pPr>
              <w:rPr>
                <w:rFonts w:ascii="Times New Roman" w:eastAsia="Times New Roman" w:hAnsi="Times New Roman" w:cs="Times New Roman"/>
                <w:sz w:val="24"/>
                <w:szCs w:val="24"/>
                <w:lang w:eastAsia="lv-LV"/>
              </w:rPr>
            </w:pPr>
          </w:p>
          <w:p w:rsidR="00C97C47" w:rsidRPr="00C97C47" w:rsidP="00C97C47" w14:paraId="02C76D1E" w14:textId="77777777">
            <w:pPr>
              <w:rPr>
                <w:rFonts w:ascii="Times New Roman" w:eastAsia="Times New Roman" w:hAnsi="Times New Roman" w:cs="Times New Roman"/>
                <w:sz w:val="24"/>
                <w:szCs w:val="24"/>
                <w:lang w:eastAsia="lv-LV"/>
              </w:rPr>
            </w:pPr>
          </w:p>
          <w:p w:rsidR="00C97C47" w:rsidRPr="00C97C47" w:rsidP="00C97C47" w14:paraId="3AC59432" w14:textId="77777777">
            <w:pPr>
              <w:rPr>
                <w:rFonts w:ascii="Times New Roman" w:eastAsia="Times New Roman" w:hAnsi="Times New Roman" w:cs="Times New Roman"/>
                <w:sz w:val="24"/>
                <w:szCs w:val="24"/>
                <w:lang w:eastAsia="lv-LV"/>
              </w:rPr>
            </w:pPr>
          </w:p>
          <w:p w:rsidR="00C97C47" w:rsidRPr="00C97C47" w:rsidP="00C97C47" w14:paraId="669E1BC2" w14:textId="77777777">
            <w:pPr>
              <w:rPr>
                <w:rFonts w:ascii="Times New Roman" w:eastAsia="Times New Roman" w:hAnsi="Times New Roman" w:cs="Times New Roman"/>
                <w:sz w:val="24"/>
                <w:szCs w:val="24"/>
                <w:lang w:eastAsia="lv-LV"/>
              </w:rPr>
            </w:pPr>
          </w:p>
          <w:p w:rsidR="00C97C47" w:rsidRPr="00C97C47" w:rsidP="00C97C47" w14:paraId="24149C99" w14:textId="77777777">
            <w:pPr>
              <w:rPr>
                <w:rFonts w:ascii="Times New Roman" w:eastAsia="Times New Roman" w:hAnsi="Times New Roman" w:cs="Times New Roman"/>
                <w:sz w:val="24"/>
                <w:szCs w:val="24"/>
                <w:lang w:eastAsia="lv-LV"/>
              </w:rPr>
            </w:pPr>
          </w:p>
          <w:p w:rsidR="00C97C47" w:rsidRPr="00C97C47" w:rsidP="00C97C47" w14:paraId="349C57F2" w14:textId="77777777">
            <w:pPr>
              <w:rPr>
                <w:rFonts w:ascii="Times New Roman" w:eastAsia="Times New Roman" w:hAnsi="Times New Roman" w:cs="Times New Roman"/>
                <w:sz w:val="24"/>
                <w:szCs w:val="24"/>
                <w:lang w:eastAsia="lv-LV"/>
              </w:rPr>
            </w:pPr>
          </w:p>
          <w:p w:rsidR="00C97C47" w:rsidRPr="00C97C47" w:rsidP="00C97C47" w14:paraId="66510391" w14:textId="77777777">
            <w:pPr>
              <w:rPr>
                <w:rFonts w:ascii="Times New Roman" w:eastAsia="Times New Roman" w:hAnsi="Times New Roman" w:cs="Times New Roman"/>
                <w:sz w:val="24"/>
                <w:szCs w:val="24"/>
                <w:lang w:eastAsia="lv-LV"/>
              </w:rPr>
            </w:pPr>
          </w:p>
          <w:p w:rsidR="00C97C47" w:rsidRPr="00C97C47" w:rsidP="00C97C47" w14:paraId="7A91B796" w14:textId="77777777">
            <w:pPr>
              <w:rPr>
                <w:rFonts w:ascii="Times New Roman" w:eastAsia="Times New Roman" w:hAnsi="Times New Roman" w:cs="Times New Roman"/>
                <w:sz w:val="24"/>
                <w:szCs w:val="24"/>
                <w:lang w:eastAsia="lv-LV"/>
              </w:rPr>
            </w:pPr>
          </w:p>
          <w:p w:rsidR="00C97C47" w:rsidRPr="00C97C47" w:rsidP="00C97C47" w14:paraId="156836E1" w14:textId="77777777">
            <w:pPr>
              <w:rPr>
                <w:rFonts w:ascii="Times New Roman" w:eastAsia="Times New Roman" w:hAnsi="Times New Roman" w:cs="Times New Roman"/>
                <w:sz w:val="24"/>
                <w:szCs w:val="24"/>
                <w:lang w:eastAsia="lv-LV"/>
              </w:rPr>
            </w:pPr>
          </w:p>
          <w:p w:rsidR="00C97C47" w:rsidRPr="00C97C47" w:rsidP="00C97C47" w14:paraId="67FA2F59" w14:textId="77777777">
            <w:pPr>
              <w:rPr>
                <w:rFonts w:ascii="Times New Roman" w:eastAsia="Times New Roman" w:hAnsi="Times New Roman" w:cs="Times New Roman"/>
                <w:sz w:val="24"/>
                <w:szCs w:val="24"/>
                <w:lang w:eastAsia="lv-LV"/>
              </w:rPr>
            </w:pPr>
          </w:p>
          <w:p w:rsidR="00C97C47" w:rsidRPr="00C97C47" w:rsidP="00C97C47" w14:paraId="433439FD" w14:textId="77777777">
            <w:pPr>
              <w:rPr>
                <w:rFonts w:ascii="Times New Roman" w:eastAsia="Times New Roman" w:hAnsi="Times New Roman" w:cs="Times New Roman"/>
                <w:sz w:val="24"/>
                <w:szCs w:val="24"/>
                <w:lang w:eastAsia="lv-LV"/>
              </w:rPr>
            </w:pPr>
          </w:p>
          <w:p w:rsidR="00C97C47" w:rsidRPr="00C97C47" w:rsidP="00C97C47" w14:paraId="5DE19816" w14:textId="77777777">
            <w:pPr>
              <w:rPr>
                <w:rFonts w:ascii="Times New Roman" w:eastAsia="Times New Roman" w:hAnsi="Times New Roman" w:cs="Times New Roman"/>
                <w:sz w:val="24"/>
                <w:szCs w:val="24"/>
                <w:lang w:eastAsia="lv-LV"/>
              </w:rPr>
            </w:pPr>
          </w:p>
          <w:p w:rsidR="00C97C47" w:rsidRPr="00C97C47" w:rsidP="00C97C47" w14:paraId="01F199C5" w14:textId="77777777">
            <w:pPr>
              <w:ind w:firstLine="720"/>
              <w:rPr>
                <w:rFonts w:ascii="Times New Roman" w:eastAsia="Times New Roman" w:hAnsi="Times New Roman" w:cs="Times New Roman"/>
                <w:sz w:val="24"/>
                <w:szCs w:val="24"/>
                <w:lang w:eastAsia="lv-LV"/>
              </w:rPr>
            </w:pPr>
          </w:p>
          <w:p w:rsidR="005E3EBE" w:rsidRPr="00C97C47" w:rsidP="00C97C47" w14:paraId="6C84E579" w14:textId="329464F3">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tbl>
            <w:tblPr>
              <w:tblW w:w="5000" w:type="pct"/>
              <w:tblCellSpacing w:w="0" w:type="dxa"/>
              <w:tblCellMar>
                <w:left w:w="0" w:type="dxa"/>
                <w:right w:w="0" w:type="dxa"/>
              </w:tblCellMar>
              <w:tblLook w:val="04A0"/>
            </w:tblPr>
            <w:tblGrid>
              <w:gridCol w:w="5747"/>
            </w:tblGrid>
            <w:tr w14:paraId="62E65999" w14:textId="2F03532D" w:rsidTr="00711659">
              <w:tblPrEx>
                <w:tblW w:w="5000" w:type="pct"/>
                <w:tblCellSpacing w:w="0" w:type="dxa"/>
                <w:tblCellMar>
                  <w:left w:w="0" w:type="dxa"/>
                  <w:right w:w="0" w:type="dxa"/>
                </w:tblCellMar>
                <w:tblLook w:val="04A0"/>
              </w:tblPrEx>
              <w:trPr>
                <w:tblCellSpacing w:w="0" w:type="dxa"/>
              </w:trPr>
              <w:tc>
                <w:tcPr>
                  <w:tcW w:w="5747" w:type="dxa"/>
                  <w:tcBorders>
                    <w:top w:val="single" w:sz="6" w:space="0" w:color="FFFFFF"/>
                  </w:tcBorders>
                  <w:shd w:val="clear" w:color="auto" w:fill="FFFFFF" w:themeFill="background1"/>
                  <w:tcMar>
                    <w:top w:w="45" w:type="dxa"/>
                    <w:left w:w="45" w:type="dxa"/>
                    <w:bottom w:w="45" w:type="dxa"/>
                    <w:right w:w="15" w:type="dxa"/>
                  </w:tcMar>
                  <w:hideMark/>
                </w:tcPr>
                <w:p w:rsidR="008E3BC4" w:rsidRPr="008E3BC4" w:rsidP="00653CC1" w14:paraId="5394772D" w14:textId="77777777">
                  <w:pPr>
                    <w:spacing w:after="0" w:line="240" w:lineRule="auto"/>
                    <w:ind w:firstLine="492"/>
                    <w:jc w:val="both"/>
                    <w:rPr>
                      <w:rFonts w:ascii="Times New Roman" w:hAnsi="Times New Roman" w:cs="Times New Roman"/>
                      <w:sz w:val="24"/>
                      <w:szCs w:val="24"/>
                    </w:rPr>
                  </w:pPr>
                  <w:bookmarkStart w:id="0" w:name="mainRow"/>
                  <w:r w:rsidRPr="008E3BC4">
                    <w:rPr>
                      <w:rFonts w:ascii="Times New Roman" w:hAnsi="Times New Roman" w:cs="Times New Roman"/>
                      <w:sz w:val="24"/>
                      <w:szCs w:val="24"/>
                    </w:rPr>
                    <w:t xml:space="preserve">Parādu </w:t>
                  </w:r>
                  <w:r w:rsidRPr="008E3BC4">
                    <w:rPr>
                      <w:rFonts w:ascii="Times New Roman" w:hAnsi="Times New Roman" w:cs="Times New Roman"/>
                      <w:sz w:val="24"/>
                      <w:szCs w:val="24"/>
                    </w:rPr>
                    <w:t>ārpustiesas</w:t>
                  </w:r>
                  <w:r w:rsidRPr="008E3BC4">
                    <w:rPr>
                      <w:rFonts w:ascii="Times New Roman" w:hAnsi="Times New Roman" w:cs="Times New Roman"/>
                      <w:sz w:val="24"/>
                      <w:szCs w:val="24"/>
                    </w:rPr>
                    <w:t xml:space="preserve"> atgūšanas likuma (tālāk tekstā – PĀAL) 5.panta pirmā daļa nosaka, ka parāda atgūšanas pakalpojuma sniedzējs ir tiesīgs kreditora vārdā vai uzdevumā atgūt parādu, ja tas ir reģistrējies kā komersants vai profesionālās darbības veicējs un saņēmis speciālo atļauju (licenci) parāda atgūšanai (tālāk tekstā — speciālā atļauja (licence)). Atbilstoši PĀAL 5.panta otrajai daļai speciālo atļauju (licenci) izsniedz Patērētāju tiesību aizsardzības centrs (tālāk tekstā – PTAC). </w:t>
                  </w:r>
                </w:p>
                <w:p w:rsidR="008E3BC4" w:rsidRPr="008E3BC4" w:rsidP="00653CC1" w14:paraId="01ACD06B" w14:textId="77777777">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 xml:space="preserve">Saskaņā ar PĀĀL 5.panta ceturto daļa Ministru kabinets nosaka prasības, kas jāievēro, lai parāda atgūšanas pakalpojuma sniedzējs saņemtu speciālo atļauju (licenci), kā arī minētās speciālās atļaujas (licences) izsniegšanas, izmantošanas, darbības apturēšanas, </w:t>
                  </w:r>
                  <w:r w:rsidRPr="008E3BC4">
                    <w:rPr>
                      <w:rFonts w:ascii="Times New Roman" w:hAnsi="Times New Roman" w:cs="Times New Roman"/>
                      <w:sz w:val="24"/>
                      <w:szCs w:val="24"/>
                    </w:rPr>
                    <w:t>pārreģistrācijas</w:t>
                  </w:r>
                  <w:r w:rsidRPr="008E3BC4">
                    <w:rPr>
                      <w:rFonts w:ascii="Times New Roman" w:hAnsi="Times New Roman" w:cs="Times New Roman"/>
                      <w:sz w:val="24"/>
                      <w:szCs w:val="24"/>
                    </w:rPr>
                    <w:t xml:space="preserve"> un anulēšanas kārtību. Minētās prasības ir noteiktas Ministru kabineta 2013.gada 29.janvāra noteikumos Nr.64 “Parāda atgūšanas pakalpojuma sniedzēju licencēšanas kārtība”.</w:t>
                  </w:r>
                </w:p>
                <w:p w:rsidR="008E3BC4" w:rsidRPr="008E3BC4" w:rsidP="003E5DD9" w14:paraId="5DC44EE5" w14:textId="05F4843E">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 xml:space="preserve">2017.gada 26.oktobrī Saeimā tika pieņemti grozījumi Noziedzīgi iegūtu līdzekļu legalizācijas un terorisma finansēšanas novēršanas likumā (tālāk tekstā – NILLTFN), kas paredz, ka PTAC  uzrauga likuma subjektus - personas, kuras nodarbojas ar parāda atgūšanas pakalpojumu sniegšanu un kurām PTAC izsniedz speciālo atļauju (licenci) parāda atgūšanas pakalpojumu sniegšanai (NILLTFN 45.panta divi </w:t>
                  </w:r>
                  <w:r w:rsidRPr="008E3BC4">
                    <w:rPr>
                      <w:rFonts w:ascii="Times New Roman" w:hAnsi="Times New Roman" w:cs="Times New Roman"/>
                      <w:sz w:val="24"/>
                      <w:szCs w:val="24"/>
                    </w:rPr>
                    <w:t>prim</w:t>
                  </w:r>
                  <w:r w:rsidRPr="008E3BC4">
                    <w:rPr>
                      <w:rFonts w:ascii="Times New Roman" w:hAnsi="Times New Roman" w:cs="Times New Roman"/>
                      <w:sz w:val="24"/>
                      <w:szCs w:val="24"/>
                    </w:rPr>
                    <w:t xml:space="preserve"> daļas 2.punkts). </w:t>
                  </w:r>
                </w:p>
                <w:p w:rsidR="008E3BC4" w:rsidP="00653CC1" w14:paraId="4F137F9C" w14:textId="34BDA5A2">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 xml:space="preserve">NILLTFN 6.panta pirmā daļa nosaka, ka likuma subjekts atbilstoši savam darbības veidam veic un dokumentē noziedzīgi iegūtu līdzekļu legalizācijas un terorisma finansēšanas risku novērtējumu, lai noskaidrotu, novērtētu, izprastu un pārvaldītu savai darbībai un klientiem piemītošos noziedzīgi iegūtu līdzekļu legalizācijas un terorisma finansēšanas riskus, un, pamatojoties uz šo novērtējumu, izveido noziedzīgi iegūtu līdzekļu legalizācijas un terorisma finansēšanas novēršanas iekšējās kontroles sistēmu, tai skaitā izstrādājot un dokumentējot attiecīgās politikas un procedūras, kuras apstiprina likuma subjekta valde, ja tā ir iecelta, vai likuma subjekta augstākā </w:t>
                  </w:r>
                  <w:r w:rsidR="007A6BEE">
                    <w:rPr>
                      <w:rFonts w:ascii="Times New Roman" w:hAnsi="Times New Roman" w:cs="Times New Roman"/>
                      <w:sz w:val="24"/>
                      <w:szCs w:val="24"/>
                    </w:rPr>
                    <w:t xml:space="preserve">pārvaldes institūcija. </w:t>
                  </w:r>
                </w:p>
                <w:p w:rsidR="00255CA0" w:rsidRPr="008E3BC4" w:rsidP="00255CA0" w14:paraId="7E94BC11" w14:textId="09C9ECFA">
                  <w:pPr>
                    <w:spacing w:after="0" w:line="240" w:lineRule="auto"/>
                    <w:jc w:val="both"/>
                    <w:rPr>
                      <w:rFonts w:ascii="Times New Roman" w:hAnsi="Times New Roman" w:cs="Times New Roman"/>
                      <w:sz w:val="24"/>
                      <w:szCs w:val="24"/>
                    </w:rPr>
                  </w:pPr>
                </w:p>
                <w:p w:rsidR="008E3BC4" w:rsidRPr="008E3BC4" w:rsidP="0093061F" w14:paraId="3A135B0A" w14:textId="1344249C">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Ministru kabineta noteikumu projekts “Grozījumi Ministru kabineta 2013.gada 29.janvāra noteikumos Nr.64 “Parāda atgūšanas pakalpojuma sniedzēju licencēšanas kārtība” (tālāk tekstā – Noteikumu projekts) izstrādāts, lai nodrošinātu, ka parāda atgūšanas pakalpojuma sniedzēji, kuru licencēšanu veic PTAC, izveido noziedzīgi iegūtu līdzekļu legalizācijas un terorisma finansēšanas novēršanas iekšējās kontroles sistēmu, saskaņā ar NILLTFN prasībām. Līdz ar to Noteikumu projektā ir iekļauta tiesību norma, kas paredz, ka, lai saņemtu speciālo atļauju (licenci) parāda atgūšanas pakalpojumu sniegšanai, parāda atgūšanas pakalpojuma sniedzējam ir jābūt izstrādātai noziedzīgi iegūtu līdzekļu legalizācijas un terorisma finansēšanas novērša</w:t>
                  </w:r>
                  <w:r w:rsidR="007A6BEE">
                    <w:rPr>
                      <w:rFonts w:ascii="Times New Roman" w:hAnsi="Times New Roman" w:cs="Times New Roman"/>
                      <w:sz w:val="24"/>
                      <w:szCs w:val="24"/>
                    </w:rPr>
                    <w:t>nas iekšējās kontroles sistēmai</w:t>
                  </w:r>
                  <w:r w:rsidRPr="008E3BC4">
                    <w:rPr>
                      <w:rFonts w:ascii="Times New Roman" w:hAnsi="Times New Roman" w:cs="Times New Roman"/>
                      <w:sz w:val="24"/>
                      <w:szCs w:val="24"/>
                    </w:rPr>
                    <w:t xml:space="preserve"> saskaņā ar NILLTFN prasībām.</w:t>
                  </w:r>
                </w:p>
                <w:p w:rsidR="008E3BC4" w:rsidRPr="008E3BC4" w:rsidP="00653CC1" w14:paraId="13986088" w14:textId="17FC1A13">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Minēto tiesisko regulējumu plānots attiecināt uz parāda atgūšanas pakalpojuma sniedzējiem, kas jau ir saņēmuš</w:t>
                  </w:r>
                  <w:r w:rsidR="007A6BEE">
                    <w:rPr>
                      <w:rFonts w:ascii="Times New Roman" w:hAnsi="Times New Roman" w:cs="Times New Roman"/>
                      <w:sz w:val="24"/>
                      <w:szCs w:val="24"/>
                    </w:rPr>
                    <w:t>i</w:t>
                  </w:r>
                  <w:r w:rsidRPr="008E3BC4">
                    <w:rPr>
                      <w:rFonts w:ascii="Times New Roman" w:hAnsi="Times New Roman" w:cs="Times New Roman"/>
                      <w:sz w:val="24"/>
                      <w:szCs w:val="24"/>
                    </w:rPr>
                    <w:t xml:space="preserve"> speciālo atļauju (licenci), kā arī uz tiem parāda atgūšanas pakalpojuma sniedzējiem, kas vēlēsies saņemt šādu licenci.  </w:t>
                  </w:r>
                  <w:r w:rsidR="004F2ED8">
                    <w:rPr>
                      <w:rFonts w:ascii="Times New Roman" w:hAnsi="Times New Roman" w:cs="Times New Roman"/>
                      <w:sz w:val="24"/>
                      <w:szCs w:val="24"/>
                    </w:rPr>
                    <w:t>L</w:t>
                  </w:r>
                  <w:r w:rsidRPr="008E3BC4">
                    <w:rPr>
                      <w:rFonts w:ascii="Times New Roman" w:hAnsi="Times New Roman" w:cs="Times New Roman"/>
                      <w:sz w:val="24"/>
                      <w:szCs w:val="24"/>
                    </w:rPr>
                    <w:t xml:space="preserve">īdz </w:t>
                  </w:r>
                  <w:r w:rsidR="004F2ED8">
                    <w:rPr>
                      <w:rFonts w:ascii="Times New Roman" w:hAnsi="Times New Roman" w:cs="Times New Roman"/>
                      <w:sz w:val="24"/>
                      <w:szCs w:val="24"/>
                    </w:rPr>
                    <w:t>ar to Noteikumu projekts paredz attiecīgu pārejas periodu līdz kuram</w:t>
                  </w:r>
                  <w:r w:rsidRPr="008E3BC4">
                    <w:rPr>
                      <w:rFonts w:ascii="Times New Roman" w:hAnsi="Times New Roman" w:cs="Times New Roman"/>
                      <w:sz w:val="24"/>
                      <w:szCs w:val="24"/>
                    </w:rPr>
                    <w:t xml:space="preserve"> būs jāizstrādā iekšējās kontroles sistēma.</w:t>
                  </w:r>
                  <w:r w:rsidR="004F2ED8">
                    <w:rPr>
                      <w:rFonts w:ascii="Times New Roman" w:hAnsi="Times New Roman" w:cs="Times New Roman"/>
                      <w:sz w:val="24"/>
                      <w:szCs w:val="24"/>
                    </w:rPr>
                    <w:t xml:space="preserve"> Savukārt pēc 2019.gada 1.janvāra iekšējās kontroles sistēmas izveide būs obligāts priekšnosacījums speciālās atļaujas (licences) saņemšanai.</w:t>
                  </w:r>
                  <w:r w:rsidRPr="008E3BC4">
                    <w:rPr>
                      <w:rFonts w:ascii="Times New Roman" w:hAnsi="Times New Roman" w:cs="Times New Roman"/>
                      <w:sz w:val="24"/>
                      <w:szCs w:val="24"/>
                    </w:rPr>
                    <w:t xml:space="preserve"> </w:t>
                  </w:r>
                </w:p>
                <w:p w:rsidR="004D1599" w:rsidP="004D1599" w14:paraId="0755A5AC" w14:textId="77777777">
                  <w:pPr>
                    <w:spacing w:after="0" w:line="240" w:lineRule="auto"/>
                    <w:ind w:firstLine="492"/>
                    <w:jc w:val="both"/>
                    <w:rPr>
                      <w:rFonts w:ascii="Times New Roman" w:hAnsi="Times New Roman" w:cs="Times New Roman"/>
                      <w:sz w:val="24"/>
                      <w:szCs w:val="24"/>
                    </w:rPr>
                  </w:pPr>
                  <w:r w:rsidRPr="008E3BC4">
                    <w:rPr>
                      <w:rFonts w:ascii="Times New Roman" w:hAnsi="Times New Roman" w:cs="Times New Roman"/>
                      <w:sz w:val="24"/>
                      <w:szCs w:val="24"/>
                    </w:rPr>
                    <w:t>Ņemot vērā augstāk minēto</w:t>
                  </w:r>
                  <w:r w:rsidR="007A6BEE">
                    <w:rPr>
                      <w:rFonts w:ascii="Times New Roman" w:hAnsi="Times New Roman" w:cs="Times New Roman"/>
                      <w:sz w:val="24"/>
                      <w:szCs w:val="24"/>
                    </w:rPr>
                    <w:t>,</w:t>
                  </w:r>
                  <w:r w:rsidRPr="008E3BC4">
                    <w:rPr>
                      <w:rFonts w:ascii="Times New Roman" w:hAnsi="Times New Roman" w:cs="Times New Roman"/>
                      <w:sz w:val="24"/>
                      <w:szCs w:val="24"/>
                    </w:rPr>
                    <w:t xml:space="preserve"> tiek veikti grozījumi arī Noteikumu 1.pielikumā</w:t>
                  </w:r>
                  <w:r w:rsidR="007A6BEE">
                    <w:rPr>
                      <w:rFonts w:ascii="Times New Roman" w:hAnsi="Times New Roman" w:cs="Times New Roman"/>
                      <w:sz w:val="24"/>
                      <w:szCs w:val="24"/>
                    </w:rPr>
                    <w:t>,</w:t>
                  </w:r>
                  <w:r w:rsidRPr="008E3BC4">
                    <w:rPr>
                      <w:rFonts w:ascii="Times New Roman" w:hAnsi="Times New Roman" w:cs="Times New Roman"/>
                      <w:sz w:val="24"/>
                      <w:szCs w:val="24"/>
                    </w:rPr>
                    <w:t xml:space="preserve"> paredzot, ka “Iesniegums speciālās atļaujas (licences) saņemšanai” tiek papildināts ar 7.3.apakšpunktu - apliecinājumu, ka parāda atgūšanas pakalpojuma sniedzējam ir izstrādāta noziedzīgi iegūtu līdzekļu legalizācijas un terorisma finansēšanas novēršanas iekšējās kontroles sistēma.</w:t>
                  </w:r>
                </w:p>
                <w:p w:rsidR="00723287" w:rsidP="00723287" w14:paraId="75F25A0D" w14:textId="766FF452">
                  <w:pPr>
                    <w:spacing w:after="0" w:line="240" w:lineRule="auto"/>
                    <w:ind w:firstLine="492"/>
                    <w:jc w:val="both"/>
                    <w:rPr>
                      <w:rFonts w:ascii="Times New Roman" w:eastAsia="Times New Roman" w:hAnsi="Times New Roman" w:cs="Times New Roman"/>
                      <w:color w:val="000000" w:themeColor="text1"/>
                      <w:sz w:val="24"/>
                      <w:szCs w:val="24"/>
                      <w:lang w:eastAsia="lv-LV"/>
                    </w:rPr>
                  </w:pPr>
                  <w:r w:rsidRPr="007C0F70">
                    <w:rPr>
                      <w:rFonts w:ascii="Times New Roman" w:eastAsia="Times New Roman" w:hAnsi="Times New Roman" w:cs="Times New Roman"/>
                      <w:color w:val="000000" w:themeColor="text1"/>
                      <w:sz w:val="24"/>
                      <w:szCs w:val="24"/>
                      <w:lang w:eastAsia="lv-LV"/>
                    </w:rPr>
                    <w:t xml:space="preserve">NILLTFN ietverto prasību uzraudzībai, t.sk. </w:t>
                  </w:r>
                  <w:r w:rsidRPr="007C0F70">
                    <w:rPr>
                      <w:rFonts w:ascii="Times New Roman" w:eastAsia="Times New Roman" w:hAnsi="Times New Roman" w:cs="Times New Roman"/>
                      <w:color w:val="000000" w:themeColor="text1"/>
                      <w:sz w:val="24"/>
                      <w:szCs w:val="24"/>
                      <w:u w:val="single"/>
                      <w:lang w:eastAsia="lv-LV"/>
                    </w:rPr>
                    <w:t>iekšējās kontroles sistēmas darbības uzraudzībai</w:t>
                  </w:r>
                  <w:r>
                    <w:rPr>
                      <w:rFonts w:ascii="Times New Roman" w:eastAsia="Times New Roman" w:hAnsi="Times New Roman" w:cs="Times New Roman"/>
                      <w:color w:val="000000" w:themeColor="text1"/>
                      <w:sz w:val="24"/>
                      <w:szCs w:val="24"/>
                      <w:u w:val="single"/>
                      <w:lang w:eastAsia="lv-LV"/>
                    </w:rPr>
                    <w:t>,</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PTAC 2018.gadā piešķirt</w:t>
                  </w:r>
                  <w:r w:rsidR="0048109A">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Pr="00054E48">
                    <w:rPr>
                      <w:rFonts w:ascii="Times New Roman" w:eastAsia="Times New Roman" w:hAnsi="Times New Roman" w:cs="Times New Roman"/>
                      <w:b/>
                      <w:color w:val="000000"/>
                      <w:sz w:val="24"/>
                      <w:szCs w:val="24"/>
                      <w:lang w:eastAsia="lv-LV"/>
                    </w:rPr>
                    <w:t>280 342</w:t>
                  </w:r>
                  <w:r w:rsidRPr="007C0F70">
                    <w:rPr>
                      <w:rFonts w:ascii="Times New Roman" w:eastAsia="Times New Roman" w:hAnsi="Times New Roman" w:cs="Times New Roman"/>
                      <w:b/>
                      <w:bCs/>
                      <w:color w:val="000000" w:themeColor="text1"/>
                      <w:sz w:val="24"/>
                      <w:szCs w:val="24"/>
                      <w:lang w:eastAsia="lv-LV"/>
                    </w:rPr>
                    <w:t> </w:t>
                  </w:r>
                  <w:r w:rsidRPr="007C0F70">
                    <w:rPr>
                      <w:rFonts w:ascii="Times New Roman" w:eastAsia="Times New Roman" w:hAnsi="Times New Roman" w:cs="Times New Roman"/>
                      <w:b/>
                      <w:bCs/>
                      <w:i/>
                      <w:iCs/>
                      <w:color w:val="000000" w:themeColor="text1"/>
                      <w:sz w:val="24"/>
                      <w:szCs w:val="24"/>
                      <w:lang w:eastAsia="lv-LV"/>
                    </w:rPr>
                    <w:t>euro</w:t>
                  </w:r>
                  <w:r w:rsidRPr="007C0F70">
                    <w:rPr>
                      <w:rFonts w:ascii="Times New Roman" w:eastAsia="Times New Roman" w:hAnsi="Times New Roman" w:cs="Times New Roman"/>
                      <w:bCs/>
                      <w:iCs/>
                      <w:color w:val="000000" w:themeColor="text1"/>
                      <w:sz w:val="24"/>
                      <w:szCs w:val="24"/>
                      <w:lang w:eastAsia="lv-LV"/>
                    </w:rPr>
                    <w:t>, savukārt</w:t>
                  </w:r>
                  <w:r w:rsidRPr="007C0F70">
                    <w:rPr>
                      <w:color w:val="000000"/>
                      <w:shd w:val="clear" w:color="auto" w:fill="FFFFFF"/>
                    </w:rPr>
                    <w:t xml:space="preserve"> </w:t>
                  </w:r>
                  <w:r w:rsidRPr="007C0F70">
                    <w:rPr>
                      <w:rFonts w:ascii="Times New Roman" w:eastAsia="Times New Roman" w:hAnsi="Times New Roman" w:cs="Times New Roman"/>
                      <w:bCs/>
                      <w:iCs/>
                      <w:color w:val="000000" w:themeColor="text1"/>
                      <w:sz w:val="24"/>
                      <w:szCs w:val="24"/>
                      <w:lang w:eastAsia="lv-LV"/>
                    </w:rPr>
                    <w:t xml:space="preserve">2019.gadā un turpmākajos gados – </w:t>
                  </w:r>
                  <w:r w:rsidRPr="007074ED">
                    <w:rPr>
                      <w:rFonts w:ascii="Times New Roman" w:eastAsia="Times New Roman" w:hAnsi="Times New Roman" w:cs="Times New Roman"/>
                      <w:b/>
                      <w:sz w:val="24"/>
                      <w:szCs w:val="24"/>
                    </w:rPr>
                    <w:t>250 246</w:t>
                  </w:r>
                  <w:r>
                    <w:rPr>
                      <w:rFonts w:ascii="Times New Roman" w:eastAsia="Times New Roman" w:hAnsi="Times New Roman" w:cs="Times New Roman"/>
                      <w:sz w:val="24"/>
                      <w:szCs w:val="24"/>
                    </w:rPr>
                    <w:t xml:space="preserve"> </w:t>
                  </w:r>
                  <w:r w:rsidRPr="007C0F70">
                    <w:rPr>
                      <w:rFonts w:ascii="Times New Roman" w:eastAsia="Times New Roman" w:hAnsi="Times New Roman" w:cs="Times New Roman"/>
                      <w:b/>
                      <w:bCs/>
                      <w:i/>
                      <w:iCs/>
                      <w:color w:val="000000" w:themeColor="text1"/>
                      <w:sz w:val="24"/>
                      <w:szCs w:val="24"/>
                      <w:lang w:eastAsia="lv-LV"/>
                    </w:rPr>
                    <w:t>euro</w:t>
                  </w:r>
                  <w:r>
                    <w:rPr>
                      <w:rFonts w:ascii="Times New Roman" w:eastAsia="Times New Roman" w:hAnsi="Times New Roman" w:cs="Times New Roman"/>
                      <w:color w:val="000000" w:themeColor="text1"/>
                      <w:sz w:val="24"/>
                      <w:szCs w:val="24"/>
                      <w:lang w:eastAsia="lv-LV"/>
                    </w:rPr>
                    <w:t xml:space="preserve">. </w:t>
                  </w:r>
                  <w:r w:rsidRPr="007C0F7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Detalizēts nepieciešamā valsts budžeta </w:t>
                  </w:r>
                  <w:r>
                    <w:rPr>
                      <w:rFonts w:ascii="Times New Roman" w:eastAsia="Times New Roman" w:hAnsi="Times New Roman" w:cs="Times New Roman"/>
                      <w:color w:val="000000" w:themeColor="text1"/>
                      <w:sz w:val="24"/>
                      <w:szCs w:val="24"/>
                      <w:lang w:eastAsia="lv-LV"/>
                    </w:rPr>
                    <w:t>finanēsjuma</w:t>
                  </w:r>
                  <w:r>
                    <w:rPr>
                      <w:rFonts w:ascii="Times New Roman" w:eastAsia="Times New Roman" w:hAnsi="Times New Roman" w:cs="Times New Roman"/>
                      <w:color w:val="000000" w:themeColor="text1"/>
                      <w:sz w:val="24"/>
                      <w:szCs w:val="24"/>
                      <w:lang w:eastAsia="lv-LV"/>
                    </w:rPr>
                    <w:t xml:space="preserve"> aprēķins</w:t>
                  </w:r>
                  <w:r w:rsidRPr="00F3674B">
                    <w:rPr>
                      <w:rFonts w:ascii="Times New Roman" w:eastAsia="Times New Roman" w:hAnsi="Times New Roman" w:cs="Times New Roman"/>
                      <w:color w:val="000000" w:themeColor="text1"/>
                      <w:sz w:val="24"/>
                      <w:szCs w:val="24"/>
                      <w:lang w:eastAsia="lv-LV"/>
                    </w:rPr>
                    <w:t xml:space="preserve"> ir ietverts 2017.gada 26.oktobra likuma “Grozījumi Noziedzīgi iegūtu līdzekļu legalizācijas un terorisma finansēšanas novēršanas likumā” sākotnējās ietekmes novērtējuma ziņojumā (anotācijā).</w:t>
                  </w:r>
                  <w:r>
                    <w:rPr>
                      <w:rFonts w:ascii="Times New Roman" w:eastAsia="Times New Roman" w:hAnsi="Times New Roman" w:cs="Times New Roman"/>
                      <w:color w:val="000000" w:themeColor="text1"/>
                      <w:sz w:val="24"/>
                      <w:szCs w:val="24"/>
                      <w:lang w:eastAsia="lv-LV"/>
                    </w:rPr>
                    <w:t xml:space="preserve"> N</w:t>
                  </w:r>
                  <w:r w:rsidRPr="00D33348">
                    <w:rPr>
                      <w:rFonts w:ascii="Times New Roman" w:eastAsia="Times New Roman" w:hAnsi="Times New Roman" w:cs="Times New Roman"/>
                      <w:color w:val="000000" w:themeColor="text1"/>
                      <w:sz w:val="24"/>
                      <w:szCs w:val="24"/>
                      <w:lang w:eastAsia="lv-LV"/>
                    </w:rPr>
                    <w:t>oteikumu projektā paredzēto funkciju īstenošanai PTAC paredzēt</w:t>
                  </w:r>
                  <w:r>
                    <w:rPr>
                      <w:rFonts w:ascii="Times New Roman" w:eastAsia="Times New Roman" w:hAnsi="Times New Roman" w:cs="Times New Roman"/>
                      <w:color w:val="000000" w:themeColor="text1"/>
                      <w:sz w:val="24"/>
                      <w:szCs w:val="24"/>
                      <w:lang w:eastAsia="lv-LV"/>
                    </w:rPr>
                    <w:t>ās</w:t>
                  </w:r>
                  <w:r w:rsidRPr="00D33348">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8</w:t>
                  </w:r>
                  <w:r w:rsidRPr="00D33348">
                    <w:rPr>
                      <w:rFonts w:ascii="Times New Roman" w:eastAsia="Times New Roman" w:hAnsi="Times New Roman" w:cs="Times New Roman"/>
                      <w:color w:val="000000" w:themeColor="text1"/>
                      <w:sz w:val="24"/>
                      <w:szCs w:val="24"/>
                      <w:lang w:eastAsia="lv-LV"/>
                    </w:rPr>
                    <w:t xml:space="preserve"> amata vietas</w:t>
                  </w:r>
                  <w:r>
                    <w:rPr>
                      <w:rFonts w:ascii="Times New Roman" w:eastAsia="Times New Roman" w:hAnsi="Times New Roman" w:cs="Times New Roman"/>
                      <w:color w:val="000000" w:themeColor="text1"/>
                      <w:sz w:val="24"/>
                      <w:szCs w:val="24"/>
                      <w:lang w:eastAsia="lv-LV"/>
                    </w:rPr>
                    <w:t xml:space="preserve"> tiks izveidotas</w:t>
                  </w:r>
                  <w:r w:rsidRPr="00D33348">
                    <w:rPr>
                      <w:rFonts w:ascii="Times New Roman" w:eastAsia="Times New Roman" w:hAnsi="Times New Roman" w:cs="Times New Roman"/>
                      <w:color w:val="000000" w:themeColor="text1"/>
                      <w:sz w:val="24"/>
                      <w:szCs w:val="24"/>
                      <w:lang w:eastAsia="lv-LV"/>
                    </w:rPr>
                    <w:t>, nepalielinot kopējo amata vietu skaitu Ekonomikas ministrijas resorā.</w:t>
                  </w:r>
                </w:p>
                <w:p w:rsidR="003B3618" w:rsidRPr="00723287" w:rsidP="00723287" w14:paraId="20D4F85C" w14:textId="037E5D42">
                  <w:pPr>
                    <w:spacing w:after="0" w:line="240" w:lineRule="auto"/>
                    <w:ind w:firstLine="492"/>
                    <w:jc w:val="both"/>
                    <w:rPr>
                      <w:rFonts w:ascii="Times New Roman" w:hAnsi="Times New Roman" w:cs="Times New Roman"/>
                      <w:sz w:val="24"/>
                      <w:szCs w:val="24"/>
                    </w:rPr>
                  </w:pPr>
                  <w:r w:rsidRPr="00F71239">
                    <w:rPr>
                      <w:rFonts w:ascii="Times New Roman" w:hAnsi="Times New Roman" w:cs="Times New Roman"/>
                      <w:color w:val="000000" w:themeColor="text1"/>
                      <w:sz w:val="24"/>
                      <w:szCs w:val="24"/>
                    </w:rPr>
                    <w:t xml:space="preserve">2018. gada 25. maijā </w:t>
                  </w:r>
                  <w:r>
                    <w:rPr>
                      <w:rFonts w:ascii="Times New Roman" w:hAnsi="Times New Roman" w:cs="Times New Roman"/>
                      <w:color w:val="000000" w:themeColor="text1"/>
                      <w:sz w:val="24"/>
                      <w:szCs w:val="24"/>
                    </w:rPr>
                    <w:t xml:space="preserve">stājas spēkā </w:t>
                  </w:r>
                  <w:r w:rsidRPr="00F71239">
                    <w:rPr>
                      <w:rFonts w:ascii="Times New Roman" w:hAnsi="Times New Roman" w:cs="Times New Roman"/>
                      <w:color w:val="000000" w:themeColor="text1"/>
                      <w:sz w:val="24"/>
                      <w:szCs w:val="24"/>
                    </w:rPr>
                    <w:t>Eiropas Parlamenta un Padomes regul</w:t>
                  </w:r>
                  <w:r>
                    <w:rPr>
                      <w:rFonts w:ascii="Times New Roman" w:hAnsi="Times New Roman" w:cs="Times New Roman"/>
                      <w:color w:val="000000" w:themeColor="text1"/>
                      <w:sz w:val="24"/>
                      <w:szCs w:val="24"/>
                    </w:rPr>
                    <w:t>a</w:t>
                  </w:r>
                  <w:r w:rsidRPr="00F71239">
                    <w:rPr>
                      <w:rFonts w:ascii="Times New Roman" w:hAnsi="Times New Roman" w:cs="Times New Roman"/>
                      <w:color w:val="000000" w:themeColor="text1"/>
                      <w:sz w:val="24"/>
                      <w:szCs w:val="24"/>
                    </w:rPr>
                    <w:t xml:space="preserve"> 2016/679 par fizisku personu aizsardzību attiecībā uz personas datu apstrādi un šādu datu brīvu apriti un ar ko atceļ Direktīvu 95/46/EK (Vispārīgā datu aizsardzības regula)</w:t>
                  </w:r>
                  <w:r>
                    <w:rPr>
                      <w:rFonts w:ascii="Times New Roman" w:hAnsi="Times New Roman" w:cs="Times New Roman"/>
                      <w:color w:val="000000" w:themeColor="text1"/>
                      <w:sz w:val="24"/>
                      <w:szCs w:val="24"/>
                    </w:rPr>
                    <w:t>. Saskaņā ar šo regulu</w:t>
                  </w:r>
                  <w:r w:rsidRPr="00F71239">
                    <w:rPr>
                      <w:rFonts w:ascii="Times New Roman" w:hAnsi="Times New Roman" w:cs="Times New Roman"/>
                      <w:color w:val="000000" w:themeColor="text1"/>
                      <w:sz w:val="24"/>
                      <w:szCs w:val="24"/>
                    </w:rPr>
                    <w:t xml:space="preserve"> personas datu apstrādes reģistrēšana pārzinim vairs netiek paredzēta, kā arī personas datu aizsardzības speciālists nav nepieciešams visos datu apstrādes gadījumos</w:t>
                  </w:r>
                  <w:r>
                    <w:rPr>
                      <w:rFonts w:ascii="Times New Roman" w:hAnsi="Times New Roman" w:cs="Times New Roman"/>
                      <w:color w:val="000000" w:themeColor="text1"/>
                      <w:sz w:val="24"/>
                      <w:szCs w:val="24"/>
                    </w:rPr>
                    <w:t xml:space="preserve">. Ņemot vērā minēto Noteikumu projekts paredz svītrot noteikumu </w:t>
                  </w:r>
                  <w:r>
                    <w:rPr>
                      <w:rFonts w:ascii="Times New Roman" w:hAnsi="Times New Roman" w:cs="Times New Roman"/>
                      <w:color w:val="000000" w:themeColor="text1"/>
                      <w:sz w:val="24"/>
                      <w:szCs w:val="24"/>
                    </w:rPr>
                    <w:t xml:space="preserve">prasības, kas neatbilst  </w:t>
                  </w:r>
                  <w:r w:rsidRPr="00F71239">
                    <w:rPr>
                      <w:rFonts w:ascii="Times New Roman" w:hAnsi="Times New Roman" w:cs="Times New Roman"/>
                      <w:color w:val="000000" w:themeColor="text1"/>
                      <w:sz w:val="24"/>
                      <w:szCs w:val="24"/>
                    </w:rPr>
                    <w:t>Vispārīgā</w:t>
                  </w:r>
                  <w:r>
                    <w:rPr>
                      <w:rFonts w:ascii="Times New Roman" w:hAnsi="Times New Roman" w:cs="Times New Roman"/>
                      <w:color w:val="000000" w:themeColor="text1"/>
                      <w:sz w:val="24"/>
                      <w:szCs w:val="24"/>
                    </w:rPr>
                    <w:t>s</w:t>
                  </w:r>
                  <w:r w:rsidRPr="00F71239">
                    <w:rPr>
                      <w:rFonts w:ascii="Times New Roman" w:hAnsi="Times New Roman" w:cs="Times New Roman"/>
                      <w:color w:val="000000" w:themeColor="text1"/>
                      <w:sz w:val="24"/>
                      <w:szCs w:val="24"/>
                    </w:rPr>
                    <w:t xml:space="preserve"> datu aizsardzības regula</w:t>
                  </w:r>
                  <w:r>
                    <w:rPr>
                      <w:rFonts w:ascii="Times New Roman" w:hAnsi="Times New Roman" w:cs="Times New Roman"/>
                      <w:color w:val="000000" w:themeColor="text1"/>
                      <w:sz w:val="24"/>
                      <w:szCs w:val="24"/>
                    </w:rPr>
                    <w:t xml:space="preserve">s prasībām. Līdz ar to </w:t>
                  </w:r>
                  <w:r>
                    <w:rPr>
                      <w:rFonts w:ascii="Times New Roman" w:hAnsi="Times New Roman" w:cs="Times New Roman"/>
                      <w:color w:val="000000" w:themeColor="text1"/>
                      <w:sz w:val="24"/>
                      <w:szCs w:val="24"/>
                    </w:rPr>
                    <w:t>līdzīsnējās</w:t>
                  </w:r>
                  <w:r>
                    <w:rPr>
                      <w:rFonts w:ascii="Times New Roman" w:hAnsi="Times New Roman" w:cs="Times New Roman"/>
                      <w:color w:val="000000" w:themeColor="text1"/>
                      <w:sz w:val="24"/>
                      <w:szCs w:val="24"/>
                    </w:rPr>
                    <w:t xml:space="preserve"> prasības zaudēs spēku ar 2018.gada 25.maiju.  </w:t>
                  </w:r>
                </w:p>
                <w:p w:rsidR="00DD417B" w:rsidP="00653CC1" w14:paraId="66AF138D" w14:textId="77777777">
                  <w:pPr>
                    <w:spacing w:after="0" w:line="240" w:lineRule="auto"/>
                    <w:ind w:firstLine="492"/>
                    <w:jc w:val="both"/>
                    <w:rPr>
                      <w:rFonts w:ascii="Times New Roman" w:hAnsi="Times New Roman" w:cs="Times New Roman"/>
                      <w:sz w:val="24"/>
                      <w:szCs w:val="24"/>
                    </w:rPr>
                  </w:pPr>
                </w:p>
                <w:p w:rsidR="00723287" w:rsidRPr="00DD417B" w:rsidP="00653CC1" w14:paraId="55C43306" w14:textId="77E9DABB">
                  <w:pPr>
                    <w:spacing w:after="0" w:line="240" w:lineRule="auto"/>
                    <w:ind w:firstLine="492"/>
                    <w:jc w:val="both"/>
                    <w:rPr>
                      <w:rFonts w:ascii="Times New Roman" w:hAnsi="Times New Roman" w:cs="Times New Roman"/>
                      <w:sz w:val="24"/>
                      <w:szCs w:val="24"/>
                    </w:rPr>
                  </w:pPr>
                  <w:r w:rsidRPr="00DD417B">
                    <w:rPr>
                      <w:rFonts w:ascii="Times New Roman" w:hAnsi="Times New Roman" w:cs="Times New Roman"/>
                      <w:sz w:val="24"/>
                      <w:szCs w:val="24"/>
                    </w:rPr>
                    <w:t xml:space="preserve">Lai nodrošinātu </w:t>
                  </w:r>
                  <w:r w:rsidR="008A3A5F">
                    <w:rPr>
                      <w:rFonts w:ascii="Times New Roman" w:hAnsi="Times New Roman" w:cs="Times New Roman"/>
                      <w:sz w:val="24"/>
                      <w:szCs w:val="24"/>
                    </w:rPr>
                    <w:t>normatīvā regulējuma</w:t>
                  </w:r>
                  <w:r w:rsidRPr="00DD417B">
                    <w:rPr>
                      <w:rFonts w:ascii="Times New Roman" w:hAnsi="Times New Roman" w:cs="Times New Roman"/>
                      <w:sz w:val="24"/>
                      <w:szCs w:val="24"/>
                    </w:rPr>
                    <w:t xml:space="preserve"> </w:t>
                  </w:r>
                  <w:r w:rsidR="00A00729">
                    <w:rPr>
                      <w:rFonts w:ascii="Times New Roman" w:hAnsi="Times New Roman" w:cs="Times New Roman"/>
                      <w:sz w:val="24"/>
                      <w:szCs w:val="24"/>
                    </w:rPr>
                    <w:t xml:space="preserve">un terminoloģijas </w:t>
                  </w:r>
                  <w:r w:rsidRPr="00DD417B" w:rsidR="00DD417B">
                    <w:rPr>
                      <w:rFonts w:ascii="Times New Roman" w:hAnsi="Times New Roman" w:cs="Times New Roman"/>
                      <w:sz w:val="24"/>
                      <w:szCs w:val="24"/>
                    </w:rPr>
                    <w:t>atbilstību Ministru kabineta 2010.gada 12.oktobra noteikum</w:t>
                  </w:r>
                  <w:r w:rsidR="00A00729">
                    <w:rPr>
                      <w:rFonts w:ascii="Times New Roman" w:hAnsi="Times New Roman" w:cs="Times New Roman"/>
                      <w:sz w:val="24"/>
                      <w:szCs w:val="24"/>
                    </w:rPr>
                    <w:t>u</w:t>
                  </w:r>
                  <w:r w:rsidRPr="00DD417B" w:rsidR="00DD417B">
                    <w:rPr>
                      <w:rFonts w:ascii="Times New Roman" w:hAnsi="Times New Roman" w:cs="Times New Roman"/>
                      <w:sz w:val="24"/>
                      <w:szCs w:val="24"/>
                    </w:rPr>
                    <w:t xml:space="preserve"> Nr.972 “Noteikumi par kārtību, kā veicami maksājumi valsts budžetā un tie atzīstami par saņemtiem, un prasībām tiešsaistes maksājumu pakalpojumu izmantošanai norēķinos ar valsts budžetu”</w:t>
                  </w:r>
                  <w:r w:rsidR="00DD417B">
                    <w:rPr>
                      <w:rFonts w:ascii="Times New Roman" w:hAnsi="Times New Roman" w:cs="Times New Roman"/>
                      <w:sz w:val="24"/>
                      <w:szCs w:val="24"/>
                    </w:rPr>
                    <w:t xml:space="preserve"> </w:t>
                  </w:r>
                  <w:r w:rsidR="00A00729">
                    <w:rPr>
                      <w:rFonts w:ascii="Times New Roman" w:hAnsi="Times New Roman" w:cs="Times New Roman"/>
                      <w:sz w:val="24"/>
                      <w:szCs w:val="24"/>
                    </w:rPr>
                    <w:t>3.2.apakšpunktam,</w:t>
                  </w:r>
                  <w:r w:rsidR="00DD417B">
                    <w:rPr>
                      <w:rFonts w:ascii="Times New Roman" w:hAnsi="Times New Roman" w:cs="Times New Roman"/>
                      <w:sz w:val="24"/>
                      <w:szCs w:val="24"/>
                    </w:rPr>
                    <w:t xml:space="preserve"> Noteikumu projekts paredz grozījumu 42.punktā.</w:t>
                  </w:r>
                </w:p>
              </w:tc>
            </w:tr>
          </w:tbl>
          <w:p w:rsidR="005E3EBE" w:rsidRPr="00063EFA" w:rsidP="00711659" w14:paraId="3A083C6B" w14:textId="77777777">
            <w:pPr>
              <w:spacing w:after="0"/>
              <w:ind w:firstLine="720"/>
              <w:jc w:val="both"/>
              <w:rPr>
                <w:rFonts w:ascii="Times New Roman" w:eastAsia="Times New Roman" w:hAnsi="Times New Roman" w:cs="Times New Roman"/>
                <w:sz w:val="24"/>
                <w:szCs w:val="24"/>
                <w:lang w:eastAsia="lv-LV"/>
              </w:rPr>
            </w:pPr>
            <w:bookmarkEnd w:id="0"/>
          </w:p>
        </w:tc>
      </w:tr>
      <w:tr w14:paraId="0BB72E0B" w14:textId="77777777" w:rsidTr="00711659">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233538FC"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4BD7F04A"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5E3EBE" w:rsidRPr="00C13B43" w:rsidP="00711659" w14:paraId="362A316F" w14:textId="08A14D5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Ekonomikas ministrija</w:t>
            </w:r>
          </w:p>
        </w:tc>
      </w:tr>
      <w:tr w14:paraId="3A366469" w14:textId="77777777" w:rsidTr="00711659">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0D6E10C0" w14:textId="77777777">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5285446E"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5E3EBE" w:rsidRPr="00C13B43" w:rsidP="00711659" w14:paraId="5D9F1004"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E3EBE" w:rsidRPr="00C13B43" w:rsidP="005E3EBE" w14:paraId="53B6ECC1"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0A629DB1" w14:textId="77777777" w:rsidTr="007116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2BA5956F"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14:paraId="5D6A213B" w14:textId="77777777" w:rsidTr="00711659">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04484507"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38CDA1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 xml:space="preserve">Sabiedrības </w:t>
            </w:r>
            <w:r w:rsidRPr="00C13B43">
              <w:rPr>
                <w:rFonts w:ascii="Times New Roman" w:eastAsia="Times New Roman" w:hAnsi="Times New Roman" w:cs="Times New Roman"/>
                <w:color w:val="000000" w:themeColor="text1"/>
                <w:sz w:val="24"/>
                <w:szCs w:val="24"/>
                <w:lang w:eastAsia="lv-LV"/>
              </w:rPr>
              <w:t>mērķgrupas</w:t>
            </w:r>
            <w:r w:rsidRPr="00C13B43">
              <w:rPr>
                <w:rFonts w:ascii="Times New Roman" w:eastAsia="Times New Roman" w:hAnsi="Times New Roman" w:cs="Times New Roman"/>
                <w:color w:val="000000" w:themeColor="text1"/>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E3EBE" w:rsidP="00711659" w14:paraId="2D974ED7" w14:textId="7198767A">
            <w:pPr>
              <w:spacing w:after="0" w:line="240" w:lineRule="auto"/>
              <w:jc w:val="both"/>
              <w:rPr>
                <w:rFonts w:ascii="Times New Roman" w:eastAsia="Times New Roman" w:hAnsi="Times New Roman" w:cs="Times New Roman"/>
                <w:color w:val="000000" w:themeColor="text1"/>
                <w:sz w:val="24"/>
                <w:szCs w:val="24"/>
                <w:lang w:eastAsia="lv-LV"/>
              </w:rPr>
            </w:pPr>
            <w:r w:rsidRPr="00586B51">
              <w:rPr>
                <w:rFonts w:ascii="Times New Roman" w:eastAsia="Times New Roman" w:hAnsi="Times New Roman" w:cs="Times New Roman"/>
                <w:color w:val="000000" w:themeColor="text1"/>
                <w:sz w:val="24"/>
                <w:szCs w:val="24"/>
                <w:lang w:eastAsia="lv-LV"/>
              </w:rPr>
              <w:t xml:space="preserve">Noteikumu projekts skars </w:t>
            </w:r>
            <w:r w:rsidR="002B7FC6">
              <w:rPr>
                <w:rFonts w:ascii="Times New Roman" w:eastAsia="Times New Roman" w:hAnsi="Times New Roman" w:cs="Times New Roman"/>
                <w:b/>
                <w:color w:val="000000" w:themeColor="text1"/>
                <w:sz w:val="24"/>
                <w:szCs w:val="24"/>
                <w:lang w:eastAsia="lv-LV"/>
              </w:rPr>
              <w:t>32</w:t>
            </w:r>
            <w:r w:rsidRPr="006B70B4">
              <w:rPr>
                <w:rFonts w:ascii="Times New Roman" w:eastAsia="Times New Roman" w:hAnsi="Times New Roman" w:cs="Times New Roman"/>
                <w:b/>
                <w:color w:val="000000" w:themeColor="text1"/>
                <w:sz w:val="24"/>
                <w:szCs w:val="24"/>
                <w:lang w:eastAsia="lv-LV"/>
              </w:rPr>
              <w:t xml:space="preserve"> </w:t>
            </w:r>
            <w:r w:rsidRPr="002B7FC6" w:rsidR="002B7FC6">
              <w:rPr>
                <w:rFonts w:ascii="Times New Roman" w:hAnsi="Times New Roman" w:cs="Times New Roman"/>
                <w:b/>
                <w:sz w:val="24"/>
                <w:szCs w:val="24"/>
              </w:rPr>
              <w:t>parāda atgūšanas pakalpojuma sniedzējus</w:t>
            </w:r>
            <w:r w:rsidRPr="00586B51">
              <w:rPr>
                <w:rFonts w:ascii="Times New Roman" w:eastAsia="Times New Roman" w:hAnsi="Times New Roman" w:cs="Times New Roman"/>
                <w:color w:val="000000" w:themeColor="text1"/>
                <w:sz w:val="24"/>
                <w:szCs w:val="24"/>
                <w:lang w:eastAsia="lv-LV"/>
              </w:rPr>
              <w:t>, kur</w:t>
            </w:r>
            <w:r w:rsidR="00F81DC5">
              <w:rPr>
                <w:rFonts w:ascii="Times New Roman" w:eastAsia="Times New Roman" w:hAnsi="Times New Roman" w:cs="Times New Roman"/>
                <w:color w:val="000000" w:themeColor="text1"/>
                <w:sz w:val="24"/>
                <w:szCs w:val="24"/>
                <w:lang w:eastAsia="lv-LV"/>
              </w:rPr>
              <w:t>i</w:t>
            </w:r>
            <w:r w:rsidRPr="00586B51">
              <w:rPr>
                <w:rFonts w:ascii="Times New Roman" w:eastAsia="Times New Roman" w:hAnsi="Times New Roman" w:cs="Times New Roman"/>
                <w:color w:val="000000" w:themeColor="text1"/>
                <w:sz w:val="24"/>
                <w:szCs w:val="24"/>
                <w:lang w:eastAsia="lv-LV"/>
              </w:rPr>
              <w:t xml:space="preserve"> ir saņēmuš</w:t>
            </w:r>
            <w:r w:rsidR="00F81DC5">
              <w:rPr>
                <w:rFonts w:ascii="Times New Roman" w:eastAsia="Times New Roman" w:hAnsi="Times New Roman" w:cs="Times New Roman"/>
                <w:color w:val="000000" w:themeColor="text1"/>
                <w:sz w:val="24"/>
                <w:szCs w:val="24"/>
                <w:lang w:eastAsia="lv-LV"/>
              </w:rPr>
              <w:t>i</w:t>
            </w:r>
            <w:r w:rsidRPr="00586B51">
              <w:rPr>
                <w:rFonts w:ascii="Times New Roman" w:eastAsia="Times New Roman" w:hAnsi="Times New Roman" w:cs="Times New Roman"/>
                <w:color w:val="000000" w:themeColor="text1"/>
                <w:sz w:val="24"/>
                <w:szCs w:val="24"/>
                <w:lang w:eastAsia="lv-LV"/>
              </w:rPr>
              <w:t xml:space="preserve"> speciālo atļauju (licenci) </w:t>
            </w:r>
            <w:r w:rsidRPr="00175A4B" w:rsidR="00AD152D">
              <w:rPr>
                <w:rFonts w:ascii="Times New Roman" w:hAnsi="Times New Roman" w:cs="Times New Roman"/>
                <w:sz w:val="24"/>
                <w:szCs w:val="24"/>
              </w:rPr>
              <w:t>parāda atgūšanas pakalpojuma</w:t>
            </w:r>
            <w:r w:rsidR="00AD152D">
              <w:rPr>
                <w:rFonts w:ascii="Times New Roman" w:hAnsi="Times New Roman" w:cs="Times New Roman"/>
                <w:sz w:val="24"/>
                <w:szCs w:val="24"/>
              </w:rPr>
              <w:t xml:space="preserve"> sniegšanai</w:t>
            </w:r>
            <w:r w:rsidRPr="00586B51">
              <w:rPr>
                <w:rFonts w:ascii="Times New Roman" w:eastAsia="Times New Roman" w:hAnsi="Times New Roman" w:cs="Times New Roman"/>
                <w:color w:val="000000" w:themeColor="text1"/>
                <w:sz w:val="24"/>
                <w:szCs w:val="24"/>
                <w:lang w:eastAsia="lv-LV"/>
              </w:rPr>
              <w:t xml:space="preserve">, kā arī </w:t>
            </w:r>
            <w:r w:rsidRPr="00175A4B" w:rsidR="00AD152D">
              <w:rPr>
                <w:rFonts w:ascii="Times New Roman" w:hAnsi="Times New Roman" w:cs="Times New Roman"/>
                <w:sz w:val="24"/>
                <w:szCs w:val="24"/>
              </w:rPr>
              <w:t>parāda atgūšanas pakalpojuma</w:t>
            </w:r>
            <w:r w:rsidR="00AD152D">
              <w:rPr>
                <w:rFonts w:ascii="Times New Roman" w:hAnsi="Times New Roman" w:cs="Times New Roman"/>
                <w:sz w:val="24"/>
                <w:szCs w:val="24"/>
              </w:rPr>
              <w:t xml:space="preserve"> sniedzēj</w:t>
            </w:r>
            <w:r w:rsidR="00F81DC5">
              <w:rPr>
                <w:rFonts w:ascii="Times New Roman" w:hAnsi="Times New Roman" w:cs="Times New Roman"/>
                <w:sz w:val="24"/>
                <w:szCs w:val="24"/>
              </w:rPr>
              <w:t>us</w:t>
            </w:r>
            <w:r w:rsidRPr="00586B51">
              <w:rPr>
                <w:rFonts w:ascii="Times New Roman" w:eastAsia="Times New Roman" w:hAnsi="Times New Roman" w:cs="Times New Roman"/>
                <w:color w:val="000000" w:themeColor="text1"/>
                <w:sz w:val="24"/>
                <w:szCs w:val="24"/>
                <w:lang w:eastAsia="lv-LV"/>
              </w:rPr>
              <w:t xml:space="preserve">, kas vēlēsies iegūt speciālo atļauju (licenci). </w:t>
            </w:r>
          </w:p>
          <w:p w:rsidR="00327EE5" w:rsidP="00711659" w14:paraId="46906B8F" w14:textId="39CD9E74">
            <w:pPr>
              <w:spacing w:after="0" w:line="240" w:lineRule="auto"/>
              <w:jc w:val="both"/>
              <w:rPr>
                <w:rFonts w:ascii="Times New Roman" w:eastAsia="Times New Roman" w:hAnsi="Times New Roman" w:cs="Times New Roman"/>
                <w:color w:val="000000" w:themeColor="text1"/>
                <w:sz w:val="24"/>
                <w:szCs w:val="24"/>
                <w:lang w:eastAsia="lv-LV"/>
              </w:rPr>
            </w:pPr>
          </w:p>
          <w:p w:rsidR="00327EE5" w:rsidP="00711659" w14:paraId="2044AD99" w14:textId="5B0CA7B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projekts skars arī </w:t>
            </w:r>
            <w:r w:rsidRPr="00C64A76">
              <w:rPr>
                <w:rFonts w:ascii="Times New Roman" w:eastAsia="Times New Roman" w:hAnsi="Times New Roman" w:cs="Times New Roman"/>
                <w:b/>
                <w:color w:val="000000" w:themeColor="text1"/>
                <w:sz w:val="24"/>
                <w:szCs w:val="24"/>
                <w:lang w:eastAsia="lv-LV"/>
              </w:rPr>
              <w:t>PTAC</w:t>
            </w:r>
            <w:r>
              <w:rPr>
                <w:rFonts w:ascii="Times New Roman" w:eastAsia="Times New Roman" w:hAnsi="Times New Roman" w:cs="Times New Roman"/>
                <w:color w:val="000000" w:themeColor="text1"/>
                <w:sz w:val="24"/>
                <w:szCs w:val="24"/>
                <w:lang w:eastAsia="lv-LV"/>
              </w:rPr>
              <w:t xml:space="preserve">, kurš nodrošinās </w:t>
            </w:r>
            <w:r w:rsidRPr="00615980">
              <w:rPr>
                <w:rFonts w:ascii="Times New Roman" w:eastAsia="Times New Roman" w:hAnsi="Times New Roman" w:cs="Times New Roman"/>
                <w:color w:val="000000" w:themeColor="text1"/>
                <w:sz w:val="24"/>
                <w:szCs w:val="24"/>
                <w:lang w:eastAsia="lv-LV"/>
              </w:rPr>
              <w:t>NILLTFN ietverto prasību uzraudzīb</w:t>
            </w:r>
            <w:r>
              <w:rPr>
                <w:rFonts w:ascii="Times New Roman" w:eastAsia="Times New Roman" w:hAnsi="Times New Roman" w:cs="Times New Roman"/>
                <w:color w:val="000000" w:themeColor="text1"/>
                <w:sz w:val="24"/>
                <w:szCs w:val="24"/>
                <w:lang w:eastAsia="lv-LV"/>
              </w:rPr>
              <w:t>u.</w:t>
            </w:r>
          </w:p>
          <w:p w:rsidR="005E3EBE" w:rsidRPr="00C13B43" w:rsidP="00711659" w14:paraId="20B86792" w14:textId="77777777">
            <w:pPr>
              <w:spacing w:after="0" w:line="240" w:lineRule="auto"/>
              <w:jc w:val="both"/>
              <w:rPr>
                <w:rFonts w:ascii="Times New Roman" w:eastAsia="Times New Roman" w:hAnsi="Times New Roman" w:cs="Times New Roman"/>
                <w:color w:val="000000" w:themeColor="text1"/>
                <w:sz w:val="24"/>
                <w:szCs w:val="24"/>
                <w:lang w:eastAsia="lv-LV"/>
              </w:rPr>
            </w:pPr>
          </w:p>
        </w:tc>
      </w:tr>
      <w:tr w14:paraId="42E699A9" w14:textId="77777777" w:rsidTr="00711659">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4B89C26E"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7EF4C24F"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5E3EBE" w:rsidP="00711659" w14:paraId="587EB94D" w14:textId="7F5EF85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projekts</w:t>
            </w:r>
            <w:r>
              <w:rPr>
                <w:rFonts w:ascii="Times New Roman" w:eastAsia="Times New Roman" w:hAnsi="Times New Roman" w:cs="Times New Roman"/>
                <w:color w:val="000000" w:themeColor="text1"/>
                <w:sz w:val="24"/>
                <w:szCs w:val="24"/>
                <w:lang w:eastAsia="lv-LV"/>
              </w:rPr>
              <w:t xml:space="preserve"> mazinās n</w:t>
            </w:r>
            <w:r w:rsidRPr="009D1197">
              <w:rPr>
                <w:rFonts w:ascii="Times New Roman" w:eastAsia="Times New Roman" w:hAnsi="Times New Roman" w:cs="Times New Roman"/>
                <w:color w:val="000000" w:themeColor="text1"/>
                <w:sz w:val="24"/>
                <w:szCs w:val="24"/>
                <w:lang w:eastAsia="lv-LV"/>
              </w:rPr>
              <w:t xml:space="preserve">oziedzīgi iegūtu līdzekļu legalizācijas un terorisma finansēšanas </w:t>
            </w:r>
            <w:r>
              <w:rPr>
                <w:rFonts w:ascii="Times New Roman" w:eastAsia="Times New Roman" w:hAnsi="Times New Roman" w:cs="Times New Roman"/>
                <w:color w:val="000000" w:themeColor="text1"/>
                <w:sz w:val="24"/>
                <w:szCs w:val="24"/>
                <w:lang w:eastAsia="lv-LV"/>
              </w:rPr>
              <w:t xml:space="preserve">iespējamību. Iekšējās kontroles sistēmas izveide un uzturēšana radīs administratīvo slogu </w:t>
            </w:r>
            <w:r w:rsidR="002B7FC6">
              <w:rPr>
                <w:rFonts w:ascii="Times New Roman" w:eastAsia="Times New Roman" w:hAnsi="Times New Roman" w:cs="Times New Roman"/>
                <w:color w:val="000000" w:themeColor="text1"/>
                <w:sz w:val="24"/>
                <w:szCs w:val="24"/>
                <w:lang w:eastAsia="lv-LV"/>
              </w:rPr>
              <w:t>32</w:t>
            </w:r>
            <w:r>
              <w:rPr>
                <w:rFonts w:ascii="Times New Roman" w:eastAsia="Times New Roman" w:hAnsi="Times New Roman" w:cs="Times New Roman"/>
                <w:color w:val="000000" w:themeColor="text1"/>
                <w:sz w:val="24"/>
                <w:szCs w:val="24"/>
                <w:lang w:eastAsia="lv-LV"/>
              </w:rPr>
              <w:t xml:space="preserve"> </w:t>
            </w:r>
            <w:r w:rsidRPr="00175A4B" w:rsidR="002B7FC6">
              <w:rPr>
                <w:rFonts w:ascii="Times New Roman" w:hAnsi="Times New Roman" w:cs="Times New Roman"/>
                <w:sz w:val="24"/>
                <w:szCs w:val="24"/>
              </w:rPr>
              <w:t>parāda atgūšanas pakalpojuma</w:t>
            </w:r>
            <w:r w:rsidR="002B7FC6">
              <w:rPr>
                <w:rFonts w:ascii="Times New Roman" w:hAnsi="Times New Roman" w:cs="Times New Roman"/>
                <w:sz w:val="24"/>
                <w:szCs w:val="24"/>
              </w:rPr>
              <w:t xml:space="preserve"> sniedzējiem</w:t>
            </w:r>
            <w:r w:rsidR="007F476D">
              <w:rPr>
                <w:rFonts w:ascii="Times New Roman" w:hAnsi="Times New Roman" w:cs="Times New Roman"/>
                <w:sz w:val="24"/>
                <w:szCs w:val="24"/>
              </w:rPr>
              <w:t>, kā arī parāda atgūšanas pakalpojumu sniedzējiem, kas vēlēsies saņemt speciālo atļauju (licenci)</w:t>
            </w:r>
            <w:r>
              <w:rPr>
                <w:rFonts w:ascii="Times New Roman" w:eastAsia="Times New Roman" w:hAnsi="Times New Roman" w:cs="Times New Roman"/>
                <w:color w:val="000000" w:themeColor="text1"/>
                <w:sz w:val="24"/>
                <w:szCs w:val="24"/>
                <w:lang w:eastAsia="lv-LV"/>
              </w:rPr>
              <w:t xml:space="preserve">. </w:t>
            </w:r>
          </w:p>
          <w:p w:rsidR="00C64A76" w:rsidP="00711659" w14:paraId="796A0DA6" w14:textId="7228C40F">
            <w:pPr>
              <w:spacing w:after="0" w:line="240" w:lineRule="auto"/>
              <w:jc w:val="both"/>
              <w:rPr>
                <w:rFonts w:ascii="Times New Roman" w:eastAsia="Times New Roman" w:hAnsi="Times New Roman" w:cs="Times New Roman"/>
                <w:color w:val="000000" w:themeColor="text1"/>
                <w:sz w:val="24"/>
                <w:szCs w:val="24"/>
                <w:lang w:eastAsia="lv-LV"/>
              </w:rPr>
            </w:pPr>
          </w:p>
          <w:p w:rsidR="00C64A76" w:rsidP="00711659" w14:paraId="20F6632B" w14:textId="0453D884">
            <w:pPr>
              <w:spacing w:after="0" w:line="240" w:lineRule="auto"/>
              <w:jc w:val="both"/>
              <w:rPr>
                <w:rFonts w:ascii="Times New Roman" w:eastAsia="Times New Roman" w:hAnsi="Times New Roman" w:cs="Times New Roman"/>
                <w:color w:val="000000" w:themeColor="text1"/>
                <w:sz w:val="24"/>
                <w:szCs w:val="24"/>
                <w:lang w:eastAsia="lv-LV"/>
              </w:rPr>
            </w:pPr>
            <w:r w:rsidRPr="00C64A76">
              <w:rPr>
                <w:rFonts w:ascii="Times New Roman" w:eastAsia="Times New Roman" w:hAnsi="Times New Roman" w:cs="Times New Roman"/>
                <w:color w:val="000000" w:themeColor="text1"/>
                <w:sz w:val="24"/>
                <w:szCs w:val="24"/>
                <w:lang w:eastAsia="lv-LV"/>
              </w:rPr>
              <w:t>Administratīvais slogs palielinās arī  PTAC, kurš nodrošinās NILLTFN ietverto prasību uzraudzību.</w:t>
            </w:r>
          </w:p>
          <w:p w:rsidR="00327EE5" w:rsidRPr="00C13B43" w:rsidP="00711659" w14:paraId="0ECF546D" w14:textId="21125CCC">
            <w:pPr>
              <w:spacing w:after="0" w:line="240" w:lineRule="auto"/>
              <w:jc w:val="both"/>
              <w:rPr>
                <w:rFonts w:ascii="Times New Roman" w:eastAsia="Times New Roman" w:hAnsi="Times New Roman" w:cs="Times New Roman"/>
                <w:color w:val="000000" w:themeColor="text1"/>
                <w:sz w:val="24"/>
                <w:szCs w:val="24"/>
                <w:lang w:eastAsia="lv-LV"/>
              </w:rPr>
            </w:pPr>
          </w:p>
        </w:tc>
      </w:tr>
      <w:tr w14:paraId="4EBD7633" w14:textId="77777777" w:rsidTr="00711659">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723287" w:rsidRPr="00C13B43" w:rsidP="00723287" w14:paraId="23A1CDD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23287" w:rsidRPr="00C13B43" w:rsidP="00723287" w14:paraId="1162D56D"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23287" w:rsidP="00723287" w14:paraId="74B027CC" w14:textId="70C7F3F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aprēķinātu administratīvo slogu, kas radīsies 32 </w:t>
            </w:r>
            <w:r w:rsidRPr="00723287">
              <w:rPr>
                <w:rFonts w:ascii="Times New Roman" w:eastAsia="Times New Roman" w:hAnsi="Times New Roman" w:cs="Times New Roman"/>
                <w:color w:val="000000" w:themeColor="text1"/>
                <w:sz w:val="24"/>
                <w:szCs w:val="24"/>
                <w:lang w:eastAsia="lv-LV"/>
              </w:rPr>
              <w:t>parāda atgūšanas pakalpojuma sniedzējiem</w:t>
            </w:r>
            <w:r>
              <w:rPr>
                <w:rFonts w:ascii="Times New Roman" w:eastAsia="Times New Roman" w:hAnsi="Times New Roman" w:cs="Times New Roman"/>
                <w:color w:val="000000" w:themeColor="text1"/>
                <w:sz w:val="24"/>
                <w:szCs w:val="24"/>
                <w:lang w:eastAsia="lv-LV"/>
              </w:rPr>
              <w:t xml:space="preserve">, kas </w:t>
            </w:r>
            <w:r w:rsidRPr="00615980">
              <w:rPr>
                <w:rFonts w:ascii="Times New Roman" w:eastAsia="Times New Roman" w:hAnsi="Times New Roman" w:cs="Times New Roman"/>
                <w:color w:val="000000" w:themeColor="text1"/>
                <w:sz w:val="24"/>
                <w:szCs w:val="24"/>
                <w:lang w:eastAsia="lv-LV"/>
              </w:rPr>
              <w:t>saņēmušas speciālo atļauju (licenci)</w:t>
            </w:r>
            <w:r>
              <w:rPr>
                <w:rFonts w:ascii="Times New Roman" w:eastAsia="Times New Roman" w:hAnsi="Times New Roman" w:cs="Times New Roman"/>
                <w:color w:val="000000" w:themeColor="text1"/>
                <w:sz w:val="24"/>
                <w:szCs w:val="24"/>
                <w:lang w:eastAsia="lv-LV"/>
              </w:rPr>
              <w:t xml:space="preserve">, Ekonomikas ministrija ir konsultējusies ar Finanšu ministriju, Finanšu un kapitāla tirgus komisiju, Valsts ieņēmumu dienestu un Latvijas Līzinga devēju asociāciju. </w:t>
            </w:r>
            <w:r>
              <w:rPr>
                <w:rFonts w:ascii="Times New Roman" w:eastAsia="Times New Roman" w:hAnsi="Times New Roman" w:cs="Times New Roman"/>
                <w:color w:val="000000" w:themeColor="text1"/>
                <w:sz w:val="24"/>
                <w:szCs w:val="24"/>
                <w:lang w:eastAsia="lv-LV"/>
              </w:rPr>
              <w:t>Viekto</w:t>
            </w:r>
            <w:r>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kosultāciju</w:t>
            </w:r>
            <w:r>
              <w:rPr>
                <w:rFonts w:ascii="Times New Roman" w:eastAsia="Times New Roman" w:hAnsi="Times New Roman" w:cs="Times New Roman"/>
                <w:color w:val="000000" w:themeColor="text1"/>
                <w:sz w:val="24"/>
                <w:szCs w:val="24"/>
                <w:lang w:eastAsia="lv-LV"/>
              </w:rPr>
              <w:t xml:space="preserve"> rezultātā ir secināts, ka administratīvā sloga izmaksas </w:t>
            </w:r>
            <w:r w:rsidRPr="00BF2F6D">
              <w:rPr>
                <w:rFonts w:ascii="Times New Roman" w:eastAsia="Times New Roman" w:hAnsi="Times New Roman" w:cs="Times New Roman"/>
                <w:color w:val="000000" w:themeColor="text1"/>
                <w:sz w:val="24"/>
                <w:szCs w:val="24"/>
                <w:lang w:eastAsia="lv-LV"/>
              </w:rPr>
              <w:t xml:space="preserve">ir atkarīgas </w:t>
            </w:r>
            <w:r>
              <w:rPr>
                <w:rFonts w:ascii="Times New Roman" w:eastAsia="Times New Roman" w:hAnsi="Times New Roman" w:cs="Times New Roman"/>
                <w:color w:val="000000" w:themeColor="text1"/>
                <w:sz w:val="24"/>
                <w:szCs w:val="24"/>
                <w:lang w:eastAsia="lv-LV"/>
              </w:rPr>
              <w:t xml:space="preserve">no tādiem faktoriem, kā </w:t>
            </w:r>
            <w:r w:rsidRPr="00BF2F6D">
              <w:rPr>
                <w:rFonts w:ascii="Times New Roman" w:eastAsia="Times New Roman" w:hAnsi="Times New Roman" w:cs="Times New Roman"/>
                <w:color w:val="000000" w:themeColor="text1"/>
                <w:sz w:val="24"/>
                <w:szCs w:val="24"/>
                <w:lang w:eastAsia="lv-LV"/>
              </w:rPr>
              <w:t>konkrē</w:t>
            </w:r>
            <w:r>
              <w:rPr>
                <w:rFonts w:ascii="Times New Roman" w:eastAsia="Times New Roman" w:hAnsi="Times New Roman" w:cs="Times New Roman"/>
                <w:color w:val="000000" w:themeColor="text1"/>
                <w:sz w:val="24"/>
                <w:szCs w:val="24"/>
                <w:lang w:eastAsia="lv-LV"/>
              </w:rPr>
              <w:t>tās kapitālsabiedrības lieluma (</w:t>
            </w:r>
            <w:r w:rsidRPr="00BF2F6D">
              <w:rPr>
                <w:rFonts w:ascii="Times New Roman" w:eastAsia="Times New Roman" w:hAnsi="Times New Roman" w:cs="Times New Roman"/>
                <w:color w:val="000000" w:themeColor="text1"/>
                <w:sz w:val="24"/>
                <w:szCs w:val="24"/>
                <w:lang w:eastAsia="lv-LV"/>
              </w:rPr>
              <w:t>klientu skaita, struktūrvienībām u.c. faktoriem)</w:t>
            </w:r>
            <w:r>
              <w:rPr>
                <w:rFonts w:ascii="Times New Roman" w:eastAsia="Times New Roman" w:hAnsi="Times New Roman" w:cs="Times New Roman"/>
                <w:color w:val="000000" w:themeColor="text1"/>
                <w:sz w:val="24"/>
                <w:szCs w:val="24"/>
                <w:lang w:eastAsia="lv-LV"/>
              </w:rPr>
              <w:t xml:space="preserve"> un noziedzīgi iegūtu līdzekļu legalizēšanas un terorisma finansēšana riska novērtējuma. Ņemot vērā, ka administratīvā sloga izmaksas ir atkarīgas no virknes nezināmu lielumu, konkrētu vai </w:t>
            </w:r>
            <w:r>
              <w:rPr>
                <w:rFonts w:ascii="Times New Roman" w:eastAsia="Times New Roman" w:hAnsi="Times New Roman" w:cs="Times New Roman"/>
                <w:color w:val="000000" w:themeColor="text1"/>
                <w:sz w:val="24"/>
                <w:szCs w:val="24"/>
                <w:lang w:eastAsia="lv-LV"/>
              </w:rPr>
              <w:t xml:space="preserve">vidēju administratīvā sloga izmaksu aprēķinu nav iespējams veikt.  </w:t>
            </w:r>
          </w:p>
          <w:p w:rsidR="00723287" w:rsidP="00723287" w14:paraId="24F3B778"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723287" w:rsidRPr="00C13B43" w:rsidP="00723287" w14:paraId="17A2770A" w14:textId="01C8FEF0">
            <w:pPr>
              <w:spacing w:after="0" w:line="240" w:lineRule="auto"/>
              <w:jc w:val="both"/>
              <w:rPr>
                <w:rFonts w:ascii="Times New Roman" w:eastAsia="Times New Roman" w:hAnsi="Times New Roman" w:cs="Times New Roman"/>
                <w:color w:val="000000" w:themeColor="text1"/>
                <w:sz w:val="24"/>
                <w:szCs w:val="24"/>
                <w:lang w:eastAsia="lv-LV"/>
              </w:rPr>
            </w:pPr>
            <w:r w:rsidRPr="00542B7E">
              <w:rPr>
                <w:rFonts w:ascii="Times New Roman" w:eastAsia="Times New Roman" w:hAnsi="Times New Roman" w:cs="Times New Roman"/>
                <w:color w:val="000000" w:themeColor="text1"/>
                <w:sz w:val="24"/>
                <w:szCs w:val="24"/>
                <w:lang w:eastAsia="lv-LV"/>
              </w:rPr>
              <w:t>NILLTFN ietverto prasību uzraudzībai, t.sk. iekšējās kontroles sistēmas darbības uzraudzībai,  PTAC 2018.gadā piešķirt</w:t>
            </w:r>
            <w:r w:rsidR="0048109A">
              <w:rPr>
                <w:rFonts w:ascii="Times New Roman" w:eastAsia="Times New Roman" w:hAnsi="Times New Roman" w:cs="Times New Roman"/>
                <w:color w:val="000000" w:themeColor="text1"/>
                <w:sz w:val="24"/>
                <w:szCs w:val="24"/>
                <w:lang w:eastAsia="lv-LV"/>
              </w:rPr>
              <w:t>s</w:t>
            </w:r>
            <w:r w:rsidRPr="00542B7E">
              <w:rPr>
                <w:rFonts w:ascii="Times New Roman" w:eastAsia="Times New Roman" w:hAnsi="Times New Roman" w:cs="Times New Roman"/>
                <w:color w:val="000000" w:themeColor="text1"/>
                <w:sz w:val="24"/>
                <w:szCs w:val="24"/>
                <w:lang w:eastAsia="lv-LV"/>
              </w:rPr>
              <w:t xml:space="preserve"> </w:t>
            </w:r>
            <w:r w:rsidRPr="00542B7E">
              <w:rPr>
                <w:rFonts w:ascii="Times New Roman" w:eastAsia="Times New Roman" w:hAnsi="Times New Roman" w:cs="Times New Roman"/>
                <w:b/>
                <w:color w:val="000000" w:themeColor="text1"/>
                <w:sz w:val="24"/>
                <w:szCs w:val="24"/>
                <w:lang w:eastAsia="lv-LV"/>
              </w:rPr>
              <w:t xml:space="preserve">280 342 </w:t>
            </w:r>
            <w:r w:rsidRPr="00542B7E">
              <w:rPr>
                <w:rFonts w:ascii="Times New Roman" w:eastAsia="Times New Roman" w:hAnsi="Times New Roman" w:cs="Times New Roman"/>
                <w:b/>
                <w:color w:val="000000" w:themeColor="text1"/>
                <w:sz w:val="24"/>
                <w:szCs w:val="24"/>
                <w:lang w:eastAsia="lv-LV"/>
              </w:rPr>
              <w:t>euro</w:t>
            </w:r>
            <w:r w:rsidRPr="00542B7E">
              <w:rPr>
                <w:rFonts w:ascii="Times New Roman" w:eastAsia="Times New Roman" w:hAnsi="Times New Roman" w:cs="Times New Roman"/>
                <w:color w:val="000000" w:themeColor="text1"/>
                <w:sz w:val="24"/>
                <w:szCs w:val="24"/>
                <w:lang w:eastAsia="lv-LV"/>
              </w:rPr>
              <w:t xml:space="preserve">, savukārt 2019.gadā un turpmākajos gados – </w:t>
            </w:r>
            <w:r w:rsidRPr="00542B7E">
              <w:rPr>
                <w:rFonts w:ascii="Times New Roman" w:eastAsia="Times New Roman" w:hAnsi="Times New Roman" w:cs="Times New Roman"/>
                <w:b/>
                <w:color w:val="000000" w:themeColor="text1"/>
                <w:sz w:val="24"/>
                <w:szCs w:val="24"/>
                <w:lang w:eastAsia="lv-LV"/>
              </w:rPr>
              <w:t xml:space="preserve">250 246 </w:t>
            </w:r>
            <w:r w:rsidRPr="00542B7E">
              <w:rPr>
                <w:rFonts w:ascii="Times New Roman" w:eastAsia="Times New Roman" w:hAnsi="Times New Roman" w:cs="Times New Roman"/>
                <w:b/>
                <w:color w:val="000000" w:themeColor="text1"/>
                <w:sz w:val="24"/>
                <w:szCs w:val="24"/>
                <w:lang w:eastAsia="lv-LV"/>
              </w:rPr>
              <w:t>euro</w:t>
            </w:r>
            <w:r w:rsidRPr="00542B7E">
              <w:rPr>
                <w:rFonts w:ascii="Times New Roman" w:eastAsia="Times New Roman" w:hAnsi="Times New Roman" w:cs="Times New Roman"/>
                <w:color w:val="000000" w:themeColor="text1"/>
                <w:sz w:val="24"/>
                <w:szCs w:val="24"/>
                <w:lang w:eastAsia="lv-LV"/>
              </w:rPr>
              <w:t xml:space="preserve">.   Detalizēts nepieciešamā valsts budžeta </w:t>
            </w:r>
            <w:r w:rsidRPr="00542B7E">
              <w:rPr>
                <w:rFonts w:ascii="Times New Roman" w:eastAsia="Times New Roman" w:hAnsi="Times New Roman" w:cs="Times New Roman"/>
                <w:color w:val="000000" w:themeColor="text1"/>
                <w:sz w:val="24"/>
                <w:szCs w:val="24"/>
                <w:lang w:eastAsia="lv-LV"/>
              </w:rPr>
              <w:t>finanēsjuma</w:t>
            </w:r>
            <w:r w:rsidRPr="00542B7E">
              <w:rPr>
                <w:rFonts w:ascii="Times New Roman" w:eastAsia="Times New Roman" w:hAnsi="Times New Roman" w:cs="Times New Roman"/>
                <w:color w:val="000000" w:themeColor="text1"/>
                <w:sz w:val="24"/>
                <w:szCs w:val="24"/>
                <w:lang w:eastAsia="lv-LV"/>
              </w:rPr>
              <w:t xml:space="preserve"> aprēķins ir ietverts 2017.gada 26.oktobra likuma “Grozījumi Noziedzīgi iegūtu līdzekļu legalizācijas un terorisma finansēšanas novēršanas likumā” sākotnējās ietekmes novērtējuma ziņojumā (anotācijā). Noteikumu projektā paredzēto funkciju īstenošanai PTAC paredzētās 8 amata vietas tiks izveidotas, nepalielinot kopējo amata vietu skaitu Ekonomikas ministrijas resorā.</w:t>
            </w:r>
          </w:p>
        </w:tc>
      </w:tr>
      <w:tr w14:paraId="5DA35368" w14:textId="77777777" w:rsidTr="00711659">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723287" w:rsidRPr="00C13B43" w:rsidP="00723287" w14:paraId="556C6BE0"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23287" w:rsidRPr="00C13B43" w:rsidP="00723287" w14:paraId="3B73590D"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3287" w:rsidRPr="00C13B43" w:rsidP="00723287" w14:paraId="532C180C"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E3EBE" w:rsidRPr="00C13B43" w:rsidP="005E3EBE" w14:paraId="5DC3AED2" w14:textId="77777777">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911CD65" w14:textId="77777777" w:rsidTr="007116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371699AA"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14:paraId="46EBFBC4" w14:textId="77777777" w:rsidTr="00711659">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E3EBE" w:rsidRPr="00165DCE" w:rsidP="00711659" w14:paraId="3B019633"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165DCE">
              <w:rPr>
                <w:rFonts w:ascii="Times New Roman" w:eastAsia="Times New Roman" w:hAnsi="Times New Roman" w:cs="Times New Roman"/>
                <w:bCs/>
                <w:color w:val="000000" w:themeColor="text1"/>
                <w:sz w:val="24"/>
                <w:szCs w:val="24"/>
                <w:lang w:eastAsia="lv-LV"/>
              </w:rPr>
              <w:t>Projekts šo jomu neskar</w:t>
            </w:r>
          </w:p>
        </w:tc>
      </w:tr>
    </w:tbl>
    <w:p w:rsidR="005E3EBE" w:rsidRPr="00C13B43" w:rsidP="005E3EBE" w14:paraId="662674DA"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50A17D0" w14:textId="77777777" w:rsidTr="007116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6C5DC98D"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14:paraId="62AF7BCE" w14:textId="77777777" w:rsidTr="00C3118B">
        <w:tblPrEx>
          <w:tblW w:w="5000" w:type="pct"/>
          <w:jc w:val="center"/>
          <w:tblCellMar>
            <w:top w:w="24" w:type="dxa"/>
            <w:left w:w="24" w:type="dxa"/>
            <w:bottom w:w="24" w:type="dxa"/>
            <w:right w:w="24" w:type="dxa"/>
          </w:tblCellMar>
          <w:tblLook w:val="04A0"/>
        </w:tblPrEx>
        <w:trPr>
          <w:jc w:val="center"/>
        </w:trPr>
        <w:tc>
          <w:tcPr>
            <w:tcW w:w="5000" w:type="pct"/>
            <w:tcBorders>
              <w:top w:val="outset" w:sz="6" w:space="0" w:color="414142"/>
              <w:left w:val="outset" w:sz="6" w:space="0" w:color="414142"/>
              <w:bottom w:val="outset" w:sz="6" w:space="0" w:color="414142"/>
              <w:right w:val="outset" w:sz="6" w:space="0" w:color="414142"/>
            </w:tcBorders>
          </w:tcPr>
          <w:p w:rsidR="00C3118B" w:rsidRPr="00C13B43" w:rsidP="00C3118B" w14:paraId="021B0C32" w14:textId="6490D451">
            <w:pPr>
              <w:spacing w:after="0" w:line="240" w:lineRule="auto"/>
              <w:jc w:val="center"/>
              <w:rPr>
                <w:rFonts w:ascii="Times New Roman" w:eastAsia="Times New Roman" w:hAnsi="Times New Roman" w:cs="Times New Roman"/>
                <w:color w:val="000000" w:themeColor="text1"/>
                <w:sz w:val="24"/>
                <w:szCs w:val="24"/>
                <w:lang w:eastAsia="lv-LV"/>
              </w:rPr>
            </w:pPr>
            <w:r w:rsidRPr="00165DCE">
              <w:rPr>
                <w:rFonts w:ascii="Times New Roman" w:eastAsia="Times New Roman" w:hAnsi="Times New Roman" w:cs="Times New Roman"/>
                <w:bCs/>
                <w:color w:val="000000" w:themeColor="text1"/>
                <w:sz w:val="24"/>
                <w:szCs w:val="24"/>
                <w:lang w:eastAsia="lv-LV"/>
              </w:rPr>
              <w:t>Projekts šo jomu neskar</w:t>
            </w:r>
          </w:p>
        </w:tc>
      </w:tr>
    </w:tbl>
    <w:p w:rsidR="005E3EBE" w:rsidRPr="00C13B43" w:rsidP="005E3EBE" w14:paraId="618E20AF"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2C82ADBB" w14:textId="77777777" w:rsidTr="00711659">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2488BB35"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14:paraId="086221C3" w14:textId="77777777" w:rsidTr="00711659">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5E3EBE" w:rsidRPr="00E5029F" w:rsidP="00711659" w14:paraId="2C4FB1BB"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E5029F">
              <w:rPr>
                <w:rFonts w:ascii="Times New Roman" w:eastAsia="Times New Roman" w:hAnsi="Times New Roman" w:cs="Times New Roman"/>
                <w:bCs/>
                <w:color w:val="000000" w:themeColor="text1"/>
                <w:sz w:val="24"/>
                <w:szCs w:val="24"/>
                <w:lang w:eastAsia="lv-LV"/>
              </w:rPr>
              <w:t>Projekts šo jomu neskar</w:t>
            </w:r>
          </w:p>
        </w:tc>
      </w:tr>
    </w:tbl>
    <w:p w:rsidR="005E3EBE" w:rsidRPr="00C13B43" w:rsidP="005E3EBE" w14:paraId="37B5EC9D"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p w:rsidR="005E3EBE" w:rsidRPr="00C13B43" w:rsidP="005E3EBE" w14:paraId="59431468"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35E2DB1B" w14:textId="77777777" w:rsidTr="007116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7D72BDA8"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 Sabiedrības līdzdalība un komunikācijas aktivitātes</w:t>
            </w:r>
          </w:p>
        </w:tc>
      </w:tr>
      <w:tr w14:paraId="170E08AB" w14:textId="77777777" w:rsidTr="00711659">
        <w:tblPrEx>
          <w:tblW w:w="5000" w:type="pct"/>
          <w:jc w:val="center"/>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5E3EBE" w:rsidRPr="001379E6" w:rsidP="00711659" w14:paraId="54CEA7F3" w14:textId="77777777">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p>
        </w:tc>
      </w:tr>
      <w:tr w14:paraId="53B1B6D8" w14:textId="77777777" w:rsidTr="00711659">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106F577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1A7B7E26"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E3EBE" w:rsidP="00711659" w14:paraId="0EA32C55" w14:textId="422E751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projektu </w:t>
            </w:r>
            <w:r w:rsidR="00A56D61">
              <w:rPr>
                <w:rFonts w:ascii="Times New Roman" w:eastAsia="Times New Roman" w:hAnsi="Times New Roman" w:cs="Times New Roman"/>
                <w:color w:val="000000" w:themeColor="text1"/>
                <w:sz w:val="24"/>
                <w:szCs w:val="24"/>
                <w:lang w:eastAsia="lv-LV"/>
              </w:rPr>
              <w:t xml:space="preserve">2017.gada 8.novembrī </w:t>
            </w:r>
            <w:r>
              <w:rPr>
                <w:rFonts w:ascii="Times New Roman" w:eastAsia="Times New Roman" w:hAnsi="Times New Roman" w:cs="Times New Roman"/>
                <w:color w:val="000000" w:themeColor="text1"/>
                <w:sz w:val="24"/>
                <w:szCs w:val="24"/>
                <w:lang w:eastAsia="lv-LV"/>
              </w:rPr>
              <w:t>nodot</w:t>
            </w:r>
            <w:r w:rsidR="00A56D61">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sabiedriskajai apspriešanai:</w:t>
            </w:r>
          </w:p>
          <w:p w:rsidR="005E3EBE" w:rsidP="005E3EBE" w14:paraId="24E87905" w14:textId="4420EE6C">
            <w:pPr>
              <w:pStyle w:val="ListParagraph"/>
              <w:numPr>
                <w:ilvl w:val="0"/>
                <w:numId w:val="1"/>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publicēts</w:t>
            </w:r>
            <w:r>
              <w:rPr>
                <w:rFonts w:ascii="Times New Roman" w:eastAsia="Times New Roman" w:hAnsi="Times New Roman" w:cs="Times New Roman"/>
                <w:color w:val="000000" w:themeColor="text1"/>
                <w:sz w:val="24"/>
                <w:szCs w:val="24"/>
                <w:lang w:eastAsia="lv-LV"/>
              </w:rPr>
              <w:t xml:space="preserve"> Ekonomikas ministrijas mājaslapā;</w:t>
            </w:r>
          </w:p>
          <w:p w:rsidR="005E3EBE" w:rsidRPr="00DC1473" w:rsidP="005E3EBE" w14:paraId="05777AE1" w14:textId="6434EB59">
            <w:pPr>
              <w:pStyle w:val="ListParagraph"/>
              <w:numPr>
                <w:ilvl w:val="0"/>
                <w:numId w:val="1"/>
              </w:num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nosūt</w:t>
            </w:r>
            <w:r w:rsidR="00A56D61">
              <w:rPr>
                <w:rFonts w:ascii="Times New Roman" w:eastAsia="Times New Roman" w:hAnsi="Times New Roman" w:cs="Times New Roman"/>
                <w:color w:val="000000" w:themeColor="text1"/>
                <w:sz w:val="24"/>
                <w:szCs w:val="24"/>
                <w:lang w:eastAsia="lv-LV"/>
              </w:rPr>
              <w:t>īts</w:t>
            </w:r>
            <w:r>
              <w:rPr>
                <w:rFonts w:ascii="Times New Roman" w:eastAsia="Times New Roman" w:hAnsi="Times New Roman" w:cs="Times New Roman"/>
                <w:color w:val="000000" w:themeColor="text1"/>
                <w:sz w:val="24"/>
                <w:szCs w:val="24"/>
                <w:lang w:eastAsia="lv-LV"/>
              </w:rPr>
              <w:t xml:space="preserve"> Latvijas </w:t>
            </w:r>
            <w:r w:rsidR="004B322D">
              <w:rPr>
                <w:rFonts w:ascii="Times New Roman" w:eastAsia="Times New Roman" w:hAnsi="Times New Roman" w:cs="Times New Roman"/>
                <w:color w:val="000000" w:themeColor="text1"/>
                <w:sz w:val="24"/>
                <w:szCs w:val="24"/>
                <w:lang w:eastAsia="lv-LV"/>
              </w:rPr>
              <w:t>Ārpustiesas</w:t>
            </w:r>
            <w:r w:rsidR="004B322D">
              <w:rPr>
                <w:rFonts w:ascii="Times New Roman" w:eastAsia="Times New Roman" w:hAnsi="Times New Roman" w:cs="Times New Roman"/>
                <w:color w:val="000000" w:themeColor="text1"/>
                <w:sz w:val="24"/>
                <w:szCs w:val="24"/>
                <w:lang w:eastAsia="lv-LV"/>
              </w:rPr>
              <w:t xml:space="preserve"> parādu piedzinēju asociācijai</w:t>
            </w:r>
            <w:r w:rsidR="00D71A70">
              <w:rPr>
                <w:rFonts w:ascii="Times New Roman" w:eastAsia="Times New Roman" w:hAnsi="Times New Roman" w:cs="Times New Roman"/>
                <w:color w:val="000000" w:themeColor="text1"/>
                <w:sz w:val="24"/>
                <w:szCs w:val="24"/>
                <w:lang w:eastAsia="lv-LV"/>
              </w:rPr>
              <w:t xml:space="preserve"> (tālāk tekstā – LĀPPA)</w:t>
            </w:r>
            <w:r w:rsidR="006B6571">
              <w:rPr>
                <w:rFonts w:ascii="Times New Roman" w:eastAsia="Times New Roman" w:hAnsi="Times New Roman" w:cs="Times New Roman"/>
                <w:color w:val="000000" w:themeColor="text1"/>
                <w:sz w:val="24"/>
                <w:szCs w:val="24"/>
                <w:lang w:eastAsia="lv-LV"/>
              </w:rPr>
              <w:t>.</w:t>
            </w:r>
          </w:p>
        </w:tc>
      </w:tr>
      <w:tr w14:paraId="059A657E" w14:textId="77777777" w:rsidTr="00711659">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3C063A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6BB8F5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E3EBE" w:rsidP="00711659" w14:paraId="44774470" w14:textId="55B0616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2017.gada </w:t>
            </w:r>
            <w:r w:rsidR="006B6571">
              <w:rPr>
                <w:rFonts w:ascii="Times New Roman" w:eastAsia="Times New Roman" w:hAnsi="Times New Roman" w:cs="Times New Roman"/>
                <w:color w:val="000000" w:themeColor="text1"/>
                <w:sz w:val="24"/>
                <w:szCs w:val="24"/>
                <w:lang w:eastAsia="lv-LV"/>
              </w:rPr>
              <w:t xml:space="preserve"> </w:t>
            </w:r>
            <w:r w:rsidR="00A56D61">
              <w:rPr>
                <w:rFonts w:ascii="Times New Roman" w:eastAsia="Times New Roman" w:hAnsi="Times New Roman" w:cs="Times New Roman"/>
                <w:color w:val="000000" w:themeColor="text1"/>
                <w:sz w:val="24"/>
                <w:szCs w:val="24"/>
                <w:lang w:eastAsia="lv-LV"/>
              </w:rPr>
              <w:t>8</w:t>
            </w:r>
            <w:r>
              <w:rPr>
                <w:rFonts w:ascii="Times New Roman" w:eastAsia="Times New Roman" w:hAnsi="Times New Roman" w:cs="Times New Roman"/>
                <w:color w:val="000000" w:themeColor="text1"/>
                <w:sz w:val="24"/>
                <w:szCs w:val="24"/>
                <w:lang w:eastAsia="lv-LV"/>
              </w:rPr>
              <w:t>.</w:t>
            </w:r>
            <w:r w:rsidR="006B6571">
              <w:rPr>
                <w:rFonts w:ascii="Times New Roman" w:eastAsia="Times New Roman" w:hAnsi="Times New Roman" w:cs="Times New Roman"/>
                <w:color w:val="000000" w:themeColor="text1"/>
                <w:sz w:val="24"/>
                <w:szCs w:val="24"/>
                <w:lang w:eastAsia="lv-LV"/>
              </w:rPr>
              <w:t>novembrī</w:t>
            </w:r>
            <w:r>
              <w:rPr>
                <w:rFonts w:ascii="Times New Roman" w:eastAsia="Times New Roman" w:hAnsi="Times New Roman" w:cs="Times New Roman"/>
                <w:color w:val="000000" w:themeColor="text1"/>
                <w:sz w:val="24"/>
                <w:szCs w:val="24"/>
                <w:lang w:eastAsia="lv-LV"/>
              </w:rPr>
              <w:t xml:space="preserve"> </w:t>
            </w:r>
            <w:r w:rsidR="00A56D61">
              <w:rPr>
                <w:rFonts w:ascii="Times New Roman" w:eastAsia="Times New Roman" w:hAnsi="Times New Roman" w:cs="Times New Roman"/>
                <w:color w:val="000000" w:themeColor="text1"/>
                <w:sz w:val="24"/>
                <w:szCs w:val="24"/>
                <w:lang w:eastAsia="lv-LV"/>
              </w:rPr>
              <w:t xml:space="preserve">Noteikumu projekts </w:t>
            </w:r>
            <w:r>
              <w:rPr>
                <w:rFonts w:ascii="Times New Roman" w:eastAsia="Times New Roman" w:hAnsi="Times New Roman" w:cs="Times New Roman"/>
                <w:color w:val="000000" w:themeColor="text1"/>
                <w:sz w:val="24"/>
                <w:szCs w:val="24"/>
                <w:lang w:eastAsia="lv-LV"/>
              </w:rPr>
              <w:t>publicēts Ekonomikas ministrijas mājaslapā - sadaļā “Sabiedrības līdzdalība”, kā arī nosūt</w:t>
            </w:r>
            <w:r w:rsidR="006B6571">
              <w:rPr>
                <w:rFonts w:ascii="Times New Roman" w:eastAsia="Times New Roman" w:hAnsi="Times New Roman" w:cs="Times New Roman"/>
                <w:color w:val="000000" w:themeColor="text1"/>
                <w:sz w:val="24"/>
                <w:szCs w:val="24"/>
                <w:lang w:eastAsia="lv-LV"/>
              </w:rPr>
              <w:t>īt</w:t>
            </w:r>
            <w:r w:rsidR="00A56D61">
              <w:rPr>
                <w:rFonts w:ascii="Times New Roman" w:eastAsia="Times New Roman" w:hAnsi="Times New Roman" w:cs="Times New Roman"/>
                <w:color w:val="000000" w:themeColor="text1"/>
                <w:sz w:val="24"/>
                <w:szCs w:val="24"/>
                <w:lang w:eastAsia="lv-LV"/>
              </w:rPr>
              <w:t>s</w:t>
            </w:r>
            <w:r w:rsidR="006B6571">
              <w:rPr>
                <w:rFonts w:ascii="Times New Roman" w:eastAsia="Times New Roman" w:hAnsi="Times New Roman" w:cs="Times New Roman"/>
                <w:color w:val="000000" w:themeColor="text1"/>
                <w:sz w:val="24"/>
                <w:szCs w:val="24"/>
                <w:lang w:eastAsia="lv-LV"/>
              </w:rPr>
              <w:t xml:space="preserve"> </w:t>
            </w:r>
            <w:r w:rsidR="00D71A70">
              <w:rPr>
                <w:rFonts w:ascii="Times New Roman" w:eastAsia="Times New Roman" w:hAnsi="Times New Roman" w:cs="Times New Roman"/>
                <w:color w:val="000000" w:themeColor="text1"/>
                <w:sz w:val="24"/>
                <w:szCs w:val="24"/>
                <w:lang w:eastAsia="lv-LV"/>
              </w:rPr>
              <w:t>LĀPPA</w:t>
            </w:r>
            <w:r w:rsidR="006B6571">
              <w:rPr>
                <w:rFonts w:ascii="Times New Roman" w:eastAsia="Times New Roman" w:hAnsi="Times New Roman" w:cs="Times New Roman"/>
                <w:color w:val="000000" w:themeColor="text1"/>
                <w:sz w:val="24"/>
                <w:szCs w:val="24"/>
                <w:lang w:eastAsia="lv-LV"/>
              </w:rPr>
              <w:t>. Ekonomikas ministrija aicinā</w:t>
            </w:r>
            <w:r w:rsidR="0020106D">
              <w:rPr>
                <w:rFonts w:ascii="Times New Roman" w:eastAsia="Times New Roman" w:hAnsi="Times New Roman" w:cs="Times New Roman"/>
                <w:color w:val="000000" w:themeColor="text1"/>
                <w:sz w:val="24"/>
                <w:szCs w:val="24"/>
                <w:lang w:eastAsia="lv-LV"/>
              </w:rPr>
              <w:t>ja</w:t>
            </w:r>
            <w:r>
              <w:rPr>
                <w:rFonts w:ascii="Times New Roman" w:eastAsia="Times New Roman" w:hAnsi="Times New Roman" w:cs="Times New Roman"/>
                <w:color w:val="000000" w:themeColor="text1"/>
                <w:sz w:val="24"/>
                <w:szCs w:val="24"/>
                <w:lang w:eastAsia="lv-LV"/>
              </w:rPr>
              <w:t xml:space="preserve"> viedokli sniegt līdz  </w:t>
            </w:r>
            <w:r w:rsidR="006B6571">
              <w:rPr>
                <w:rFonts w:ascii="Times New Roman" w:eastAsia="Times New Roman" w:hAnsi="Times New Roman" w:cs="Times New Roman"/>
                <w:color w:val="000000" w:themeColor="text1"/>
                <w:sz w:val="24"/>
                <w:szCs w:val="24"/>
                <w:lang w:eastAsia="lv-LV"/>
              </w:rPr>
              <w:t xml:space="preserve">2017.gada </w:t>
            </w:r>
            <w:r w:rsidR="00992D6B">
              <w:rPr>
                <w:rFonts w:ascii="Times New Roman" w:eastAsia="Times New Roman" w:hAnsi="Times New Roman" w:cs="Times New Roman"/>
                <w:color w:val="000000" w:themeColor="text1"/>
                <w:sz w:val="24"/>
                <w:szCs w:val="24"/>
                <w:lang w:eastAsia="lv-LV"/>
              </w:rPr>
              <w:t>16</w:t>
            </w:r>
            <w:r>
              <w:rPr>
                <w:rFonts w:ascii="Times New Roman" w:eastAsia="Times New Roman" w:hAnsi="Times New Roman" w:cs="Times New Roman"/>
                <w:color w:val="000000" w:themeColor="text1"/>
                <w:sz w:val="24"/>
                <w:szCs w:val="24"/>
                <w:lang w:eastAsia="lv-LV"/>
              </w:rPr>
              <w:t>.</w:t>
            </w:r>
            <w:r w:rsidR="00992D6B">
              <w:rPr>
                <w:rFonts w:ascii="Times New Roman" w:eastAsia="Times New Roman" w:hAnsi="Times New Roman" w:cs="Times New Roman"/>
                <w:color w:val="000000" w:themeColor="text1"/>
                <w:sz w:val="24"/>
                <w:szCs w:val="24"/>
                <w:lang w:eastAsia="lv-LV"/>
              </w:rPr>
              <w:t>novembrim</w:t>
            </w:r>
            <w:r>
              <w:rPr>
                <w:rFonts w:ascii="Times New Roman" w:eastAsia="Times New Roman" w:hAnsi="Times New Roman" w:cs="Times New Roman"/>
                <w:color w:val="000000" w:themeColor="text1"/>
                <w:sz w:val="24"/>
                <w:szCs w:val="24"/>
                <w:lang w:eastAsia="lv-LV"/>
              </w:rPr>
              <w:t xml:space="preserve">. </w:t>
            </w:r>
          </w:p>
          <w:p w:rsidR="00A56D61" w:rsidRPr="00A56D61" w:rsidP="00A56D61" w14:paraId="25D8E2F2" w14:textId="5522A8E6">
            <w:pPr>
              <w:spacing w:after="0" w:line="240" w:lineRule="auto"/>
              <w:jc w:val="both"/>
              <w:rPr>
                <w:rFonts w:ascii="Times New Roman" w:eastAsia="Times New Roman" w:hAnsi="Times New Roman" w:cs="Times New Roman"/>
                <w:color w:val="000000" w:themeColor="text1"/>
                <w:sz w:val="24"/>
                <w:szCs w:val="24"/>
                <w:lang w:eastAsia="lv-LV"/>
              </w:rPr>
            </w:pPr>
          </w:p>
          <w:p w:rsidR="00A56D61" w:rsidRPr="00C13B43" w:rsidP="00A56D61" w14:paraId="684A4DDF" w14:textId="526DAF01">
            <w:pPr>
              <w:spacing w:after="0" w:line="240" w:lineRule="auto"/>
              <w:jc w:val="both"/>
              <w:rPr>
                <w:rFonts w:ascii="Times New Roman" w:eastAsia="Times New Roman" w:hAnsi="Times New Roman" w:cs="Times New Roman"/>
                <w:color w:val="000000" w:themeColor="text1"/>
                <w:sz w:val="24"/>
                <w:szCs w:val="24"/>
                <w:lang w:eastAsia="lv-LV"/>
              </w:rPr>
            </w:pPr>
            <w:r w:rsidRPr="00A56D61">
              <w:rPr>
                <w:rFonts w:ascii="Times New Roman" w:eastAsia="Times New Roman" w:hAnsi="Times New Roman" w:cs="Times New Roman"/>
                <w:color w:val="000000" w:themeColor="text1"/>
                <w:sz w:val="24"/>
                <w:szCs w:val="24"/>
                <w:lang w:eastAsia="lv-LV"/>
              </w:rPr>
              <w:t>Ekonomikas m</w:t>
            </w:r>
            <w:r>
              <w:rPr>
                <w:rFonts w:ascii="Times New Roman" w:eastAsia="Times New Roman" w:hAnsi="Times New Roman" w:cs="Times New Roman"/>
                <w:color w:val="000000" w:themeColor="text1"/>
                <w:sz w:val="24"/>
                <w:szCs w:val="24"/>
                <w:lang w:eastAsia="lv-LV"/>
              </w:rPr>
              <w:t xml:space="preserve">inistrija viedokli saņēmusi no </w:t>
            </w:r>
            <w:r w:rsidR="00D71A70">
              <w:rPr>
                <w:rFonts w:ascii="Times New Roman" w:eastAsia="Times New Roman" w:hAnsi="Times New Roman" w:cs="Times New Roman"/>
                <w:color w:val="000000" w:themeColor="text1"/>
                <w:sz w:val="24"/>
                <w:szCs w:val="24"/>
                <w:lang w:eastAsia="lv-LV"/>
              </w:rPr>
              <w:t>LĀPPA</w:t>
            </w:r>
            <w:r>
              <w:rPr>
                <w:rFonts w:ascii="Times New Roman" w:eastAsia="Times New Roman" w:hAnsi="Times New Roman" w:cs="Times New Roman"/>
                <w:color w:val="000000" w:themeColor="text1"/>
                <w:sz w:val="24"/>
                <w:szCs w:val="24"/>
                <w:lang w:eastAsia="lv-LV"/>
              </w:rPr>
              <w:t>.</w:t>
            </w:r>
          </w:p>
        </w:tc>
      </w:tr>
      <w:tr w14:paraId="0CC08DE0" w14:textId="77777777" w:rsidTr="006B657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0F34417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2BFDF32"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D71A70" w:rsidP="00711659" w14:paraId="585EA246" w14:textId="1BEEB967">
            <w:pPr>
              <w:spacing w:after="0" w:line="240" w:lineRule="auto"/>
              <w:jc w:val="both"/>
              <w:rPr>
                <w:rFonts w:ascii="Times New Roman" w:eastAsia="Times New Roman" w:hAnsi="Times New Roman" w:cs="Times New Roman"/>
                <w:color w:val="000000" w:themeColor="text1"/>
                <w:sz w:val="24"/>
                <w:szCs w:val="24"/>
                <w:lang w:eastAsia="lv-LV"/>
              </w:rPr>
            </w:pPr>
            <w:r w:rsidRPr="00D71A70">
              <w:rPr>
                <w:rFonts w:ascii="Times New Roman" w:eastAsia="Times New Roman" w:hAnsi="Times New Roman" w:cs="Times New Roman"/>
                <w:color w:val="000000" w:themeColor="text1"/>
                <w:sz w:val="24"/>
                <w:szCs w:val="24"/>
                <w:lang w:eastAsia="lv-LV"/>
              </w:rPr>
              <w:t>LĀPPA</w:t>
            </w:r>
            <w:r>
              <w:rPr>
                <w:rFonts w:ascii="Times New Roman" w:eastAsia="Times New Roman" w:hAnsi="Times New Roman" w:cs="Times New Roman"/>
                <w:color w:val="000000" w:themeColor="text1"/>
                <w:sz w:val="24"/>
                <w:szCs w:val="24"/>
                <w:lang w:eastAsia="lv-LV"/>
              </w:rPr>
              <w:t xml:space="preserve"> neatbalsta </w:t>
            </w:r>
            <w:r w:rsidR="00CC0EFD">
              <w:rPr>
                <w:rFonts w:ascii="Times New Roman" w:eastAsia="Times New Roman" w:hAnsi="Times New Roman" w:cs="Times New Roman"/>
                <w:color w:val="000000" w:themeColor="text1"/>
                <w:sz w:val="24"/>
                <w:szCs w:val="24"/>
                <w:lang w:eastAsia="lv-LV"/>
              </w:rPr>
              <w:t>Noteikumu projekta virzību.</w:t>
            </w:r>
          </w:p>
          <w:p w:rsidR="00D71A70" w:rsidP="00711659" w14:paraId="3C298470"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5E3EBE" w:rsidP="00711659" w14:paraId="4471A3E9" w14:textId="35C5A00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LĀPPA</w:t>
            </w:r>
            <w:r w:rsidRPr="00D71A70">
              <w:rPr>
                <w:rFonts w:ascii="Times New Roman" w:eastAsia="Times New Roman" w:hAnsi="Times New Roman" w:cs="Times New Roman"/>
                <w:color w:val="000000" w:themeColor="text1"/>
                <w:sz w:val="24"/>
                <w:szCs w:val="24"/>
                <w:lang w:eastAsia="lv-LV"/>
              </w:rPr>
              <w:t xml:space="preserve"> norāda, ka pašlaik nav noteiktu un saprotamu kritēju noziedzīgi iegūtu līdzekļu legalizācijas un terorisma finansēšanas novēršanas iekšējās kontroles sistēmas izveidošanai. Pie šādiem apstākļiem naudas līdzekļus legalizācijas un terorisma finansēšanas novēršanas iekšējās kontroles sistēmas ieviešanu nevar padarīt par </w:t>
            </w:r>
            <w:r w:rsidRPr="00D71A70">
              <w:rPr>
                <w:rFonts w:ascii="Times New Roman" w:eastAsia="Times New Roman" w:hAnsi="Times New Roman" w:cs="Times New Roman"/>
                <w:color w:val="000000" w:themeColor="text1"/>
                <w:sz w:val="24"/>
                <w:szCs w:val="24"/>
                <w:lang w:eastAsia="lv-LV"/>
              </w:rPr>
              <w:t xml:space="preserve">priekšnoteikumu speciālās atļaujas (licences) saņemšanai vai tās spēkā esamībai. </w:t>
            </w:r>
            <w:r w:rsidR="004A5921">
              <w:rPr>
                <w:rFonts w:ascii="Times New Roman" w:eastAsia="Times New Roman" w:hAnsi="Times New Roman" w:cs="Times New Roman"/>
                <w:color w:val="000000" w:themeColor="text1"/>
                <w:sz w:val="24"/>
                <w:szCs w:val="24"/>
                <w:lang w:eastAsia="lv-LV"/>
              </w:rPr>
              <w:t>I</w:t>
            </w:r>
            <w:r w:rsidRPr="004A5921" w:rsidR="004A5921">
              <w:rPr>
                <w:rFonts w:ascii="Times New Roman" w:eastAsia="Times New Roman" w:hAnsi="Times New Roman" w:cs="Times New Roman"/>
                <w:color w:val="000000" w:themeColor="text1"/>
                <w:sz w:val="24"/>
                <w:szCs w:val="24"/>
                <w:lang w:eastAsia="lv-LV"/>
              </w:rPr>
              <w:t xml:space="preserve">ecerētais </w:t>
            </w:r>
            <w:r w:rsidR="004A5921">
              <w:rPr>
                <w:rFonts w:ascii="Times New Roman" w:eastAsia="Times New Roman" w:hAnsi="Times New Roman" w:cs="Times New Roman"/>
                <w:color w:val="000000" w:themeColor="text1"/>
                <w:sz w:val="24"/>
                <w:szCs w:val="24"/>
                <w:lang w:eastAsia="lv-LV"/>
              </w:rPr>
              <w:t>pārejas periods (</w:t>
            </w:r>
            <w:r w:rsidRPr="004A5921" w:rsidR="004A5921">
              <w:rPr>
                <w:rFonts w:ascii="Times New Roman" w:eastAsia="Times New Roman" w:hAnsi="Times New Roman" w:cs="Times New Roman"/>
                <w:color w:val="000000" w:themeColor="text1"/>
                <w:sz w:val="24"/>
                <w:szCs w:val="24"/>
                <w:lang w:eastAsia="lv-LV"/>
              </w:rPr>
              <w:t>2018.gada 1.jūlijs</w:t>
            </w:r>
            <w:r w:rsidR="004A5921">
              <w:rPr>
                <w:rFonts w:ascii="Times New Roman" w:eastAsia="Times New Roman" w:hAnsi="Times New Roman" w:cs="Times New Roman"/>
                <w:color w:val="000000" w:themeColor="text1"/>
                <w:sz w:val="24"/>
                <w:szCs w:val="24"/>
                <w:lang w:eastAsia="lv-LV"/>
              </w:rPr>
              <w:t>)</w:t>
            </w:r>
            <w:r w:rsidRPr="004A5921" w:rsidR="004A5921">
              <w:rPr>
                <w:rFonts w:ascii="Times New Roman" w:eastAsia="Times New Roman" w:hAnsi="Times New Roman" w:cs="Times New Roman"/>
                <w:color w:val="000000" w:themeColor="text1"/>
                <w:sz w:val="24"/>
                <w:szCs w:val="24"/>
                <w:lang w:eastAsia="lv-LV"/>
              </w:rPr>
              <w:t xml:space="preserve"> ir nesamērīgi īss termiņš pienācīgas iekšējās kontroles sistēmas ieviešanai</w:t>
            </w:r>
            <w:r w:rsidR="004A5921">
              <w:rPr>
                <w:rFonts w:ascii="Times New Roman" w:eastAsia="Times New Roman" w:hAnsi="Times New Roman" w:cs="Times New Roman"/>
                <w:color w:val="000000" w:themeColor="text1"/>
                <w:sz w:val="24"/>
                <w:szCs w:val="24"/>
                <w:lang w:eastAsia="lv-LV"/>
              </w:rPr>
              <w:t>.</w:t>
            </w:r>
          </w:p>
          <w:p w:rsidR="004A5921" w:rsidP="00711659" w14:paraId="2D65DB4B" w14:textId="33E9C556">
            <w:pPr>
              <w:spacing w:after="0" w:line="240" w:lineRule="auto"/>
              <w:jc w:val="both"/>
              <w:rPr>
                <w:rFonts w:ascii="Times New Roman" w:eastAsia="Times New Roman" w:hAnsi="Times New Roman" w:cs="Times New Roman"/>
                <w:color w:val="000000" w:themeColor="text1"/>
                <w:sz w:val="24"/>
                <w:szCs w:val="24"/>
                <w:lang w:eastAsia="lv-LV"/>
              </w:rPr>
            </w:pPr>
          </w:p>
          <w:p w:rsidR="004A5921" w:rsidP="00711659" w14:paraId="686F361F" w14:textId="3A7E366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Ekonomikas ministrija iebildumu </w:t>
            </w:r>
            <w:r w:rsidRPr="004A5921">
              <w:rPr>
                <w:rFonts w:ascii="Times New Roman" w:eastAsia="Times New Roman" w:hAnsi="Times New Roman" w:cs="Times New Roman"/>
                <w:color w:val="000000" w:themeColor="text1"/>
                <w:sz w:val="24"/>
                <w:szCs w:val="24"/>
                <w:u w:val="single"/>
                <w:lang w:eastAsia="lv-LV"/>
              </w:rPr>
              <w:t>daļēji ņēmusi vērā</w:t>
            </w:r>
            <w:r>
              <w:rPr>
                <w:rFonts w:ascii="Times New Roman" w:eastAsia="Times New Roman" w:hAnsi="Times New Roman" w:cs="Times New Roman"/>
                <w:color w:val="000000" w:themeColor="text1"/>
                <w:sz w:val="24"/>
                <w:szCs w:val="24"/>
                <w:lang w:eastAsia="lv-LV"/>
              </w:rPr>
              <w:t>.</w:t>
            </w:r>
          </w:p>
          <w:p w:rsidR="004A5921" w:rsidP="00711659" w14:paraId="28F5D1B4"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4A5921" w:rsidP="00711659" w14:paraId="2A445533" w14:textId="60FB5695">
            <w:pPr>
              <w:spacing w:after="0" w:line="240" w:lineRule="auto"/>
              <w:jc w:val="both"/>
              <w:rPr>
                <w:rFonts w:ascii="Times New Roman" w:eastAsia="Times New Roman" w:hAnsi="Times New Roman" w:cs="Times New Roman"/>
                <w:color w:val="000000" w:themeColor="text1"/>
                <w:sz w:val="24"/>
                <w:szCs w:val="24"/>
                <w:lang w:eastAsia="lv-LV"/>
              </w:rPr>
            </w:pPr>
            <w:r w:rsidRPr="004A5921">
              <w:rPr>
                <w:rFonts w:ascii="Times New Roman" w:eastAsia="Times New Roman" w:hAnsi="Times New Roman" w:cs="Times New Roman"/>
                <w:color w:val="000000" w:themeColor="text1"/>
                <w:sz w:val="24"/>
                <w:szCs w:val="24"/>
                <w:lang w:eastAsia="lv-LV"/>
              </w:rPr>
              <w:t>NILLTFN</w:t>
            </w:r>
            <w:r>
              <w:rPr>
                <w:rFonts w:ascii="Times New Roman" w:eastAsia="Times New Roman" w:hAnsi="Times New Roman" w:cs="Times New Roman"/>
                <w:color w:val="000000" w:themeColor="text1"/>
                <w:sz w:val="24"/>
                <w:szCs w:val="24"/>
                <w:lang w:eastAsia="lv-LV"/>
              </w:rPr>
              <w:t xml:space="preserve"> Parejas noteikumu 29.punkt</w:t>
            </w:r>
            <w:r w:rsidR="00AB0010">
              <w:rPr>
                <w:rFonts w:ascii="Times New Roman" w:eastAsia="Times New Roman" w:hAnsi="Times New Roman" w:cs="Times New Roman"/>
                <w:color w:val="000000" w:themeColor="text1"/>
                <w:sz w:val="24"/>
                <w:szCs w:val="24"/>
                <w:lang w:eastAsia="lv-LV"/>
              </w:rPr>
              <w:t>s nosaka, ka</w:t>
            </w:r>
            <w:r>
              <w:rPr>
                <w:rFonts w:ascii="Times New Roman" w:eastAsia="Times New Roman" w:hAnsi="Times New Roman" w:cs="Times New Roman"/>
                <w:color w:val="000000" w:themeColor="text1"/>
                <w:sz w:val="24"/>
                <w:szCs w:val="24"/>
                <w:lang w:eastAsia="lv-LV"/>
              </w:rPr>
              <w:t xml:space="preserve"> Ministru kabinetam</w:t>
            </w:r>
            <w:r w:rsidRPr="004A5921">
              <w:rPr>
                <w:rFonts w:ascii="Times New Roman" w:eastAsia="Times New Roman" w:hAnsi="Times New Roman" w:cs="Times New Roman"/>
                <w:color w:val="000000" w:themeColor="text1"/>
                <w:sz w:val="24"/>
                <w:szCs w:val="24"/>
                <w:lang w:eastAsia="lv-LV"/>
              </w:rPr>
              <w:t xml:space="preserve"> līdz 2018. gada 1. jūlijam </w:t>
            </w:r>
            <w:r>
              <w:rPr>
                <w:rFonts w:ascii="Times New Roman" w:eastAsia="Times New Roman" w:hAnsi="Times New Roman" w:cs="Times New Roman"/>
                <w:color w:val="000000" w:themeColor="text1"/>
                <w:sz w:val="24"/>
                <w:szCs w:val="24"/>
                <w:lang w:eastAsia="lv-LV"/>
              </w:rPr>
              <w:t xml:space="preserve">ir pienākums </w:t>
            </w:r>
            <w:r w:rsidRPr="004A5921">
              <w:rPr>
                <w:rFonts w:ascii="Times New Roman" w:eastAsia="Times New Roman" w:hAnsi="Times New Roman" w:cs="Times New Roman"/>
                <w:color w:val="000000" w:themeColor="text1"/>
                <w:sz w:val="24"/>
                <w:szCs w:val="24"/>
                <w:lang w:eastAsia="lv-LV"/>
              </w:rPr>
              <w:t>izdod</w:t>
            </w:r>
            <w:r>
              <w:rPr>
                <w:rFonts w:ascii="Times New Roman" w:eastAsia="Times New Roman" w:hAnsi="Times New Roman" w:cs="Times New Roman"/>
                <w:color w:val="000000" w:themeColor="text1"/>
                <w:sz w:val="24"/>
                <w:szCs w:val="24"/>
                <w:lang w:eastAsia="lv-LV"/>
              </w:rPr>
              <w:t xml:space="preserve"> </w:t>
            </w:r>
            <w:r w:rsidRPr="004A5921">
              <w:rPr>
                <w:rFonts w:ascii="Times New Roman" w:eastAsia="Times New Roman" w:hAnsi="Times New Roman" w:cs="Times New Roman"/>
                <w:color w:val="000000" w:themeColor="text1"/>
                <w:sz w:val="24"/>
                <w:szCs w:val="24"/>
                <w:lang w:eastAsia="lv-LV"/>
              </w:rPr>
              <w:t xml:space="preserve"> NILLTFN </w:t>
            </w:r>
            <w:r>
              <w:rPr>
                <w:rFonts w:ascii="Times New Roman" w:eastAsia="Times New Roman" w:hAnsi="Times New Roman" w:cs="Times New Roman"/>
                <w:color w:val="000000" w:themeColor="text1"/>
                <w:sz w:val="24"/>
                <w:szCs w:val="24"/>
                <w:lang w:eastAsia="lv-LV"/>
              </w:rPr>
              <w:t>47.</w:t>
            </w:r>
            <w:r w:rsidRPr="004A5921">
              <w:rPr>
                <w:rFonts w:ascii="Times New Roman" w:eastAsia="Times New Roman" w:hAnsi="Times New Roman" w:cs="Times New Roman"/>
                <w:color w:val="000000" w:themeColor="text1"/>
                <w:sz w:val="24"/>
                <w:szCs w:val="24"/>
                <w:lang w:eastAsia="lv-LV"/>
              </w:rPr>
              <w:t xml:space="preserve">panta ceturtajā daļā minētos noziedzīgi iegūtu līdzekļu legalizācijas un terorisma finansēšanas novēršanas uzraudzības un kontroles noteikumus attiecībā uz </w:t>
            </w:r>
            <w:r w:rsidRPr="004A5921" w:rsidR="00AB0010">
              <w:rPr>
                <w:rFonts w:ascii="Times New Roman" w:eastAsia="Times New Roman" w:hAnsi="Times New Roman" w:cs="Times New Roman"/>
                <w:color w:val="000000" w:themeColor="text1"/>
                <w:sz w:val="24"/>
                <w:szCs w:val="24"/>
                <w:lang w:eastAsia="lv-LV"/>
              </w:rPr>
              <w:t xml:space="preserve">NILLTFN </w:t>
            </w:r>
            <w:r w:rsidR="00AB0010">
              <w:rPr>
                <w:rFonts w:ascii="Times New Roman" w:eastAsia="Times New Roman" w:hAnsi="Times New Roman" w:cs="Times New Roman"/>
                <w:color w:val="000000" w:themeColor="text1"/>
                <w:sz w:val="24"/>
                <w:szCs w:val="24"/>
                <w:lang w:eastAsia="lv-LV"/>
              </w:rPr>
              <w:t>45.panta 2.</w:t>
            </w:r>
            <w:r w:rsidR="00AB0010">
              <w:rPr>
                <w:rFonts w:ascii="Times New Roman" w:eastAsia="Times New Roman" w:hAnsi="Times New Roman" w:cs="Times New Roman"/>
                <w:color w:val="000000" w:themeColor="text1"/>
                <w:sz w:val="24"/>
                <w:szCs w:val="24"/>
                <w:vertAlign w:val="superscript"/>
                <w:lang w:eastAsia="lv-LV"/>
              </w:rPr>
              <w:t>1</w:t>
            </w:r>
            <w:r w:rsidRPr="004A5921">
              <w:rPr>
                <w:rFonts w:ascii="Times New Roman" w:eastAsia="Times New Roman" w:hAnsi="Times New Roman" w:cs="Times New Roman"/>
                <w:color w:val="000000" w:themeColor="text1"/>
                <w:sz w:val="24"/>
                <w:szCs w:val="24"/>
                <w:lang w:eastAsia="lv-LV"/>
              </w:rPr>
              <w:t>daļā minētajiem likuma subjektiem.</w:t>
            </w:r>
            <w:r>
              <w:rPr>
                <w:rFonts w:ascii="Times New Roman" w:eastAsia="Times New Roman" w:hAnsi="Times New Roman" w:cs="Times New Roman"/>
                <w:color w:val="000000" w:themeColor="text1"/>
                <w:sz w:val="24"/>
                <w:szCs w:val="24"/>
                <w:lang w:eastAsia="lv-LV"/>
              </w:rPr>
              <w:t xml:space="preserve"> </w:t>
            </w:r>
          </w:p>
          <w:p w:rsidR="00AB0010" w:rsidP="00711659" w14:paraId="31B1228B" w14:textId="2C893CA4">
            <w:pPr>
              <w:spacing w:after="0" w:line="240" w:lineRule="auto"/>
              <w:jc w:val="both"/>
              <w:rPr>
                <w:rFonts w:ascii="Times New Roman" w:eastAsia="Times New Roman" w:hAnsi="Times New Roman" w:cs="Times New Roman"/>
                <w:color w:val="000000" w:themeColor="text1"/>
                <w:sz w:val="24"/>
                <w:szCs w:val="24"/>
                <w:lang w:eastAsia="lv-LV"/>
              </w:rPr>
            </w:pPr>
          </w:p>
          <w:p w:rsidR="00AB0010" w:rsidP="00711659" w14:paraId="27E81A06" w14:textId="07FC6BEB">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Atbilstoši </w:t>
            </w:r>
            <w:r w:rsidRPr="004A5921">
              <w:rPr>
                <w:rFonts w:ascii="Times New Roman" w:eastAsia="Times New Roman" w:hAnsi="Times New Roman" w:cs="Times New Roman"/>
                <w:color w:val="000000" w:themeColor="text1"/>
                <w:sz w:val="24"/>
                <w:szCs w:val="24"/>
                <w:lang w:eastAsia="lv-LV"/>
              </w:rPr>
              <w:t xml:space="preserve">NILLTFN </w:t>
            </w:r>
            <w:r>
              <w:rPr>
                <w:rFonts w:ascii="Times New Roman" w:eastAsia="Times New Roman" w:hAnsi="Times New Roman" w:cs="Times New Roman"/>
                <w:color w:val="000000" w:themeColor="text1"/>
                <w:sz w:val="24"/>
                <w:szCs w:val="24"/>
                <w:lang w:eastAsia="lv-LV"/>
              </w:rPr>
              <w:t xml:space="preserve">47.panta ceturtajā daļā noteiktajam deleģējumam </w:t>
            </w:r>
            <w:r w:rsidRPr="00AB0010">
              <w:rPr>
                <w:rFonts w:ascii="Times New Roman" w:eastAsia="Times New Roman" w:hAnsi="Times New Roman" w:cs="Times New Roman"/>
                <w:color w:val="000000" w:themeColor="text1"/>
                <w:sz w:val="24"/>
                <w:szCs w:val="24"/>
                <w:lang w:eastAsia="lv-LV"/>
              </w:rPr>
              <w:t>Ministru kabinets nosaka NILLTFN 45. panta 2.</w:t>
            </w:r>
            <w:r w:rsidRPr="00AB0010">
              <w:rPr>
                <w:rFonts w:ascii="Times New Roman" w:eastAsia="Times New Roman" w:hAnsi="Times New Roman" w:cs="Times New Roman"/>
                <w:color w:val="000000" w:themeColor="text1"/>
                <w:sz w:val="24"/>
                <w:szCs w:val="24"/>
                <w:vertAlign w:val="superscript"/>
                <w:lang w:eastAsia="lv-LV"/>
              </w:rPr>
              <w:t>1</w:t>
            </w:r>
            <w:r w:rsidRPr="00AB0010">
              <w:rPr>
                <w:rFonts w:ascii="Times New Roman" w:eastAsia="Times New Roman" w:hAnsi="Times New Roman" w:cs="Times New Roman"/>
                <w:color w:val="000000" w:themeColor="text1"/>
                <w:sz w:val="24"/>
                <w:szCs w:val="24"/>
                <w:lang w:eastAsia="lv-LV"/>
              </w:rPr>
              <w:t> daļā minētajiem likuma subjektiem saistošas prasības NILLTFN noteikto pienākumu izpildei attiecībā uz noziedzīgi iegūtu līdzekļu legalizācijas un terorisma finansēšanas risku novērtēšanu, iekšējās kontroles sistēmu un tās izveidi, klientu izpēti un klientu veikto darījumu uzraudzību.</w:t>
            </w:r>
          </w:p>
          <w:p w:rsidR="004A5921" w:rsidP="00711659" w14:paraId="0A15C758"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4A5921" w:rsidP="00711659" w14:paraId="45A44168"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Ņemot vērā minēto, kā arī to, ka līdz 2018.gada 1.jūlijam parādu atguvējiem praktiski nav iespējams izpildīt prasības, kas vēl nav noteiktas normatīvajos aktos, Ekonomikas ministrija ir paredzējusi garāku parejas periodu iekšējās kontroles sistēmas izveidei un normatīvo prasību izpildei, kas ir 2019.gada 1.janvāris.</w:t>
            </w:r>
          </w:p>
          <w:p w:rsidR="00FD7968" w:rsidP="00711659" w14:paraId="0E211197"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FD7968" w:rsidRPr="00861461" w:rsidP="00711659" w14:paraId="75E27C1E" w14:textId="102C4A0A">
            <w:pPr>
              <w:spacing w:after="0" w:line="240" w:lineRule="auto"/>
              <w:jc w:val="both"/>
              <w:rPr>
                <w:rFonts w:ascii="Times New Roman" w:eastAsia="Times New Roman" w:hAnsi="Times New Roman" w:cs="Times New Roman"/>
                <w:color w:val="000000" w:themeColor="text1"/>
                <w:sz w:val="24"/>
                <w:szCs w:val="24"/>
                <w:lang w:eastAsia="lv-LV"/>
              </w:rPr>
            </w:pPr>
          </w:p>
        </w:tc>
      </w:tr>
      <w:tr w14:paraId="56FC7593" w14:textId="77777777" w:rsidTr="00711659">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520F9155"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3A47443E"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5B11DA9C"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E3EBE" w:rsidRPr="00C13B43" w:rsidP="005E3EBE" w14:paraId="2E377F9D" w14:textId="77777777">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60EC9AB1" w14:textId="77777777" w:rsidTr="007116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E3EBE" w:rsidRPr="00C13B43" w:rsidP="00711659" w14:paraId="22278380" w14:textId="77777777">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13B43">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14:paraId="190D1CB9" w14:textId="77777777" w:rsidTr="00711659">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FF7664B"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011C3DF7"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3381E3CE" w14:textId="75C3978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w:t>
            </w:r>
            <w:r w:rsidR="00E953D9">
              <w:rPr>
                <w:rFonts w:ascii="Times New Roman" w:eastAsia="Times New Roman" w:hAnsi="Times New Roman" w:cs="Times New Roman"/>
                <w:color w:val="000000" w:themeColor="text1"/>
                <w:sz w:val="24"/>
                <w:szCs w:val="24"/>
                <w:lang w:eastAsia="lv-LV"/>
              </w:rPr>
              <w:t>TAC</w:t>
            </w:r>
          </w:p>
        </w:tc>
      </w:tr>
      <w:tr w14:paraId="071C38D6" w14:textId="77777777" w:rsidTr="00711659">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27139DBE"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36974A84"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5E3EBE" w:rsidRPr="00C13B43" w:rsidP="00711659" w14:paraId="65128CE5" w14:textId="77777777">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E3EBE" w:rsidRPr="006B6571" w:rsidP="006B6571" w14:paraId="13B414BF"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Noteikumu projekts paredzēs papildus funkcijas Patērētāju tiesību aizsardzības centram, kuru ietvaros </w:t>
            </w:r>
            <w:r w:rsidRPr="006B6571">
              <w:rPr>
                <w:rFonts w:ascii="Times New Roman" w:eastAsia="Times New Roman" w:hAnsi="Times New Roman" w:cs="Times New Roman"/>
                <w:color w:val="000000" w:themeColor="text1"/>
                <w:sz w:val="24"/>
                <w:szCs w:val="24"/>
                <w:lang w:eastAsia="lv-LV"/>
              </w:rPr>
              <w:t xml:space="preserve">PTAC veiks iekšējās kontroles sistēmas darbības atbilstības kontroli normatīvajos aktos par noziedzīgi iegūtu līdzekļu legalizācijas un terorisma finansēšanas novēršanu noteiktajā kārtībā (plānoti 8 darbinieki). </w:t>
            </w:r>
          </w:p>
          <w:p w:rsidR="005E3EBE" w:rsidP="00711659" w14:paraId="7E8C97E8" w14:textId="77777777">
            <w:pPr>
              <w:spacing w:after="0" w:line="240" w:lineRule="auto"/>
              <w:jc w:val="both"/>
              <w:rPr>
                <w:rFonts w:ascii="Times New Roman" w:eastAsia="Times New Roman" w:hAnsi="Times New Roman" w:cs="Times New Roman"/>
                <w:color w:val="000000" w:themeColor="text1"/>
                <w:sz w:val="24"/>
                <w:szCs w:val="24"/>
                <w:lang w:eastAsia="lv-LV"/>
              </w:rPr>
            </w:pPr>
          </w:p>
          <w:p w:rsidR="005E3EBE" w:rsidRPr="00B933B1" w:rsidP="00711659" w14:paraId="72ACAC25" w14:textId="7777777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Jaunu institūciju izveide, likvidācija vai reorganizācija nav nepieciešama. </w:t>
            </w:r>
          </w:p>
          <w:p w:rsidR="005E3EBE" w:rsidRPr="00CA0A31" w:rsidP="00711659" w14:paraId="6554F3DC" w14:textId="77777777">
            <w:pPr>
              <w:spacing w:after="0" w:line="240" w:lineRule="auto"/>
              <w:jc w:val="both"/>
              <w:rPr>
                <w:rFonts w:ascii="Times New Roman" w:eastAsia="Times New Roman" w:hAnsi="Times New Roman" w:cs="Times New Roman"/>
                <w:color w:val="000000" w:themeColor="text1"/>
                <w:sz w:val="24"/>
                <w:szCs w:val="24"/>
                <w:lang w:eastAsia="lv-LV"/>
              </w:rPr>
            </w:pPr>
            <w:r w:rsidRPr="00CA0A31">
              <w:rPr>
                <w:rFonts w:ascii="Times New Roman" w:eastAsia="Times New Roman" w:hAnsi="Times New Roman" w:cs="Times New Roman"/>
                <w:color w:val="000000" w:themeColor="text1"/>
                <w:sz w:val="24"/>
                <w:szCs w:val="24"/>
                <w:lang w:eastAsia="lv-LV"/>
              </w:rPr>
              <w:t xml:space="preserve"> </w:t>
            </w:r>
          </w:p>
        </w:tc>
      </w:tr>
      <w:tr w14:paraId="13030CD5" w14:textId="77777777" w:rsidTr="00711659">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60BD0B29"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4F61FE2F" w14:textId="77777777">
            <w:pPr>
              <w:spacing w:after="0" w:line="240" w:lineRule="auto"/>
              <w:rPr>
                <w:rFonts w:ascii="Times New Roman" w:eastAsia="Times New Roman" w:hAnsi="Times New Roman" w:cs="Times New Roman"/>
                <w:color w:val="000000" w:themeColor="text1"/>
                <w:sz w:val="24"/>
                <w:szCs w:val="24"/>
                <w:lang w:eastAsia="lv-LV"/>
              </w:rPr>
            </w:pPr>
            <w:r w:rsidRPr="00C13B43">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5E3EBE" w:rsidRPr="00C13B43" w:rsidP="00711659" w14:paraId="7D612630" w14:textId="7777777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E3EBE" w:rsidP="005E3EBE" w14:paraId="770FF18F" w14:textId="77777777">
      <w:pPr>
        <w:spacing w:after="0" w:line="240" w:lineRule="auto"/>
        <w:rPr>
          <w:rFonts w:ascii="Times New Roman" w:hAnsi="Times New Roman" w:cs="Times New Roman"/>
          <w:b/>
          <w:bCs/>
          <w:color w:val="000000" w:themeColor="text1"/>
          <w:sz w:val="28"/>
          <w:szCs w:val="28"/>
        </w:rPr>
      </w:pPr>
    </w:p>
    <w:p w:rsidR="005E3EBE" w:rsidRPr="0091628C" w:rsidP="005E3EBE" w14:paraId="39B30544" w14:textId="77777777">
      <w:pPr>
        <w:spacing w:after="0" w:line="240" w:lineRule="auto"/>
        <w:rPr>
          <w:rFonts w:ascii="Times New Roman" w:hAnsi="Times New Roman" w:cs="Times New Roman"/>
          <w:color w:val="000000" w:themeColor="text1"/>
          <w:sz w:val="28"/>
          <w:szCs w:val="28"/>
        </w:rPr>
      </w:pPr>
    </w:p>
    <w:p w:rsidR="005E3EBE" w:rsidRPr="0091628C" w:rsidP="005E3EBE" w14:paraId="23DDE788" w14:textId="77777777">
      <w:pPr>
        <w:spacing w:after="0" w:line="240" w:lineRule="auto"/>
        <w:rPr>
          <w:rFonts w:ascii="Times New Roman" w:hAnsi="Times New Roman" w:cs="Times New Roman"/>
          <w:color w:val="000000" w:themeColor="text1"/>
          <w:sz w:val="28"/>
          <w:szCs w:val="28"/>
        </w:rPr>
      </w:pPr>
      <w:r w:rsidRPr="0091628C">
        <w:rPr>
          <w:rFonts w:ascii="Times New Roman" w:hAnsi="Times New Roman" w:cs="Times New Roman"/>
          <w:color w:val="000000" w:themeColor="text1"/>
          <w:sz w:val="28"/>
          <w:szCs w:val="28"/>
        </w:rPr>
        <w:t xml:space="preserve">Ministru prezidenta biedrs, </w:t>
      </w:r>
    </w:p>
    <w:p w:rsidR="005E3EBE" w:rsidRPr="0091628C" w:rsidP="005E3EBE" w14:paraId="1308207B" w14:textId="77777777">
      <w:pPr>
        <w:spacing w:after="0" w:line="240" w:lineRule="auto"/>
        <w:rPr>
          <w:rFonts w:ascii="Times New Roman" w:hAnsi="Times New Roman" w:cs="Times New Roman"/>
          <w:color w:val="000000" w:themeColor="text1"/>
          <w:sz w:val="28"/>
          <w:szCs w:val="28"/>
        </w:rPr>
      </w:pPr>
      <w:r w:rsidRPr="0091628C">
        <w:rPr>
          <w:rFonts w:ascii="Times New Roman" w:hAnsi="Times New Roman" w:cs="Times New Roman"/>
          <w:color w:val="000000" w:themeColor="text1"/>
          <w:sz w:val="28"/>
          <w:szCs w:val="28"/>
        </w:rPr>
        <w:t xml:space="preserve">ekonomikas ministrs                                                           </w:t>
      </w:r>
      <w:r w:rsidRPr="0091628C">
        <w:rPr>
          <w:rFonts w:ascii="Times New Roman" w:hAnsi="Times New Roman" w:cs="Times New Roman"/>
          <w:color w:val="000000" w:themeColor="text1"/>
          <w:sz w:val="28"/>
          <w:szCs w:val="28"/>
        </w:rPr>
        <w:t>A.Ašeradens</w:t>
      </w:r>
    </w:p>
    <w:p w:rsidR="005E3EBE" w:rsidRPr="0091628C" w:rsidP="005E3EBE" w14:paraId="39D2BA84" w14:textId="77777777">
      <w:pPr>
        <w:spacing w:after="0" w:line="240" w:lineRule="auto"/>
        <w:rPr>
          <w:rFonts w:ascii="Times New Roman" w:hAnsi="Times New Roman" w:cs="Times New Roman"/>
          <w:color w:val="000000" w:themeColor="text1"/>
          <w:sz w:val="28"/>
          <w:szCs w:val="28"/>
        </w:rPr>
      </w:pPr>
    </w:p>
    <w:p w:rsidR="005E3EBE" w:rsidRPr="0091628C" w:rsidP="005E3EBE" w14:paraId="644A3DC1" w14:textId="77777777">
      <w:pPr>
        <w:tabs>
          <w:tab w:val="left" w:pos="6521"/>
        </w:tabs>
        <w:spacing w:after="0" w:line="240" w:lineRule="auto"/>
        <w:rPr>
          <w:rFonts w:ascii="Times New Roman" w:hAnsi="Times New Roman" w:cs="Times New Roman"/>
          <w:bCs/>
          <w:color w:val="000000" w:themeColor="text1"/>
          <w:sz w:val="28"/>
          <w:szCs w:val="28"/>
        </w:rPr>
      </w:pPr>
      <w:r w:rsidRPr="0091628C">
        <w:rPr>
          <w:rFonts w:ascii="Times New Roman" w:hAnsi="Times New Roman" w:cs="Times New Roman"/>
          <w:bCs/>
          <w:color w:val="000000" w:themeColor="text1"/>
          <w:sz w:val="28"/>
          <w:szCs w:val="28"/>
        </w:rPr>
        <w:t>Vīza: Valsts sekretārs</w:t>
      </w:r>
      <w:r w:rsidRPr="0091628C">
        <w:rPr>
          <w:rFonts w:ascii="Times New Roman" w:hAnsi="Times New Roman" w:cs="Times New Roman"/>
          <w:bCs/>
          <w:color w:val="000000" w:themeColor="text1"/>
          <w:sz w:val="28"/>
          <w:szCs w:val="28"/>
        </w:rPr>
        <w:tab/>
      </w:r>
      <w:r w:rsidRPr="0091628C">
        <w:rPr>
          <w:rFonts w:ascii="Times New Roman" w:hAnsi="Times New Roman" w:cs="Times New Roman"/>
          <w:bCs/>
          <w:color w:val="000000" w:themeColor="text1"/>
          <w:sz w:val="28"/>
          <w:szCs w:val="28"/>
        </w:rPr>
        <w:t>J.Stinka</w:t>
      </w:r>
    </w:p>
    <w:p w:rsidR="005E3EBE" w:rsidRPr="0091628C" w:rsidP="005E3EBE" w14:paraId="0F301339" w14:textId="77777777">
      <w:pPr>
        <w:spacing w:after="0" w:line="240" w:lineRule="auto"/>
        <w:rPr>
          <w:rFonts w:ascii="Times New Roman" w:hAnsi="Times New Roman" w:cs="Times New Roman"/>
          <w:color w:val="000000" w:themeColor="text1"/>
          <w:sz w:val="28"/>
          <w:szCs w:val="28"/>
        </w:rPr>
      </w:pPr>
    </w:p>
    <w:p w:rsidR="005E3EBE" w:rsidP="005E3EBE" w14:paraId="425E19B8" w14:textId="77777777">
      <w:pPr>
        <w:spacing w:after="0" w:line="240" w:lineRule="auto"/>
        <w:rPr>
          <w:rFonts w:ascii="Times New Roman" w:hAnsi="Times New Roman" w:cs="Times New Roman"/>
          <w:sz w:val="20"/>
          <w:szCs w:val="20"/>
        </w:rPr>
      </w:pPr>
    </w:p>
    <w:p w:rsidR="005E3EBE" w:rsidP="005E3EBE" w14:paraId="2F0D8189" w14:textId="77777777">
      <w:pPr>
        <w:spacing w:after="0" w:line="240" w:lineRule="auto"/>
        <w:rPr>
          <w:rFonts w:ascii="Times New Roman" w:hAnsi="Times New Roman" w:cs="Times New Roman"/>
          <w:sz w:val="20"/>
          <w:szCs w:val="20"/>
        </w:rPr>
      </w:pPr>
    </w:p>
    <w:p w:rsidR="005E3EBE" w:rsidRPr="00B40D57" w:rsidP="005E3EBE" w14:paraId="342F2881" w14:textId="7777777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D.Brūklītis</w:t>
      </w:r>
      <w:r w:rsidRPr="00B40D57">
        <w:rPr>
          <w:rFonts w:ascii="Times New Roman" w:hAnsi="Times New Roman" w:cs="Times New Roman"/>
          <w:sz w:val="20"/>
          <w:szCs w:val="20"/>
        </w:rPr>
        <w:t xml:space="preserve">, </w:t>
      </w:r>
      <w:r>
        <w:rPr>
          <w:rFonts w:ascii="Times New Roman" w:hAnsi="Times New Roman" w:cs="Times New Roman"/>
          <w:sz w:val="20"/>
          <w:szCs w:val="20"/>
        </w:rPr>
        <w:t xml:space="preserve">Tālr.: </w:t>
      </w:r>
      <w:r w:rsidRPr="00B40D57">
        <w:rPr>
          <w:rFonts w:ascii="Times New Roman" w:hAnsi="Times New Roman" w:cs="Times New Roman"/>
          <w:sz w:val="20"/>
          <w:szCs w:val="20"/>
        </w:rPr>
        <w:t>67013274</w:t>
      </w:r>
    </w:p>
    <w:p w:rsidR="005E3EBE" w:rsidRPr="00B40D57" w:rsidP="005E3EBE" w14:paraId="1031BE80" w14:textId="77777777">
      <w:pPr>
        <w:spacing w:after="0" w:line="240" w:lineRule="auto"/>
        <w:rPr>
          <w:rFonts w:ascii="Times New Roman" w:hAnsi="Times New Roman" w:cs="Times New Roman"/>
          <w:sz w:val="20"/>
          <w:szCs w:val="20"/>
        </w:rPr>
      </w:pPr>
      <w:r w:rsidRPr="00B40D57">
        <w:rPr>
          <w:rFonts w:ascii="Times New Roman" w:hAnsi="Times New Roman" w:cs="Times New Roman"/>
          <w:sz w:val="20"/>
          <w:szCs w:val="20"/>
        </w:rPr>
        <w:t>Didzis.Bruklitis@em.gov.lv</w:t>
      </w:r>
    </w:p>
    <w:p w:rsidR="00B6012F" w14:paraId="5F65DB9C" w14:textId="77777777"/>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D5" w14:paraId="051A18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3423BE" w:rsidP="003423BE" w14:paraId="4FAA16D6" w14:textId="684D55B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Start w:id="1" w:name="_GoBack"/>
    <w:bookmarkEnd w:id="1"/>
    <w:r>
      <w:rPr>
        <w:rFonts w:ascii="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4E8" w:rsidRPr="009A2654" w14:paraId="306470AE" w14:textId="37A575F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D5" w14:paraId="7F4D48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3889085"/>
      <w:docPartObj>
        <w:docPartGallery w:val="Page Numbers (Top of Page)"/>
        <w:docPartUnique/>
      </w:docPartObj>
    </w:sdtPr>
    <w:sdtEndPr>
      <w:rPr>
        <w:rFonts w:ascii="Times New Roman" w:hAnsi="Times New Roman" w:cs="Times New Roman"/>
        <w:noProof/>
        <w:sz w:val="24"/>
        <w:szCs w:val="20"/>
      </w:rPr>
    </w:sdtEndPr>
    <w:sdtContent>
      <w:p w:rsidR="00E834E8" w:rsidRPr="00C25B49" w14:paraId="755FC4C2" w14:textId="256C2D9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71D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1D5" w14:paraId="1739B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D403369"/>
    <w:multiLevelType w:val="hybridMultilevel"/>
    <w:tmpl w:val="EB42D5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BE"/>
    <w:rsid w:val="00000A8C"/>
    <w:rsid w:val="00001A1D"/>
    <w:rsid w:val="0000500C"/>
    <w:rsid w:val="00025483"/>
    <w:rsid w:val="00031374"/>
    <w:rsid w:val="00034159"/>
    <w:rsid w:val="00053D6A"/>
    <w:rsid w:val="00054E48"/>
    <w:rsid w:val="00057947"/>
    <w:rsid w:val="00063EFA"/>
    <w:rsid w:val="00092848"/>
    <w:rsid w:val="000D7771"/>
    <w:rsid w:val="000F4643"/>
    <w:rsid w:val="00110A92"/>
    <w:rsid w:val="001253B6"/>
    <w:rsid w:val="001379E6"/>
    <w:rsid w:val="0014779F"/>
    <w:rsid w:val="001548D8"/>
    <w:rsid w:val="00163E5E"/>
    <w:rsid w:val="00165DCE"/>
    <w:rsid w:val="001720FC"/>
    <w:rsid w:val="001728B8"/>
    <w:rsid w:val="00175A4B"/>
    <w:rsid w:val="00182C2B"/>
    <w:rsid w:val="001A1AA7"/>
    <w:rsid w:val="001B1899"/>
    <w:rsid w:val="001E30B5"/>
    <w:rsid w:val="0020106D"/>
    <w:rsid w:val="00204D0E"/>
    <w:rsid w:val="00227E07"/>
    <w:rsid w:val="0023146A"/>
    <w:rsid w:val="00232618"/>
    <w:rsid w:val="0023261B"/>
    <w:rsid w:val="00255CA0"/>
    <w:rsid w:val="0026028C"/>
    <w:rsid w:val="00274AAA"/>
    <w:rsid w:val="002950AF"/>
    <w:rsid w:val="002A3A1B"/>
    <w:rsid w:val="002B7FC6"/>
    <w:rsid w:val="002C2086"/>
    <w:rsid w:val="002D045B"/>
    <w:rsid w:val="002E4D7F"/>
    <w:rsid w:val="0032681A"/>
    <w:rsid w:val="00327EE5"/>
    <w:rsid w:val="0033037A"/>
    <w:rsid w:val="00330B7E"/>
    <w:rsid w:val="00341E76"/>
    <w:rsid w:val="003423BE"/>
    <w:rsid w:val="00350EB6"/>
    <w:rsid w:val="003B3618"/>
    <w:rsid w:val="003D4939"/>
    <w:rsid w:val="003E1138"/>
    <w:rsid w:val="003E5DD9"/>
    <w:rsid w:val="003F3C91"/>
    <w:rsid w:val="00404720"/>
    <w:rsid w:val="0041603B"/>
    <w:rsid w:val="004174C3"/>
    <w:rsid w:val="004463C0"/>
    <w:rsid w:val="00463C9D"/>
    <w:rsid w:val="0048109A"/>
    <w:rsid w:val="004A5921"/>
    <w:rsid w:val="004B322D"/>
    <w:rsid w:val="004D1599"/>
    <w:rsid w:val="004F0165"/>
    <w:rsid w:val="004F2ED8"/>
    <w:rsid w:val="004F47D4"/>
    <w:rsid w:val="005109AE"/>
    <w:rsid w:val="00510C61"/>
    <w:rsid w:val="00527689"/>
    <w:rsid w:val="00530124"/>
    <w:rsid w:val="00542B7E"/>
    <w:rsid w:val="0057544A"/>
    <w:rsid w:val="00581800"/>
    <w:rsid w:val="00584F2F"/>
    <w:rsid w:val="00586187"/>
    <w:rsid w:val="00586B51"/>
    <w:rsid w:val="00592153"/>
    <w:rsid w:val="00596A52"/>
    <w:rsid w:val="00597FFB"/>
    <w:rsid w:val="005E3EBE"/>
    <w:rsid w:val="005F2B0A"/>
    <w:rsid w:val="00610904"/>
    <w:rsid w:val="00615980"/>
    <w:rsid w:val="006235C8"/>
    <w:rsid w:val="00623D55"/>
    <w:rsid w:val="0064213B"/>
    <w:rsid w:val="00651B2E"/>
    <w:rsid w:val="00653CC1"/>
    <w:rsid w:val="006838CB"/>
    <w:rsid w:val="006B6571"/>
    <w:rsid w:val="006B70B4"/>
    <w:rsid w:val="006D4FDF"/>
    <w:rsid w:val="006F0C44"/>
    <w:rsid w:val="006F1EFA"/>
    <w:rsid w:val="006F4ED9"/>
    <w:rsid w:val="0070227C"/>
    <w:rsid w:val="007074ED"/>
    <w:rsid w:val="00711659"/>
    <w:rsid w:val="007126C0"/>
    <w:rsid w:val="00723287"/>
    <w:rsid w:val="00774609"/>
    <w:rsid w:val="0078038A"/>
    <w:rsid w:val="00782FCA"/>
    <w:rsid w:val="007830F3"/>
    <w:rsid w:val="0079497E"/>
    <w:rsid w:val="007A596D"/>
    <w:rsid w:val="007A6BEE"/>
    <w:rsid w:val="007B6DBF"/>
    <w:rsid w:val="007C0F70"/>
    <w:rsid w:val="007E0A70"/>
    <w:rsid w:val="007E281B"/>
    <w:rsid w:val="007F1AD2"/>
    <w:rsid w:val="007F476D"/>
    <w:rsid w:val="0080123D"/>
    <w:rsid w:val="00803039"/>
    <w:rsid w:val="00803413"/>
    <w:rsid w:val="008037AB"/>
    <w:rsid w:val="0080689E"/>
    <w:rsid w:val="00817C45"/>
    <w:rsid w:val="008211E8"/>
    <w:rsid w:val="00827BBE"/>
    <w:rsid w:val="00861461"/>
    <w:rsid w:val="008A3A5F"/>
    <w:rsid w:val="008A447E"/>
    <w:rsid w:val="008B0203"/>
    <w:rsid w:val="008C12DD"/>
    <w:rsid w:val="008E3BC4"/>
    <w:rsid w:val="0091628C"/>
    <w:rsid w:val="0093061F"/>
    <w:rsid w:val="009478C0"/>
    <w:rsid w:val="00964E58"/>
    <w:rsid w:val="00974B62"/>
    <w:rsid w:val="00983239"/>
    <w:rsid w:val="00992D6B"/>
    <w:rsid w:val="009A0599"/>
    <w:rsid w:val="009A2654"/>
    <w:rsid w:val="009B313E"/>
    <w:rsid w:val="009D0E95"/>
    <w:rsid w:val="009D1197"/>
    <w:rsid w:val="009F53FD"/>
    <w:rsid w:val="00A00729"/>
    <w:rsid w:val="00A11168"/>
    <w:rsid w:val="00A11DA3"/>
    <w:rsid w:val="00A349A6"/>
    <w:rsid w:val="00A3774A"/>
    <w:rsid w:val="00A511A7"/>
    <w:rsid w:val="00A56D61"/>
    <w:rsid w:val="00A7536A"/>
    <w:rsid w:val="00AB0010"/>
    <w:rsid w:val="00AB1F48"/>
    <w:rsid w:val="00AB748F"/>
    <w:rsid w:val="00AC582C"/>
    <w:rsid w:val="00AD152D"/>
    <w:rsid w:val="00AF3131"/>
    <w:rsid w:val="00AF7FBC"/>
    <w:rsid w:val="00B0030E"/>
    <w:rsid w:val="00B06E29"/>
    <w:rsid w:val="00B10098"/>
    <w:rsid w:val="00B175CB"/>
    <w:rsid w:val="00B40D57"/>
    <w:rsid w:val="00B44B3A"/>
    <w:rsid w:val="00B6012F"/>
    <w:rsid w:val="00B873A7"/>
    <w:rsid w:val="00B933B1"/>
    <w:rsid w:val="00BF2F6D"/>
    <w:rsid w:val="00C04F7D"/>
    <w:rsid w:val="00C13B43"/>
    <w:rsid w:val="00C162E0"/>
    <w:rsid w:val="00C25B49"/>
    <w:rsid w:val="00C3118B"/>
    <w:rsid w:val="00C3571C"/>
    <w:rsid w:val="00C64A76"/>
    <w:rsid w:val="00C71C84"/>
    <w:rsid w:val="00C97C47"/>
    <w:rsid w:val="00CA0A31"/>
    <w:rsid w:val="00CA285B"/>
    <w:rsid w:val="00CC0EFD"/>
    <w:rsid w:val="00CD6416"/>
    <w:rsid w:val="00CE3E33"/>
    <w:rsid w:val="00CF258C"/>
    <w:rsid w:val="00CF4D05"/>
    <w:rsid w:val="00D3167B"/>
    <w:rsid w:val="00D31FF7"/>
    <w:rsid w:val="00D33348"/>
    <w:rsid w:val="00D35407"/>
    <w:rsid w:val="00D519BF"/>
    <w:rsid w:val="00D5252E"/>
    <w:rsid w:val="00D5307B"/>
    <w:rsid w:val="00D5498D"/>
    <w:rsid w:val="00D55C9A"/>
    <w:rsid w:val="00D56EFA"/>
    <w:rsid w:val="00D656C0"/>
    <w:rsid w:val="00D71A70"/>
    <w:rsid w:val="00D87DC3"/>
    <w:rsid w:val="00D9730B"/>
    <w:rsid w:val="00DB4213"/>
    <w:rsid w:val="00DB7B43"/>
    <w:rsid w:val="00DC1473"/>
    <w:rsid w:val="00DD417B"/>
    <w:rsid w:val="00E0795A"/>
    <w:rsid w:val="00E26F5F"/>
    <w:rsid w:val="00E347EF"/>
    <w:rsid w:val="00E3486A"/>
    <w:rsid w:val="00E5029F"/>
    <w:rsid w:val="00E50EF1"/>
    <w:rsid w:val="00E834E8"/>
    <w:rsid w:val="00E85362"/>
    <w:rsid w:val="00E953D9"/>
    <w:rsid w:val="00EB71D5"/>
    <w:rsid w:val="00F00701"/>
    <w:rsid w:val="00F3674B"/>
    <w:rsid w:val="00F71239"/>
    <w:rsid w:val="00F81DC5"/>
    <w:rsid w:val="00FA13B3"/>
    <w:rsid w:val="00FA3331"/>
    <w:rsid w:val="00FB6AFC"/>
    <w:rsid w:val="00FD741E"/>
    <w:rsid w:val="00FD796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2F5F67B-1DD0-4CB2-AE68-EB2A2E4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3EBE"/>
  </w:style>
  <w:style w:type="paragraph" w:styleId="Footer">
    <w:name w:val="footer"/>
    <w:basedOn w:val="Normal"/>
    <w:link w:val="FooterChar"/>
    <w:uiPriority w:val="99"/>
    <w:unhideWhenUsed/>
    <w:rsid w:val="005E3E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3EBE"/>
  </w:style>
  <w:style w:type="paragraph" w:styleId="ListParagraph">
    <w:name w:val="List Paragraph"/>
    <w:basedOn w:val="Normal"/>
    <w:uiPriority w:val="34"/>
    <w:qFormat/>
    <w:rsid w:val="005E3EBE"/>
    <w:pPr>
      <w:ind w:left="720"/>
      <w:contextualSpacing/>
    </w:pPr>
  </w:style>
  <w:style w:type="character" w:styleId="CommentReference">
    <w:name w:val="annotation reference"/>
    <w:basedOn w:val="DefaultParagraphFont"/>
    <w:uiPriority w:val="99"/>
    <w:semiHidden/>
    <w:unhideWhenUsed/>
    <w:rsid w:val="001548D8"/>
    <w:rPr>
      <w:sz w:val="16"/>
      <w:szCs w:val="16"/>
    </w:rPr>
  </w:style>
  <w:style w:type="paragraph" w:styleId="CommentText">
    <w:name w:val="annotation text"/>
    <w:basedOn w:val="Normal"/>
    <w:link w:val="CommentTextChar"/>
    <w:uiPriority w:val="99"/>
    <w:semiHidden/>
    <w:unhideWhenUsed/>
    <w:rsid w:val="001548D8"/>
    <w:pPr>
      <w:spacing w:line="240" w:lineRule="auto"/>
    </w:pPr>
    <w:rPr>
      <w:sz w:val="20"/>
      <w:szCs w:val="20"/>
    </w:rPr>
  </w:style>
  <w:style w:type="character" w:customStyle="1" w:styleId="CommentTextChar">
    <w:name w:val="Comment Text Char"/>
    <w:basedOn w:val="DefaultParagraphFont"/>
    <w:link w:val="CommentText"/>
    <w:uiPriority w:val="99"/>
    <w:semiHidden/>
    <w:rsid w:val="001548D8"/>
    <w:rPr>
      <w:sz w:val="20"/>
      <w:szCs w:val="20"/>
    </w:rPr>
  </w:style>
  <w:style w:type="paragraph" w:styleId="CommentSubject">
    <w:name w:val="annotation subject"/>
    <w:basedOn w:val="CommentText"/>
    <w:next w:val="CommentText"/>
    <w:link w:val="CommentSubjectChar"/>
    <w:uiPriority w:val="99"/>
    <w:semiHidden/>
    <w:unhideWhenUsed/>
    <w:rsid w:val="001548D8"/>
    <w:rPr>
      <w:b/>
      <w:bCs/>
    </w:rPr>
  </w:style>
  <w:style w:type="character" w:customStyle="1" w:styleId="CommentSubjectChar">
    <w:name w:val="Comment Subject Char"/>
    <w:basedOn w:val="CommentTextChar"/>
    <w:link w:val="CommentSubject"/>
    <w:uiPriority w:val="99"/>
    <w:semiHidden/>
    <w:rsid w:val="001548D8"/>
    <w:rPr>
      <w:b/>
      <w:bCs/>
      <w:sz w:val="20"/>
      <w:szCs w:val="20"/>
    </w:rPr>
  </w:style>
  <w:style w:type="paragraph" w:styleId="BalloonText">
    <w:name w:val="Balloon Text"/>
    <w:basedOn w:val="Normal"/>
    <w:link w:val="BalloonTextChar"/>
    <w:uiPriority w:val="99"/>
    <w:semiHidden/>
    <w:unhideWhenUsed/>
    <w:rsid w:val="00154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D8"/>
    <w:rPr>
      <w:rFonts w:ascii="Segoe UI" w:hAnsi="Segoe UI" w:cs="Segoe UI"/>
      <w:sz w:val="18"/>
      <w:szCs w:val="18"/>
    </w:rPr>
  </w:style>
  <w:style w:type="character" w:styleId="Hyperlink">
    <w:name w:val="Hyperlink"/>
    <w:basedOn w:val="DefaultParagraphFont"/>
    <w:uiPriority w:val="99"/>
    <w:unhideWhenUsed/>
    <w:rsid w:val="001548D8"/>
    <w:rPr>
      <w:color w:val="0563C1" w:themeColor="hyperlink"/>
      <w:u w:val="single"/>
    </w:rPr>
  </w:style>
  <w:style w:type="character" w:customStyle="1" w:styleId="UnresolvedMention">
    <w:name w:val="Unresolved Mention"/>
    <w:basedOn w:val="DefaultParagraphFont"/>
    <w:uiPriority w:val="99"/>
    <w:semiHidden/>
    <w:unhideWhenUsed/>
    <w:rsid w:val="001548D8"/>
    <w:rPr>
      <w:color w:val="808080"/>
      <w:shd w:val="clear" w:color="auto" w:fill="E6E6E6"/>
    </w:rPr>
  </w:style>
  <w:style w:type="character" w:styleId="FollowedHyperlink">
    <w:name w:val="FollowedHyperlink"/>
    <w:basedOn w:val="DefaultParagraphFont"/>
    <w:uiPriority w:val="99"/>
    <w:semiHidden/>
    <w:unhideWhenUsed/>
    <w:rsid w:val="00E953D9"/>
    <w:rPr>
      <w:color w:val="954F72" w:themeColor="followedHyperlink"/>
      <w:u w:val="single"/>
    </w:rPr>
  </w:style>
  <w:style w:type="paragraph" w:styleId="Revision">
    <w:name w:val="Revision"/>
    <w:hidden/>
    <w:uiPriority w:val="99"/>
    <w:semiHidden/>
    <w:rsid w:val="00C3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10728</Characters>
  <Application>Microsoft Office Word</Application>
  <DocSecurity>0</DocSecurity>
  <Lines>447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Didzis Brūklītis</dc:creator>
  <cp:lastModifiedBy>Didzis Brūklītis</cp:lastModifiedBy>
  <cp:revision>22</cp:revision>
  <dcterms:created xsi:type="dcterms:W3CDTF">2017-12-19T07:35:00Z</dcterms:created>
  <dcterms:modified xsi:type="dcterms:W3CDTF">2018-01-18T13:35:00Z</dcterms:modified>
</cp:coreProperties>
</file>