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37F8E" w:rsidRPr="00F4368B" w:rsidP="00F4368B" w14:paraId="4CA49929" w14:textId="75174679">
      <w:pPr>
        <w:jc w:val="center"/>
        <w:rPr>
          <w:b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F4368B">
        <w:rPr>
          <w:b/>
        </w:rPr>
        <w:t>Ministru kabine</w:t>
      </w:r>
      <w:r w:rsidRPr="00F4368B" w:rsidR="00755BD4">
        <w:rPr>
          <w:b/>
        </w:rPr>
        <w:t>ta noteikumu projekta „</w:t>
      </w:r>
      <w:r w:rsidRPr="008B2837" w:rsidR="008B2837">
        <w:rPr>
          <w:b/>
        </w:rPr>
        <w:t>Grozījumi Ministru kabineta 2008.gada 16.decembra noteikumos Nr.1059 "Noteikumi par atbilstības novērtēšanas institūciju novērtēšanu, akreditāciju un uzraudzību"</w:t>
      </w:r>
      <w:r w:rsidR="003C4679">
        <w:rPr>
          <w:b/>
        </w:rPr>
        <w:t>”</w:t>
      </w:r>
      <w:r w:rsidRPr="00F4368B">
        <w:rPr>
          <w:b/>
        </w:rPr>
        <w:t xml:space="preserve"> sākotnējās ietekmes novērtējuma ziņojums (anotācija)</w:t>
      </w:r>
    </w:p>
    <w:p w:rsidR="00237F8E" w:rsidRPr="00F4368B" w:rsidP="00F4368B" w14:paraId="6194862B" w14:textId="77777777">
      <w:pPr>
        <w:tabs>
          <w:tab w:val="left" w:pos="7230"/>
        </w:tabs>
        <w:rPr>
          <w:color w:val="FF0000"/>
        </w:rPr>
      </w:pPr>
      <w:bookmarkEnd w:id="0"/>
      <w:bookmarkEnd w:id="1"/>
      <w:bookmarkEnd w:id="2"/>
      <w:bookmarkEnd w:id="3"/>
      <w:bookmarkEnd w:id="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2575"/>
        <w:gridCol w:w="5962"/>
      </w:tblGrid>
      <w:tr w14:paraId="12097947" w14:textId="77777777" w:rsidTr="00C3416B">
        <w:tblPrEx>
          <w:tblW w:w="0" w:type="auto"/>
          <w:tblInd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061" w:type="dxa"/>
            <w:gridSpan w:val="3"/>
            <w:vAlign w:val="center"/>
          </w:tcPr>
          <w:p w:rsidR="00193E45" w:rsidRPr="00F4368B" w:rsidP="00F4368B" w14:paraId="19EC1C61" w14:textId="77777777">
            <w:pPr>
              <w:jc w:val="center"/>
            </w:pPr>
            <w:r w:rsidRPr="00F4368B">
              <w:rPr>
                <w:b/>
              </w:rPr>
              <w:t>I. Tiesību akta projekta izstrādes nepieciešamība</w:t>
            </w:r>
          </w:p>
        </w:tc>
      </w:tr>
      <w:tr w14:paraId="765E59A5" w14:textId="77777777" w:rsidTr="00C3416B">
        <w:tblPrEx>
          <w:tblW w:w="0" w:type="auto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39"/>
        </w:trPr>
        <w:tc>
          <w:tcPr>
            <w:tcW w:w="524" w:type="dxa"/>
          </w:tcPr>
          <w:p w:rsidR="00193E45" w:rsidRPr="00F4368B" w:rsidP="00F4368B" w14:paraId="107E4993" w14:textId="77777777">
            <w:r w:rsidRPr="00F4368B">
              <w:t> 1.</w:t>
            </w:r>
          </w:p>
        </w:tc>
        <w:tc>
          <w:tcPr>
            <w:tcW w:w="2575" w:type="dxa"/>
          </w:tcPr>
          <w:p w:rsidR="00193E45" w:rsidRPr="00F4368B" w:rsidP="00F4368B" w14:paraId="57D94965" w14:textId="77777777">
            <w:r w:rsidRPr="00F4368B">
              <w:t>Pamatojums</w:t>
            </w:r>
          </w:p>
        </w:tc>
        <w:tc>
          <w:tcPr>
            <w:tcW w:w="5962" w:type="dxa"/>
          </w:tcPr>
          <w:p w:rsidR="00375AA6" w:rsidRPr="00375AA6" w:rsidP="008B2837" w14:paraId="623EBD2A" w14:textId="3E2C6B8F">
            <w:pPr>
              <w:jc w:val="both"/>
              <w:rPr>
                <w:bCs/>
              </w:rPr>
            </w:pPr>
            <w:r w:rsidRPr="00E27851">
              <w:rPr>
                <w:bCs/>
              </w:rPr>
              <w:t>Ministru kabineta 2017.gada 25.oktobra rīkojum</w:t>
            </w:r>
            <w:r>
              <w:rPr>
                <w:bCs/>
              </w:rPr>
              <w:t>s</w:t>
            </w:r>
            <w:r w:rsidRPr="00E27851">
              <w:rPr>
                <w:bCs/>
              </w:rPr>
              <w:t xml:space="preserve"> Nr.603 “Par valsts sabiedrības ar ierobežotu atbildību “Latvijas Nacionālais akreditācijas birojs” pārveides par valsts aģentūru “Latvijas Nacionālais akreditācijas birojs” uzsākšanu”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Pr="00375AA6">
              <w:rPr>
                <w:bCs/>
              </w:rPr>
              <w:t>(prot. Nr. 52 1. §)</w:t>
            </w:r>
            <w:r>
              <w:rPr>
                <w:bCs/>
              </w:rPr>
              <w:t>.</w:t>
            </w:r>
          </w:p>
          <w:p w:rsidR="00193E45" w:rsidRPr="00F4368B" w:rsidP="008B2837" w14:paraId="45E17BFC" w14:textId="34B4CEC4">
            <w:pPr>
              <w:jc w:val="both"/>
            </w:pPr>
            <w:r>
              <w:rPr>
                <w:rFonts w:eastAsia="SimSun"/>
                <w:lang w:eastAsia="zh-CN"/>
              </w:rPr>
              <w:t>Likuma</w:t>
            </w:r>
            <w:r w:rsidRPr="008B2837">
              <w:rPr>
                <w:rFonts w:eastAsia="SimSun"/>
                <w:lang w:eastAsia="zh-CN"/>
              </w:rPr>
              <w:t xml:space="preserve"> "Par atbilstības novērtēšanu"</w:t>
            </w:r>
            <w:r>
              <w:rPr>
                <w:rFonts w:eastAsia="SimSun"/>
                <w:lang w:eastAsia="zh-CN"/>
              </w:rPr>
              <w:t xml:space="preserve"> 13.panta pirmā daļa</w:t>
            </w:r>
            <w:r w:rsidRPr="008B2837">
              <w:rPr>
                <w:rFonts w:eastAsia="SimSun"/>
                <w:lang w:eastAsia="zh-CN"/>
              </w:rPr>
              <w:t xml:space="preserve"> un Vides aizs</w:t>
            </w:r>
            <w:r>
              <w:rPr>
                <w:rFonts w:eastAsia="SimSun"/>
                <w:lang w:eastAsia="zh-CN"/>
              </w:rPr>
              <w:t>ardzības likuma 39.panta ceturtā</w:t>
            </w:r>
            <w:r w:rsidRPr="008B2837">
              <w:rPr>
                <w:rFonts w:eastAsia="SimSun"/>
                <w:lang w:eastAsia="zh-CN"/>
              </w:rPr>
              <w:t xml:space="preserve"> daļ</w:t>
            </w:r>
            <w:r>
              <w:rPr>
                <w:rFonts w:eastAsia="SimSun"/>
                <w:lang w:eastAsia="zh-CN"/>
              </w:rPr>
              <w:t>a</w:t>
            </w:r>
          </w:p>
        </w:tc>
      </w:tr>
      <w:tr w14:paraId="1DE44C4B" w14:textId="77777777" w:rsidTr="00C3416B">
        <w:tblPrEx>
          <w:tblW w:w="0" w:type="auto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05"/>
        </w:trPr>
        <w:tc>
          <w:tcPr>
            <w:tcW w:w="524" w:type="dxa"/>
          </w:tcPr>
          <w:p w:rsidR="00193E45" w:rsidRPr="00F4368B" w:rsidP="00F4368B" w14:paraId="1CA20CC0" w14:textId="77777777">
            <w:r w:rsidRPr="00F4368B">
              <w:t> 2.</w:t>
            </w:r>
          </w:p>
        </w:tc>
        <w:tc>
          <w:tcPr>
            <w:tcW w:w="2575" w:type="dxa"/>
          </w:tcPr>
          <w:p w:rsidR="00193E45" w:rsidRPr="00F4368B" w:rsidP="00F4368B" w14:paraId="0FCFD454" w14:textId="77777777">
            <w:r w:rsidRPr="00F4368B">
              <w:t>Pašreizējā situācija un problēmas, kuru risināšanai tiesību akta projekts izstrādāts, tiesiskā regulējuma mērķis un būtība</w:t>
            </w:r>
          </w:p>
        </w:tc>
        <w:tc>
          <w:tcPr>
            <w:tcW w:w="5962" w:type="dxa"/>
          </w:tcPr>
          <w:p w:rsidR="00F21F0E" w:rsidP="00CA06C8" w14:paraId="74020B5A" w14:textId="59FB0FBB">
            <w:pPr>
              <w:pStyle w:val="naiskr"/>
              <w:ind w:right="57"/>
              <w:jc w:val="both"/>
            </w:pPr>
            <w:r>
              <w:t>N</w:t>
            </w:r>
            <w:r w:rsidRPr="00F21F0E">
              <w:t>acionālā</w:t>
            </w:r>
            <w:r>
              <w:t xml:space="preserve">s akreditācijas sistēmas darbība, kas sevī ietver atbilstības novērtēšanas institūciju </w:t>
            </w:r>
            <w:r w:rsidRPr="00F21F0E">
              <w:t>novērtēšanu, akreditāciju un uzraudzību</w:t>
            </w:r>
            <w:r>
              <w:t xml:space="preserve"> ir noteikta </w:t>
            </w:r>
            <w:r w:rsidRPr="00F21F0E">
              <w:t>Ministru kabineta</w:t>
            </w:r>
            <w:r>
              <w:t xml:space="preserve"> 2008.gada 16.decembra noteikumos</w:t>
            </w:r>
            <w:r w:rsidRPr="00F21F0E">
              <w:t xml:space="preserve"> Nr.1059 "Noteikumi par atbilstības novērtēšanas institūciju novērtēšanu, akreditāciju un uzraudzību" (turpmāk – Noteikumi)</w:t>
            </w:r>
            <w:r>
              <w:t>.</w:t>
            </w:r>
          </w:p>
          <w:p w:rsidR="00F21F0E" w:rsidP="00CA06C8" w14:paraId="0F976249" w14:textId="5987BDD5">
            <w:pPr>
              <w:pStyle w:val="naiskr"/>
              <w:ind w:right="57"/>
              <w:jc w:val="both"/>
            </w:pPr>
            <w:r>
              <w:t>Noteikumu 2.punk</w:t>
            </w:r>
            <w:r w:rsidR="008B146D">
              <w:t xml:space="preserve">s nosaka, ka </w:t>
            </w:r>
            <w:r w:rsidRPr="00F21F0E">
              <w:t xml:space="preserve">Sabiedrības ar ierobežotu atbildību "Standartizācijas, akreditācijas un metroloģijas centrs" struktūrvienība – Latvijas Nacionālais akreditācijas birojs (turpmāk – </w:t>
            </w:r>
            <w:r>
              <w:t>LATAK</w:t>
            </w:r>
            <w:r w:rsidRPr="00F21F0E">
              <w:t>) Eiropas Savienības tiesību aktu izpratnē nacionālā līmenī darbojas kā nacionālā akreditācijas institūcija.</w:t>
            </w:r>
          </w:p>
          <w:p w:rsidR="00F87500" w:rsidP="00CA06C8" w14:paraId="2EF594B5" w14:textId="31E91032">
            <w:pPr>
              <w:pStyle w:val="naiskr"/>
              <w:ind w:right="57"/>
              <w:jc w:val="both"/>
            </w:pPr>
            <w:r>
              <w:t>Atbilstoši Ministru kabineta 2017.gada 25.oktobra rīkojum</w:t>
            </w:r>
            <w:r>
              <w:t>a</w:t>
            </w:r>
            <w:r w:rsidR="00F12A88">
              <w:t>m</w:t>
            </w:r>
            <w:r>
              <w:t xml:space="preserve"> Nr</w:t>
            </w:r>
            <w:r>
              <w:t>.</w:t>
            </w:r>
            <w:r>
              <w:t>603 “</w:t>
            </w:r>
            <w:r w:rsidRPr="00CA06C8">
              <w:t>Par valsts sabiedrības ar ierobežotu atbildību "Latvijas Nacionālais akreditācijas birojs" pārveides par valsts aģentūru "Latvijas Nacionālais akreditācijas birojs" uzsākšanu</w:t>
            </w:r>
            <w:r>
              <w:t>”</w:t>
            </w:r>
            <w:r>
              <w:t xml:space="preserve"> (turpmāk – Rīkojums) tiek noteikta </w:t>
            </w:r>
            <w:r w:rsidRPr="00F87500">
              <w:t>valsts sabiedrības ar ierobežotu atbildību "Latvijas Nacionālais akreditācijas bi</w:t>
            </w:r>
            <w:r>
              <w:t>rojs" (turpmāk – LATAK) pārveides procesa uzsākšana</w:t>
            </w:r>
            <w:r w:rsidRPr="00F87500">
              <w:t xml:space="preserve"> par valsts aģentūru</w:t>
            </w:r>
            <w:r w:rsidR="00F12A88">
              <w:t xml:space="preserve">. </w:t>
            </w:r>
          </w:p>
          <w:p w:rsidR="008B146D" w:rsidP="008B146D" w14:paraId="27A02A89" w14:textId="0748E398">
            <w:pPr>
              <w:pStyle w:val="naiskr"/>
              <w:ind w:right="57"/>
              <w:jc w:val="both"/>
            </w:pPr>
            <w:r w:rsidRPr="00F12A88">
              <w:t xml:space="preserve">Ņemot vērā </w:t>
            </w:r>
            <w:r>
              <w:t>Rīkojumā noteikto</w:t>
            </w:r>
            <w:r w:rsidRPr="00F12A88">
              <w:t xml:space="preserve"> </w:t>
            </w:r>
            <w:r w:rsidR="00582069">
              <w:t>LATAK</w:t>
            </w:r>
            <w:r w:rsidRPr="00F12A88">
              <w:t xml:space="preserve"> reorganizāciju</w:t>
            </w:r>
            <w:r w:rsidR="00F21F0E">
              <w:t xml:space="preserve"> un Noteikumu 2.punktā noteikto, </w:t>
            </w:r>
            <w:r>
              <w:t>ar noteikumu projektu tiek noteiktas, ka valsts aģentūra “</w:t>
            </w:r>
            <w:r w:rsidRPr="008B146D">
              <w:t>Latvijas Nacionālais akreditācijas birojs</w:t>
            </w:r>
            <w:r>
              <w:t>” nacionālajā līmenī</w:t>
            </w:r>
            <w:r w:rsidR="00F21F0E">
              <w:t xml:space="preserve"> </w:t>
            </w:r>
            <w:r>
              <w:t xml:space="preserve">tiek noteikta kā </w:t>
            </w:r>
            <w:r w:rsidRPr="008B146D">
              <w:t>nacionālā akreditācijas institūcija</w:t>
            </w:r>
            <w:r>
              <w:t xml:space="preserve"> </w:t>
            </w:r>
            <w:r w:rsidRPr="008B146D">
              <w:t>Eiropas Savienības tiesību aktu izpratnē</w:t>
            </w:r>
            <w:r w:rsidR="00F44B38">
              <w:t xml:space="preserve"> sākot ar </w:t>
            </w:r>
            <w:r w:rsidRPr="00DA4463" w:rsidR="00F44B38">
              <w:t>2018.gada 1.</w:t>
            </w:r>
            <w:r w:rsidRPr="00DA4463" w:rsidR="00882531">
              <w:t>martu</w:t>
            </w:r>
            <w:r w:rsidR="00F44B38">
              <w:t xml:space="preserve"> (valsts aģentūras izveides datums).</w:t>
            </w:r>
          </w:p>
          <w:p w:rsidR="00E415DA" w:rsidP="008B146D" w14:paraId="6701DF75" w14:textId="77777777">
            <w:pPr>
              <w:pStyle w:val="naiskr"/>
              <w:ind w:right="57"/>
              <w:jc w:val="both"/>
            </w:pPr>
            <w:r>
              <w:t xml:space="preserve">2016.gada 16.decembra Nacionālas akreditācijas padomes sēdēs laikā tika pieņemts </w:t>
            </w:r>
            <w:r w:rsidR="005146A8">
              <w:t xml:space="preserve">lēmums par </w:t>
            </w:r>
            <w:r w:rsidRPr="005146A8" w:rsidR="005146A8">
              <w:t>prasmju pārbaudes organizētāju</w:t>
            </w:r>
            <w:r w:rsidR="004B2827">
              <w:t xml:space="preserve">, </w:t>
            </w:r>
            <w:r w:rsidRPr="004B2827" w:rsidR="004B2827">
              <w:t>validēšanas un verific</w:t>
            </w:r>
            <w:r w:rsidR="004B2827">
              <w:t xml:space="preserve">ēšanas institūcijas </w:t>
            </w:r>
            <w:r w:rsidR="005146A8">
              <w:t xml:space="preserve"> akreditācijas jomas ieviešanu. </w:t>
            </w:r>
            <w:r w:rsidRPr="00E60F02" w:rsidR="005146A8">
              <w:t>Ņemot vērā, ka Noteikumos ir noteiktas jomas, kurās LATAK veic akreditāciju, ar Noteikumu projektu tiek papildinātas jomas (prasmju pārbaudes organizētāju</w:t>
            </w:r>
            <w:r w:rsidRPr="00E60F02" w:rsidR="004B2827">
              <w:t>, validēšanas un verificēšanas institūcijas</w:t>
            </w:r>
            <w:r w:rsidRPr="00E60F02" w:rsidR="005146A8">
              <w:t xml:space="preserve"> akreditācija), kurās LATK veic akreditāciju</w:t>
            </w:r>
            <w:r w:rsidRPr="00E60F02" w:rsidR="004B2827">
              <w:t xml:space="preserve"> atbilstoši Eiropas Parlamenta un Padomes 2008. gada 9. jūlija Regulu (EK) Nr. 765/2008 ar ko nosaka akreditācijas un tirgus uzraudzības prasības attiecībā uz</w:t>
            </w:r>
            <w:r w:rsidRPr="004B2827" w:rsidR="004B2827">
              <w:rPr>
                <w:b/>
              </w:rPr>
              <w:t xml:space="preserve"> </w:t>
            </w:r>
            <w:r w:rsidRPr="00E60F02" w:rsidR="004B2827">
              <w:t xml:space="preserve">produktu tirdzniecību un </w:t>
            </w:r>
            <w:r w:rsidRPr="00E60F02" w:rsidR="004B2827">
              <w:t>atceļ Regulu (EEK) Nr. 339/93 (turpmāk – Regula) un tās piemērojamajiem standartiem</w:t>
            </w:r>
            <w:r w:rsidRPr="00E60F02" w:rsidR="005146A8">
              <w:t>.</w:t>
            </w:r>
            <w:r w:rsidRPr="00E60F02" w:rsidR="00080485">
              <w:t xml:space="preserve"> </w:t>
            </w:r>
            <w:r w:rsidRPr="00E60F02" w:rsidR="005A208D">
              <w:t>Ņ</w:t>
            </w:r>
            <w:r w:rsidRPr="00E60F02" w:rsidR="00080485">
              <w:t>emot vēr</w:t>
            </w:r>
            <w:r w:rsidRPr="00E60F02" w:rsidR="005A208D">
              <w:t>ā</w:t>
            </w:r>
            <w:r w:rsidRPr="00E60F02" w:rsidR="00080485">
              <w:t xml:space="preserve"> ka </w:t>
            </w:r>
            <w:r w:rsidRPr="00E60F02" w:rsidR="005A208D">
              <w:t>Noteikumi tiek papildināti ar jaunām akreditācijas jomām, vienlaikus tiek papildināts atbilstības novērtēšanas institūcijas apzīmējumu saraksts (pielikuma 2.1.punkts)</w:t>
            </w:r>
            <w:r>
              <w:t xml:space="preserve">. </w:t>
            </w:r>
          </w:p>
          <w:p w:rsidR="00F44B38" w:rsidP="008B146D" w14:paraId="207160F7" w14:textId="081349C6">
            <w:pPr>
              <w:pStyle w:val="naiskr"/>
              <w:ind w:right="57"/>
              <w:jc w:val="both"/>
            </w:pPr>
            <w:r>
              <w:t>Vienlaikus, lai nodrošinātu skaidrāku Noteikumu normu piemērošanu un pietuvinātu tās kopējai Eiropas Savienības tiesību sistēmai akreditācijas jomā, ar Noteikumu projektu tiek veikti tehniska rakstura (nemainot būtību) labojumi un preciz</w:t>
            </w:r>
            <w:r w:rsidR="00F077B7">
              <w:t>ējumi:</w:t>
            </w:r>
          </w:p>
          <w:p w:rsidR="00F077B7" w:rsidP="008B146D" w14:paraId="07A73D98" w14:textId="2D4E3AE6">
            <w:pPr>
              <w:pStyle w:val="naiskr"/>
              <w:ind w:right="57"/>
              <w:jc w:val="both"/>
            </w:pPr>
            <w:r>
              <w:t>1)</w:t>
            </w:r>
            <w:r w:rsidR="00882531">
              <w:t xml:space="preserve"> </w:t>
            </w:r>
            <w:r>
              <w:t xml:space="preserve">Tiek svītroti atbilstības novērtēšanas institūciju akreditācijas standarti. Ņemot vēra, ka akreditāciju LATAK veic </w:t>
            </w:r>
            <w:r w:rsidR="004B2827">
              <w:t>saskaņā ar Regulu</w:t>
            </w:r>
            <w:r>
              <w:t xml:space="preserve"> un tās piemērojamajiem standartiem, nav nepieciešams standartus dublēt Noteikumos.</w:t>
            </w:r>
          </w:p>
          <w:p w:rsidR="00F077B7" w:rsidP="008B146D" w14:paraId="5B0FCB4B" w14:textId="77777777">
            <w:pPr>
              <w:pStyle w:val="naiskr"/>
              <w:ind w:right="57"/>
              <w:jc w:val="both"/>
            </w:pPr>
            <w:r>
              <w:t xml:space="preserve">2) </w:t>
            </w:r>
            <w:r w:rsidR="00902188">
              <w:t>Skaidrāk noteikts akreditācijas procesa uzsākšanas brīdis.</w:t>
            </w:r>
          </w:p>
          <w:p w:rsidR="00902188" w:rsidRPr="00E60F02" w:rsidP="00902188" w14:paraId="3E780854" w14:textId="465491CA">
            <w:pPr>
              <w:pStyle w:val="naiskr"/>
              <w:ind w:right="57"/>
              <w:jc w:val="both"/>
            </w:pPr>
            <w:r w:rsidRPr="00E60F02">
              <w:t>3) Skaidrāk noteikta akreditācijas procesā iesaistīto ekspertu atlases kārtība</w:t>
            </w:r>
            <w:r w:rsidRPr="00E60F02" w:rsidR="004B2827">
              <w:t>, proti, piesaista tos attiecīgās vērtēšanas jomas ekspertus, kuru kompetenci ir izvērtējis birojs un kuri iekļauti kopējā biroja ekspertu sarakstā. Izvērtējot ekspertu kompetenci</w:t>
            </w:r>
            <w:r w:rsidRPr="00E60F02" w:rsidR="004E77D6">
              <w:t>, LATAK vērtē ekspertu</w:t>
            </w:r>
            <w:r w:rsidRPr="00E60F02" w:rsidR="004B2827">
              <w:t xml:space="preserve"> izglītība</w:t>
            </w:r>
            <w:r w:rsidRPr="00E60F02" w:rsidR="004E77D6">
              <w:t>s</w:t>
            </w:r>
            <w:r w:rsidRPr="00E60F02" w:rsidR="004B2827">
              <w:t>, darba pieredze</w:t>
            </w:r>
            <w:r w:rsidRPr="00E60F02" w:rsidR="004E77D6">
              <w:t>s</w:t>
            </w:r>
            <w:r w:rsidRPr="00E60F02" w:rsidR="004B2827">
              <w:t xml:space="preserve">, </w:t>
            </w:r>
            <w:r w:rsidRPr="00E60F02" w:rsidR="004E77D6">
              <w:t>praktisko un teorētisko iemaņu attiecīgajā jomā atbilstību nepieciešamo darbu veikšanai atbilstības novērtēšanas institūciju akreditācijas procesā. Tos ekspertus, kas atbilst noteiktajiem kritērijiem LATAK iekļauj kopējā ekspertu sarakstā, kas publicēts LATAK tīmekļvietnē (</w:t>
            </w:r>
            <w:r>
              <w:fldChar w:fldCharType="begin"/>
            </w:r>
            <w:r>
              <w:instrText xml:space="preserve"> HYPERLINK "http://www.latak.lv" </w:instrText>
            </w:r>
            <w:r>
              <w:fldChar w:fldCharType="separate"/>
            </w:r>
            <w:r w:rsidRPr="00E60F02" w:rsidR="004E77D6">
              <w:rPr>
                <w:rStyle w:val="Hyperlink"/>
              </w:rPr>
              <w:t>www.latak.lv</w:t>
            </w:r>
            <w:r>
              <w:fldChar w:fldCharType="end"/>
            </w:r>
            <w:r w:rsidRPr="00E60F02" w:rsidR="004E77D6">
              <w:t>). Savukārt piesaistot ekspertus no kopējā saraksta</w:t>
            </w:r>
            <w:r w:rsidRPr="00E60F02" w:rsidR="008A2FC4">
              <w:t xml:space="preserve"> akreditācijas procesam</w:t>
            </w:r>
            <w:r w:rsidRPr="00E60F02" w:rsidR="004E77D6">
              <w:t>, LATAK izvērtē eksperta kompetences atbilstību konkrētai jomai un šī eksperta neatkarību (interešu konflikta neesam</w:t>
            </w:r>
            <w:r w:rsidRPr="00E60F02" w:rsidR="008A2FC4">
              <w:t>ību) no</w:t>
            </w:r>
            <w:r w:rsidRPr="00E60F02" w:rsidR="004E77D6">
              <w:t xml:space="preserve"> instit</w:t>
            </w:r>
            <w:r w:rsidRPr="00E60F02" w:rsidR="008A2FC4">
              <w:t>ūcijas, kuras akreditācijas procesa veikšanai tiks piesaistīts attiecīgais eksperts.</w:t>
            </w:r>
          </w:p>
        </w:tc>
      </w:tr>
      <w:tr w14:paraId="7D059B94" w14:textId="77777777" w:rsidTr="00C3416B">
        <w:tblPrEx>
          <w:tblW w:w="0" w:type="auto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06"/>
        </w:trPr>
        <w:tc>
          <w:tcPr>
            <w:tcW w:w="524" w:type="dxa"/>
          </w:tcPr>
          <w:p w:rsidR="00193E45" w:rsidRPr="00F4368B" w:rsidP="00F4368B" w14:paraId="5A4FA18D" w14:textId="77777777">
            <w:r w:rsidRPr="00F4368B">
              <w:t> 3.</w:t>
            </w:r>
          </w:p>
        </w:tc>
        <w:tc>
          <w:tcPr>
            <w:tcW w:w="2575" w:type="dxa"/>
          </w:tcPr>
          <w:p w:rsidR="00193E45" w:rsidRPr="00F4368B" w:rsidP="00F4368B" w14:paraId="3BF582ED" w14:textId="77777777">
            <w:r w:rsidRPr="00F4368B">
              <w:t>Projekta izstrādē iesaistītās institūcijas</w:t>
            </w:r>
          </w:p>
        </w:tc>
        <w:tc>
          <w:tcPr>
            <w:tcW w:w="5962" w:type="dxa"/>
          </w:tcPr>
          <w:p w:rsidR="00193E45" w:rsidRPr="00F4368B" w:rsidP="004106EE" w14:paraId="54AC9CBB" w14:textId="3FFCB862">
            <w:pPr>
              <w:jc w:val="both"/>
            </w:pPr>
            <w:r>
              <w:t>Ekonomikas ministrija</w:t>
            </w:r>
          </w:p>
        </w:tc>
      </w:tr>
      <w:tr w14:paraId="3DB00218" w14:textId="77777777" w:rsidTr="00C3416B">
        <w:tblPrEx>
          <w:tblW w:w="0" w:type="auto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84"/>
        </w:trPr>
        <w:tc>
          <w:tcPr>
            <w:tcW w:w="524" w:type="dxa"/>
          </w:tcPr>
          <w:p w:rsidR="00193E45" w:rsidRPr="00F4368B" w:rsidP="00F4368B" w14:paraId="5B2E8150" w14:textId="77777777">
            <w:r w:rsidRPr="00F4368B">
              <w:t> 4.</w:t>
            </w:r>
          </w:p>
        </w:tc>
        <w:tc>
          <w:tcPr>
            <w:tcW w:w="2575" w:type="dxa"/>
          </w:tcPr>
          <w:p w:rsidR="00193E45" w:rsidRPr="00F4368B" w:rsidP="00F4368B" w14:paraId="2223C057" w14:textId="77777777">
            <w:r w:rsidRPr="00F4368B">
              <w:t>Cita informācija</w:t>
            </w:r>
          </w:p>
        </w:tc>
        <w:tc>
          <w:tcPr>
            <w:tcW w:w="5962" w:type="dxa"/>
          </w:tcPr>
          <w:p w:rsidR="00193E45" w:rsidRPr="00F4368B" w:rsidP="00F4368B" w14:paraId="5096A11F" w14:textId="77777777">
            <w:pPr>
              <w:pStyle w:val="naiskr"/>
              <w:spacing w:before="0" w:after="0"/>
              <w:jc w:val="both"/>
            </w:pPr>
            <w:r w:rsidRPr="00F4368B">
              <w:t xml:space="preserve"> </w:t>
            </w:r>
            <w:r w:rsidRPr="00F4368B">
              <w:t>Nav</w:t>
            </w:r>
          </w:p>
        </w:tc>
      </w:tr>
    </w:tbl>
    <w:p w:rsidR="00193E45" w:rsidRPr="00F4368B" w:rsidP="00F4368B" w14:paraId="244D38C6" w14:textId="77777777">
      <w:pPr>
        <w:rPr>
          <w:color w:val="FF0000"/>
        </w:rPr>
      </w:pPr>
    </w:p>
    <w:tbl>
      <w:tblPr>
        <w:tblW w:w="9061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2576"/>
        <w:gridCol w:w="5962"/>
      </w:tblGrid>
      <w:tr w14:paraId="10D88855" w14:textId="77777777" w:rsidTr="00C57A4A">
        <w:tblPrEx>
          <w:tblW w:w="9061" w:type="dxa"/>
          <w:tblInd w:w="15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45" w:rsidRPr="00F4368B" w:rsidP="00F4368B" w14:paraId="4187C68B" w14:textId="77777777">
            <w:pPr>
              <w:jc w:val="center"/>
              <w:rPr>
                <w:b/>
              </w:rPr>
            </w:pPr>
            <w:r w:rsidRPr="00F4368B">
              <w:rPr>
                <w:b/>
              </w:rPr>
              <w:t>II. Tiesību akta projekta ietekme uz sabiedrību tautsaimniecības attīstību un administratīvo slogu</w:t>
            </w:r>
          </w:p>
        </w:tc>
      </w:tr>
      <w:tr w14:paraId="6411EB63" w14:textId="77777777" w:rsidTr="00C57A4A">
        <w:tblPrEx>
          <w:tblW w:w="9061" w:type="dxa"/>
          <w:tblInd w:w="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F4368B" w:rsidP="00F4368B" w14:paraId="5DF2E371" w14:textId="77777777">
            <w:r w:rsidRPr="00F4368B">
              <w:t> 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F4368B" w:rsidP="00F4368B" w14:paraId="4A0C5997" w14:textId="77777777">
            <w:r w:rsidRPr="00F4368B">
              <w:t xml:space="preserve">Sabiedrības </w:t>
            </w:r>
            <w:r w:rsidRPr="00F4368B">
              <w:t>mērķgrupas</w:t>
            </w:r>
            <w:r w:rsidRPr="00F4368B">
              <w:t>, kuras tiesiskais regulējums  ietekmē vai varētu ietekmēt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C57A4A" w:rsidP="00B41862" w14:paraId="56D5D324" w14:textId="254DDE69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Noteikumu projekts attiecas uz </w:t>
            </w:r>
            <w:r w:rsidR="008B2837">
              <w:rPr>
                <w:iCs/>
              </w:rPr>
              <w:t>LATAK un atbil</w:t>
            </w:r>
            <w:r>
              <w:rPr>
                <w:iCs/>
              </w:rPr>
              <w:t>stības novērtēšanas institūcijām</w:t>
            </w:r>
            <w:r w:rsidR="008B2837">
              <w:rPr>
                <w:iCs/>
              </w:rPr>
              <w:t>.</w:t>
            </w:r>
          </w:p>
        </w:tc>
      </w:tr>
      <w:tr w14:paraId="4C633778" w14:textId="77777777" w:rsidTr="00C57A4A">
        <w:tblPrEx>
          <w:tblW w:w="9061" w:type="dxa"/>
          <w:tblInd w:w="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5E3878" w:rsidP="00F4368B" w14:paraId="1E80109B" w14:textId="77777777">
            <w:r w:rsidRPr="005E3878">
              <w:t> 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5E3878" w:rsidP="00F4368B" w14:paraId="3209C368" w14:textId="77777777">
            <w:r w:rsidRPr="005E3878">
              <w:t>Tiesiskā regulējuma ietekme uz tautsaimniecību un administratīvo slogu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C2" w:rsidP="00345DB3" w14:paraId="406FB124" w14:textId="3D023AE1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5146A8">
              <w:rPr>
                <w:iCs/>
              </w:rPr>
              <w:t xml:space="preserve">Ar noteikumu projektu tiek noteikta institūcija, kas sākot ar </w:t>
            </w:r>
            <w:bookmarkStart w:id="5" w:name="_GoBack"/>
            <w:r w:rsidRPr="00DA4463" w:rsidR="005146A8">
              <w:rPr>
                <w:iCs/>
              </w:rPr>
              <w:t>2018.gada 1.</w:t>
            </w:r>
            <w:r w:rsidRPr="00DA4463" w:rsidR="00882531">
              <w:rPr>
                <w:iCs/>
              </w:rPr>
              <w:t>martu</w:t>
            </w:r>
            <w:r w:rsidR="005146A8">
              <w:rPr>
                <w:iCs/>
              </w:rPr>
              <w:t xml:space="preserve"> </w:t>
            </w:r>
            <w:bookmarkEnd w:id="5"/>
            <w:r w:rsidR="005146A8">
              <w:rPr>
                <w:iCs/>
              </w:rPr>
              <w:t>pildīs nacionālās akreditācijas institūcijas pienākumus.</w:t>
            </w:r>
          </w:p>
          <w:p w:rsidR="005146A8" w:rsidP="00345DB3" w14:paraId="34FCE2DB" w14:textId="77777777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Vienlaikus tiek ieviesta jauna joma, kurā </w:t>
            </w:r>
            <w:r w:rsidR="00BC7ED7">
              <w:rPr>
                <w:iCs/>
              </w:rPr>
              <w:t>atbilstības novērtēšanas institūcija var iegūt akreditāciju.</w:t>
            </w:r>
          </w:p>
          <w:p w:rsidR="00BC7ED7" w:rsidP="00345DB3" w14:paraId="71FA50D6" w14:textId="7C4C56CF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Savukārt lai atvieglotu Noteikumu normu piemērošanu, tiek veikti tehniska rakstura labojumi.</w:t>
            </w:r>
          </w:p>
          <w:p w:rsidR="00BC7ED7" w:rsidRPr="005E3878" w:rsidP="00345DB3" w14:paraId="3CA977BC" w14:textId="47C13D83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Kopumā N</w:t>
            </w:r>
            <w:r w:rsidRPr="00BC7ED7">
              <w:rPr>
                <w:iCs/>
              </w:rPr>
              <w:t>oteikumu projekts uzlabo uzņēmējdarbības vidi</w:t>
            </w:r>
            <w:r>
              <w:rPr>
                <w:iCs/>
              </w:rPr>
              <w:t>.</w:t>
            </w:r>
          </w:p>
        </w:tc>
      </w:tr>
      <w:tr w14:paraId="13650AAD" w14:textId="77777777" w:rsidTr="00C57A4A">
        <w:tblPrEx>
          <w:tblW w:w="9061" w:type="dxa"/>
          <w:tblInd w:w="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115876" w:rsidP="00F4368B" w14:paraId="1553DE13" w14:textId="77777777">
            <w:r w:rsidRPr="00115876">
              <w:t> 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115876" w:rsidP="00F4368B" w14:paraId="4D7B2C75" w14:textId="77777777">
            <w:r w:rsidRPr="00115876">
              <w:t>Administratīvo izmaksu monetārs novērtējums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9D" w:rsidRPr="00115876" w:rsidP="00F4368B" w14:paraId="09656F21" w14:textId="288A43AB">
            <w:pPr>
              <w:jc w:val="both"/>
            </w:pPr>
            <w:r w:rsidRPr="00115876">
              <w:t>Projekta normas nerada</w:t>
            </w:r>
            <w:r w:rsidR="00BC7ED7">
              <w:t xml:space="preserve"> administratīvās </w:t>
            </w:r>
            <w:r w:rsidRPr="00115876">
              <w:t>izmaksas.</w:t>
            </w:r>
          </w:p>
        </w:tc>
      </w:tr>
      <w:tr w14:paraId="52C77797" w14:textId="77777777" w:rsidTr="00C57A4A">
        <w:tblPrEx>
          <w:tblW w:w="9061" w:type="dxa"/>
          <w:tblInd w:w="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115876" w:rsidP="00F4368B" w14:paraId="26573F7A" w14:textId="77777777">
            <w:r w:rsidRPr="00115876">
              <w:t> 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115876" w:rsidP="00F4368B" w14:paraId="7C2B00BC" w14:textId="77777777">
            <w:r w:rsidRPr="00115876">
              <w:t> Cita informācija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115876" w:rsidP="00F4368B" w14:paraId="18C82F33" w14:textId="77777777">
            <w:pPr>
              <w:jc w:val="both"/>
            </w:pPr>
            <w:r w:rsidRPr="00115876">
              <w:t xml:space="preserve"> </w:t>
            </w:r>
            <w:r w:rsidRPr="00115876">
              <w:t>Nav</w:t>
            </w:r>
          </w:p>
        </w:tc>
      </w:tr>
    </w:tbl>
    <w:p w:rsidR="00115876" w:rsidP="00F4368B" w14:paraId="7158A936" w14:textId="540E3302"/>
    <w:tbl>
      <w:tblPr>
        <w:tblStyle w:val="TableGrid"/>
        <w:tblW w:w="9067" w:type="dxa"/>
        <w:tblLook w:val="04A0"/>
      </w:tblPr>
      <w:tblGrid>
        <w:gridCol w:w="9067"/>
      </w:tblGrid>
      <w:tr w14:paraId="6906B350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F4368B" w:rsidP="00B07D1F" w14:paraId="127336B7" w14:textId="6D5D13C8">
            <w:pPr>
              <w:jc w:val="center"/>
              <w:rPr>
                <w:b/>
              </w:rPr>
            </w:pPr>
            <w:r w:rsidRPr="00DE24B6">
              <w:rPr>
                <w:b/>
              </w:rPr>
              <w:t>III. Tiesību akta projekta ietekme uz valsts budžetu un pašvaldību budžetiem</w:t>
            </w:r>
          </w:p>
        </w:tc>
      </w:tr>
      <w:tr w14:paraId="67ADF75C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DE24B6" w:rsidP="00B07D1F" w14:paraId="2E78B469" w14:textId="33BE7793">
            <w:pPr>
              <w:jc w:val="center"/>
            </w:pPr>
            <w:r w:rsidRPr="00DE24B6">
              <w:t>Projekts šo jomu neskar</w:t>
            </w:r>
          </w:p>
        </w:tc>
      </w:tr>
    </w:tbl>
    <w:p w:rsidR="00DE24B6" w:rsidP="00F4368B" w14:paraId="3FC7C17F" w14:textId="77777777"/>
    <w:tbl>
      <w:tblPr>
        <w:tblStyle w:val="TableGrid"/>
        <w:tblW w:w="9067" w:type="dxa"/>
        <w:tblLook w:val="04A0"/>
      </w:tblPr>
      <w:tblGrid>
        <w:gridCol w:w="9067"/>
      </w:tblGrid>
      <w:tr w14:paraId="48E6AFED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F4368B" w:rsidP="00B07D1F" w14:paraId="42DA39C2" w14:textId="261C2A3B">
            <w:pPr>
              <w:jc w:val="center"/>
              <w:rPr>
                <w:b/>
              </w:rPr>
            </w:pPr>
            <w:r w:rsidRPr="00DE24B6">
              <w:rPr>
                <w:b/>
              </w:rPr>
              <w:t>IV. Tiesību akta projekta ietekme uz spēkā esošo tiesību normu sistēmu</w:t>
            </w:r>
          </w:p>
        </w:tc>
      </w:tr>
      <w:tr w14:paraId="4813AB27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DE24B6" w:rsidP="00B07D1F" w14:paraId="54F7F8E1" w14:textId="77777777">
            <w:pPr>
              <w:jc w:val="center"/>
            </w:pPr>
            <w:r w:rsidRPr="00DE24B6">
              <w:t>Projekts šo jomu neskar</w:t>
            </w:r>
          </w:p>
        </w:tc>
      </w:tr>
    </w:tbl>
    <w:p w:rsidR="00115876" w:rsidP="00F4368B" w14:paraId="7160654A" w14:textId="105DE43C"/>
    <w:tbl>
      <w:tblPr>
        <w:tblStyle w:val="TableGrid"/>
        <w:tblW w:w="9067" w:type="dxa"/>
        <w:tblLook w:val="04A0"/>
      </w:tblPr>
      <w:tblGrid>
        <w:gridCol w:w="9067"/>
      </w:tblGrid>
      <w:tr w14:paraId="2D9F8558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F4368B" w:rsidP="00B07D1F" w14:paraId="459CDB8D" w14:textId="2417A47D">
            <w:pPr>
              <w:jc w:val="center"/>
              <w:rPr>
                <w:b/>
              </w:rPr>
            </w:pPr>
            <w:r w:rsidRPr="00DE24B6">
              <w:rPr>
                <w:b/>
              </w:rPr>
              <w:t>V. Tiesību akta projekta atbilstība Latvijas Republikas starptautiskajām saistībām</w:t>
            </w:r>
          </w:p>
        </w:tc>
      </w:tr>
      <w:tr w14:paraId="1FA1B454" w14:textId="77777777" w:rsidTr="00B07D1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</w:tcPr>
          <w:p w:rsidR="00DE24B6" w:rsidRPr="00DE24B6" w:rsidP="00B07D1F" w14:paraId="5BCB41A1" w14:textId="77777777">
            <w:pPr>
              <w:jc w:val="center"/>
            </w:pPr>
            <w:r w:rsidRPr="00DE24B6">
              <w:t>Projekts šo jomu neskar</w:t>
            </w:r>
          </w:p>
        </w:tc>
      </w:tr>
    </w:tbl>
    <w:p w:rsidR="00DE24B6" w:rsidP="00F4368B" w14:paraId="7D098E30" w14:textId="5D1478E4"/>
    <w:tbl>
      <w:tblPr>
        <w:tblStyle w:val="TableGrid"/>
        <w:tblW w:w="9067" w:type="dxa"/>
        <w:tblLook w:val="04A0"/>
      </w:tblPr>
      <w:tblGrid>
        <w:gridCol w:w="411"/>
        <w:gridCol w:w="2703"/>
        <w:gridCol w:w="5953"/>
      </w:tblGrid>
      <w:tr w14:paraId="0F10960A" w14:textId="77777777" w:rsidTr="002775AF">
        <w:tblPrEx>
          <w:tblW w:w="9067" w:type="dxa"/>
          <w:tblLook w:val="04A0"/>
        </w:tblPrEx>
        <w:trPr>
          <w:trHeight w:val="273"/>
        </w:trPr>
        <w:tc>
          <w:tcPr>
            <w:tcW w:w="9067" w:type="dxa"/>
            <w:gridSpan w:val="3"/>
          </w:tcPr>
          <w:p w:rsidR="002775AF" w:rsidRPr="00F4368B" w:rsidP="00CF5005" w14:paraId="1A1ABEA6" w14:textId="77777777">
            <w:pPr>
              <w:jc w:val="center"/>
              <w:rPr>
                <w:b/>
              </w:rPr>
            </w:pPr>
            <w:r w:rsidRPr="00F4368B">
              <w:rPr>
                <w:b/>
              </w:rPr>
              <w:t xml:space="preserve">VI. </w:t>
            </w:r>
            <w:r w:rsidRPr="00CF5005">
              <w:rPr>
                <w:b/>
              </w:rPr>
              <w:t>Sabiedrības līdzdalība un komunikācijas aktivitātes</w:t>
            </w:r>
          </w:p>
        </w:tc>
      </w:tr>
      <w:tr w14:paraId="2AA021D7" w14:textId="77777777" w:rsidTr="00B701D2">
        <w:tblPrEx>
          <w:tblW w:w="9067" w:type="dxa"/>
          <w:tblLook w:val="04A0"/>
        </w:tblPrEx>
        <w:trPr>
          <w:cantSplit/>
          <w:trHeight w:val="1265"/>
        </w:trPr>
        <w:tc>
          <w:tcPr>
            <w:tcW w:w="411" w:type="dxa"/>
          </w:tcPr>
          <w:p w:rsidR="002775AF" w:rsidRPr="003216AD" w:rsidP="00F4368B" w14:paraId="0A58A5CC" w14:textId="77777777">
            <w:pPr>
              <w:pStyle w:val="NoSpacing"/>
              <w:jc w:val="both"/>
            </w:pPr>
            <w:r w:rsidRPr="003216AD">
              <w:t>1.</w:t>
            </w:r>
          </w:p>
        </w:tc>
        <w:tc>
          <w:tcPr>
            <w:tcW w:w="2703" w:type="dxa"/>
          </w:tcPr>
          <w:p w:rsidR="00FD37C2" w:rsidRPr="003216AD" w:rsidP="00F4368B" w14:paraId="05DD4460" w14:textId="77777777">
            <w:pPr>
              <w:pStyle w:val="NoSpacing"/>
              <w:jc w:val="both"/>
            </w:pPr>
            <w:r w:rsidRPr="003216AD">
              <w:t>Plānotās sabiedrības līdzdalības un komunikācijas aktivitātes saistībā ar projektu</w:t>
            </w:r>
          </w:p>
          <w:p w:rsidR="002775AF" w:rsidRPr="003216AD" w:rsidP="00FD37C2" w14:paraId="1494D25F" w14:textId="77777777">
            <w:pPr>
              <w:jc w:val="right"/>
            </w:pPr>
          </w:p>
        </w:tc>
        <w:tc>
          <w:tcPr>
            <w:tcW w:w="5953" w:type="dxa"/>
          </w:tcPr>
          <w:p w:rsidR="002775AF" w:rsidRPr="003216AD" w:rsidP="00F4368B" w14:paraId="2C574288" w14:textId="32F8BE38">
            <w:pPr>
              <w:pStyle w:val="NoSpacing"/>
              <w:jc w:val="both"/>
            </w:pPr>
            <w:r w:rsidRPr="00BC7ED7">
              <w:t>Sabiedrības līdzdalība Projekta izstrādē īstenota atbilstoši Ministru kabineta 2009.gada 25.augusta noteikumiem Nr.970 “Sabiedrības līdzdalības kārtība attīstības plānošanas procesā” 7.4.</w:t>
            </w:r>
            <w:r w:rsidRPr="00BC7ED7">
              <w:rPr>
                <w:vertAlign w:val="superscript"/>
              </w:rPr>
              <w:t>1</w:t>
            </w:r>
            <w:r w:rsidRPr="00BC7ED7">
              <w:t xml:space="preserve">apakšpunktā, proti, sabiedrības pārstāvjiem tika dota iespēja rakstiski sniegt viedokli par </w:t>
            </w:r>
            <w:r>
              <w:t>Noteikumu p</w:t>
            </w:r>
            <w:r w:rsidRPr="00BC7ED7">
              <w:t>rojektu tā izstrādes stadijā.</w:t>
            </w:r>
          </w:p>
        </w:tc>
      </w:tr>
      <w:tr w14:paraId="5D323BA3" w14:textId="77777777" w:rsidTr="004106EE">
        <w:tblPrEx>
          <w:tblW w:w="9067" w:type="dxa"/>
          <w:tblLook w:val="04A0"/>
        </w:tblPrEx>
        <w:trPr>
          <w:cantSplit/>
          <w:trHeight w:val="946"/>
        </w:trPr>
        <w:tc>
          <w:tcPr>
            <w:tcW w:w="411" w:type="dxa"/>
          </w:tcPr>
          <w:p w:rsidR="002775AF" w:rsidRPr="003216AD" w:rsidP="00F4368B" w14:paraId="5C3F050D" w14:textId="77777777">
            <w:pPr>
              <w:pStyle w:val="NoSpacing"/>
              <w:jc w:val="both"/>
            </w:pPr>
            <w:r w:rsidRPr="003216AD">
              <w:t>2.</w:t>
            </w:r>
          </w:p>
        </w:tc>
        <w:tc>
          <w:tcPr>
            <w:tcW w:w="2703" w:type="dxa"/>
          </w:tcPr>
          <w:p w:rsidR="002775AF" w:rsidRPr="003216AD" w:rsidP="00F4368B" w14:paraId="78B1BCA7" w14:textId="77777777">
            <w:pPr>
              <w:pStyle w:val="NoSpacing"/>
              <w:jc w:val="both"/>
            </w:pPr>
            <w:r w:rsidRPr="003216AD">
              <w:t>Sabiedrības līdzdalība projekta izstrādē</w:t>
            </w:r>
          </w:p>
        </w:tc>
        <w:tc>
          <w:tcPr>
            <w:tcW w:w="5953" w:type="dxa"/>
          </w:tcPr>
          <w:p w:rsidR="002775AF" w:rsidRPr="003216AD" w:rsidP="004106EE" w14:paraId="559F5950" w14:textId="13BB0604">
            <w:pPr>
              <w:pStyle w:val="NoSpacing"/>
              <w:jc w:val="both"/>
            </w:pPr>
            <w:r w:rsidRPr="00BC7ED7">
              <w:t xml:space="preserve">2017.gada  </w:t>
            </w:r>
            <w:r>
              <w:t>13</w:t>
            </w:r>
            <w:r w:rsidR="007A560E">
              <w:t xml:space="preserve">.novembrī Noteikumu projekts </w:t>
            </w:r>
            <w:r w:rsidRPr="00BC7ED7">
              <w:t>publicēts Ekonomikas ministrijas mājaslapā</w:t>
            </w:r>
            <w:r w:rsidR="007A560E">
              <w:t xml:space="preserve"> un Valsts kancelejas mājas lapā</w:t>
            </w:r>
            <w:r w:rsidRPr="00BC7ED7">
              <w:t xml:space="preserve"> - sadaļā “Sabiedrī</w:t>
            </w:r>
            <w:r w:rsidR="00770631">
              <w:t xml:space="preserve">bas līdzdalība”, kā arī nosūtīts </w:t>
            </w:r>
            <w:r>
              <w:t>Nacionālās akreditācijas padomes locekļiem</w:t>
            </w:r>
            <w:r w:rsidRPr="00BC7ED7">
              <w:t xml:space="preserve">. </w:t>
            </w:r>
          </w:p>
        </w:tc>
      </w:tr>
      <w:tr w14:paraId="6E47A2A5" w14:textId="77777777" w:rsidTr="00B701D2">
        <w:tblPrEx>
          <w:tblW w:w="9067" w:type="dxa"/>
          <w:tblLook w:val="04A0"/>
        </w:tblPrEx>
        <w:trPr>
          <w:cantSplit/>
          <w:trHeight w:val="453"/>
        </w:trPr>
        <w:tc>
          <w:tcPr>
            <w:tcW w:w="411" w:type="dxa"/>
          </w:tcPr>
          <w:p w:rsidR="002775AF" w:rsidRPr="003216AD" w:rsidP="00F4368B" w14:paraId="6B26B36E" w14:textId="77777777">
            <w:pPr>
              <w:pStyle w:val="NoSpacing"/>
              <w:jc w:val="both"/>
            </w:pPr>
            <w:r w:rsidRPr="003216AD">
              <w:t>3.</w:t>
            </w:r>
          </w:p>
        </w:tc>
        <w:tc>
          <w:tcPr>
            <w:tcW w:w="2703" w:type="dxa"/>
          </w:tcPr>
          <w:p w:rsidR="002775AF" w:rsidRPr="003216AD" w:rsidP="00F4368B" w14:paraId="46BE6D49" w14:textId="77777777">
            <w:pPr>
              <w:pStyle w:val="NoSpacing"/>
              <w:jc w:val="both"/>
            </w:pPr>
            <w:r w:rsidRPr="003216AD">
              <w:t>Sabiedrības līdzdalības rezultāti</w:t>
            </w:r>
          </w:p>
        </w:tc>
        <w:tc>
          <w:tcPr>
            <w:tcW w:w="5953" w:type="dxa"/>
          </w:tcPr>
          <w:p w:rsidR="008543FB" w:rsidRPr="003216AD" w:rsidP="00771E72" w14:paraId="127359C5" w14:textId="7564C675">
            <w:pPr>
              <w:pStyle w:val="NoSpacing"/>
              <w:jc w:val="both"/>
            </w:pPr>
            <w:r>
              <w:t>Komentāri par Noteikumu projektu nav saņemti</w:t>
            </w:r>
          </w:p>
        </w:tc>
      </w:tr>
      <w:tr w14:paraId="4ED3770B" w14:textId="77777777" w:rsidTr="00B701D2">
        <w:tblPrEx>
          <w:tblW w:w="9067" w:type="dxa"/>
          <w:tblLook w:val="04A0"/>
        </w:tblPrEx>
        <w:trPr>
          <w:cantSplit/>
          <w:trHeight w:val="453"/>
        </w:trPr>
        <w:tc>
          <w:tcPr>
            <w:tcW w:w="411" w:type="dxa"/>
          </w:tcPr>
          <w:p w:rsidR="002775AF" w:rsidRPr="003216AD" w:rsidP="00F4368B" w14:paraId="4D378A1A" w14:textId="77777777">
            <w:pPr>
              <w:pStyle w:val="NoSpacing"/>
              <w:jc w:val="both"/>
            </w:pPr>
            <w:r w:rsidRPr="003216AD">
              <w:t>4.</w:t>
            </w:r>
          </w:p>
        </w:tc>
        <w:tc>
          <w:tcPr>
            <w:tcW w:w="2703" w:type="dxa"/>
          </w:tcPr>
          <w:p w:rsidR="002775AF" w:rsidRPr="003216AD" w:rsidP="00F4368B" w14:paraId="66B9F284" w14:textId="77777777">
            <w:pPr>
              <w:pStyle w:val="NoSpacing"/>
              <w:jc w:val="both"/>
            </w:pPr>
            <w:r w:rsidRPr="003216AD">
              <w:t>Cita informācija</w:t>
            </w:r>
          </w:p>
        </w:tc>
        <w:tc>
          <w:tcPr>
            <w:tcW w:w="5953" w:type="dxa"/>
          </w:tcPr>
          <w:p w:rsidR="002775AF" w:rsidRPr="003216AD" w:rsidP="00F4368B" w14:paraId="0699A173" w14:textId="77777777">
            <w:pPr>
              <w:pStyle w:val="NoSpacing"/>
              <w:jc w:val="both"/>
            </w:pPr>
            <w:r w:rsidRPr="003216AD">
              <w:t>Nav</w:t>
            </w:r>
          </w:p>
        </w:tc>
      </w:tr>
    </w:tbl>
    <w:p w:rsidR="00193E45" w:rsidRPr="00F4368B" w:rsidP="00F4368B" w14:paraId="218AB8AA" w14:textId="77777777">
      <w:pPr>
        <w:rPr>
          <w:color w:val="FF0000"/>
        </w:rPr>
      </w:pPr>
    </w:p>
    <w:tbl>
      <w:tblPr>
        <w:tblW w:w="90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"/>
        <w:gridCol w:w="2872"/>
        <w:gridCol w:w="5686"/>
      </w:tblGrid>
      <w:tr w14:paraId="2D613E12" w14:textId="77777777" w:rsidTr="00FD76CC">
        <w:tblPrEx>
          <w:tblW w:w="9065" w:type="dxa"/>
          <w:tblInd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5"/>
        </w:trPr>
        <w:tc>
          <w:tcPr>
            <w:tcW w:w="9065" w:type="dxa"/>
            <w:gridSpan w:val="3"/>
          </w:tcPr>
          <w:p w:rsidR="00193E45" w:rsidRPr="00F4368B" w:rsidP="00F4368B" w14:paraId="61DB192A" w14:textId="77777777">
            <w:pPr>
              <w:jc w:val="center"/>
            </w:pPr>
            <w:r w:rsidRPr="00F4368B">
              <w:rPr>
                <w:b/>
              </w:rPr>
              <w:t>VII. Tiesību akta projekta izpildes nodrošināšana un tās ietekme uz institūcijām</w:t>
            </w:r>
          </w:p>
        </w:tc>
      </w:tr>
      <w:tr w14:paraId="520162AA" w14:textId="77777777" w:rsidTr="002775AF">
        <w:tblPrEx>
          <w:tblW w:w="9065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27"/>
        </w:trPr>
        <w:tc>
          <w:tcPr>
            <w:tcW w:w="507" w:type="dxa"/>
          </w:tcPr>
          <w:p w:rsidR="00193E45" w:rsidRPr="00F4368B" w:rsidP="00F4368B" w14:paraId="0696FBE7" w14:textId="77777777">
            <w:r w:rsidRPr="00F4368B">
              <w:t> 1.</w:t>
            </w:r>
          </w:p>
        </w:tc>
        <w:tc>
          <w:tcPr>
            <w:tcW w:w="2872" w:type="dxa"/>
          </w:tcPr>
          <w:p w:rsidR="00193E45" w:rsidRPr="004A0946" w:rsidP="00F4368B" w14:paraId="694A8BB5" w14:textId="77777777">
            <w:r w:rsidRPr="004A0946">
              <w:t>Projekta izpildē iesaistītās institūcijas</w:t>
            </w:r>
          </w:p>
        </w:tc>
        <w:tc>
          <w:tcPr>
            <w:tcW w:w="5686" w:type="dxa"/>
          </w:tcPr>
          <w:p w:rsidR="00193E45" w:rsidRPr="004A0946" w:rsidP="004106EE" w14:paraId="6BDE80D5" w14:textId="7EC4E3CD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>LATAK</w:t>
            </w:r>
          </w:p>
        </w:tc>
      </w:tr>
      <w:tr w14:paraId="4621F96F" w14:textId="77777777" w:rsidTr="002775AF">
        <w:tblPrEx>
          <w:tblW w:w="9065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3"/>
        </w:trPr>
        <w:tc>
          <w:tcPr>
            <w:tcW w:w="507" w:type="dxa"/>
          </w:tcPr>
          <w:p w:rsidR="00193E45" w:rsidRPr="00F4368B" w:rsidP="00F4368B" w14:paraId="1A32F431" w14:textId="77777777">
            <w:r w:rsidRPr="00F4368B">
              <w:t> 2.</w:t>
            </w:r>
          </w:p>
        </w:tc>
        <w:tc>
          <w:tcPr>
            <w:tcW w:w="2872" w:type="dxa"/>
          </w:tcPr>
          <w:p w:rsidR="00193E45" w:rsidRPr="00F4368B" w:rsidP="00F4368B" w14:paraId="2FCECCE0" w14:textId="77777777">
            <w:r w:rsidRPr="00F4368B">
              <w:t> 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86" w:type="dxa"/>
          </w:tcPr>
          <w:p w:rsidR="00193E45" w:rsidRPr="00F4368B" w:rsidP="00F4368B" w14:paraId="2B967562" w14:textId="52C4C626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Projekts neparedz jaunu institūciju izveidi, esošo likvidāciju vai reorganizāciju</w:t>
            </w:r>
          </w:p>
        </w:tc>
      </w:tr>
      <w:tr w14:paraId="52535330" w14:textId="77777777" w:rsidTr="002775AF">
        <w:tblPrEx>
          <w:tblW w:w="9065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76"/>
        </w:trPr>
        <w:tc>
          <w:tcPr>
            <w:tcW w:w="507" w:type="dxa"/>
          </w:tcPr>
          <w:p w:rsidR="00193E45" w:rsidRPr="00F4368B" w:rsidP="00F4368B" w14:paraId="206AE015" w14:textId="77777777">
            <w:r w:rsidRPr="00F4368B">
              <w:t> 3.</w:t>
            </w:r>
          </w:p>
        </w:tc>
        <w:tc>
          <w:tcPr>
            <w:tcW w:w="2872" w:type="dxa"/>
          </w:tcPr>
          <w:p w:rsidR="00193E45" w:rsidRPr="00F4368B" w:rsidP="00F4368B" w14:paraId="3F23476B" w14:textId="77777777">
            <w:r w:rsidRPr="00F4368B">
              <w:t> Cita informācija</w:t>
            </w:r>
          </w:p>
        </w:tc>
        <w:tc>
          <w:tcPr>
            <w:tcW w:w="5686" w:type="dxa"/>
          </w:tcPr>
          <w:p w:rsidR="00193E45" w:rsidRPr="00F4368B" w:rsidP="00F4368B" w14:paraId="477799C7" w14:textId="77777777">
            <w:pPr>
              <w:jc w:val="both"/>
            </w:pPr>
            <w:r w:rsidRPr="00F4368B">
              <w:t>Nav</w:t>
            </w:r>
          </w:p>
        </w:tc>
      </w:tr>
    </w:tbl>
    <w:p w:rsidR="00193E45" w:rsidRPr="00F4368B" w:rsidP="00DE24B6" w14:paraId="61AB47DB" w14:textId="2C757AA0">
      <w:pPr>
        <w:pStyle w:val="naisf"/>
        <w:tabs>
          <w:tab w:val="left" w:pos="6710"/>
        </w:tabs>
        <w:spacing w:before="0" w:after="0"/>
        <w:ind w:firstLine="0"/>
        <w:rPr>
          <w:i/>
        </w:rPr>
      </w:pPr>
    </w:p>
    <w:p w:rsidR="00F4368B" w:rsidP="00F4368B" w14:paraId="782BE962" w14:textId="77777777">
      <w:pPr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F4368B" w:rsidP="00F4368B" w14:paraId="47A54CF0" w14:textId="77777777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A.Ašeradens</w:t>
      </w:r>
      <w:r w:rsidRPr="00706CA2">
        <w:rPr>
          <w:sz w:val="28"/>
          <w:szCs w:val="28"/>
        </w:rPr>
        <w:t xml:space="preserve"> </w:t>
      </w:r>
    </w:p>
    <w:p w:rsidR="00F4368B" w:rsidP="00F4368B" w14:paraId="2B85623D" w14:textId="77777777">
      <w:pPr>
        <w:rPr>
          <w:sz w:val="28"/>
          <w:szCs w:val="28"/>
        </w:rPr>
      </w:pPr>
    </w:p>
    <w:p w:rsidR="00CF5005" w:rsidP="00F4368B" w14:paraId="371689D7" w14:textId="77777777">
      <w:pPr>
        <w:rPr>
          <w:sz w:val="28"/>
          <w:szCs w:val="28"/>
        </w:rPr>
      </w:pPr>
    </w:p>
    <w:p w:rsidR="00BB41B8" w:rsidP="00F4368B" w14:paraId="76B2C21D" w14:textId="77777777">
      <w:pPr>
        <w:jc w:val="both"/>
        <w:rPr>
          <w:sz w:val="28"/>
        </w:rPr>
      </w:pPr>
      <w:r>
        <w:rPr>
          <w:sz w:val="28"/>
        </w:rPr>
        <w:t>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J</w:t>
      </w:r>
      <w:r w:rsidRPr="00713F98">
        <w:rPr>
          <w:sz w:val="28"/>
        </w:rPr>
        <w:t>.</w:t>
      </w:r>
      <w:r>
        <w:rPr>
          <w:sz w:val="28"/>
        </w:rPr>
        <w:t>Stinka</w:t>
      </w:r>
    </w:p>
    <w:p w:rsidR="00F4368B" w:rsidP="00F4368B" w14:paraId="42CDB78A" w14:textId="77777777">
      <w:pPr>
        <w:jc w:val="both"/>
        <w:rPr>
          <w:sz w:val="28"/>
        </w:rPr>
      </w:pPr>
    </w:p>
    <w:p w:rsidR="00F4368B" w:rsidRPr="003C4679" w:rsidP="00F4368B" w14:paraId="516747B0" w14:textId="2CBC35F4">
      <w:pPr>
        <w:rPr>
          <w:sz w:val="20"/>
          <w:szCs w:val="20"/>
        </w:rPr>
      </w:pPr>
    </w:p>
    <w:p w:rsidR="00F4368B" w:rsidRPr="003C4679" w:rsidP="00F4368B" w14:paraId="0236030F" w14:textId="4C747398">
      <w:pPr>
        <w:rPr>
          <w:sz w:val="20"/>
          <w:szCs w:val="20"/>
        </w:rPr>
      </w:pPr>
      <w:r w:rsidRPr="003C4679">
        <w:rPr>
          <w:sz w:val="20"/>
          <w:szCs w:val="20"/>
        </w:rPr>
        <w:t>Lipskis</w:t>
      </w:r>
      <w:r w:rsidR="00A84D83">
        <w:rPr>
          <w:sz w:val="20"/>
          <w:szCs w:val="20"/>
        </w:rPr>
        <w:t xml:space="preserve">, </w:t>
      </w:r>
      <w:r w:rsidRPr="003C4679" w:rsidR="00A84D83">
        <w:rPr>
          <w:sz w:val="20"/>
          <w:szCs w:val="20"/>
        </w:rPr>
        <w:t>67013292</w:t>
      </w:r>
    </w:p>
    <w:p w:rsidR="00F4368B" w:rsidP="00F4368B" w14:paraId="6D1FFAF0" w14:textId="70653778">
      <w:r w:rsidRPr="003C4679">
        <w:rPr>
          <w:rFonts w:eastAsiaTheme="majorEastAsia"/>
          <w:sz w:val="20"/>
          <w:szCs w:val="20"/>
        </w:rPr>
        <w:t>Valdis.Lipskis</w:t>
      </w:r>
      <w:r w:rsidRPr="003C4679">
        <w:rPr>
          <w:rFonts w:eastAsiaTheme="majorEastAsia"/>
          <w:sz w:val="20"/>
          <w:szCs w:val="20"/>
        </w:rPr>
        <w:t>@em.gov.lv</w:t>
      </w:r>
    </w:p>
    <w:sectPr w:rsidSect="009D5129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851" w:bottom="1134" w:left="1701" w:header="709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A2" w:rsidRPr="00BB41B8" w:rsidP="00155690" w14:paraId="330F4DDA" w14:textId="357FCCDB">
    <w:pPr>
      <w:tabs>
        <w:tab w:val="center" w:pos="4513"/>
        <w:tab w:val="right" w:pos="9026"/>
      </w:tabs>
      <w:jc w:val="both"/>
      <w:rPr>
        <w:bCs/>
        <w:sz w:val="20"/>
        <w:szCs w:val="20"/>
      </w:rPr>
    </w:pPr>
    <w:r w:rsidRPr="00FD37C2">
      <w:rPr>
        <w:sz w:val="20"/>
        <w:szCs w:val="20"/>
      </w:rPr>
      <w:t>EMAnot_</w:t>
    </w:r>
    <w:r w:rsidR="00882531">
      <w:rPr>
        <w:sz w:val="20"/>
        <w:szCs w:val="20"/>
      </w:rPr>
      <w:t>2501</w:t>
    </w:r>
    <w:r w:rsidR="00E60F02">
      <w:rPr>
        <w:sz w:val="20"/>
        <w:szCs w:val="20"/>
      </w:rPr>
      <w:t>18</w:t>
    </w:r>
    <w:r w:rsidRPr="00FD37C2">
      <w:rPr>
        <w:sz w:val="20"/>
        <w:szCs w:val="20"/>
      </w:rPr>
      <w:t>_MK</w:t>
    </w:r>
    <w:r w:rsidR="00BC7ED7">
      <w:rPr>
        <w:sz w:val="20"/>
        <w:szCs w:val="20"/>
      </w:rPr>
      <w:t>1059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A2" w:rsidRPr="00BB41B8" w:rsidP="00155690" w14:paraId="0E831B5D" w14:textId="7A4905A6">
    <w:pPr>
      <w:tabs>
        <w:tab w:val="center" w:pos="4513"/>
        <w:tab w:val="right" w:pos="9026"/>
      </w:tabs>
      <w:jc w:val="both"/>
      <w:rPr>
        <w:bCs/>
        <w:sz w:val="20"/>
        <w:szCs w:val="20"/>
      </w:rPr>
    </w:pPr>
    <w:r w:rsidRPr="00FD37C2">
      <w:rPr>
        <w:sz w:val="20"/>
        <w:szCs w:val="20"/>
      </w:rPr>
      <w:t>EMAnot_</w:t>
    </w:r>
    <w:r w:rsidR="001064E7">
      <w:rPr>
        <w:sz w:val="20"/>
        <w:szCs w:val="20"/>
      </w:rPr>
      <w:t>31</w:t>
    </w:r>
    <w:r w:rsidR="0048570F">
      <w:rPr>
        <w:sz w:val="20"/>
        <w:szCs w:val="20"/>
      </w:rPr>
      <w:t>10</w:t>
    </w:r>
    <w:r w:rsidR="00DE24B6">
      <w:rPr>
        <w:sz w:val="20"/>
        <w:szCs w:val="20"/>
      </w:rPr>
      <w:t>17</w:t>
    </w:r>
    <w:r w:rsidRPr="00FD37C2">
      <w:rPr>
        <w:sz w:val="20"/>
        <w:szCs w:val="20"/>
      </w:rPr>
      <w:t>_MK500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A2" w:rsidP="003C449B" w14:paraId="52A1F17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D42A2" w14:paraId="29B96A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A2" w:rsidP="003C449B" w14:paraId="3B07A170" w14:textId="5D8C75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D42A2" w14:paraId="2EC915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D9E6EFE"/>
    <w:multiLevelType w:val="hybridMultilevel"/>
    <w:tmpl w:val="2152A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3331831"/>
    <w:multiLevelType w:val="hybridMultilevel"/>
    <w:tmpl w:val="B3F6929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288429E"/>
    <w:multiLevelType w:val="hybridMultilevel"/>
    <w:tmpl w:val="FAF4007A"/>
    <w:lvl w:ilvl="0">
      <w:start w:val="9"/>
      <w:numFmt w:val="bullet"/>
      <w:lvlText w:val="-"/>
      <w:lvlJc w:val="left"/>
      <w:pPr>
        <w:ind w:left="70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1">
    <w:nsid w:val="4209115C"/>
    <w:multiLevelType w:val="hybridMultilevel"/>
    <w:tmpl w:val="4202A2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FB63CA3"/>
    <w:multiLevelType w:val="hybridMultilevel"/>
    <w:tmpl w:val="8DCA17AC"/>
    <w:lvl w:ilvl="0">
      <w:start w:val="0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1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1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4A4271"/>
    <w:multiLevelType w:val="hybridMultilevel"/>
    <w:tmpl w:val="1E46C286"/>
    <w:lvl w:ilvl="0">
      <w:start w:val="0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1">
    <w:nsid w:val="595E2F71"/>
    <w:multiLevelType w:val="hybridMultilevel"/>
    <w:tmpl w:val="167E2340"/>
    <w:lvl w:ilvl="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1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1">
    <w:nsid w:val="62297A20"/>
    <w:multiLevelType w:val="hybridMultilevel"/>
    <w:tmpl w:val="E7727FEA"/>
    <w:lvl w:ilvl="0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1">
    <w:nsid w:val="62C15438"/>
    <w:multiLevelType w:val="hybridMultilevel"/>
    <w:tmpl w:val="1280098E"/>
    <w:lvl w:ilvl="0">
      <w:start w:val="0"/>
      <w:numFmt w:val="bullet"/>
      <w:lvlText w:val="•"/>
      <w:lvlJc w:val="left"/>
      <w:pPr>
        <w:ind w:left="1001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1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2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7"/>
  </w:num>
  <w:num w:numId="19">
    <w:abstractNumId w:val="15"/>
  </w:num>
  <w:num w:numId="20">
    <w:abstractNumId w:val="1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CB"/>
    <w:rsid w:val="00004959"/>
    <w:rsid w:val="00011D24"/>
    <w:rsid w:val="00013FF4"/>
    <w:rsid w:val="00015403"/>
    <w:rsid w:val="000159A3"/>
    <w:rsid w:val="000178E6"/>
    <w:rsid w:val="00017E14"/>
    <w:rsid w:val="00020423"/>
    <w:rsid w:val="00020FC8"/>
    <w:rsid w:val="00020FE1"/>
    <w:rsid w:val="0002101B"/>
    <w:rsid w:val="00021BDE"/>
    <w:rsid w:val="00022255"/>
    <w:rsid w:val="00022E13"/>
    <w:rsid w:val="00023E7C"/>
    <w:rsid w:val="00023EE6"/>
    <w:rsid w:val="0002667D"/>
    <w:rsid w:val="00027564"/>
    <w:rsid w:val="000312DB"/>
    <w:rsid w:val="00032388"/>
    <w:rsid w:val="00032F2B"/>
    <w:rsid w:val="00033167"/>
    <w:rsid w:val="0003379D"/>
    <w:rsid w:val="00035CE2"/>
    <w:rsid w:val="00036939"/>
    <w:rsid w:val="00042899"/>
    <w:rsid w:val="00042D0E"/>
    <w:rsid w:val="000434F0"/>
    <w:rsid w:val="00044162"/>
    <w:rsid w:val="00044256"/>
    <w:rsid w:val="00045178"/>
    <w:rsid w:val="00047DA9"/>
    <w:rsid w:val="0005265E"/>
    <w:rsid w:val="00054A3F"/>
    <w:rsid w:val="0005553B"/>
    <w:rsid w:val="00056ED2"/>
    <w:rsid w:val="0005711F"/>
    <w:rsid w:val="000604D2"/>
    <w:rsid w:val="00060B32"/>
    <w:rsid w:val="00061C83"/>
    <w:rsid w:val="00064075"/>
    <w:rsid w:val="00067B8A"/>
    <w:rsid w:val="000704C8"/>
    <w:rsid w:val="00080485"/>
    <w:rsid w:val="0008123B"/>
    <w:rsid w:val="00087354"/>
    <w:rsid w:val="0008764A"/>
    <w:rsid w:val="000877F5"/>
    <w:rsid w:val="0009005E"/>
    <w:rsid w:val="000906BD"/>
    <w:rsid w:val="000941C5"/>
    <w:rsid w:val="00096A3E"/>
    <w:rsid w:val="000A237D"/>
    <w:rsid w:val="000A2CD9"/>
    <w:rsid w:val="000A3FA7"/>
    <w:rsid w:val="000A5505"/>
    <w:rsid w:val="000A6451"/>
    <w:rsid w:val="000B064E"/>
    <w:rsid w:val="000B0DBC"/>
    <w:rsid w:val="000B0E33"/>
    <w:rsid w:val="000B1D4D"/>
    <w:rsid w:val="000B40D5"/>
    <w:rsid w:val="000B617F"/>
    <w:rsid w:val="000B65B3"/>
    <w:rsid w:val="000B69CF"/>
    <w:rsid w:val="000C3840"/>
    <w:rsid w:val="000C4249"/>
    <w:rsid w:val="000C4F40"/>
    <w:rsid w:val="000C7730"/>
    <w:rsid w:val="000C7786"/>
    <w:rsid w:val="000C790C"/>
    <w:rsid w:val="000D1BD1"/>
    <w:rsid w:val="000D1C54"/>
    <w:rsid w:val="000D3A1E"/>
    <w:rsid w:val="000D472B"/>
    <w:rsid w:val="000D5B55"/>
    <w:rsid w:val="000E0206"/>
    <w:rsid w:val="000E113B"/>
    <w:rsid w:val="000E21B9"/>
    <w:rsid w:val="000E23B0"/>
    <w:rsid w:val="000E251E"/>
    <w:rsid w:val="000F061D"/>
    <w:rsid w:val="000F0E60"/>
    <w:rsid w:val="000F2989"/>
    <w:rsid w:val="000F2F9C"/>
    <w:rsid w:val="000F4794"/>
    <w:rsid w:val="000F4870"/>
    <w:rsid w:val="000F4990"/>
    <w:rsid w:val="000F6162"/>
    <w:rsid w:val="000F6940"/>
    <w:rsid w:val="001003F9"/>
    <w:rsid w:val="00100CB1"/>
    <w:rsid w:val="0010330D"/>
    <w:rsid w:val="001034AE"/>
    <w:rsid w:val="00103EEB"/>
    <w:rsid w:val="00106417"/>
    <w:rsid w:val="001064E7"/>
    <w:rsid w:val="0011244A"/>
    <w:rsid w:val="00113F3B"/>
    <w:rsid w:val="0011461E"/>
    <w:rsid w:val="001152DB"/>
    <w:rsid w:val="00115876"/>
    <w:rsid w:val="00115B50"/>
    <w:rsid w:val="0012006B"/>
    <w:rsid w:val="001203A1"/>
    <w:rsid w:val="00120766"/>
    <w:rsid w:val="00124541"/>
    <w:rsid w:val="0012459D"/>
    <w:rsid w:val="00124F12"/>
    <w:rsid w:val="001261F5"/>
    <w:rsid w:val="0012781B"/>
    <w:rsid w:val="00127E94"/>
    <w:rsid w:val="00131209"/>
    <w:rsid w:val="0013160C"/>
    <w:rsid w:val="00132C7C"/>
    <w:rsid w:val="0013341B"/>
    <w:rsid w:val="001334C0"/>
    <w:rsid w:val="00137D89"/>
    <w:rsid w:val="00140F47"/>
    <w:rsid w:val="00141136"/>
    <w:rsid w:val="00142CB5"/>
    <w:rsid w:val="00144E3A"/>
    <w:rsid w:val="00146E24"/>
    <w:rsid w:val="001472CB"/>
    <w:rsid w:val="0015060C"/>
    <w:rsid w:val="00153C37"/>
    <w:rsid w:val="00153CB2"/>
    <w:rsid w:val="00155690"/>
    <w:rsid w:val="00155AE8"/>
    <w:rsid w:val="001568D0"/>
    <w:rsid w:val="0016018A"/>
    <w:rsid w:val="00161F0E"/>
    <w:rsid w:val="001627FF"/>
    <w:rsid w:val="0016588C"/>
    <w:rsid w:val="00165AEB"/>
    <w:rsid w:val="00165D55"/>
    <w:rsid w:val="001667FC"/>
    <w:rsid w:val="00170E2A"/>
    <w:rsid w:val="0017683A"/>
    <w:rsid w:val="00176C89"/>
    <w:rsid w:val="00176DC3"/>
    <w:rsid w:val="00176E7C"/>
    <w:rsid w:val="00177394"/>
    <w:rsid w:val="00177CF1"/>
    <w:rsid w:val="00180CFB"/>
    <w:rsid w:val="001813F5"/>
    <w:rsid w:val="00181F05"/>
    <w:rsid w:val="00182C18"/>
    <w:rsid w:val="0018387B"/>
    <w:rsid w:val="00183CC2"/>
    <w:rsid w:val="00184827"/>
    <w:rsid w:val="0018489C"/>
    <w:rsid w:val="001860E1"/>
    <w:rsid w:val="0018732D"/>
    <w:rsid w:val="001900E4"/>
    <w:rsid w:val="001902A7"/>
    <w:rsid w:val="00190F88"/>
    <w:rsid w:val="00193E45"/>
    <w:rsid w:val="001A3662"/>
    <w:rsid w:val="001A4066"/>
    <w:rsid w:val="001A4B82"/>
    <w:rsid w:val="001A6AE4"/>
    <w:rsid w:val="001B01FD"/>
    <w:rsid w:val="001B101F"/>
    <w:rsid w:val="001B20D9"/>
    <w:rsid w:val="001B2E01"/>
    <w:rsid w:val="001B31BD"/>
    <w:rsid w:val="001B4A71"/>
    <w:rsid w:val="001B516E"/>
    <w:rsid w:val="001B5AEC"/>
    <w:rsid w:val="001B6551"/>
    <w:rsid w:val="001B6DEF"/>
    <w:rsid w:val="001B75E2"/>
    <w:rsid w:val="001C25F1"/>
    <w:rsid w:val="001C2A10"/>
    <w:rsid w:val="001C2A18"/>
    <w:rsid w:val="001C4C84"/>
    <w:rsid w:val="001C7AF9"/>
    <w:rsid w:val="001D0870"/>
    <w:rsid w:val="001D0A1B"/>
    <w:rsid w:val="001D4013"/>
    <w:rsid w:val="001D5B54"/>
    <w:rsid w:val="001D5CF7"/>
    <w:rsid w:val="001D7368"/>
    <w:rsid w:val="001E151C"/>
    <w:rsid w:val="001E1DBF"/>
    <w:rsid w:val="001E21D0"/>
    <w:rsid w:val="001E3136"/>
    <w:rsid w:val="001E4639"/>
    <w:rsid w:val="001E4A7D"/>
    <w:rsid w:val="001E4D48"/>
    <w:rsid w:val="001E4F16"/>
    <w:rsid w:val="001E58F3"/>
    <w:rsid w:val="001E5B05"/>
    <w:rsid w:val="001F0085"/>
    <w:rsid w:val="001F3263"/>
    <w:rsid w:val="001F4025"/>
    <w:rsid w:val="001F43A8"/>
    <w:rsid w:val="001F4547"/>
    <w:rsid w:val="001F5B7B"/>
    <w:rsid w:val="001F5CD6"/>
    <w:rsid w:val="001F7C6E"/>
    <w:rsid w:val="00200605"/>
    <w:rsid w:val="002059BF"/>
    <w:rsid w:val="00206D4A"/>
    <w:rsid w:val="0021263D"/>
    <w:rsid w:val="00213F0C"/>
    <w:rsid w:val="00214094"/>
    <w:rsid w:val="00215121"/>
    <w:rsid w:val="0021592D"/>
    <w:rsid w:val="002164E5"/>
    <w:rsid w:val="00221530"/>
    <w:rsid w:val="00222D76"/>
    <w:rsid w:val="00223EB1"/>
    <w:rsid w:val="00225DA2"/>
    <w:rsid w:val="0022770D"/>
    <w:rsid w:val="00231344"/>
    <w:rsid w:val="00231365"/>
    <w:rsid w:val="00231B20"/>
    <w:rsid w:val="00231CAE"/>
    <w:rsid w:val="0023381A"/>
    <w:rsid w:val="002338E1"/>
    <w:rsid w:val="0023436E"/>
    <w:rsid w:val="002347C0"/>
    <w:rsid w:val="00235A8B"/>
    <w:rsid w:val="00236B45"/>
    <w:rsid w:val="00237F8E"/>
    <w:rsid w:val="0024068D"/>
    <w:rsid w:val="00241A6C"/>
    <w:rsid w:val="00241ED1"/>
    <w:rsid w:val="00242135"/>
    <w:rsid w:val="00242190"/>
    <w:rsid w:val="00242A6C"/>
    <w:rsid w:val="00242D2B"/>
    <w:rsid w:val="00244474"/>
    <w:rsid w:val="002466B7"/>
    <w:rsid w:val="002469A0"/>
    <w:rsid w:val="00250A0F"/>
    <w:rsid w:val="00253175"/>
    <w:rsid w:val="00257387"/>
    <w:rsid w:val="00257FDB"/>
    <w:rsid w:val="00260917"/>
    <w:rsid w:val="00261E2B"/>
    <w:rsid w:val="0026215B"/>
    <w:rsid w:val="002621B9"/>
    <w:rsid w:val="00262E2B"/>
    <w:rsid w:val="00265F0D"/>
    <w:rsid w:val="002674CE"/>
    <w:rsid w:val="00267832"/>
    <w:rsid w:val="00270429"/>
    <w:rsid w:val="002709C6"/>
    <w:rsid w:val="002721B6"/>
    <w:rsid w:val="002723E9"/>
    <w:rsid w:val="00273C51"/>
    <w:rsid w:val="002758AB"/>
    <w:rsid w:val="002775AF"/>
    <w:rsid w:val="00277929"/>
    <w:rsid w:val="00277ADA"/>
    <w:rsid w:val="00280571"/>
    <w:rsid w:val="00280BC3"/>
    <w:rsid w:val="00280D1A"/>
    <w:rsid w:val="00283B82"/>
    <w:rsid w:val="002846E9"/>
    <w:rsid w:val="00284C34"/>
    <w:rsid w:val="0029066C"/>
    <w:rsid w:val="00290C88"/>
    <w:rsid w:val="00291645"/>
    <w:rsid w:val="00297520"/>
    <w:rsid w:val="002A1535"/>
    <w:rsid w:val="002A3B7C"/>
    <w:rsid w:val="002B003D"/>
    <w:rsid w:val="002B078D"/>
    <w:rsid w:val="002B4721"/>
    <w:rsid w:val="002B50DB"/>
    <w:rsid w:val="002B6C95"/>
    <w:rsid w:val="002C12AB"/>
    <w:rsid w:val="002C1606"/>
    <w:rsid w:val="002C2A86"/>
    <w:rsid w:val="002C7CAC"/>
    <w:rsid w:val="002D1658"/>
    <w:rsid w:val="002D3306"/>
    <w:rsid w:val="002D473F"/>
    <w:rsid w:val="002D48AA"/>
    <w:rsid w:val="002D7BAA"/>
    <w:rsid w:val="002D7F54"/>
    <w:rsid w:val="002E0E16"/>
    <w:rsid w:val="002E2D9B"/>
    <w:rsid w:val="002E3FF4"/>
    <w:rsid w:val="002E4FFE"/>
    <w:rsid w:val="002E5489"/>
    <w:rsid w:val="002F3BB7"/>
    <w:rsid w:val="002F57C3"/>
    <w:rsid w:val="002F63B8"/>
    <w:rsid w:val="002F6B1E"/>
    <w:rsid w:val="002F7008"/>
    <w:rsid w:val="002F717D"/>
    <w:rsid w:val="002F78C8"/>
    <w:rsid w:val="00301CF3"/>
    <w:rsid w:val="00301D2B"/>
    <w:rsid w:val="00303749"/>
    <w:rsid w:val="003044CA"/>
    <w:rsid w:val="0030759E"/>
    <w:rsid w:val="003101A7"/>
    <w:rsid w:val="00312F59"/>
    <w:rsid w:val="00313560"/>
    <w:rsid w:val="00313AD1"/>
    <w:rsid w:val="00314C96"/>
    <w:rsid w:val="003211B2"/>
    <w:rsid w:val="0032139E"/>
    <w:rsid w:val="003216AD"/>
    <w:rsid w:val="0032226E"/>
    <w:rsid w:val="00323B00"/>
    <w:rsid w:val="003260A8"/>
    <w:rsid w:val="0032711D"/>
    <w:rsid w:val="0032715C"/>
    <w:rsid w:val="00331E2B"/>
    <w:rsid w:val="003326DE"/>
    <w:rsid w:val="003335CC"/>
    <w:rsid w:val="00333AF2"/>
    <w:rsid w:val="00335CF7"/>
    <w:rsid w:val="00336A20"/>
    <w:rsid w:val="00337CA5"/>
    <w:rsid w:val="00337CF8"/>
    <w:rsid w:val="00340E50"/>
    <w:rsid w:val="003416C7"/>
    <w:rsid w:val="00342D24"/>
    <w:rsid w:val="00343716"/>
    <w:rsid w:val="003439D8"/>
    <w:rsid w:val="003444D1"/>
    <w:rsid w:val="0034495D"/>
    <w:rsid w:val="00345DB3"/>
    <w:rsid w:val="00347CA8"/>
    <w:rsid w:val="0035438A"/>
    <w:rsid w:val="00361113"/>
    <w:rsid w:val="00362478"/>
    <w:rsid w:val="003642C0"/>
    <w:rsid w:val="00365984"/>
    <w:rsid w:val="0036752C"/>
    <w:rsid w:val="00372C58"/>
    <w:rsid w:val="00373439"/>
    <w:rsid w:val="00374582"/>
    <w:rsid w:val="003751F4"/>
    <w:rsid w:val="003757BD"/>
    <w:rsid w:val="00375AA6"/>
    <w:rsid w:val="00375B25"/>
    <w:rsid w:val="00382FE1"/>
    <w:rsid w:val="00384473"/>
    <w:rsid w:val="00384BFF"/>
    <w:rsid w:val="003872A1"/>
    <w:rsid w:val="00387C43"/>
    <w:rsid w:val="00387E82"/>
    <w:rsid w:val="003904F9"/>
    <w:rsid w:val="00393387"/>
    <w:rsid w:val="00393F8B"/>
    <w:rsid w:val="00396542"/>
    <w:rsid w:val="0039685B"/>
    <w:rsid w:val="003A0A64"/>
    <w:rsid w:val="003A12AD"/>
    <w:rsid w:val="003A2826"/>
    <w:rsid w:val="003A31A6"/>
    <w:rsid w:val="003A38D2"/>
    <w:rsid w:val="003A390F"/>
    <w:rsid w:val="003A60BD"/>
    <w:rsid w:val="003A7F0C"/>
    <w:rsid w:val="003A7F79"/>
    <w:rsid w:val="003B0CF3"/>
    <w:rsid w:val="003B26A9"/>
    <w:rsid w:val="003B2B58"/>
    <w:rsid w:val="003B37A7"/>
    <w:rsid w:val="003B447F"/>
    <w:rsid w:val="003B466E"/>
    <w:rsid w:val="003B487C"/>
    <w:rsid w:val="003B6404"/>
    <w:rsid w:val="003B6ED2"/>
    <w:rsid w:val="003C0BD6"/>
    <w:rsid w:val="003C13C5"/>
    <w:rsid w:val="003C3BAB"/>
    <w:rsid w:val="003C3FD6"/>
    <w:rsid w:val="003C449B"/>
    <w:rsid w:val="003C4679"/>
    <w:rsid w:val="003C4A15"/>
    <w:rsid w:val="003C52F2"/>
    <w:rsid w:val="003D21FF"/>
    <w:rsid w:val="003D2DF6"/>
    <w:rsid w:val="003D3A82"/>
    <w:rsid w:val="003D3C43"/>
    <w:rsid w:val="003E28E5"/>
    <w:rsid w:val="003E3C4B"/>
    <w:rsid w:val="003F0112"/>
    <w:rsid w:val="003F071A"/>
    <w:rsid w:val="003F160B"/>
    <w:rsid w:val="003F230C"/>
    <w:rsid w:val="003F2BE4"/>
    <w:rsid w:val="003F2D9D"/>
    <w:rsid w:val="003F5747"/>
    <w:rsid w:val="00400032"/>
    <w:rsid w:val="004009B5"/>
    <w:rsid w:val="00400B5B"/>
    <w:rsid w:val="004038CC"/>
    <w:rsid w:val="00404828"/>
    <w:rsid w:val="00404F48"/>
    <w:rsid w:val="00405A00"/>
    <w:rsid w:val="00407529"/>
    <w:rsid w:val="004104DB"/>
    <w:rsid w:val="004106EE"/>
    <w:rsid w:val="004131DA"/>
    <w:rsid w:val="004140EE"/>
    <w:rsid w:val="00414DB2"/>
    <w:rsid w:val="00414E6A"/>
    <w:rsid w:val="00420870"/>
    <w:rsid w:val="00426880"/>
    <w:rsid w:val="004367EE"/>
    <w:rsid w:val="00437385"/>
    <w:rsid w:val="004378D7"/>
    <w:rsid w:val="0043791B"/>
    <w:rsid w:val="00440A7D"/>
    <w:rsid w:val="00441483"/>
    <w:rsid w:val="00441BCB"/>
    <w:rsid w:val="004427D6"/>
    <w:rsid w:val="00443978"/>
    <w:rsid w:val="00445273"/>
    <w:rsid w:val="0045176A"/>
    <w:rsid w:val="00452DE3"/>
    <w:rsid w:val="00453D1D"/>
    <w:rsid w:val="00456332"/>
    <w:rsid w:val="00461826"/>
    <w:rsid w:val="004624A3"/>
    <w:rsid w:val="0046548B"/>
    <w:rsid w:val="00466838"/>
    <w:rsid w:val="00467899"/>
    <w:rsid w:val="00470164"/>
    <w:rsid w:val="00472D75"/>
    <w:rsid w:val="004746C8"/>
    <w:rsid w:val="00475203"/>
    <w:rsid w:val="00475C3D"/>
    <w:rsid w:val="00475F74"/>
    <w:rsid w:val="00476BB9"/>
    <w:rsid w:val="004772F7"/>
    <w:rsid w:val="004800F9"/>
    <w:rsid w:val="0048570F"/>
    <w:rsid w:val="00485BB5"/>
    <w:rsid w:val="00487B0A"/>
    <w:rsid w:val="0049134A"/>
    <w:rsid w:val="00491A89"/>
    <w:rsid w:val="00493E74"/>
    <w:rsid w:val="004940BA"/>
    <w:rsid w:val="004942F6"/>
    <w:rsid w:val="00495D68"/>
    <w:rsid w:val="004A0946"/>
    <w:rsid w:val="004A1B92"/>
    <w:rsid w:val="004A46A9"/>
    <w:rsid w:val="004A58CB"/>
    <w:rsid w:val="004B0D6E"/>
    <w:rsid w:val="004B1795"/>
    <w:rsid w:val="004B2827"/>
    <w:rsid w:val="004B3D2B"/>
    <w:rsid w:val="004B4AA0"/>
    <w:rsid w:val="004B56DD"/>
    <w:rsid w:val="004B5825"/>
    <w:rsid w:val="004B5D57"/>
    <w:rsid w:val="004B66D8"/>
    <w:rsid w:val="004B6C7E"/>
    <w:rsid w:val="004C020F"/>
    <w:rsid w:val="004C1AFD"/>
    <w:rsid w:val="004C2121"/>
    <w:rsid w:val="004C2157"/>
    <w:rsid w:val="004C558B"/>
    <w:rsid w:val="004D016C"/>
    <w:rsid w:val="004D42A2"/>
    <w:rsid w:val="004D618C"/>
    <w:rsid w:val="004D7A1E"/>
    <w:rsid w:val="004E05AE"/>
    <w:rsid w:val="004E3748"/>
    <w:rsid w:val="004E46CE"/>
    <w:rsid w:val="004E574D"/>
    <w:rsid w:val="004E77D6"/>
    <w:rsid w:val="004F0108"/>
    <w:rsid w:val="004F1F88"/>
    <w:rsid w:val="004F2D97"/>
    <w:rsid w:val="004F3328"/>
    <w:rsid w:val="004F37A1"/>
    <w:rsid w:val="004F3966"/>
    <w:rsid w:val="004F4F0A"/>
    <w:rsid w:val="004F4FD1"/>
    <w:rsid w:val="004F5F1B"/>
    <w:rsid w:val="0050205F"/>
    <w:rsid w:val="00502374"/>
    <w:rsid w:val="005060A1"/>
    <w:rsid w:val="005146A8"/>
    <w:rsid w:val="005148BB"/>
    <w:rsid w:val="00516072"/>
    <w:rsid w:val="00516697"/>
    <w:rsid w:val="00521535"/>
    <w:rsid w:val="00523DD0"/>
    <w:rsid w:val="00523F66"/>
    <w:rsid w:val="00530639"/>
    <w:rsid w:val="0053284D"/>
    <w:rsid w:val="005331BA"/>
    <w:rsid w:val="005332EC"/>
    <w:rsid w:val="00534418"/>
    <w:rsid w:val="00534A20"/>
    <w:rsid w:val="005353AB"/>
    <w:rsid w:val="00537C51"/>
    <w:rsid w:val="0054236A"/>
    <w:rsid w:val="005424A3"/>
    <w:rsid w:val="0054499D"/>
    <w:rsid w:val="00544CC2"/>
    <w:rsid w:val="00545500"/>
    <w:rsid w:val="00545943"/>
    <w:rsid w:val="005477F7"/>
    <w:rsid w:val="00550853"/>
    <w:rsid w:val="00551541"/>
    <w:rsid w:val="00551924"/>
    <w:rsid w:val="00552CF9"/>
    <w:rsid w:val="00552DDA"/>
    <w:rsid w:val="005560BC"/>
    <w:rsid w:val="005573BE"/>
    <w:rsid w:val="00560E2F"/>
    <w:rsid w:val="005610E2"/>
    <w:rsid w:val="00561A37"/>
    <w:rsid w:val="00562A2C"/>
    <w:rsid w:val="005641E4"/>
    <w:rsid w:val="00567A16"/>
    <w:rsid w:val="00567E42"/>
    <w:rsid w:val="00570AA6"/>
    <w:rsid w:val="00571E9F"/>
    <w:rsid w:val="00572700"/>
    <w:rsid w:val="00572A7A"/>
    <w:rsid w:val="00573E98"/>
    <w:rsid w:val="00576BD3"/>
    <w:rsid w:val="00580468"/>
    <w:rsid w:val="00580FB7"/>
    <w:rsid w:val="00582069"/>
    <w:rsid w:val="0058603B"/>
    <w:rsid w:val="00586509"/>
    <w:rsid w:val="00586DA6"/>
    <w:rsid w:val="00590452"/>
    <w:rsid w:val="00591C9F"/>
    <w:rsid w:val="0059390D"/>
    <w:rsid w:val="0059431B"/>
    <w:rsid w:val="005947E4"/>
    <w:rsid w:val="00594F10"/>
    <w:rsid w:val="005A086D"/>
    <w:rsid w:val="005A208D"/>
    <w:rsid w:val="005A39CC"/>
    <w:rsid w:val="005A6D78"/>
    <w:rsid w:val="005A6F3D"/>
    <w:rsid w:val="005A7FB1"/>
    <w:rsid w:val="005B017F"/>
    <w:rsid w:val="005B3373"/>
    <w:rsid w:val="005B4730"/>
    <w:rsid w:val="005B5738"/>
    <w:rsid w:val="005B7DD7"/>
    <w:rsid w:val="005C15EE"/>
    <w:rsid w:val="005C3005"/>
    <w:rsid w:val="005C40AC"/>
    <w:rsid w:val="005D3950"/>
    <w:rsid w:val="005D6D4C"/>
    <w:rsid w:val="005D7D30"/>
    <w:rsid w:val="005E0222"/>
    <w:rsid w:val="005E05D7"/>
    <w:rsid w:val="005E0E6E"/>
    <w:rsid w:val="005E2498"/>
    <w:rsid w:val="005E3878"/>
    <w:rsid w:val="005E41E7"/>
    <w:rsid w:val="005E450F"/>
    <w:rsid w:val="005E5ABB"/>
    <w:rsid w:val="005E64E8"/>
    <w:rsid w:val="005E7D3F"/>
    <w:rsid w:val="005F20A7"/>
    <w:rsid w:val="005F283D"/>
    <w:rsid w:val="005F5773"/>
    <w:rsid w:val="005F5D61"/>
    <w:rsid w:val="00601B5E"/>
    <w:rsid w:val="00604AA4"/>
    <w:rsid w:val="00605E8E"/>
    <w:rsid w:val="006106A5"/>
    <w:rsid w:val="00612F7F"/>
    <w:rsid w:val="0061589B"/>
    <w:rsid w:val="00616859"/>
    <w:rsid w:val="0062298A"/>
    <w:rsid w:val="00623F65"/>
    <w:rsid w:val="0062512B"/>
    <w:rsid w:val="006264EF"/>
    <w:rsid w:val="00626514"/>
    <w:rsid w:val="00626589"/>
    <w:rsid w:val="00632AE1"/>
    <w:rsid w:val="00633733"/>
    <w:rsid w:val="006339A0"/>
    <w:rsid w:val="00636A74"/>
    <w:rsid w:val="00637E84"/>
    <w:rsid w:val="006413A8"/>
    <w:rsid w:val="0064293B"/>
    <w:rsid w:val="00642E56"/>
    <w:rsid w:val="00644331"/>
    <w:rsid w:val="006446A4"/>
    <w:rsid w:val="00651E00"/>
    <w:rsid w:val="00652825"/>
    <w:rsid w:val="00654BB1"/>
    <w:rsid w:val="006570D6"/>
    <w:rsid w:val="0066200B"/>
    <w:rsid w:val="006648BB"/>
    <w:rsid w:val="00665356"/>
    <w:rsid w:val="00666AC0"/>
    <w:rsid w:val="00666B88"/>
    <w:rsid w:val="00667EEE"/>
    <w:rsid w:val="006728D4"/>
    <w:rsid w:val="00674572"/>
    <w:rsid w:val="00674F6D"/>
    <w:rsid w:val="006817C8"/>
    <w:rsid w:val="00687763"/>
    <w:rsid w:val="00690417"/>
    <w:rsid w:val="006915DA"/>
    <w:rsid w:val="00691C30"/>
    <w:rsid w:val="00692B0D"/>
    <w:rsid w:val="00692DBC"/>
    <w:rsid w:val="00693828"/>
    <w:rsid w:val="00693E0E"/>
    <w:rsid w:val="00696F5F"/>
    <w:rsid w:val="006A0A17"/>
    <w:rsid w:val="006A1616"/>
    <w:rsid w:val="006A1AE3"/>
    <w:rsid w:val="006A3C84"/>
    <w:rsid w:val="006A53CB"/>
    <w:rsid w:val="006B0460"/>
    <w:rsid w:val="006B0D04"/>
    <w:rsid w:val="006B15C5"/>
    <w:rsid w:val="006B2F2A"/>
    <w:rsid w:val="006B572A"/>
    <w:rsid w:val="006C11B9"/>
    <w:rsid w:val="006C2A82"/>
    <w:rsid w:val="006C2C96"/>
    <w:rsid w:val="006C30E1"/>
    <w:rsid w:val="006C391E"/>
    <w:rsid w:val="006C4607"/>
    <w:rsid w:val="006C4D33"/>
    <w:rsid w:val="006C7451"/>
    <w:rsid w:val="006C7561"/>
    <w:rsid w:val="006D023C"/>
    <w:rsid w:val="006D0FF9"/>
    <w:rsid w:val="006D48F1"/>
    <w:rsid w:val="006D5702"/>
    <w:rsid w:val="006E1380"/>
    <w:rsid w:val="006E1AB6"/>
    <w:rsid w:val="006E2040"/>
    <w:rsid w:val="006E25D2"/>
    <w:rsid w:val="006E2CA1"/>
    <w:rsid w:val="006E3FB0"/>
    <w:rsid w:val="006E7EB7"/>
    <w:rsid w:val="006F05D4"/>
    <w:rsid w:val="006F09C7"/>
    <w:rsid w:val="006F0ACE"/>
    <w:rsid w:val="006F1AB6"/>
    <w:rsid w:val="006F2B80"/>
    <w:rsid w:val="006F3D17"/>
    <w:rsid w:val="006F45BE"/>
    <w:rsid w:val="006F5782"/>
    <w:rsid w:val="006F58FE"/>
    <w:rsid w:val="006F69C6"/>
    <w:rsid w:val="007004FC"/>
    <w:rsid w:val="007005F0"/>
    <w:rsid w:val="00704877"/>
    <w:rsid w:val="00705374"/>
    <w:rsid w:val="00706670"/>
    <w:rsid w:val="00706CA2"/>
    <w:rsid w:val="00706F20"/>
    <w:rsid w:val="00711B9D"/>
    <w:rsid w:val="00713F98"/>
    <w:rsid w:val="00717E74"/>
    <w:rsid w:val="007206BB"/>
    <w:rsid w:val="0072170E"/>
    <w:rsid w:val="007225F5"/>
    <w:rsid w:val="0072417C"/>
    <w:rsid w:val="00726B33"/>
    <w:rsid w:val="00730531"/>
    <w:rsid w:val="00731473"/>
    <w:rsid w:val="00734450"/>
    <w:rsid w:val="0073452D"/>
    <w:rsid w:val="00734AE2"/>
    <w:rsid w:val="007364AA"/>
    <w:rsid w:val="007364D6"/>
    <w:rsid w:val="00736E73"/>
    <w:rsid w:val="007412FB"/>
    <w:rsid w:val="00743F6E"/>
    <w:rsid w:val="00745F67"/>
    <w:rsid w:val="0075039E"/>
    <w:rsid w:val="00751164"/>
    <w:rsid w:val="00751422"/>
    <w:rsid w:val="00752585"/>
    <w:rsid w:val="00752D9D"/>
    <w:rsid w:val="00754784"/>
    <w:rsid w:val="00755BD4"/>
    <w:rsid w:val="00755EE5"/>
    <w:rsid w:val="007561D9"/>
    <w:rsid w:val="00756837"/>
    <w:rsid w:val="00757C6E"/>
    <w:rsid w:val="00760EC3"/>
    <w:rsid w:val="0076280B"/>
    <w:rsid w:val="00762BDA"/>
    <w:rsid w:val="00764AE2"/>
    <w:rsid w:val="00764CDA"/>
    <w:rsid w:val="00766200"/>
    <w:rsid w:val="00767F08"/>
    <w:rsid w:val="007704A7"/>
    <w:rsid w:val="00770631"/>
    <w:rsid w:val="00771E72"/>
    <w:rsid w:val="00774465"/>
    <w:rsid w:val="00774A9F"/>
    <w:rsid w:val="00775193"/>
    <w:rsid w:val="00776266"/>
    <w:rsid w:val="00777D88"/>
    <w:rsid w:val="00777FA2"/>
    <w:rsid w:val="007803ED"/>
    <w:rsid w:val="007805FD"/>
    <w:rsid w:val="00780A39"/>
    <w:rsid w:val="00781565"/>
    <w:rsid w:val="007840F1"/>
    <w:rsid w:val="00784422"/>
    <w:rsid w:val="007852EA"/>
    <w:rsid w:val="00785C9E"/>
    <w:rsid w:val="007868BC"/>
    <w:rsid w:val="00791D71"/>
    <w:rsid w:val="007921BB"/>
    <w:rsid w:val="00792B7C"/>
    <w:rsid w:val="00792B92"/>
    <w:rsid w:val="00792EDE"/>
    <w:rsid w:val="00794B0E"/>
    <w:rsid w:val="00796293"/>
    <w:rsid w:val="007A012B"/>
    <w:rsid w:val="007A2803"/>
    <w:rsid w:val="007A30FA"/>
    <w:rsid w:val="007A3124"/>
    <w:rsid w:val="007A4ED3"/>
    <w:rsid w:val="007A560E"/>
    <w:rsid w:val="007A6FFA"/>
    <w:rsid w:val="007A75E3"/>
    <w:rsid w:val="007B3B54"/>
    <w:rsid w:val="007B3FA0"/>
    <w:rsid w:val="007B6E26"/>
    <w:rsid w:val="007B7A7D"/>
    <w:rsid w:val="007C0F2C"/>
    <w:rsid w:val="007C2BCC"/>
    <w:rsid w:val="007C4EF0"/>
    <w:rsid w:val="007C558E"/>
    <w:rsid w:val="007C6B53"/>
    <w:rsid w:val="007D099D"/>
    <w:rsid w:val="007D0CB8"/>
    <w:rsid w:val="007D30F9"/>
    <w:rsid w:val="007D4835"/>
    <w:rsid w:val="007D6961"/>
    <w:rsid w:val="007E097C"/>
    <w:rsid w:val="007E0E1B"/>
    <w:rsid w:val="007E2664"/>
    <w:rsid w:val="007E3ABF"/>
    <w:rsid w:val="007E4EC4"/>
    <w:rsid w:val="007E5BFA"/>
    <w:rsid w:val="007E6689"/>
    <w:rsid w:val="007E731C"/>
    <w:rsid w:val="007E7409"/>
    <w:rsid w:val="007E7A7A"/>
    <w:rsid w:val="007F0A03"/>
    <w:rsid w:val="007F108D"/>
    <w:rsid w:val="007F2BAB"/>
    <w:rsid w:val="007F5E40"/>
    <w:rsid w:val="007F6D9C"/>
    <w:rsid w:val="007F7551"/>
    <w:rsid w:val="007F75DA"/>
    <w:rsid w:val="008004A5"/>
    <w:rsid w:val="00800656"/>
    <w:rsid w:val="00804310"/>
    <w:rsid w:val="008059CB"/>
    <w:rsid w:val="00810040"/>
    <w:rsid w:val="008103A3"/>
    <w:rsid w:val="008104E0"/>
    <w:rsid w:val="008134A7"/>
    <w:rsid w:val="00816A82"/>
    <w:rsid w:val="008176C5"/>
    <w:rsid w:val="0082023A"/>
    <w:rsid w:val="00821A7A"/>
    <w:rsid w:val="00823357"/>
    <w:rsid w:val="008253F8"/>
    <w:rsid w:val="00827E9F"/>
    <w:rsid w:val="008318FE"/>
    <w:rsid w:val="00831902"/>
    <w:rsid w:val="008325E4"/>
    <w:rsid w:val="00832A2B"/>
    <w:rsid w:val="00832FA8"/>
    <w:rsid w:val="00834BED"/>
    <w:rsid w:val="00834F23"/>
    <w:rsid w:val="00836927"/>
    <w:rsid w:val="00836CA6"/>
    <w:rsid w:val="0083727C"/>
    <w:rsid w:val="00837655"/>
    <w:rsid w:val="00842733"/>
    <w:rsid w:val="00844B60"/>
    <w:rsid w:val="00845811"/>
    <w:rsid w:val="00846994"/>
    <w:rsid w:val="00850451"/>
    <w:rsid w:val="0085101A"/>
    <w:rsid w:val="00852042"/>
    <w:rsid w:val="008525D6"/>
    <w:rsid w:val="008534C9"/>
    <w:rsid w:val="008542BA"/>
    <w:rsid w:val="008543FB"/>
    <w:rsid w:val="008550FB"/>
    <w:rsid w:val="0085599D"/>
    <w:rsid w:val="0085721E"/>
    <w:rsid w:val="008632DE"/>
    <w:rsid w:val="00864EFA"/>
    <w:rsid w:val="00867026"/>
    <w:rsid w:val="0086720B"/>
    <w:rsid w:val="008678A9"/>
    <w:rsid w:val="00874152"/>
    <w:rsid w:val="0087510C"/>
    <w:rsid w:val="00875637"/>
    <w:rsid w:val="00875A6F"/>
    <w:rsid w:val="00876A20"/>
    <w:rsid w:val="0087752C"/>
    <w:rsid w:val="008779C6"/>
    <w:rsid w:val="008802FA"/>
    <w:rsid w:val="008824CB"/>
    <w:rsid w:val="00882531"/>
    <w:rsid w:val="00884487"/>
    <w:rsid w:val="00884DC2"/>
    <w:rsid w:val="00885DF9"/>
    <w:rsid w:val="00886088"/>
    <w:rsid w:val="008863B5"/>
    <w:rsid w:val="00891910"/>
    <w:rsid w:val="008937A7"/>
    <w:rsid w:val="00893D7F"/>
    <w:rsid w:val="008944B0"/>
    <w:rsid w:val="008947BA"/>
    <w:rsid w:val="00895AE0"/>
    <w:rsid w:val="008963AB"/>
    <w:rsid w:val="008967DB"/>
    <w:rsid w:val="0089738E"/>
    <w:rsid w:val="008A121C"/>
    <w:rsid w:val="008A2FC4"/>
    <w:rsid w:val="008A4CC4"/>
    <w:rsid w:val="008B146D"/>
    <w:rsid w:val="008B2837"/>
    <w:rsid w:val="008B45E2"/>
    <w:rsid w:val="008B572C"/>
    <w:rsid w:val="008B5CD1"/>
    <w:rsid w:val="008B5FDB"/>
    <w:rsid w:val="008B610E"/>
    <w:rsid w:val="008C1FB4"/>
    <w:rsid w:val="008C2EDA"/>
    <w:rsid w:val="008C50F4"/>
    <w:rsid w:val="008C5649"/>
    <w:rsid w:val="008C5C24"/>
    <w:rsid w:val="008D1ACC"/>
    <w:rsid w:val="008D1E68"/>
    <w:rsid w:val="008D58A8"/>
    <w:rsid w:val="008D5E9E"/>
    <w:rsid w:val="008D5F3B"/>
    <w:rsid w:val="008E3127"/>
    <w:rsid w:val="008E44A2"/>
    <w:rsid w:val="008E697D"/>
    <w:rsid w:val="008E6A10"/>
    <w:rsid w:val="008F1518"/>
    <w:rsid w:val="008F1EFC"/>
    <w:rsid w:val="008F272B"/>
    <w:rsid w:val="008F2E7A"/>
    <w:rsid w:val="008F372B"/>
    <w:rsid w:val="00902188"/>
    <w:rsid w:val="00902797"/>
    <w:rsid w:val="00903263"/>
    <w:rsid w:val="00904F2C"/>
    <w:rsid w:val="00906A21"/>
    <w:rsid w:val="009079C3"/>
    <w:rsid w:val="00910462"/>
    <w:rsid w:val="009113BB"/>
    <w:rsid w:val="009121E8"/>
    <w:rsid w:val="0091476F"/>
    <w:rsid w:val="00914AB8"/>
    <w:rsid w:val="00914CBC"/>
    <w:rsid w:val="00914FAF"/>
    <w:rsid w:val="00915AB1"/>
    <w:rsid w:val="00917532"/>
    <w:rsid w:val="00920073"/>
    <w:rsid w:val="00920E33"/>
    <w:rsid w:val="009235BA"/>
    <w:rsid w:val="00924023"/>
    <w:rsid w:val="009242B6"/>
    <w:rsid w:val="00924B5C"/>
    <w:rsid w:val="00924CE2"/>
    <w:rsid w:val="009256E6"/>
    <w:rsid w:val="00925B9F"/>
    <w:rsid w:val="00926729"/>
    <w:rsid w:val="009302E0"/>
    <w:rsid w:val="00930785"/>
    <w:rsid w:val="00930A0C"/>
    <w:rsid w:val="00931AED"/>
    <w:rsid w:val="009356C2"/>
    <w:rsid w:val="009364F3"/>
    <w:rsid w:val="0093754C"/>
    <w:rsid w:val="009408E4"/>
    <w:rsid w:val="009476A3"/>
    <w:rsid w:val="00951D59"/>
    <w:rsid w:val="009527C1"/>
    <w:rsid w:val="0095334F"/>
    <w:rsid w:val="009535C9"/>
    <w:rsid w:val="00955A58"/>
    <w:rsid w:val="00956C73"/>
    <w:rsid w:val="00962175"/>
    <w:rsid w:val="009624BE"/>
    <w:rsid w:val="0096417A"/>
    <w:rsid w:val="00965897"/>
    <w:rsid w:val="00966AE6"/>
    <w:rsid w:val="0096765C"/>
    <w:rsid w:val="009727E4"/>
    <w:rsid w:val="00980B2E"/>
    <w:rsid w:val="009835BD"/>
    <w:rsid w:val="00983EF7"/>
    <w:rsid w:val="00987819"/>
    <w:rsid w:val="009934C5"/>
    <w:rsid w:val="00994C0F"/>
    <w:rsid w:val="009964C8"/>
    <w:rsid w:val="009A5C53"/>
    <w:rsid w:val="009B0D27"/>
    <w:rsid w:val="009B22D7"/>
    <w:rsid w:val="009B554C"/>
    <w:rsid w:val="009B72ED"/>
    <w:rsid w:val="009C08B3"/>
    <w:rsid w:val="009C3283"/>
    <w:rsid w:val="009C32F1"/>
    <w:rsid w:val="009C4885"/>
    <w:rsid w:val="009C4D2E"/>
    <w:rsid w:val="009C694B"/>
    <w:rsid w:val="009C6DEB"/>
    <w:rsid w:val="009D17A5"/>
    <w:rsid w:val="009D3DB0"/>
    <w:rsid w:val="009D5129"/>
    <w:rsid w:val="009D6504"/>
    <w:rsid w:val="009D7946"/>
    <w:rsid w:val="009E12D7"/>
    <w:rsid w:val="009E3892"/>
    <w:rsid w:val="009E3AA4"/>
    <w:rsid w:val="009E559A"/>
    <w:rsid w:val="009E5925"/>
    <w:rsid w:val="009E661A"/>
    <w:rsid w:val="009F1CD4"/>
    <w:rsid w:val="009F3195"/>
    <w:rsid w:val="009F5582"/>
    <w:rsid w:val="009F71AB"/>
    <w:rsid w:val="009F7D2B"/>
    <w:rsid w:val="00A0162F"/>
    <w:rsid w:val="00A01802"/>
    <w:rsid w:val="00A0432A"/>
    <w:rsid w:val="00A05570"/>
    <w:rsid w:val="00A06136"/>
    <w:rsid w:val="00A06781"/>
    <w:rsid w:val="00A074C3"/>
    <w:rsid w:val="00A13AB9"/>
    <w:rsid w:val="00A14214"/>
    <w:rsid w:val="00A145FE"/>
    <w:rsid w:val="00A1509C"/>
    <w:rsid w:val="00A16443"/>
    <w:rsid w:val="00A17EA5"/>
    <w:rsid w:val="00A23DDB"/>
    <w:rsid w:val="00A23ECB"/>
    <w:rsid w:val="00A2489F"/>
    <w:rsid w:val="00A34260"/>
    <w:rsid w:val="00A36AC7"/>
    <w:rsid w:val="00A37E39"/>
    <w:rsid w:val="00A4360F"/>
    <w:rsid w:val="00A43A02"/>
    <w:rsid w:val="00A442FD"/>
    <w:rsid w:val="00A44547"/>
    <w:rsid w:val="00A46101"/>
    <w:rsid w:val="00A5023C"/>
    <w:rsid w:val="00A50597"/>
    <w:rsid w:val="00A524DE"/>
    <w:rsid w:val="00A52FFD"/>
    <w:rsid w:val="00A5375D"/>
    <w:rsid w:val="00A545C1"/>
    <w:rsid w:val="00A60D88"/>
    <w:rsid w:val="00A622A9"/>
    <w:rsid w:val="00A639E5"/>
    <w:rsid w:val="00A64ACE"/>
    <w:rsid w:val="00A70CFD"/>
    <w:rsid w:val="00A72A0B"/>
    <w:rsid w:val="00A72DBB"/>
    <w:rsid w:val="00A735A2"/>
    <w:rsid w:val="00A7399A"/>
    <w:rsid w:val="00A77BC5"/>
    <w:rsid w:val="00A81E42"/>
    <w:rsid w:val="00A8435C"/>
    <w:rsid w:val="00A84D83"/>
    <w:rsid w:val="00A8598A"/>
    <w:rsid w:val="00A864FE"/>
    <w:rsid w:val="00A86F41"/>
    <w:rsid w:val="00A871FD"/>
    <w:rsid w:val="00A87D04"/>
    <w:rsid w:val="00A950C5"/>
    <w:rsid w:val="00AA0A1F"/>
    <w:rsid w:val="00AA1A11"/>
    <w:rsid w:val="00AA1D25"/>
    <w:rsid w:val="00AA20B3"/>
    <w:rsid w:val="00AA2479"/>
    <w:rsid w:val="00AA4516"/>
    <w:rsid w:val="00AA4847"/>
    <w:rsid w:val="00AA4AD1"/>
    <w:rsid w:val="00AB002C"/>
    <w:rsid w:val="00AB1A5D"/>
    <w:rsid w:val="00AB2A1B"/>
    <w:rsid w:val="00AB2B1A"/>
    <w:rsid w:val="00AB397F"/>
    <w:rsid w:val="00AB3CED"/>
    <w:rsid w:val="00AB471C"/>
    <w:rsid w:val="00AB5832"/>
    <w:rsid w:val="00AC4BF7"/>
    <w:rsid w:val="00AC51F2"/>
    <w:rsid w:val="00AC698B"/>
    <w:rsid w:val="00AD36B7"/>
    <w:rsid w:val="00AD56E6"/>
    <w:rsid w:val="00AD584F"/>
    <w:rsid w:val="00AD646E"/>
    <w:rsid w:val="00AD7C24"/>
    <w:rsid w:val="00AD7C3B"/>
    <w:rsid w:val="00AE201F"/>
    <w:rsid w:val="00AE5066"/>
    <w:rsid w:val="00AE5E24"/>
    <w:rsid w:val="00AE61B7"/>
    <w:rsid w:val="00AE6B1E"/>
    <w:rsid w:val="00AE6CBA"/>
    <w:rsid w:val="00AE79AD"/>
    <w:rsid w:val="00AF058B"/>
    <w:rsid w:val="00AF2793"/>
    <w:rsid w:val="00AF27EE"/>
    <w:rsid w:val="00AF35E4"/>
    <w:rsid w:val="00AF5CDE"/>
    <w:rsid w:val="00B047FC"/>
    <w:rsid w:val="00B051B0"/>
    <w:rsid w:val="00B05BA6"/>
    <w:rsid w:val="00B06A91"/>
    <w:rsid w:val="00B07D1F"/>
    <w:rsid w:val="00B11738"/>
    <w:rsid w:val="00B11A57"/>
    <w:rsid w:val="00B12A9E"/>
    <w:rsid w:val="00B143FC"/>
    <w:rsid w:val="00B15D55"/>
    <w:rsid w:val="00B17767"/>
    <w:rsid w:val="00B2005E"/>
    <w:rsid w:val="00B211C3"/>
    <w:rsid w:val="00B221D3"/>
    <w:rsid w:val="00B25597"/>
    <w:rsid w:val="00B25D6A"/>
    <w:rsid w:val="00B267B9"/>
    <w:rsid w:val="00B3060A"/>
    <w:rsid w:val="00B30A5D"/>
    <w:rsid w:val="00B321E3"/>
    <w:rsid w:val="00B33E09"/>
    <w:rsid w:val="00B34B28"/>
    <w:rsid w:val="00B363F2"/>
    <w:rsid w:val="00B407CC"/>
    <w:rsid w:val="00B41862"/>
    <w:rsid w:val="00B47019"/>
    <w:rsid w:val="00B50708"/>
    <w:rsid w:val="00B509F1"/>
    <w:rsid w:val="00B50C68"/>
    <w:rsid w:val="00B51293"/>
    <w:rsid w:val="00B52B1E"/>
    <w:rsid w:val="00B52E5F"/>
    <w:rsid w:val="00B52F9C"/>
    <w:rsid w:val="00B545A4"/>
    <w:rsid w:val="00B54D7B"/>
    <w:rsid w:val="00B55481"/>
    <w:rsid w:val="00B56122"/>
    <w:rsid w:val="00B567A4"/>
    <w:rsid w:val="00B56C32"/>
    <w:rsid w:val="00B56F98"/>
    <w:rsid w:val="00B579D8"/>
    <w:rsid w:val="00B57ACF"/>
    <w:rsid w:val="00B62EA7"/>
    <w:rsid w:val="00B631A9"/>
    <w:rsid w:val="00B641AA"/>
    <w:rsid w:val="00B64BB1"/>
    <w:rsid w:val="00B701D2"/>
    <w:rsid w:val="00B73166"/>
    <w:rsid w:val="00B777C1"/>
    <w:rsid w:val="00B8426C"/>
    <w:rsid w:val="00B842FD"/>
    <w:rsid w:val="00B84820"/>
    <w:rsid w:val="00B85898"/>
    <w:rsid w:val="00B865ED"/>
    <w:rsid w:val="00B868DE"/>
    <w:rsid w:val="00B87A70"/>
    <w:rsid w:val="00B90271"/>
    <w:rsid w:val="00B90B44"/>
    <w:rsid w:val="00B91B8D"/>
    <w:rsid w:val="00B924F5"/>
    <w:rsid w:val="00B93B99"/>
    <w:rsid w:val="00B94E90"/>
    <w:rsid w:val="00B96A18"/>
    <w:rsid w:val="00B96DCB"/>
    <w:rsid w:val="00BA0D9E"/>
    <w:rsid w:val="00BA1E86"/>
    <w:rsid w:val="00BA23D3"/>
    <w:rsid w:val="00BA36FD"/>
    <w:rsid w:val="00BB0A82"/>
    <w:rsid w:val="00BB41B8"/>
    <w:rsid w:val="00BB6FCA"/>
    <w:rsid w:val="00BB7077"/>
    <w:rsid w:val="00BB7989"/>
    <w:rsid w:val="00BB7C94"/>
    <w:rsid w:val="00BC0A9D"/>
    <w:rsid w:val="00BC14F1"/>
    <w:rsid w:val="00BC3A79"/>
    <w:rsid w:val="00BC484C"/>
    <w:rsid w:val="00BC5629"/>
    <w:rsid w:val="00BC7336"/>
    <w:rsid w:val="00BC7ED7"/>
    <w:rsid w:val="00BD6452"/>
    <w:rsid w:val="00BD7CCD"/>
    <w:rsid w:val="00BE0538"/>
    <w:rsid w:val="00BE0D90"/>
    <w:rsid w:val="00BE31CE"/>
    <w:rsid w:val="00BF05EB"/>
    <w:rsid w:val="00BF256E"/>
    <w:rsid w:val="00BF40ED"/>
    <w:rsid w:val="00BF4457"/>
    <w:rsid w:val="00BF57A2"/>
    <w:rsid w:val="00BF5BC2"/>
    <w:rsid w:val="00BF7637"/>
    <w:rsid w:val="00C06E4E"/>
    <w:rsid w:val="00C1133D"/>
    <w:rsid w:val="00C11761"/>
    <w:rsid w:val="00C13494"/>
    <w:rsid w:val="00C144B7"/>
    <w:rsid w:val="00C175ED"/>
    <w:rsid w:val="00C176FA"/>
    <w:rsid w:val="00C20823"/>
    <w:rsid w:val="00C243F6"/>
    <w:rsid w:val="00C27A08"/>
    <w:rsid w:val="00C31312"/>
    <w:rsid w:val="00C321EF"/>
    <w:rsid w:val="00C326C6"/>
    <w:rsid w:val="00C33BD5"/>
    <w:rsid w:val="00C3416B"/>
    <w:rsid w:val="00C35295"/>
    <w:rsid w:val="00C36326"/>
    <w:rsid w:val="00C36ADD"/>
    <w:rsid w:val="00C36E74"/>
    <w:rsid w:val="00C40595"/>
    <w:rsid w:val="00C41621"/>
    <w:rsid w:val="00C449FA"/>
    <w:rsid w:val="00C44C6D"/>
    <w:rsid w:val="00C4543E"/>
    <w:rsid w:val="00C50AF5"/>
    <w:rsid w:val="00C53750"/>
    <w:rsid w:val="00C5384F"/>
    <w:rsid w:val="00C54211"/>
    <w:rsid w:val="00C56964"/>
    <w:rsid w:val="00C57A4A"/>
    <w:rsid w:val="00C65021"/>
    <w:rsid w:val="00C656D5"/>
    <w:rsid w:val="00C67103"/>
    <w:rsid w:val="00C71BB9"/>
    <w:rsid w:val="00C72E81"/>
    <w:rsid w:val="00C74061"/>
    <w:rsid w:val="00C762A5"/>
    <w:rsid w:val="00C81088"/>
    <w:rsid w:val="00C844DC"/>
    <w:rsid w:val="00C90200"/>
    <w:rsid w:val="00C9139F"/>
    <w:rsid w:val="00C91B20"/>
    <w:rsid w:val="00C92EF0"/>
    <w:rsid w:val="00C92FE4"/>
    <w:rsid w:val="00C94C28"/>
    <w:rsid w:val="00C94E16"/>
    <w:rsid w:val="00C95145"/>
    <w:rsid w:val="00CA06C8"/>
    <w:rsid w:val="00CA3B3A"/>
    <w:rsid w:val="00CA412B"/>
    <w:rsid w:val="00CA4EB9"/>
    <w:rsid w:val="00CA5D2D"/>
    <w:rsid w:val="00CB0247"/>
    <w:rsid w:val="00CB28C5"/>
    <w:rsid w:val="00CB3440"/>
    <w:rsid w:val="00CB6531"/>
    <w:rsid w:val="00CC045A"/>
    <w:rsid w:val="00CC14FD"/>
    <w:rsid w:val="00CC1692"/>
    <w:rsid w:val="00CC22FC"/>
    <w:rsid w:val="00CC2427"/>
    <w:rsid w:val="00CC2701"/>
    <w:rsid w:val="00CC3C5C"/>
    <w:rsid w:val="00CC3FA8"/>
    <w:rsid w:val="00CC5DAB"/>
    <w:rsid w:val="00CC5E2B"/>
    <w:rsid w:val="00CC7B61"/>
    <w:rsid w:val="00CC7DF4"/>
    <w:rsid w:val="00CD045E"/>
    <w:rsid w:val="00CD0767"/>
    <w:rsid w:val="00CD138B"/>
    <w:rsid w:val="00CD165B"/>
    <w:rsid w:val="00CD2FC1"/>
    <w:rsid w:val="00CD3E31"/>
    <w:rsid w:val="00CD74A3"/>
    <w:rsid w:val="00CE0527"/>
    <w:rsid w:val="00CE0D7E"/>
    <w:rsid w:val="00CE0E80"/>
    <w:rsid w:val="00CE12B8"/>
    <w:rsid w:val="00CE17A5"/>
    <w:rsid w:val="00CE1D10"/>
    <w:rsid w:val="00CE501B"/>
    <w:rsid w:val="00CE5B23"/>
    <w:rsid w:val="00CE5C01"/>
    <w:rsid w:val="00CF5005"/>
    <w:rsid w:val="00CF70AD"/>
    <w:rsid w:val="00CF7729"/>
    <w:rsid w:val="00D00059"/>
    <w:rsid w:val="00D0113A"/>
    <w:rsid w:val="00D0181A"/>
    <w:rsid w:val="00D06410"/>
    <w:rsid w:val="00D07D9B"/>
    <w:rsid w:val="00D107FA"/>
    <w:rsid w:val="00D11F3B"/>
    <w:rsid w:val="00D12275"/>
    <w:rsid w:val="00D12766"/>
    <w:rsid w:val="00D13936"/>
    <w:rsid w:val="00D15F0D"/>
    <w:rsid w:val="00D15F3B"/>
    <w:rsid w:val="00D16159"/>
    <w:rsid w:val="00D178D9"/>
    <w:rsid w:val="00D20FF4"/>
    <w:rsid w:val="00D24D2C"/>
    <w:rsid w:val="00D27CEF"/>
    <w:rsid w:val="00D33AF2"/>
    <w:rsid w:val="00D35881"/>
    <w:rsid w:val="00D40C36"/>
    <w:rsid w:val="00D420FC"/>
    <w:rsid w:val="00D4313E"/>
    <w:rsid w:val="00D44F56"/>
    <w:rsid w:val="00D45045"/>
    <w:rsid w:val="00D458FC"/>
    <w:rsid w:val="00D45F07"/>
    <w:rsid w:val="00D51604"/>
    <w:rsid w:val="00D52F90"/>
    <w:rsid w:val="00D572E6"/>
    <w:rsid w:val="00D630AF"/>
    <w:rsid w:val="00D6325D"/>
    <w:rsid w:val="00D636D6"/>
    <w:rsid w:val="00D64B78"/>
    <w:rsid w:val="00D6514E"/>
    <w:rsid w:val="00D660A5"/>
    <w:rsid w:val="00D679FD"/>
    <w:rsid w:val="00D7399A"/>
    <w:rsid w:val="00D76406"/>
    <w:rsid w:val="00D76C44"/>
    <w:rsid w:val="00D7725F"/>
    <w:rsid w:val="00D84409"/>
    <w:rsid w:val="00D85642"/>
    <w:rsid w:val="00D856A1"/>
    <w:rsid w:val="00D87A72"/>
    <w:rsid w:val="00D9307E"/>
    <w:rsid w:val="00D93C45"/>
    <w:rsid w:val="00D945D9"/>
    <w:rsid w:val="00D94A16"/>
    <w:rsid w:val="00D97223"/>
    <w:rsid w:val="00DA32F8"/>
    <w:rsid w:val="00DA4463"/>
    <w:rsid w:val="00DA73BC"/>
    <w:rsid w:val="00DA7DA5"/>
    <w:rsid w:val="00DB073B"/>
    <w:rsid w:val="00DB09FC"/>
    <w:rsid w:val="00DB1732"/>
    <w:rsid w:val="00DB305E"/>
    <w:rsid w:val="00DB49E4"/>
    <w:rsid w:val="00DB639D"/>
    <w:rsid w:val="00DB78F0"/>
    <w:rsid w:val="00DC2E43"/>
    <w:rsid w:val="00DC4EEC"/>
    <w:rsid w:val="00DD04B1"/>
    <w:rsid w:val="00DD095C"/>
    <w:rsid w:val="00DD1020"/>
    <w:rsid w:val="00DD1330"/>
    <w:rsid w:val="00DD58A1"/>
    <w:rsid w:val="00DD649C"/>
    <w:rsid w:val="00DD6827"/>
    <w:rsid w:val="00DE0B83"/>
    <w:rsid w:val="00DE1664"/>
    <w:rsid w:val="00DE185D"/>
    <w:rsid w:val="00DE1A81"/>
    <w:rsid w:val="00DE1C13"/>
    <w:rsid w:val="00DE24B6"/>
    <w:rsid w:val="00DE277D"/>
    <w:rsid w:val="00DE356F"/>
    <w:rsid w:val="00DE4543"/>
    <w:rsid w:val="00DE4E10"/>
    <w:rsid w:val="00DF2694"/>
    <w:rsid w:val="00DF5DB6"/>
    <w:rsid w:val="00DF6369"/>
    <w:rsid w:val="00DF644D"/>
    <w:rsid w:val="00DF6A69"/>
    <w:rsid w:val="00E00C5D"/>
    <w:rsid w:val="00E00D78"/>
    <w:rsid w:val="00E02ABF"/>
    <w:rsid w:val="00E032B2"/>
    <w:rsid w:val="00E116CF"/>
    <w:rsid w:val="00E143B0"/>
    <w:rsid w:val="00E14576"/>
    <w:rsid w:val="00E14995"/>
    <w:rsid w:val="00E14D4D"/>
    <w:rsid w:val="00E179CD"/>
    <w:rsid w:val="00E17F4F"/>
    <w:rsid w:val="00E224CC"/>
    <w:rsid w:val="00E23E8D"/>
    <w:rsid w:val="00E266C4"/>
    <w:rsid w:val="00E27851"/>
    <w:rsid w:val="00E27BEC"/>
    <w:rsid w:val="00E30957"/>
    <w:rsid w:val="00E347FB"/>
    <w:rsid w:val="00E35726"/>
    <w:rsid w:val="00E35E41"/>
    <w:rsid w:val="00E37F98"/>
    <w:rsid w:val="00E415DA"/>
    <w:rsid w:val="00E45110"/>
    <w:rsid w:val="00E462B8"/>
    <w:rsid w:val="00E46559"/>
    <w:rsid w:val="00E55510"/>
    <w:rsid w:val="00E56083"/>
    <w:rsid w:val="00E5723E"/>
    <w:rsid w:val="00E60F02"/>
    <w:rsid w:val="00E6239C"/>
    <w:rsid w:val="00E63C27"/>
    <w:rsid w:val="00E6670C"/>
    <w:rsid w:val="00E70DDC"/>
    <w:rsid w:val="00E71802"/>
    <w:rsid w:val="00E7374E"/>
    <w:rsid w:val="00E758BA"/>
    <w:rsid w:val="00E7656A"/>
    <w:rsid w:val="00E776E8"/>
    <w:rsid w:val="00E777D8"/>
    <w:rsid w:val="00E82EF6"/>
    <w:rsid w:val="00E82F42"/>
    <w:rsid w:val="00E84871"/>
    <w:rsid w:val="00E84E03"/>
    <w:rsid w:val="00E8539B"/>
    <w:rsid w:val="00E86560"/>
    <w:rsid w:val="00E8668F"/>
    <w:rsid w:val="00E92BF6"/>
    <w:rsid w:val="00E92C1F"/>
    <w:rsid w:val="00E94EC2"/>
    <w:rsid w:val="00E95311"/>
    <w:rsid w:val="00E95480"/>
    <w:rsid w:val="00E95D4B"/>
    <w:rsid w:val="00E95EBA"/>
    <w:rsid w:val="00EA0679"/>
    <w:rsid w:val="00EA0B61"/>
    <w:rsid w:val="00EA1DBC"/>
    <w:rsid w:val="00EA6A8E"/>
    <w:rsid w:val="00EA7EEC"/>
    <w:rsid w:val="00EB0FD8"/>
    <w:rsid w:val="00EB199F"/>
    <w:rsid w:val="00EB2AA1"/>
    <w:rsid w:val="00EB3569"/>
    <w:rsid w:val="00EB4831"/>
    <w:rsid w:val="00EC08AE"/>
    <w:rsid w:val="00EC23F7"/>
    <w:rsid w:val="00EC4BD8"/>
    <w:rsid w:val="00EC63EB"/>
    <w:rsid w:val="00EC7D47"/>
    <w:rsid w:val="00ED03AC"/>
    <w:rsid w:val="00ED0F7A"/>
    <w:rsid w:val="00ED278C"/>
    <w:rsid w:val="00ED3CCA"/>
    <w:rsid w:val="00ED412F"/>
    <w:rsid w:val="00ED57AE"/>
    <w:rsid w:val="00ED65BD"/>
    <w:rsid w:val="00ED7059"/>
    <w:rsid w:val="00ED747C"/>
    <w:rsid w:val="00EE4C1C"/>
    <w:rsid w:val="00EF1386"/>
    <w:rsid w:val="00EF1DF6"/>
    <w:rsid w:val="00EF1F0C"/>
    <w:rsid w:val="00EF36B2"/>
    <w:rsid w:val="00EF4D83"/>
    <w:rsid w:val="00EF6EAB"/>
    <w:rsid w:val="00F02963"/>
    <w:rsid w:val="00F077B7"/>
    <w:rsid w:val="00F115B5"/>
    <w:rsid w:val="00F1273D"/>
    <w:rsid w:val="00F12A88"/>
    <w:rsid w:val="00F14ABD"/>
    <w:rsid w:val="00F14FB1"/>
    <w:rsid w:val="00F16BE2"/>
    <w:rsid w:val="00F1723D"/>
    <w:rsid w:val="00F173B0"/>
    <w:rsid w:val="00F201EC"/>
    <w:rsid w:val="00F208A1"/>
    <w:rsid w:val="00F208A9"/>
    <w:rsid w:val="00F21293"/>
    <w:rsid w:val="00F215C2"/>
    <w:rsid w:val="00F21F0E"/>
    <w:rsid w:val="00F2548C"/>
    <w:rsid w:val="00F25693"/>
    <w:rsid w:val="00F26380"/>
    <w:rsid w:val="00F313BB"/>
    <w:rsid w:val="00F31E83"/>
    <w:rsid w:val="00F33C58"/>
    <w:rsid w:val="00F41D75"/>
    <w:rsid w:val="00F4368B"/>
    <w:rsid w:val="00F44B38"/>
    <w:rsid w:val="00F451F6"/>
    <w:rsid w:val="00F466EE"/>
    <w:rsid w:val="00F467EF"/>
    <w:rsid w:val="00F46A5B"/>
    <w:rsid w:val="00F47250"/>
    <w:rsid w:val="00F50C02"/>
    <w:rsid w:val="00F51250"/>
    <w:rsid w:val="00F5139D"/>
    <w:rsid w:val="00F52175"/>
    <w:rsid w:val="00F567F3"/>
    <w:rsid w:val="00F56F2D"/>
    <w:rsid w:val="00F63074"/>
    <w:rsid w:val="00F633F6"/>
    <w:rsid w:val="00F63DAC"/>
    <w:rsid w:val="00F64C8B"/>
    <w:rsid w:val="00F64EF2"/>
    <w:rsid w:val="00F65B25"/>
    <w:rsid w:val="00F72B39"/>
    <w:rsid w:val="00F736B5"/>
    <w:rsid w:val="00F7454F"/>
    <w:rsid w:val="00F75805"/>
    <w:rsid w:val="00F7597A"/>
    <w:rsid w:val="00F75C70"/>
    <w:rsid w:val="00F77659"/>
    <w:rsid w:val="00F77988"/>
    <w:rsid w:val="00F77F48"/>
    <w:rsid w:val="00F801EC"/>
    <w:rsid w:val="00F83076"/>
    <w:rsid w:val="00F85C86"/>
    <w:rsid w:val="00F87500"/>
    <w:rsid w:val="00F909A0"/>
    <w:rsid w:val="00F964F8"/>
    <w:rsid w:val="00FA1B25"/>
    <w:rsid w:val="00FA4A2F"/>
    <w:rsid w:val="00FA60A5"/>
    <w:rsid w:val="00FA63D3"/>
    <w:rsid w:val="00FA6C30"/>
    <w:rsid w:val="00FB2207"/>
    <w:rsid w:val="00FB30F1"/>
    <w:rsid w:val="00FB5286"/>
    <w:rsid w:val="00FB53E7"/>
    <w:rsid w:val="00FB5A1E"/>
    <w:rsid w:val="00FC264D"/>
    <w:rsid w:val="00FC2F83"/>
    <w:rsid w:val="00FC554D"/>
    <w:rsid w:val="00FD1A00"/>
    <w:rsid w:val="00FD2F0E"/>
    <w:rsid w:val="00FD37C2"/>
    <w:rsid w:val="00FD4D0A"/>
    <w:rsid w:val="00FD4ED7"/>
    <w:rsid w:val="00FD579B"/>
    <w:rsid w:val="00FD5F30"/>
    <w:rsid w:val="00FD7109"/>
    <w:rsid w:val="00FD76CC"/>
    <w:rsid w:val="00FD7C7B"/>
    <w:rsid w:val="00FE0BEB"/>
    <w:rsid w:val="00FE0D39"/>
    <w:rsid w:val="00FE0DE2"/>
    <w:rsid w:val="00FE19EF"/>
    <w:rsid w:val="00FE22B0"/>
    <w:rsid w:val="00FE4483"/>
    <w:rsid w:val="00FE7CD9"/>
    <w:rsid w:val="00FF2147"/>
    <w:rsid w:val="00FF227D"/>
    <w:rsid w:val="00FF459A"/>
    <w:rsid w:val="00FF54C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EB9C98-864A-4B20-B22B-60C709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rsid w:val="008C5649"/>
    <w:rPr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rsid w:val="008937A7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8937A7"/>
    <w:rPr>
      <w:sz w:val="16"/>
      <w:szCs w:val="16"/>
      <w:lang w:val="en-US"/>
    </w:rPr>
  </w:style>
  <w:style w:type="paragraph" w:customStyle="1" w:styleId="RakstzRakstzRakstzCharCharChar1CharChar">
    <w:name w:val="Rakstz. Rakstz. Rakstz. Char Char Char1 Char Char"/>
    <w:basedOn w:val="Normal"/>
    <w:rsid w:val="000B65B3"/>
    <w:pPr>
      <w:spacing w:before="40"/>
    </w:pPr>
    <w:rPr>
      <w:lang w:val="pl-PL" w:eastAsia="pl-PL"/>
    </w:rPr>
  </w:style>
  <w:style w:type="paragraph" w:customStyle="1" w:styleId="tvhtml">
    <w:name w:val="tv_html"/>
    <w:basedOn w:val="Normal"/>
    <w:rsid w:val="006570D6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3C3BAB"/>
    <w:rPr>
      <w:b/>
      <w:bCs/>
    </w:rPr>
  </w:style>
  <w:style w:type="character" w:styleId="FollowedHyperlink">
    <w:name w:val="FollowedHyperlink"/>
    <w:rsid w:val="00551541"/>
    <w:rPr>
      <w:color w:val="800080"/>
      <w:u w:val="single"/>
    </w:rPr>
  </w:style>
  <w:style w:type="character" w:customStyle="1" w:styleId="AigarsS">
    <w:name w:val="AigarsS"/>
    <w:semiHidden/>
    <w:rsid w:val="00D7399A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343716"/>
    <w:pPr>
      <w:spacing w:after="120"/>
    </w:pPr>
  </w:style>
  <w:style w:type="character" w:customStyle="1" w:styleId="BodyTextChar">
    <w:name w:val="Body Text Char"/>
    <w:link w:val="BodyText"/>
    <w:rsid w:val="00343716"/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rsid w:val="003437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43716"/>
    <w:rPr>
      <w:sz w:val="24"/>
      <w:szCs w:val="24"/>
      <w:lang w:val="lv-LV" w:eastAsia="lv-LV"/>
    </w:rPr>
  </w:style>
  <w:style w:type="paragraph" w:styleId="BlockText">
    <w:name w:val="Block Text"/>
    <w:basedOn w:val="Normal"/>
    <w:rsid w:val="00343716"/>
    <w:pPr>
      <w:ind w:left="567" w:right="3777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477F7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D161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16159"/>
    <w:rPr>
      <w:rFonts w:cs="Times New Roman"/>
      <w:color w:val="auto"/>
    </w:rPr>
  </w:style>
  <w:style w:type="paragraph" w:styleId="NoSpacing">
    <w:name w:val="No Spacing"/>
    <w:uiPriority w:val="1"/>
    <w:qFormat/>
    <w:rsid w:val="002775A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78E6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E9BC-6BC1-4EBE-9079-EE58D4F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Anda Stiebre</dc:creator>
  <cp:lastModifiedBy>Valdis Lipskis</cp:lastModifiedBy>
  <cp:revision>3</cp:revision>
  <cp:lastPrinted>2017-09-05T06:53:00Z</cp:lastPrinted>
  <dcterms:created xsi:type="dcterms:W3CDTF">2018-01-25T12:30:00Z</dcterms:created>
  <dcterms:modified xsi:type="dcterms:W3CDTF">2018-02-01T12:03:00Z</dcterms:modified>
</cp:coreProperties>
</file>