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86064" w:rsidRPr="00670216" w:rsidP="00523E44" w14:paraId="01D8C3C2" w14:textId="77777777">
      <w:pPr>
        <w:spacing w:line="240" w:lineRule="auto"/>
        <w:ind w:firstLine="720"/>
        <w:jc w:val="center"/>
        <w:rPr>
          <w:rFonts w:ascii="Times New Roman" w:hAnsi="Times New Roman"/>
          <w:b/>
          <w:sz w:val="24"/>
        </w:rPr>
      </w:pPr>
      <w:bookmarkStart w:id="0" w:name="_GoBack"/>
      <w:bookmarkEnd w:id="0"/>
      <w:r w:rsidRPr="00670216">
        <w:rPr>
          <w:rFonts w:ascii="Times New Roman" w:hAnsi="Times New Roman"/>
          <w:b/>
          <w:sz w:val="24"/>
        </w:rPr>
        <w:t xml:space="preserve">Ministru kabineta noteikumu projekta </w:t>
      </w:r>
      <w:r w:rsidRPr="00670216" w:rsidR="00736626">
        <w:rPr>
          <w:rFonts w:ascii="Times New Roman" w:hAnsi="Times New Roman"/>
          <w:b/>
          <w:sz w:val="24"/>
        </w:rPr>
        <w:t>"</w:t>
      </w:r>
      <w:r w:rsidRPr="00670216">
        <w:rPr>
          <w:rFonts w:ascii="Times New Roman" w:hAnsi="Times New Roman"/>
          <w:b/>
          <w:sz w:val="24"/>
        </w:rPr>
        <w:t xml:space="preserve">Grozījumi Ministru kabineta 2016. gada 15. marta noteikumos Nr. 160 </w:t>
      </w:r>
      <w:r w:rsidRPr="00670216" w:rsidR="00933F6C">
        <w:rPr>
          <w:rFonts w:ascii="Times New Roman" w:hAnsi="Times New Roman"/>
          <w:b/>
          <w:sz w:val="24"/>
        </w:rPr>
        <w:t>"</w:t>
      </w:r>
      <w:r w:rsidRPr="00670216">
        <w:rPr>
          <w:rFonts w:ascii="Times New Roman" w:hAnsi="Times New Roman"/>
          <w:b/>
          <w:sz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322B07">
        <w:rPr>
          <w:rFonts w:ascii="Times New Roman" w:hAnsi="Times New Roman"/>
          <w:b/>
          <w:sz w:val="24"/>
        </w:rPr>
        <w:t>"</w:t>
      </w:r>
      <w:r w:rsidRPr="00670216">
        <w:rPr>
          <w:rFonts w:ascii="Times New Roman" w:hAnsi="Times New Roman"/>
          <w:b/>
          <w:sz w:val="24"/>
        </w:rPr>
        <w:t xml:space="preserve"> sākotnējās ietekmes novērtējuma ziņojums (anotācija)</w:t>
      </w:r>
    </w:p>
    <w:tbl>
      <w:tblPr>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775"/>
        <w:gridCol w:w="6798"/>
        <w:gridCol w:w="6"/>
      </w:tblGrid>
      <w:tr w14:paraId="26FD34B6" w14:textId="77777777" w:rsidTr="00B83CED">
        <w:tblPrEx>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rPr>
          <w:gridAfter w:val="1"/>
          <w:wAfter w:w="6" w:type="dxa"/>
        </w:trPr>
        <w:tc>
          <w:tcPr>
            <w:tcW w:w="9573"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286064" w:rsidRPr="00670216" w:rsidP="00C81002" w14:paraId="73DAABC9" w14:textId="77777777">
            <w:pPr>
              <w:spacing w:after="0" w:line="240" w:lineRule="auto"/>
              <w:jc w:val="center"/>
              <w:rPr>
                <w:rFonts w:ascii="Times New Roman" w:eastAsia="Times New Roman" w:hAnsi="Times New Roman"/>
                <w:b/>
                <w:sz w:val="24"/>
                <w:szCs w:val="24"/>
                <w:lang w:eastAsia="lv-LV"/>
              </w:rPr>
            </w:pPr>
            <w:r w:rsidRPr="00670216">
              <w:rPr>
                <w:rFonts w:ascii="Times New Roman" w:eastAsia="Times New Roman" w:hAnsi="Times New Roman"/>
                <w:b/>
                <w:sz w:val="24"/>
                <w:szCs w:val="24"/>
                <w:lang w:eastAsia="lv-LV"/>
              </w:rPr>
              <w:t>I. Tiesību akta projekta izstrādes nepieciešamība</w:t>
            </w:r>
          </w:p>
        </w:tc>
      </w:tr>
      <w:tr w14:paraId="70929749" w14:textId="77777777" w:rsidTr="00B83CED">
        <w:tblPrEx>
          <w:tblW w:w="9579" w:type="dxa"/>
          <w:tblInd w:w="-537" w:type="dxa"/>
          <w:tblLayout w:type="fixed"/>
          <w:tblCellMar>
            <w:left w:w="0" w:type="dxa"/>
            <w:right w:w="0" w:type="dxa"/>
          </w:tblCellMar>
          <w:tblLook w:val="04A0"/>
        </w:tblPrEx>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0216" w:rsidP="00C81002" w14:paraId="5ADBE9E1" w14:textId="77777777">
            <w:pPr>
              <w:spacing w:after="0" w:line="240" w:lineRule="auto"/>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1. Pamatojums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0216" w:rsidP="00F44C0D" w14:paraId="41A84CAE" w14:textId="77777777">
            <w:pPr>
              <w:spacing w:after="0" w:line="240" w:lineRule="auto"/>
              <w:jc w:val="both"/>
              <w:rPr>
                <w:rFonts w:ascii="Times New Roman" w:hAnsi="Times New Roman"/>
                <w:sz w:val="24"/>
                <w:szCs w:val="24"/>
              </w:rPr>
            </w:pPr>
            <w:r w:rsidRPr="00670216">
              <w:rPr>
                <w:rFonts w:ascii="Times New Roman" w:hAnsi="Times New Roman"/>
                <w:sz w:val="24"/>
                <w:szCs w:val="24"/>
              </w:rPr>
              <w:t>Eiropas Savienības struktūrfondu un Kohēzijas fonda 2014.-2020. gada plānošanas perioda vadības likuma 20. panta 13. un 14. punkt</w:t>
            </w:r>
            <w:r w:rsidRPr="00670216" w:rsidR="00917A08">
              <w:rPr>
                <w:rFonts w:ascii="Times New Roman" w:hAnsi="Times New Roman"/>
                <w:sz w:val="24"/>
                <w:szCs w:val="24"/>
              </w:rPr>
              <w:t>s</w:t>
            </w:r>
            <w:r w:rsidRPr="00670216">
              <w:rPr>
                <w:rFonts w:ascii="Times New Roman" w:hAnsi="Times New Roman"/>
                <w:sz w:val="24"/>
                <w:szCs w:val="24"/>
              </w:rPr>
              <w:t>.</w:t>
            </w:r>
          </w:p>
        </w:tc>
      </w:tr>
      <w:tr w14:paraId="42F2BAFF" w14:textId="77777777" w:rsidTr="00B83CED">
        <w:tblPrEx>
          <w:tblW w:w="9579" w:type="dxa"/>
          <w:tblInd w:w="-537" w:type="dxa"/>
          <w:tblLayout w:type="fixed"/>
          <w:tblCellMar>
            <w:left w:w="0" w:type="dxa"/>
            <w:right w:w="0" w:type="dxa"/>
          </w:tblCellMar>
          <w:tblLook w:val="04A0"/>
        </w:tblPrEx>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0216" w:rsidP="00C81002" w14:paraId="42C2B0D3" w14:textId="77777777">
            <w:pPr>
              <w:spacing w:after="0" w:line="240" w:lineRule="auto"/>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rsidR="00286064" w:rsidRPr="00670216" w:rsidP="00C81002" w14:paraId="4206584F" w14:textId="77777777">
            <w:pPr>
              <w:rPr>
                <w:rFonts w:ascii="Times New Roman" w:eastAsia="Times New Roman" w:hAnsi="Times New Roman"/>
                <w:sz w:val="24"/>
                <w:szCs w:val="24"/>
                <w:lang w:eastAsia="lv-LV"/>
              </w:rPr>
            </w:pPr>
          </w:p>
          <w:p w:rsidR="00286064" w:rsidRPr="00670216" w:rsidP="00C81002" w14:paraId="08769762" w14:textId="77777777">
            <w:pPr>
              <w:rPr>
                <w:rFonts w:ascii="Times New Roman" w:eastAsia="Times New Roman" w:hAnsi="Times New Roman"/>
                <w:sz w:val="24"/>
                <w:szCs w:val="24"/>
                <w:lang w:eastAsia="lv-LV"/>
              </w:rPr>
            </w:pPr>
          </w:p>
          <w:p w:rsidR="00286064" w:rsidRPr="00670216" w:rsidP="00C81002" w14:paraId="489A456C" w14:textId="77777777">
            <w:pPr>
              <w:rPr>
                <w:rFonts w:ascii="Times New Roman" w:eastAsia="Times New Roman" w:hAnsi="Times New Roman"/>
                <w:sz w:val="24"/>
                <w:szCs w:val="24"/>
                <w:lang w:eastAsia="lv-LV"/>
              </w:rPr>
            </w:pPr>
          </w:p>
          <w:p w:rsidR="00286064" w:rsidRPr="00670216" w:rsidP="00C81002" w14:paraId="61660A43" w14:textId="77777777">
            <w:pPr>
              <w:rPr>
                <w:rFonts w:ascii="Times New Roman" w:eastAsia="Times New Roman" w:hAnsi="Times New Roman"/>
                <w:sz w:val="24"/>
                <w:szCs w:val="24"/>
                <w:lang w:eastAsia="lv-LV"/>
              </w:rPr>
            </w:pPr>
          </w:p>
          <w:p w:rsidR="00286064" w:rsidRPr="00670216" w:rsidP="00C81002" w14:paraId="22A497DD" w14:textId="77777777">
            <w:pPr>
              <w:rPr>
                <w:rFonts w:ascii="Times New Roman" w:eastAsia="Times New Roman" w:hAnsi="Times New Roman"/>
                <w:sz w:val="24"/>
                <w:szCs w:val="24"/>
                <w:lang w:eastAsia="lv-LV"/>
              </w:rPr>
            </w:pPr>
          </w:p>
          <w:p w:rsidR="00286064" w:rsidRPr="00670216" w:rsidP="00C81002" w14:paraId="1F62C5DD" w14:textId="77777777">
            <w:pPr>
              <w:rPr>
                <w:rFonts w:ascii="Times New Roman" w:eastAsia="Times New Roman" w:hAnsi="Times New Roman"/>
                <w:sz w:val="24"/>
                <w:szCs w:val="24"/>
                <w:lang w:eastAsia="lv-LV"/>
              </w:rPr>
            </w:pPr>
          </w:p>
          <w:p w:rsidR="00286064" w:rsidRPr="00670216" w:rsidP="00C81002" w14:paraId="2B4D7B30" w14:textId="77777777">
            <w:pPr>
              <w:rPr>
                <w:rFonts w:ascii="Times New Roman" w:eastAsia="Times New Roman" w:hAnsi="Times New Roman"/>
                <w:sz w:val="24"/>
                <w:szCs w:val="24"/>
                <w:lang w:eastAsia="lv-LV"/>
              </w:rPr>
            </w:pPr>
          </w:p>
          <w:p w:rsidR="00286064" w:rsidRPr="00670216" w:rsidP="00C81002" w14:paraId="567BBA5A" w14:textId="77777777">
            <w:pPr>
              <w:rPr>
                <w:rFonts w:ascii="Times New Roman" w:eastAsia="Times New Roman" w:hAnsi="Times New Roman"/>
                <w:sz w:val="24"/>
                <w:szCs w:val="24"/>
                <w:lang w:eastAsia="lv-LV"/>
              </w:rPr>
            </w:pPr>
          </w:p>
          <w:p w:rsidR="00286064" w:rsidRPr="00670216" w:rsidP="00C81002" w14:paraId="63A8E755" w14:textId="77777777">
            <w:pPr>
              <w:rPr>
                <w:rFonts w:ascii="Times New Roman" w:eastAsia="Times New Roman" w:hAnsi="Times New Roman"/>
                <w:sz w:val="24"/>
                <w:szCs w:val="24"/>
                <w:lang w:eastAsia="lv-LV"/>
              </w:rPr>
            </w:pPr>
          </w:p>
          <w:p w:rsidR="00286064" w:rsidRPr="00670216" w:rsidP="00C81002" w14:paraId="61BFA382" w14:textId="77777777">
            <w:pPr>
              <w:jc w:val="center"/>
              <w:rPr>
                <w:rFonts w:ascii="Times New Roman" w:eastAsia="Times New Roman" w:hAnsi="Times New Roman"/>
                <w:sz w:val="24"/>
                <w:szCs w:val="24"/>
                <w:lang w:eastAsia="lv-LV"/>
              </w:rPr>
            </w:pP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85BF7" w:rsidRPr="004823C7" w:rsidP="00186E33" w14:paraId="0FF0A731" w14:textId="77777777">
            <w:pPr>
              <w:spacing w:after="0" w:line="240" w:lineRule="auto"/>
              <w:ind w:firstLine="479"/>
              <w:jc w:val="both"/>
              <w:rPr>
                <w:rFonts w:ascii="Times New Roman" w:eastAsia="Times New Roman" w:hAnsi="Times New Roman"/>
                <w:bCs/>
                <w:sz w:val="24"/>
                <w:szCs w:val="24"/>
                <w:lang w:eastAsia="ja-JP"/>
              </w:rPr>
            </w:pPr>
            <w:r w:rsidRPr="004823C7">
              <w:rPr>
                <w:rFonts w:ascii="Times New Roman" w:hAnsi="Times New Roman"/>
                <w:sz w:val="24"/>
                <w:szCs w:val="24"/>
              </w:rPr>
              <w:t>2016. gada 14.</w:t>
            </w:r>
            <w:r w:rsidRPr="004823C7" w:rsidR="00E9153A">
              <w:rPr>
                <w:rFonts w:ascii="Times New Roman" w:hAnsi="Times New Roman"/>
                <w:sz w:val="24"/>
                <w:szCs w:val="24"/>
              </w:rPr>
              <w:t>septembrī</w:t>
            </w:r>
            <w:r w:rsidRPr="004823C7">
              <w:rPr>
                <w:rFonts w:ascii="Times New Roman" w:hAnsi="Times New Roman"/>
                <w:sz w:val="24"/>
                <w:szCs w:val="24"/>
              </w:rPr>
              <w:t xml:space="preserve"> </w:t>
            </w:r>
            <w:r w:rsidRPr="004823C7" w:rsidR="00DE450B">
              <w:rPr>
                <w:rFonts w:ascii="Times New Roman" w:hAnsi="Times New Roman"/>
                <w:sz w:val="24"/>
                <w:szCs w:val="24"/>
              </w:rPr>
              <w:t xml:space="preserve">A/S </w:t>
            </w:r>
            <w:r w:rsidR="00953B1C">
              <w:rPr>
                <w:rFonts w:ascii="Times New Roman" w:hAnsi="Times New Roman"/>
                <w:sz w:val="24"/>
                <w:szCs w:val="24"/>
              </w:rPr>
              <w:t>"</w:t>
            </w:r>
            <w:r w:rsidRPr="004823C7" w:rsidR="00DE450B">
              <w:rPr>
                <w:rFonts w:ascii="Times New Roman" w:hAnsi="Times New Roman"/>
                <w:sz w:val="24"/>
                <w:szCs w:val="24"/>
              </w:rPr>
              <w:t>Attīstības finanšu institūcija Altum</w:t>
            </w:r>
            <w:r w:rsidR="00953B1C">
              <w:rPr>
                <w:rFonts w:ascii="Times New Roman" w:hAnsi="Times New Roman"/>
                <w:sz w:val="24"/>
                <w:szCs w:val="24"/>
              </w:rPr>
              <w:t>"</w:t>
            </w:r>
            <w:r w:rsidRPr="004823C7" w:rsidR="00DE450B">
              <w:rPr>
                <w:rFonts w:ascii="Times New Roman" w:hAnsi="Times New Roman"/>
                <w:sz w:val="24"/>
                <w:szCs w:val="24"/>
              </w:rPr>
              <w:t xml:space="preserve"> (turpmāk – sabiedrība </w:t>
            </w:r>
            <w:r w:rsidR="00953B1C">
              <w:rPr>
                <w:rFonts w:ascii="Times New Roman" w:hAnsi="Times New Roman"/>
                <w:sz w:val="24"/>
                <w:szCs w:val="24"/>
              </w:rPr>
              <w:t>"</w:t>
            </w:r>
            <w:r w:rsidRPr="004823C7" w:rsidR="00DE450B">
              <w:rPr>
                <w:rFonts w:ascii="Times New Roman" w:hAnsi="Times New Roman"/>
                <w:sz w:val="24"/>
                <w:szCs w:val="24"/>
              </w:rPr>
              <w:t>Altum</w:t>
            </w:r>
            <w:r w:rsidR="00953B1C">
              <w:rPr>
                <w:rFonts w:ascii="Times New Roman" w:hAnsi="Times New Roman"/>
                <w:sz w:val="24"/>
                <w:szCs w:val="24"/>
              </w:rPr>
              <w:t>"</w:t>
            </w:r>
            <w:r w:rsidRPr="004823C7" w:rsidR="00DE450B">
              <w:rPr>
                <w:rFonts w:ascii="Times New Roman" w:hAnsi="Times New Roman"/>
                <w:sz w:val="24"/>
                <w:szCs w:val="24"/>
              </w:rPr>
              <w:t>)</w:t>
            </w:r>
            <w:r w:rsidRPr="004823C7">
              <w:rPr>
                <w:rFonts w:ascii="Times New Roman" w:hAnsi="Times New Roman"/>
                <w:sz w:val="24"/>
                <w:szCs w:val="24"/>
              </w:rPr>
              <w:t xml:space="preserve"> </w:t>
            </w:r>
            <w:r w:rsidRPr="004823C7" w:rsidR="00CD36FD">
              <w:rPr>
                <w:rFonts w:ascii="Times New Roman" w:hAnsi="Times New Roman"/>
                <w:sz w:val="24"/>
                <w:szCs w:val="24"/>
              </w:rPr>
              <w:t xml:space="preserve">uzsāka </w:t>
            </w:r>
            <w:r w:rsidRPr="004823C7">
              <w:rPr>
                <w:rFonts w:ascii="Times New Roman" w:hAnsi="Times New Roman"/>
                <w:sz w:val="24"/>
                <w:szCs w:val="24"/>
              </w:rPr>
              <w:t>pieteikumu pieņemšanu 4</w:t>
            </w:r>
            <w:r w:rsidRPr="004823C7">
              <w:rPr>
                <w:rFonts w:ascii="Times New Roman" w:eastAsia="Times New Roman" w:hAnsi="Times New Roman"/>
                <w:bCs/>
                <w:sz w:val="24"/>
                <w:szCs w:val="24"/>
                <w:lang w:eastAsia="ja-JP"/>
              </w:rPr>
              <w:t>.2.1.1.</w:t>
            </w:r>
            <w:r w:rsidRPr="004823C7" w:rsidR="005B4B10">
              <w:rPr>
                <w:rFonts w:ascii="Times New Roman" w:eastAsia="Times New Roman" w:hAnsi="Times New Roman"/>
                <w:bCs/>
                <w:sz w:val="24"/>
                <w:szCs w:val="24"/>
                <w:lang w:eastAsia="ja-JP"/>
              </w:rPr>
              <w:t> </w:t>
            </w:r>
            <w:r w:rsidRPr="004823C7">
              <w:rPr>
                <w:rFonts w:ascii="Times New Roman" w:eastAsia="Times New Roman" w:hAnsi="Times New Roman"/>
                <w:bCs/>
                <w:sz w:val="24"/>
                <w:szCs w:val="24"/>
                <w:lang w:eastAsia="ja-JP"/>
              </w:rPr>
              <w:t>specifiskā atbalsta mērķa pasākumā "Veicināt energoefektivitātes paaugstināšanu dzīvojamās ēkās" (turpmāk – 4.2.1.1.pasākums).</w:t>
            </w:r>
          </w:p>
          <w:p w:rsidR="00885BF7" w:rsidRPr="004823C7" w:rsidP="00186E33" w14:paraId="1E4ACB09" w14:textId="77777777">
            <w:pPr>
              <w:spacing w:after="0" w:line="240" w:lineRule="auto"/>
              <w:ind w:firstLine="479"/>
              <w:jc w:val="both"/>
              <w:rPr>
                <w:rFonts w:ascii="Times New Roman" w:eastAsia="Times New Roman" w:hAnsi="Times New Roman"/>
                <w:bCs/>
                <w:sz w:val="24"/>
                <w:szCs w:val="24"/>
                <w:lang w:eastAsia="ja-JP"/>
              </w:rPr>
            </w:pPr>
            <w:r w:rsidRPr="004823C7">
              <w:rPr>
                <w:rFonts w:ascii="Times New Roman" w:eastAsia="Times New Roman" w:hAnsi="Times New Roman"/>
                <w:bCs/>
                <w:sz w:val="24"/>
                <w:szCs w:val="24"/>
                <w:lang w:eastAsia="ja-JP"/>
              </w:rPr>
              <w:t xml:space="preserve">Līdz 2017. gada </w:t>
            </w:r>
            <w:r w:rsidRPr="004823C7" w:rsidR="00CD36FD">
              <w:rPr>
                <w:rFonts w:ascii="Times New Roman" w:eastAsia="Times New Roman" w:hAnsi="Times New Roman"/>
                <w:bCs/>
                <w:sz w:val="24"/>
                <w:szCs w:val="24"/>
                <w:lang w:eastAsia="ja-JP"/>
              </w:rPr>
              <w:t>15</w:t>
            </w:r>
            <w:r w:rsidRPr="004823C7">
              <w:rPr>
                <w:rFonts w:ascii="Times New Roman" w:eastAsia="Times New Roman" w:hAnsi="Times New Roman"/>
                <w:bCs/>
                <w:sz w:val="24"/>
                <w:szCs w:val="24"/>
                <w:lang w:eastAsia="ja-JP"/>
              </w:rPr>
              <w:t>.</w:t>
            </w:r>
            <w:r w:rsidRPr="004823C7" w:rsidR="005B4B10">
              <w:rPr>
                <w:rFonts w:ascii="Times New Roman" w:eastAsia="Times New Roman" w:hAnsi="Times New Roman"/>
                <w:bCs/>
                <w:sz w:val="24"/>
                <w:szCs w:val="24"/>
                <w:lang w:eastAsia="ja-JP"/>
              </w:rPr>
              <w:t> </w:t>
            </w:r>
            <w:r w:rsidRPr="004823C7">
              <w:rPr>
                <w:rFonts w:ascii="Times New Roman" w:eastAsia="Times New Roman" w:hAnsi="Times New Roman"/>
                <w:bCs/>
                <w:sz w:val="24"/>
                <w:szCs w:val="24"/>
                <w:lang w:eastAsia="ja-JP"/>
              </w:rPr>
              <w:t>novembrim</w:t>
            </w:r>
            <w:r w:rsidRPr="004823C7">
              <w:rPr>
                <w:rFonts w:ascii="Times New Roman" w:eastAsia="Times New Roman" w:hAnsi="Times New Roman"/>
                <w:bCs/>
                <w:sz w:val="24"/>
                <w:szCs w:val="24"/>
                <w:lang w:eastAsia="ja-JP"/>
              </w:rPr>
              <w:t>:</w:t>
            </w:r>
          </w:p>
          <w:p w:rsidR="00885BF7" w:rsidRPr="004823C7" w:rsidP="00186E33" w14:paraId="365BCFA4"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eastAsia="Times New Roman" w:hAnsi="Times New Roman"/>
                <w:bCs/>
                <w:sz w:val="24"/>
                <w:szCs w:val="24"/>
                <w:lang w:eastAsia="ja-JP"/>
              </w:rPr>
              <w:t xml:space="preserve">sabiedrība </w:t>
            </w:r>
            <w:r w:rsidR="00953B1C">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Altum</w:t>
            </w:r>
            <w:r w:rsidR="00953B1C">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 xml:space="preserve"> ir saņēmusi </w:t>
            </w:r>
            <w:r w:rsidRPr="004823C7" w:rsidR="00CD36FD">
              <w:rPr>
                <w:rFonts w:ascii="Times New Roman" w:eastAsia="Times New Roman" w:hAnsi="Times New Roman"/>
                <w:bCs/>
                <w:sz w:val="24"/>
                <w:szCs w:val="24"/>
                <w:lang w:eastAsia="ja-JP"/>
              </w:rPr>
              <w:t xml:space="preserve">238 </w:t>
            </w:r>
            <w:r w:rsidRPr="004823C7" w:rsidR="00F44C0D">
              <w:rPr>
                <w:rFonts w:ascii="Times New Roman" w:eastAsia="Times New Roman" w:hAnsi="Times New Roman"/>
                <w:bCs/>
                <w:sz w:val="24"/>
                <w:szCs w:val="24"/>
                <w:lang w:eastAsia="ja-JP"/>
              </w:rPr>
              <w:t>p</w:t>
            </w:r>
            <w:r w:rsidRPr="004823C7" w:rsidR="00CD36FD">
              <w:rPr>
                <w:rFonts w:ascii="Times New Roman" w:eastAsia="Times New Roman" w:hAnsi="Times New Roman"/>
                <w:bCs/>
                <w:sz w:val="24"/>
                <w:szCs w:val="24"/>
                <w:lang w:eastAsia="ja-JP"/>
              </w:rPr>
              <w:t>ieteikum</w:t>
            </w:r>
            <w:r w:rsidRPr="004823C7">
              <w:rPr>
                <w:rFonts w:ascii="Times New Roman" w:eastAsia="Times New Roman" w:hAnsi="Times New Roman"/>
                <w:bCs/>
                <w:sz w:val="24"/>
                <w:szCs w:val="24"/>
                <w:lang w:eastAsia="ja-JP"/>
              </w:rPr>
              <w:t>us</w:t>
            </w:r>
            <w:r w:rsidRPr="004823C7" w:rsidR="00CD36FD">
              <w:rPr>
                <w:rFonts w:ascii="Times New Roman" w:eastAsia="Times New Roman" w:hAnsi="Times New Roman"/>
                <w:bCs/>
                <w:sz w:val="24"/>
                <w:szCs w:val="24"/>
                <w:lang w:eastAsia="ja-JP"/>
              </w:rPr>
              <w:t xml:space="preserve"> </w:t>
            </w:r>
            <w:r w:rsidRPr="004823C7">
              <w:rPr>
                <w:rFonts w:ascii="Times New Roman" w:eastAsia="Times New Roman" w:hAnsi="Times New Roman"/>
                <w:bCs/>
                <w:sz w:val="24"/>
                <w:szCs w:val="24"/>
                <w:lang w:eastAsia="ja-JP"/>
              </w:rPr>
              <w:t>atzinuma saņemšanai un dalība</w:t>
            </w:r>
            <w:r w:rsidRPr="004823C7" w:rsidR="005B4B10">
              <w:rPr>
                <w:rFonts w:ascii="Times New Roman" w:eastAsia="Times New Roman" w:hAnsi="Times New Roman"/>
                <w:bCs/>
                <w:sz w:val="24"/>
                <w:szCs w:val="24"/>
                <w:lang w:eastAsia="ja-JP"/>
              </w:rPr>
              <w:t>i</w:t>
            </w:r>
            <w:r w:rsidRPr="004823C7">
              <w:rPr>
                <w:rFonts w:ascii="Times New Roman" w:eastAsia="Times New Roman" w:hAnsi="Times New Roman"/>
                <w:bCs/>
                <w:sz w:val="24"/>
                <w:szCs w:val="24"/>
                <w:lang w:eastAsia="ja-JP"/>
              </w:rPr>
              <w:t xml:space="preserve"> 4.2.1.1.</w:t>
            </w:r>
            <w:r w:rsidRPr="004823C7" w:rsidR="005B4B10">
              <w:rPr>
                <w:rFonts w:ascii="Times New Roman" w:eastAsia="Times New Roman" w:hAnsi="Times New Roman"/>
                <w:bCs/>
                <w:sz w:val="24"/>
                <w:szCs w:val="24"/>
                <w:lang w:eastAsia="ja-JP"/>
              </w:rPr>
              <w:t> </w:t>
            </w:r>
            <w:r w:rsidRPr="004823C7">
              <w:rPr>
                <w:rFonts w:ascii="Times New Roman" w:eastAsia="Times New Roman" w:hAnsi="Times New Roman"/>
                <w:bCs/>
                <w:sz w:val="24"/>
                <w:szCs w:val="24"/>
                <w:lang w:eastAsia="ja-JP"/>
              </w:rPr>
              <w:t xml:space="preserve">pasākumā </w:t>
            </w:r>
            <w:r w:rsidRPr="004823C7">
              <w:rPr>
                <w:rFonts w:ascii="Times New Roman" w:eastAsia="Times New Roman" w:hAnsi="Times New Roman"/>
                <w:bCs/>
                <w:sz w:val="24"/>
                <w:szCs w:val="24"/>
                <w:lang w:eastAsia="ja-JP"/>
              </w:rPr>
              <w:t>(</w:t>
            </w:r>
            <w:r w:rsidRPr="004823C7" w:rsidR="00F10589">
              <w:rPr>
                <w:rFonts w:ascii="Times New Roman" w:eastAsia="Times New Roman" w:hAnsi="Times New Roman"/>
                <w:bCs/>
                <w:sz w:val="24"/>
                <w:szCs w:val="24"/>
                <w:lang w:eastAsia="ja-JP"/>
              </w:rPr>
              <w:t>pieņemot, ka vidējais granta apmērs ir 15</w:t>
            </w:r>
            <w:r w:rsidR="00070ED0">
              <w:rPr>
                <w:rFonts w:ascii="Times New Roman" w:eastAsia="Times New Roman" w:hAnsi="Times New Roman"/>
                <w:bCs/>
                <w:sz w:val="24"/>
                <w:szCs w:val="24"/>
                <w:lang w:eastAsia="ja-JP"/>
              </w:rPr>
              <w:t>0</w:t>
            </w:r>
            <w:r w:rsidRPr="004823C7" w:rsidR="00F10589">
              <w:rPr>
                <w:rFonts w:ascii="Times New Roman" w:eastAsia="Times New Roman" w:hAnsi="Times New Roman"/>
                <w:bCs/>
                <w:sz w:val="24"/>
                <w:szCs w:val="24"/>
                <w:lang w:eastAsia="ja-JP"/>
              </w:rPr>
              <w:t xml:space="preserve"> tūkst. EUR, </w:t>
            </w:r>
            <w:r w:rsidRPr="004823C7">
              <w:rPr>
                <w:rFonts w:ascii="Times New Roman" w:eastAsia="Times New Roman" w:hAnsi="Times New Roman"/>
                <w:bCs/>
                <w:sz w:val="24"/>
                <w:szCs w:val="24"/>
                <w:lang w:eastAsia="ja-JP"/>
              </w:rPr>
              <w:t xml:space="preserve">plānotais </w:t>
            </w:r>
            <w:r w:rsidRPr="004823C7" w:rsidR="00F44C0D">
              <w:rPr>
                <w:rFonts w:ascii="Times New Roman" w:eastAsia="Times New Roman" w:hAnsi="Times New Roman"/>
                <w:bCs/>
                <w:sz w:val="24"/>
                <w:szCs w:val="24"/>
                <w:lang w:eastAsia="ja-JP"/>
              </w:rPr>
              <w:t>publiskais</w:t>
            </w:r>
            <w:r w:rsidRPr="004823C7">
              <w:rPr>
                <w:rFonts w:ascii="Times New Roman" w:eastAsia="Times New Roman" w:hAnsi="Times New Roman"/>
                <w:bCs/>
                <w:sz w:val="24"/>
                <w:szCs w:val="24"/>
                <w:lang w:eastAsia="ja-JP"/>
              </w:rPr>
              <w:t xml:space="preserve"> finansējum</w:t>
            </w:r>
            <w:r w:rsidRPr="004823C7">
              <w:rPr>
                <w:rFonts w:ascii="Times New Roman" w:eastAsia="Times New Roman" w:hAnsi="Times New Roman"/>
                <w:bCs/>
                <w:sz w:val="24"/>
                <w:szCs w:val="24"/>
                <w:lang w:eastAsia="ja-JP"/>
              </w:rPr>
              <w:t>s grantu nodrošināšanai ir</w:t>
            </w:r>
            <w:r w:rsidRPr="004823C7">
              <w:rPr>
                <w:rFonts w:ascii="Times New Roman" w:eastAsia="Times New Roman" w:hAnsi="Times New Roman"/>
                <w:bCs/>
                <w:sz w:val="24"/>
                <w:szCs w:val="24"/>
                <w:lang w:eastAsia="ja-JP"/>
              </w:rPr>
              <w:t xml:space="preserve"> 35,7 milj. EUR)</w:t>
            </w:r>
            <w:r w:rsidRPr="004823C7" w:rsidR="00204C6E">
              <w:rPr>
                <w:rFonts w:ascii="Times New Roman" w:eastAsia="Times New Roman" w:hAnsi="Times New Roman"/>
                <w:bCs/>
                <w:sz w:val="24"/>
                <w:szCs w:val="24"/>
                <w:lang w:eastAsia="ja-JP"/>
              </w:rPr>
              <w:t>, no kuriem 183 pieteikumi ir saņēmuši</w:t>
            </w:r>
            <w:r w:rsidRPr="004823C7">
              <w:rPr>
                <w:rFonts w:ascii="Times New Roman" w:eastAsia="Times New Roman" w:hAnsi="Times New Roman"/>
                <w:bCs/>
                <w:sz w:val="24"/>
                <w:szCs w:val="24"/>
                <w:lang w:eastAsia="ja-JP"/>
              </w:rPr>
              <w:t xml:space="preserve"> pozitīvus</w:t>
            </w:r>
            <w:r w:rsidRPr="004823C7">
              <w:rPr>
                <w:rFonts w:ascii="Times New Roman" w:eastAsia="Times New Roman" w:hAnsi="Times New Roman"/>
                <w:bCs/>
                <w:sz w:val="24"/>
                <w:szCs w:val="24"/>
                <w:lang w:eastAsia="ja-JP"/>
              </w:rPr>
              <w:t xml:space="preserve"> </w:t>
            </w:r>
            <w:r w:rsidRPr="004823C7" w:rsidR="00204C6E">
              <w:rPr>
                <w:rFonts w:ascii="Times New Roman" w:eastAsia="Times New Roman" w:hAnsi="Times New Roman"/>
                <w:bCs/>
                <w:sz w:val="24"/>
                <w:szCs w:val="24"/>
                <w:lang w:eastAsia="ja-JP"/>
              </w:rPr>
              <w:t xml:space="preserve">sabiedrības </w:t>
            </w:r>
            <w:r w:rsidR="00953B1C">
              <w:rPr>
                <w:rFonts w:ascii="Times New Roman" w:eastAsia="Times New Roman" w:hAnsi="Times New Roman"/>
                <w:bCs/>
                <w:sz w:val="24"/>
                <w:szCs w:val="24"/>
                <w:lang w:eastAsia="ja-JP"/>
              </w:rPr>
              <w:t>"</w:t>
            </w:r>
            <w:r w:rsidRPr="004823C7" w:rsidR="00204C6E">
              <w:rPr>
                <w:rFonts w:ascii="Times New Roman" w:eastAsia="Times New Roman" w:hAnsi="Times New Roman"/>
                <w:bCs/>
                <w:sz w:val="24"/>
                <w:szCs w:val="24"/>
                <w:lang w:eastAsia="ja-JP"/>
              </w:rPr>
              <w:t>Altum</w:t>
            </w:r>
            <w:r w:rsidR="00953B1C">
              <w:rPr>
                <w:rFonts w:ascii="Times New Roman" w:eastAsia="Times New Roman" w:hAnsi="Times New Roman"/>
                <w:bCs/>
                <w:sz w:val="24"/>
                <w:szCs w:val="24"/>
                <w:lang w:eastAsia="ja-JP"/>
              </w:rPr>
              <w:t>"</w:t>
            </w:r>
            <w:r w:rsidRPr="004823C7" w:rsidR="00204C6E">
              <w:rPr>
                <w:rFonts w:ascii="Times New Roman" w:eastAsia="Times New Roman" w:hAnsi="Times New Roman"/>
                <w:bCs/>
                <w:sz w:val="24"/>
                <w:szCs w:val="24"/>
                <w:lang w:eastAsia="ja-JP"/>
              </w:rPr>
              <w:t xml:space="preserve"> </w:t>
            </w:r>
            <w:r w:rsidRPr="004823C7">
              <w:rPr>
                <w:rFonts w:ascii="Times New Roman" w:eastAsia="Times New Roman" w:hAnsi="Times New Roman"/>
                <w:bCs/>
                <w:sz w:val="24"/>
                <w:szCs w:val="24"/>
                <w:lang w:eastAsia="ja-JP"/>
              </w:rPr>
              <w:t>atzinum</w:t>
            </w:r>
            <w:r w:rsidRPr="004823C7">
              <w:rPr>
                <w:rFonts w:ascii="Times New Roman" w:eastAsia="Times New Roman" w:hAnsi="Times New Roman"/>
                <w:bCs/>
                <w:sz w:val="24"/>
                <w:szCs w:val="24"/>
                <w:lang w:eastAsia="ja-JP"/>
              </w:rPr>
              <w:t>us</w:t>
            </w:r>
            <w:r w:rsidRPr="004823C7">
              <w:rPr>
                <w:rFonts w:ascii="Times New Roman" w:eastAsia="Times New Roman" w:hAnsi="Times New Roman"/>
                <w:bCs/>
                <w:sz w:val="24"/>
                <w:szCs w:val="24"/>
                <w:lang w:eastAsia="ja-JP"/>
              </w:rPr>
              <w:t>;</w:t>
            </w:r>
          </w:p>
          <w:p w:rsidR="00DE450B" w:rsidRPr="004823C7" w:rsidP="00186E33" w14:paraId="7B39A955"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eastAsia="Times New Roman" w:hAnsi="Times New Roman"/>
                <w:bCs/>
                <w:sz w:val="24"/>
                <w:szCs w:val="24"/>
                <w:lang w:eastAsia="ja-JP"/>
              </w:rPr>
              <w:t>137 projekti ir iepirkuma procesā vai iepirkuma process ir noslēdzies;</w:t>
            </w:r>
          </w:p>
          <w:p w:rsidR="00885BF7" w:rsidRPr="004823C7" w:rsidP="00186E33" w14:paraId="6E220B27"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hAnsi="Times New Roman"/>
                <w:sz w:val="24"/>
                <w:szCs w:val="24"/>
              </w:rPr>
              <w:t xml:space="preserve">sabiedrībā </w:t>
            </w:r>
            <w:r w:rsidR="00953B1C">
              <w:rPr>
                <w:rFonts w:ascii="Times New Roman" w:hAnsi="Times New Roman"/>
                <w:sz w:val="24"/>
                <w:szCs w:val="24"/>
              </w:rPr>
              <w:t>"</w:t>
            </w:r>
            <w:r w:rsidRPr="004823C7">
              <w:rPr>
                <w:rFonts w:ascii="Times New Roman" w:hAnsi="Times New Roman"/>
                <w:sz w:val="24"/>
                <w:szCs w:val="24"/>
              </w:rPr>
              <w:t>Altum</w:t>
            </w:r>
            <w:r w:rsidR="00953B1C">
              <w:rPr>
                <w:rFonts w:ascii="Times New Roman" w:hAnsi="Times New Roman"/>
                <w:sz w:val="24"/>
                <w:szCs w:val="24"/>
              </w:rPr>
              <w:t>"</w:t>
            </w:r>
            <w:r w:rsidRPr="004823C7">
              <w:rPr>
                <w:rFonts w:ascii="Times New Roman" w:hAnsi="Times New Roman"/>
                <w:sz w:val="24"/>
                <w:szCs w:val="24"/>
              </w:rPr>
              <w:t xml:space="preserve"> ir </w:t>
            </w:r>
            <w:r w:rsidRPr="004823C7">
              <w:rPr>
                <w:rFonts w:ascii="Times New Roman" w:hAnsi="Times New Roman"/>
                <w:sz w:val="24"/>
                <w:szCs w:val="24"/>
              </w:rPr>
              <w:t>iesniegti 35 granta pieteikumi;</w:t>
            </w:r>
          </w:p>
          <w:p w:rsidR="00885BF7" w:rsidRPr="004823C7" w:rsidP="00186E33" w14:paraId="2B12B8F3"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hAnsi="Times New Roman"/>
                <w:sz w:val="24"/>
                <w:szCs w:val="24"/>
              </w:rPr>
              <w:t>pieņemti 29 pozitīvi grantu lēmumi (publiskais finansējums 4,3 milj. EUR apmērā)</w:t>
            </w:r>
          </w:p>
          <w:p w:rsidR="00885BF7" w:rsidRPr="004823C7" w:rsidP="00186E33" w14:paraId="084E1DC5"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hAnsi="Times New Roman"/>
                <w:sz w:val="24"/>
                <w:szCs w:val="24"/>
              </w:rPr>
              <w:t>piešķirtas 17 garantijas 2</w:t>
            </w:r>
            <w:r w:rsidRPr="004823C7" w:rsidR="0040010C">
              <w:rPr>
                <w:rFonts w:ascii="Times New Roman" w:hAnsi="Times New Roman"/>
                <w:sz w:val="24"/>
                <w:szCs w:val="24"/>
              </w:rPr>
              <w:t>,</w:t>
            </w:r>
            <w:r w:rsidRPr="004823C7">
              <w:rPr>
                <w:rFonts w:ascii="Times New Roman" w:hAnsi="Times New Roman"/>
                <w:sz w:val="24"/>
                <w:szCs w:val="24"/>
              </w:rPr>
              <w:t>1 milj. EUR apmērā;</w:t>
            </w:r>
          </w:p>
          <w:p w:rsidR="00885BF7" w:rsidRPr="004823C7" w:rsidP="00186E33" w14:paraId="37D8B9BA" w14:textId="77777777">
            <w:pPr>
              <w:pStyle w:val="ListParagraph"/>
              <w:numPr>
                <w:ilvl w:val="0"/>
                <w:numId w:val="13"/>
              </w:numPr>
              <w:spacing w:line="240" w:lineRule="auto"/>
              <w:jc w:val="both"/>
              <w:rPr>
                <w:rFonts w:ascii="Times New Roman" w:hAnsi="Times New Roman"/>
                <w:sz w:val="24"/>
                <w:szCs w:val="24"/>
              </w:rPr>
            </w:pPr>
            <w:r w:rsidRPr="004823C7">
              <w:rPr>
                <w:rFonts w:ascii="Times New Roman" w:hAnsi="Times New Roman"/>
                <w:sz w:val="24"/>
                <w:szCs w:val="24"/>
              </w:rPr>
              <w:t xml:space="preserve">piešķirti 3 </w:t>
            </w:r>
            <w:r w:rsidRPr="004823C7" w:rsidR="00F44C0D">
              <w:rPr>
                <w:rFonts w:ascii="Times New Roman" w:hAnsi="Times New Roman"/>
                <w:sz w:val="24"/>
                <w:szCs w:val="24"/>
              </w:rPr>
              <w:t xml:space="preserve">sabiedrības </w:t>
            </w:r>
            <w:r w:rsidR="00953B1C">
              <w:rPr>
                <w:rFonts w:ascii="Times New Roman" w:hAnsi="Times New Roman"/>
                <w:sz w:val="24"/>
                <w:szCs w:val="24"/>
              </w:rPr>
              <w:t>"</w:t>
            </w:r>
            <w:r w:rsidRPr="004823C7">
              <w:rPr>
                <w:rFonts w:ascii="Times New Roman" w:hAnsi="Times New Roman"/>
                <w:sz w:val="24"/>
                <w:szCs w:val="24"/>
              </w:rPr>
              <w:t>Altum</w:t>
            </w:r>
            <w:r w:rsidR="00953B1C">
              <w:rPr>
                <w:rFonts w:ascii="Times New Roman" w:hAnsi="Times New Roman"/>
                <w:sz w:val="24"/>
                <w:szCs w:val="24"/>
              </w:rPr>
              <w:t>"</w:t>
            </w:r>
            <w:r w:rsidRPr="004823C7">
              <w:rPr>
                <w:rFonts w:ascii="Times New Roman" w:hAnsi="Times New Roman"/>
                <w:sz w:val="24"/>
                <w:szCs w:val="24"/>
              </w:rPr>
              <w:t xml:space="preserve"> aizdevumi 0,3 milj. EUR</w:t>
            </w:r>
            <w:r w:rsidRPr="004823C7" w:rsidR="00005EA0">
              <w:rPr>
                <w:rFonts w:ascii="Times New Roman" w:hAnsi="Times New Roman"/>
                <w:sz w:val="24"/>
                <w:szCs w:val="24"/>
              </w:rPr>
              <w:t xml:space="preserve"> apmērā;</w:t>
            </w:r>
          </w:p>
          <w:p w:rsidR="00885BF7" w:rsidRPr="004823C7" w:rsidP="00186E33" w14:paraId="1059E007" w14:textId="77777777">
            <w:pPr>
              <w:pStyle w:val="ListParagraph"/>
              <w:numPr>
                <w:ilvl w:val="0"/>
                <w:numId w:val="13"/>
              </w:numPr>
              <w:spacing w:after="0" w:line="240" w:lineRule="auto"/>
              <w:jc w:val="both"/>
              <w:rPr>
                <w:rFonts w:ascii="Times New Roman" w:hAnsi="Times New Roman"/>
                <w:sz w:val="24"/>
                <w:szCs w:val="24"/>
              </w:rPr>
            </w:pPr>
            <w:r w:rsidRPr="004823C7">
              <w:rPr>
                <w:rFonts w:ascii="Times New Roman" w:hAnsi="Times New Roman"/>
                <w:sz w:val="24"/>
                <w:szCs w:val="24"/>
              </w:rPr>
              <w:t xml:space="preserve">pabeigta 1 projekta </w:t>
            </w:r>
            <w:r w:rsidRPr="004823C7" w:rsidR="00005EA0">
              <w:rPr>
                <w:rFonts w:ascii="Times New Roman" w:hAnsi="Times New Roman"/>
                <w:sz w:val="24"/>
                <w:szCs w:val="24"/>
              </w:rPr>
              <w:t xml:space="preserve">īstenošana ar kopējām projekta izmaksām 294 tūkstošu EUR apmērā, no kuriem 147 tūkstoši </w:t>
            </w:r>
            <w:r w:rsidRPr="004823C7" w:rsidR="00963119">
              <w:rPr>
                <w:rFonts w:ascii="Times New Roman" w:hAnsi="Times New Roman"/>
                <w:sz w:val="24"/>
                <w:szCs w:val="24"/>
              </w:rPr>
              <w:t xml:space="preserve">EUR </w:t>
            </w:r>
            <w:r w:rsidRPr="004823C7" w:rsidR="00005EA0">
              <w:rPr>
                <w:rFonts w:ascii="Times New Roman" w:hAnsi="Times New Roman"/>
                <w:sz w:val="24"/>
                <w:szCs w:val="24"/>
              </w:rPr>
              <w:t>tika piešķirti granta veidā.</w:t>
            </w:r>
          </w:p>
          <w:p w:rsidR="00D22F2D" w:rsidRPr="004823C7" w:rsidP="00186E33" w14:paraId="62F41CA5" w14:textId="77777777">
            <w:pPr>
              <w:spacing w:after="0" w:line="240" w:lineRule="auto"/>
              <w:ind w:firstLine="479"/>
              <w:jc w:val="both"/>
              <w:rPr>
                <w:rFonts w:ascii="Times New Roman" w:hAnsi="Times New Roman"/>
                <w:sz w:val="24"/>
                <w:szCs w:val="24"/>
              </w:rPr>
            </w:pPr>
            <w:r w:rsidRPr="004823C7">
              <w:rPr>
                <w:rFonts w:ascii="Times New Roman" w:hAnsi="Times New Roman" w:eastAsiaTheme="minorHAnsi"/>
                <w:sz w:val="24"/>
              </w:rPr>
              <w:t>Ņemot vē</w:t>
            </w:r>
            <w:r w:rsidRPr="004823C7" w:rsidR="00107A0D">
              <w:rPr>
                <w:rFonts w:ascii="Times New Roman" w:hAnsi="Times New Roman" w:eastAsiaTheme="minorHAnsi"/>
                <w:sz w:val="24"/>
              </w:rPr>
              <w:t>rā 4.2.1.1</w:t>
            </w:r>
            <w:r w:rsidRPr="004823C7" w:rsidR="0035082F">
              <w:rPr>
                <w:rFonts w:ascii="Times New Roman" w:hAnsi="Times New Roman" w:eastAsiaTheme="minorHAnsi"/>
                <w:sz w:val="24"/>
              </w:rPr>
              <w:t>.pasākuma</w:t>
            </w:r>
            <w:r w:rsidRPr="004823C7" w:rsidR="00107A0D">
              <w:rPr>
                <w:rFonts w:ascii="Times New Roman" w:hAnsi="Times New Roman" w:eastAsiaTheme="minorHAnsi"/>
                <w:sz w:val="24"/>
              </w:rPr>
              <w:t xml:space="preserve"> specifiku un</w:t>
            </w:r>
            <w:r w:rsidRPr="004823C7">
              <w:rPr>
                <w:rFonts w:ascii="Times New Roman" w:hAnsi="Times New Roman" w:eastAsiaTheme="minorHAnsi"/>
                <w:sz w:val="24"/>
              </w:rPr>
              <w:t xml:space="preserve"> </w:t>
            </w:r>
            <w:r w:rsidRPr="004823C7" w:rsidR="00EE49FC">
              <w:rPr>
                <w:rFonts w:ascii="Times New Roman" w:hAnsi="Times New Roman" w:eastAsiaTheme="minorHAnsi"/>
                <w:sz w:val="24"/>
              </w:rPr>
              <w:t xml:space="preserve">īstenošanas </w:t>
            </w:r>
            <w:r w:rsidRPr="004823C7">
              <w:rPr>
                <w:rFonts w:ascii="Times New Roman" w:hAnsi="Times New Roman" w:eastAsiaTheme="minorHAnsi"/>
                <w:sz w:val="24"/>
              </w:rPr>
              <w:t>pirmajā gadā</w:t>
            </w:r>
            <w:r w:rsidRPr="004823C7" w:rsidR="00632AC0">
              <w:rPr>
                <w:rFonts w:ascii="Times New Roman" w:hAnsi="Times New Roman" w:eastAsiaTheme="minorHAnsi"/>
                <w:sz w:val="24"/>
              </w:rPr>
              <w:t xml:space="preserve"> iegūto</w:t>
            </w:r>
            <w:r w:rsidRPr="004823C7" w:rsidR="00107A0D">
              <w:rPr>
                <w:rFonts w:ascii="Times New Roman" w:hAnsi="Times New Roman" w:eastAsiaTheme="minorHAnsi"/>
                <w:sz w:val="24"/>
              </w:rPr>
              <w:t xml:space="preserve"> pieredzi, </w:t>
            </w:r>
            <w:r w:rsidRPr="004823C7" w:rsidR="00EF38D4">
              <w:rPr>
                <w:rFonts w:ascii="Times New Roman" w:hAnsi="Times New Roman" w:eastAsiaTheme="minorHAnsi"/>
                <w:sz w:val="24"/>
              </w:rPr>
              <w:t xml:space="preserve">Ekonomikas ministrija ir izstrādājusi ierosinājumus izmaiņām </w:t>
            </w:r>
            <w:r w:rsidRPr="004823C7" w:rsidR="00AE2BCA">
              <w:rPr>
                <w:rFonts w:ascii="Times New Roman" w:hAnsi="Times New Roman" w:eastAsiaTheme="minorHAnsi"/>
                <w:sz w:val="24"/>
              </w:rPr>
              <w:t>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w:t>
            </w:r>
            <w:r w:rsidRPr="004823C7" w:rsidR="00107A0D">
              <w:rPr>
                <w:rFonts w:ascii="Times New Roman" w:hAnsi="Times New Roman"/>
                <w:sz w:val="24"/>
                <w:szCs w:val="24"/>
              </w:rPr>
              <w:t xml:space="preserve">, lai uzlabotu un atvieglotu </w:t>
            </w:r>
            <w:r w:rsidRPr="004823C7" w:rsidR="000E41AB">
              <w:rPr>
                <w:rFonts w:ascii="Times New Roman" w:hAnsi="Times New Roman" w:eastAsiaTheme="minorHAnsi"/>
                <w:sz w:val="24"/>
              </w:rPr>
              <w:t>4.2.1.1.p</w:t>
            </w:r>
            <w:r w:rsidRPr="004823C7" w:rsidR="00107A0D">
              <w:rPr>
                <w:rFonts w:ascii="Times New Roman" w:hAnsi="Times New Roman"/>
                <w:sz w:val="24"/>
                <w:szCs w:val="24"/>
              </w:rPr>
              <w:t>asākuma īstenošanu.</w:t>
            </w:r>
          </w:p>
          <w:p w:rsidR="00107A0D" w:rsidRPr="004823C7" w:rsidP="00B83CED" w14:paraId="49FBD74F" w14:textId="77777777">
            <w:pPr>
              <w:spacing w:after="240" w:line="240" w:lineRule="auto"/>
              <w:ind w:firstLine="476"/>
              <w:jc w:val="both"/>
              <w:rPr>
                <w:rFonts w:ascii="Times New Roman" w:hAnsi="Times New Roman"/>
                <w:sz w:val="24"/>
                <w:szCs w:val="24"/>
              </w:rPr>
            </w:pPr>
            <w:r w:rsidRPr="004823C7">
              <w:rPr>
                <w:rFonts w:ascii="Times New Roman" w:hAnsi="Times New Roman"/>
                <w:sz w:val="24"/>
                <w:szCs w:val="24"/>
              </w:rPr>
              <w:t>Noteikumu projekts paredz šādas izmaiņas MK noteikumos Nr. 160:</w:t>
            </w:r>
          </w:p>
          <w:p w:rsidR="00286064" w:rsidRPr="00B83CED" w:rsidP="00B83CED" w14:paraId="09AAAA94" w14:textId="390EF578">
            <w:pPr>
              <w:numPr>
                <w:ilvl w:val="0"/>
                <w:numId w:val="1"/>
              </w:numPr>
              <w:tabs>
                <w:tab w:val="left" w:pos="339"/>
              </w:tabs>
              <w:spacing w:after="120" w:line="240" w:lineRule="auto"/>
              <w:ind w:left="57" w:firstLine="0"/>
              <w:jc w:val="both"/>
              <w:rPr>
                <w:rFonts w:ascii="Times New Roman" w:hAnsi="Times New Roman"/>
                <w:b/>
                <w:sz w:val="24"/>
                <w:szCs w:val="24"/>
              </w:rPr>
            </w:pPr>
            <w:r w:rsidRPr="004823C7">
              <w:rPr>
                <w:rFonts w:ascii="Times New Roman" w:hAnsi="Times New Roman"/>
                <w:b/>
                <w:i/>
                <w:sz w:val="24"/>
                <w:szCs w:val="24"/>
                <w:u w:val="single"/>
              </w:rPr>
              <w:t xml:space="preserve">Daudzdzīvokļu </w:t>
            </w:r>
            <w:r w:rsidRPr="004823C7" w:rsidR="00F1096B">
              <w:rPr>
                <w:rFonts w:ascii="Times New Roman" w:hAnsi="Times New Roman"/>
                <w:b/>
                <w:i/>
                <w:sz w:val="24"/>
                <w:szCs w:val="24"/>
                <w:u w:val="single"/>
              </w:rPr>
              <w:t xml:space="preserve">dzīvojamo māju dzīvokļu </w:t>
            </w:r>
            <w:r w:rsidRPr="004823C7">
              <w:rPr>
                <w:rFonts w:ascii="Times New Roman" w:hAnsi="Times New Roman"/>
                <w:b/>
                <w:i/>
                <w:sz w:val="24"/>
                <w:szCs w:val="24"/>
                <w:u w:val="single"/>
              </w:rPr>
              <w:t>īpašnieku</w:t>
            </w:r>
            <w:r w:rsidRPr="004823C7" w:rsidR="00F7582D">
              <w:rPr>
                <w:rFonts w:ascii="Times New Roman" w:hAnsi="Times New Roman"/>
                <w:b/>
                <w:i/>
                <w:sz w:val="24"/>
                <w:szCs w:val="24"/>
                <w:u w:val="single"/>
              </w:rPr>
              <w:t xml:space="preserve"> finansējuma – uzkrājum</w:t>
            </w:r>
            <w:r w:rsidRPr="004823C7" w:rsidR="00DC259F">
              <w:rPr>
                <w:rFonts w:ascii="Times New Roman" w:hAnsi="Times New Roman"/>
                <w:b/>
                <w:i/>
                <w:sz w:val="24"/>
                <w:szCs w:val="24"/>
                <w:u w:val="single"/>
              </w:rPr>
              <w:t>u</w:t>
            </w:r>
            <w:r w:rsidRPr="004823C7" w:rsidR="00F7582D">
              <w:rPr>
                <w:rFonts w:ascii="Times New Roman" w:hAnsi="Times New Roman"/>
                <w:b/>
                <w:i/>
                <w:sz w:val="24"/>
                <w:szCs w:val="24"/>
                <w:u w:val="single"/>
              </w:rPr>
              <w:t xml:space="preserve"> izmantošana </w:t>
            </w:r>
            <w:r w:rsidRPr="004823C7" w:rsidR="00AC3BE5">
              <w:rPr>
                <w:rFonts w:ascii="Times New Roman" w:hAnsi="Times New Roman"/>
                <w:b/>
                <w:i/>
                <w:sz w:val="24"/>
                <w:szCs w:val="24"/>
                <w:u w:val="single"/>
              </w:rPr>
              <w:t>energoefektivitātes paaugstināšanas pasākumu izmaksu segšanai</w:t>
            </w:r>
            <w:r w:rsidRPr="004823C7" w:rsidR="00F7582D">
              <w:rPr>
                <w:rFonts w:ascii="Times New Roman" w:hAnsi="Times New Roman"/>
                <w:b/>
                <w:i/>
                <w:sz w:val="24"/>
                <w:szCs w:val="24"/>
                <w:u w:val="single"/>
              </w:rPr>
              <w:t>.</w:t>
            </w:r>
          </w:p>
          <w:p w:rsidR="008A43DF" w:rsidRPr="004823C7" w:rsidP="00186E33" w14:paraId="735E9A2C" w14:textId="7B02FED5">
            <w:pPr>
              <w:spacing w:after="0" w:line="240" w:lineRule="auto"/>
              <w:ind w:firstLine="479"/>
              <w:jc w:val="both"/>
              <w:rPr>
                <w:rFonts w:ascii="Times New Roman" w:hAnsi="Times New Roman"/>
                <w:sz w:val="24"/>
                <w:szCs w:val="24"/>
              </w:rPr>
            </w:pPr>
            <w:r w:rsidRPr="004823C7">
              <w:rPr>
                <w:rFonts w:ascii="Times New Roman" w:hAnsi="Times New Roman"/>
                <w:sz w:val="24"/>
                <w:szCs w:val="24"/>
              </w:rPr>
              <w:t xml:space="preserve">Šobrīd </w:t>
            </w:r>
            <w:r w:rsidRPr="004823C7" w:rsidR="003924C4">
              <w:rPr>
                <w:rFonts w:ascii="Times New Roman" w:hAnsi="Times New Roman"/>
                <w:sz w:val="24"/>
                <w:szCs w:val="24"/>
              </w:rPr>
              <w:t xml:space="preserve">MK noteikumi Nr. 160 </w:t>
            </w:r>
            <w:r w:rsidRPr="004823C7" w:rsidR="00F7582D">
              <w:rPr>
                <w:rFonts w:ascii="Times New Roman" w:hAnsi="Times New Roman"/>
                <w:sz w:val="24"/>
                <w:szCs w:val="24"/>
              </w:rPr>
              <w:t xml:space="preserve">paredz, ka </w:t>
            </w:r>
            <w:r w:rsidRPr="004823C7">
              <w:rPr>
                <w:rFonts w:ascii="Times New Roman" w:hAnsi="Times New Roman"/>
                <w:sz w:val="24"/>
                <w:szCs w:val="24"/>
              </w:rPr>
              <w:t>dzīvokļu īpašnieki</w:t>
            </w:r>
            <w:r w:rsidRPr="004823C7" w:rsidR="00D70525">
              <w:rPr>
                <w:rFonts w:ascii="Times New Roman" w:hAnsi="Times New Roman"/>
                <w:sz w:val="24"/>
                <w:szCs w:val="24"/>
              </w:rPr>
              <w:t>em</w:t>
            </w:r>
            <w:r w:rsidRPr="004823C7">
              <w:rPr>
                <w:rFonts w:ascii="Times New Roman" w:hAnsi="Times New Roman"/>
                <w:sz w:val="24"/>
                <w:szCs w:val="24"/>
              </w:rPr>
              <w:t xml:space="preserve"> energoefektivitātes </w:t>
            </w:r>
            <w:r w:rsidRPr="004823C7" w:rsidR="00AC3BE5">
              <w:rPr>
                <w:rFonts w:ascii="Times New Roman" w:hAnsi="Times New Roman"/>
                <w:sz w:val="24"/>
                <w:szCs w:val="24"/>
              </w:rPr>
              <w:t xml:space="preserve">pasākumu </w:t>
            </w:r>
            <w:r w:rsidRPr="004823C7">
              <w:rPr>
                <w:rFonts w:ascii="Times New Roman" w:hAnsi="Times New Roman"/>
                <w:sz w:val="24"/>
                <w:szCs w:val="24"/>
              </w:rPr>
              <w:t xml:space="preserve">īstenošanai un atbalstam granta veidā </w:t>
            </w:r>
            <w:r w:rsidRPr="00E53BAA" w:rsidR="00ED20E4">
              <w:rPr>
                <w:rFonts w:ascii="Times New Roman" w:hAnsi="Times New Roman"/>
                <w:sz w:val="24"/>
                <w:szCs w:val="24"/>
              </w:rPr>
              <w:t xml:space="preserve">sabiedrībā </w:t>
            </w:r>
            <w:r w:rsidRPr="004823C7" w:rsidR="00ED20E4">
              <w:rPr>
                <w:rFonts w:ascii="Times New Roman" w:hAnsi="Times New Roman" w:eastAsiaTheme="minorHAnsi"/>
                <w:sz w:val="24"/>
              </w:rPr>
              <w:t>"</w:t>
            </w:r>
            <w:r w:rsidRPr="00E53BAA" w:rsidR="00ED20E4">
              <w:rPr>
                <w:rFonts w:ascii="Times New Roman" w:hAnsi="Times New Roman"/>
                <w:sz w:val="24"/>
                <w:szCs w:val="24"/>
              </w:rPr>
              <w:t>Altum</w:t>
            </w:r>
            <w:r w:rsidRPr="004823C7" w:rsidR="00ED20E4">
              <w:rPr>
                <w:rFonts w:ascii="Times New Roman" w:hAnsi="Times New Roman" w:eastAsiaTheme="minorHAnsi"/>
                <w:sz w:val="24"/>
              </w:rPr>
              <w:t>"</w:t>
            </w:r>
            <w:r w:rsidR="00ED20E4">
              <w:rPr>
                <w:rFonts w:ascii="Times New Roman" w:hAnsi="Times New Roman"/>
                <w:sz w:val="24"/>
                <w:szCs w:val="24"/>
              </w:rPr>
              <w:t xml:space="preserve"> </w:t>
            </w:r>
            <w:r w:rsidRPr="004823C7" w:rsidR="003924C4">
              <w:rPr>
                <w:rFonts w:ascii="Times New Roman" w:hAnsi="Times New Roman"/>
                <w:sz w:val="24"/>
                <w:szCs w:val="24"/>
              </w:rPr>
              <w:t>iespējam</w:t>
            </w:r>
            <w:r w:rsidRPr="004823C7" w:rsidR="00D70525">
              <w:rPr>
                <w:rFonts w:ascii="Times New Roman" w:hAnsi="Times New Roman"/>
                <w:sz w:val="24"/>
                <w:szCs w:val="24"/>
              </w:rPr>
              <w:t>s</w:t>
            </w:r>
            <w:r w:rsidRPr="004823C7" w:rsidR="003924C4">
              <w:rPr>
                <w:rFonts w:ascii="Times New Roman" w:hAnsi="Times New Roman"/>
                <w:sz w:val="24"/>
                <w:szCs w:val="24"/>
              </w:rPr>
              <w:t xml:space="preserve"> pieteikties tikai </w:t>
            </w:r>
            <w:r w:rsidRPr="004823C7" w:rsidR="00AC3BE5">
              <w:rPr>
                <w:rFonts w:ascii="Times New Roman" w:hAnsi="Times New Roman"/>
                <w:sz w:val="24"/>
                <w:szCs w:val="24"/>
              </w:rPr>
              <w:t xml:space="preserve">piesaistot </w:t>
            </w:r>
            <w:r w:rsidRPr="004823C7" w:rsidR="003D3D29">
              <w:rPr>
                <w:rFonts w:ascii="Times New Roman" w:hAnsi="Times New Roman"/>
                <w:sz w:val="24"/>
                <w:szCs w:val="24"/>
              </w:rPr>
              <w:t xml:space="preserve">cita finansētāja finansējumu vai gadījumos, kad finansējumu nodrošina </w:t>
            </w:r>
            <w:r w:rsidRPr="004823C7">
              <w:rPr>
                <w:rFonts w:ascii="Times New Roman" w:hAnsi="Times New Roman"/>
                <w:sz w:val="24"/>
                <w:szCs w:val="24"/>
              </w:rPr>
              <w:t>energoefe</w:t>
            </w:r>
            <w:r w:rsidRPr="004823C7" w:rsidR="003924C4">
              <w:rPr>
                <w:rFonts w:ascii="Times New Roman" w:hAnsi="Times New Roman"/>
                <w:sz w:val="24"/>
                <w:szCs w:val="24"/>
              </w:rPr>
              <w:t>ktivitātes pakalpojuma sniedzēj</w:t>
            </w:r>
            <w:r w:rsidRPr="004823C7" w:rsidR="003D3D29">
              <w:rPr>
                <w:rFonts w:ascii="Times New Roman" w:hAnsi="Times New Roman"/>
                <w:sz w:val="24"/>
                <w:szCs w:val="24"/>
              </w:rPr>
              <w:t>s</w:t>
            </w:r>
            <w:r w:rsidRPr="004823C7" w:rsidR="00154CA5">
              <w:rPr>
                <w:rFonts w:ascii="Times New Roman" w:hAnsi="Times New Roman"/>
                <w:sz w:val="24"/>
                <w:szCs w:val="24"/>
              </w:rPr>
              <w:t>.</w:t>
            </w:r>
            <w:r w:rsidRPr="004823C7">
              <w:rPr>
                <w:rFonts w:ascii="Times New Roman" w:hAnsi="Times New Roman"/>
                <w:sz w:val="24"/>
                <w:szCs w:val="24"/>
              </w:rPr>
              <w:t xml:space="preserve"> </w:t>
            </w:r>
          </w:p>
          <w:p w:rsidR="00C21107" w:rsidRPr="00BF0B9E" w:rsidP="00BF0B9E" w14:paraId="425AEFCE" w14:textId="61EFB911">
            <w:pPr>
              <w:spacing w:after="0" w:line="240" w:lineRule="auto"/>
              <w:ind w:firstLine="476"/>
              <w:jc w:val="both"/>
              <w:rPr>
                <w:rFonts w:ascii="Times New Roman" w:eastAsia="Times New Roman" w:hAnsi="Times New Roman"/>
                <w:sz w:val="24"/>
                <w:szCs w:val="28"/>
              </w:rPr>
            </w:pPr>
            <w:r w:rsidRPr="004823C7">
              <w:rPr>
                <w:rFonts w:ascii="Times New Roman" w:hAnsi="Times New Roman"/>
                <w:sz w:val="24"/>
                <w:szCs w:val="24"/>
              </w:rPr>
              <w:t>Noteikumu projekts paredz, ka papildus energoefektivitātes pakalpojuma sniedzējam un cita finansētāja finansējuma</w:t>
            </w:r>
            <w:r w:rsidRPr="004823C7" w:rsidR="003D3D29">
              <w:rPr>
                <w:rFonts w:ascii="Times New Roman" w:hAnsi="Times New Roman"/>
                <w:sz w:val="24"/>
                <w:szCs w:val="24"/>
              </w:rPr>
              <w:t>m</w:t>
            </w:r>
            <w:r w:rsidRPr="004823C7">
              <w:rPr>
                <w:rFonts w:ascii="Times New Roman" w:hAnsi="Times New Roman"/>
                <w:sz w:val="24"/>
                <w:szCs w:val="24"/>
              </w:rPr>
              <w:t xml:space="preserve"> iespējams izmantot arī dzīvokļu īpašnieku </w:t>
            </w:r>
            <w:r w:rsidRPr="008B30AD" w:rsidR="00977162">
              <w:rPr>
                <w:rFonts w:ascii="Times New Roman" w:hAnsi="Times New Roman"/>
                <w:sz w:val="24"/>
                <w:szCs w:val="24"/>
              </w:rPr>
              <w:t>brīvos finan</w:t>
            </w:r>
            <w:r w:rsidRPr="008B30AD" w:rsidR="005875C4">
              <w:rPr>
                <w:rFonts w:ascii="Times New Roman" w:hAnsi="Times New Roman"/>
                <w:sz w:val="24"/>
                <w:szCs w:val="24"/>
              </w:rPr>
              <w:t>šu līdzekļus</w:t>
            </w:r>
            <w:r w:rsidR="00977162">
              <w:rPr>
                <w:rFonts w:ascii="Times New Roman" w:hAnsi="Times New Roman"/>
                <w:sz w:val="24"/>
                <w:szCs w:val="24"/>
              </w:rPr>
              <w:t xml:space="preserve"> </w:t>
            </w:r>
            <w:r w:rsidRPr="004823C7">
              <w:rPr>
                <w:rFonts w:ascii="Times New Roman" w:hAnsi="Times New Roman"/>
                <w:sz w:val="24"/>
                <w:szCs w:val="28"/>
              </w:rPr>
              <w:t>energoefektivitātes paaugstināšanas pasākumu izmaksu segšanai</w:t>
            </w:r>
            <w:r w:rsidR="00315A2B">
              <w:rPr>
                <w:rFonts w:ascii="Times New Roman" w:hAnsi="Times New Roman"/>
                <w:sz w:val="24"/>
                <w:szCs w:val="28"/>
              </w:rPr>
              <w:t xml:space="preserve"> </w:t>
            </w:r>
            <w:r w:rsidR="000D39CA">
              <w:rPr>
                <w:rFonts w:ascii="Times New Roman" w:hAnsi="Times New Roman"/>
                <w:sz w:val="24"/>
                <w:szCs w:val="28"/>
              </w:rPr>
              <w:t>pilnā  vai daļēj</w:t>
            </w:r>
            <w:r>
              <w:rPr>
                <w:rFonts w:ascii="Times New Roman" w:hAnsi="Times New Roman"/>
                <w:sz w:val="24"/>
                <w:szCs w:val="28"/>
              </w:rPr>
              <w:t>ā apmērā</w:t>
            </w:r>
            <w:r w:rsidRPr="004823C7" w:rsidR="000D39CA">
              <w:rPr>
                <w:rFonts w:ascii="Times New Roman" w:eastAsia="Times New Roman" w:hAnsi="Times New Roman"/>
                <w:sz w:val="24"/>
                <w:szCs w:val="28"/>
              </w:rPr>
              <w:t>.</w:t>
            </w:r>
            <w:r>
              <w:rPr>
                <w:rFonts w:ascii="Times New Roman" w:eastAsia="Times New Roman" w:hAnsi="Times New Roman"/>
                <w:sz w:val="24"/>
                <w:szCs w:val="28"/>
              </w:rPr>
              <w:t xml:space="preserve"> Dzīvokļu īpašniekiem, nodrošinot līdzfinansējumu pilnā apmērā, nevajadzēs ievērot MK noteikumu Nr.160 43. un 44. punktā minēto, kā arī slēgt līgumu ar citu finansētāju, ja tas nebūs nepieciešams.</w:t>
            </w:r>
          </w:p>
          <w:p w:rsidR="00C21107" w:rsidRPr="00C21107" w:rsidP="00BF0B9E" w14:paraId="36DBF560" w14:textId="6F82D337">
            <w:pPr>
              <w:spacing w:after="0" w:line="240" w:lineRule="auto"/>
              <w:jc w:val="both"/>
              <w:rPr>
                <w:rFonts w:ascii="Times New Roman" w:eastAsia="Times New Roman" w:hAnsi="Times New Roman"/>
                <w:sz w:val="24"/>
                <w:szCs w:val="24"/>
              </w:rPr>
            </w:pPr>
            <w:r w:rsidRPr="00C21107">
              <w:rPr>
                <w:rFonts w:ascii="Times New Roman" w:eastAsia="Times New Roman" w:hAnsi="Times New Roman"/>
                <w:sz w:val="24"/>
                <w:szCs w:val="24"/>
              </w:rPr>
              <w:t xml:space="preserve">Ja </w:t>
            </w:r>
            <w:r w:rsidRPr="00C21107">
              <w:rPr>
                <w:rFonts w:ascii="Times New Roman" w:hAnsi="Times New Roman"/>
                <w:sz w:val="24"/>
                <w:szCs w:val="24"/>
              </w:rPr>
              <w:t xml:space="preserve">dzīvokļu īpašnieku finansējums segs energoefektivitātes paaugstināšanas izmaksas </w:t>
            </w:r>
            <w:r w:rsidRPr="00C21107">
              <w:rPr>
                <w:rFonts w:ascii="Times New Roman" w:eastAsia="Times New Roman" w:hAnsi="Times New Roman"/>
                <w:sz w:val="24"/>
                <w:szCs w:val="24"/>
              </w:rPr>
              <w:t xml:space="preserve">daļēji, atlikusī nepieciešamā finansējuma daļa varēs tikt piesaistīta kā līdz šim – </w:t>
            </w:r>
            <w:r w:rsidRPr="00292E9E">
              <w:rPr>
                <w:rFonts w:ascii="Times New Roman" w:hAnsi="Times New Roman"/>
                <w:sz w:val="24"/>
                <w:szCs w:val="24"/>
              </w:rPr>
              <w:t xml:space="preserve">piesaistot cita finansētāja vai </w:t>
            </w:r>
            <w:r w:rsidRPr="00E8034E">
              <w:rPr>
                <w:rFonts w:ascii="Times New Roman" w:hAnsi="Times New Roman"/>
                <w:sz w:val="24"/>
                <w:szCs w:val="24"/>
              </w:rPr>
              <w:t xml:space="preserve">sabiedrības </w:t>
            </w:r>
            <w:r w:rsidRPr="00E8034E">
              <w:rPr>
                <w:rFonts w:ascii="Times New Roman" w:hAnsi="Times New Roman" w:eastAsiaTheme="minorHAnsi"/>
                <w:sz w:val="24"/>
                <w:szCs w:val="24"/>
              </w:rPr>
              <w:t>"</w:t>
            </w:r>
            <w:r w:rsidRPr="00E8034E">
              <w:rPr>
                <w:rFonts w:ascii="Times New Roman" w:hAnsi="Times New Roman"/>
                <w:sz w:val="24"/>
                <w:szCs w:val="24"/>
              </w:rPr>
              <w:t>Altum</w:t>
            </w:r>
            <w:r w:rsidRPr="00E8034E">
              <w:rPr>
                <w:rFonts w:ascii="Times New Roman" w:hAnsi="Times New Roman" w:eastAsiaTheme="minorHAnsi"/>
                <w:sz w:val="24"/>
                <w:szCs w:val="24"/>
              </w:rPr>
              <w:t xml:space="preserve">" </w:t>
            </w:r>
            <w:r w:rsidRPr="00E8034E">
              <w:rPr>
                <w:rFonts w:ascii="Times New Roman" w:hAnsi="Times New Roman"/>
                <w:sz w:val="24"/>
                <w:szCs w:val="24"/>
              </w:rPr>
              <w:t>finansējumu, vai iesaistot energoefektivitātes pakalpojuma sniedzēj</w:t>
            </w:r>
            <w:r w:rsidRPr="00BC4843">
              <w:rPr>
                <w:rFonts w:ascii="Times New Roman" w:hAnsi="Times New Roman"/>
                <w:sz w:val="24"/>
                <w:szCs w:val="24"/>
              </w:rPr>
              <w:t>u</w:t>
            </w:r>
            <w:r w:rsidRPr="00BC4843">
              <w:rPr>
                <w:rFonts w:ascii="Times New Roman" w:eastAsia="Times New Roman" w:hAnsi="Times New Roman"/>
                <w:sz w:val="24"/>
                <w:szCs w:val="24"/>
              </w:rPr>
              <w:t>.</w:t>
            </w:r>
          </w:p>
          <w:p w:rsidR="00B83CED" w:rsidP="00B83CED" w14:paraId="0C758C2F" w14:textId="130B62DA">
            <w:pPr>
              <w:spacing w:after="240" w:line="240" w:lineRule="auto"/>
              <w:ind w:firstLine="476"/>
              <w:jc w:val="both"/>
              <w:rPr>
                <w:rFonts w:ascii="Times New Roman" w:hAnsi="Times New Roman"/>
                <w:sz w:val="24"/>
                <w:szCs w:val="24"/>
              </w:rPr>
            </w:pPr>
            <w:r w:rsidRPr="004823C7">
              <w:rPr>
                <w:rFonts w:ascii="Times New Roman" w:eastAsia="Times New Roman" w:hAnsi="Times New Roman"/>
                <w:sz w:val="24"/>
                <w:szCs w:val="28"/>
              </w:rPr>
              <w:t>Šādi</w:t>
            </w:r>
            <w:r w:rsidRPr="004823C7" w:rsidR="008A43DF">
              <w:rPr>
                <w:rFonts w:ascii="Times New Roman" w:eastAsia="Times New Roman" w:hAnsi="Times New Roman"/>
                <w:sz w:val="24"/>
                <w:szCs w:val="28"/>
              </w:rPr>
              <w:t xml:space="preserve"> tiks sniegta iespēja </w:t>
            </w:r>
            <w:r w:rsidRPr="004823C7" w:rsidR="008A43DF">
              <w:rPr>
                <w:rFonts w:ascii="Times New Roman" w:hAnsi="Times New Roman"/>
                <w:sz w:val="24"/>
                <w:szCs w:val="24"/>
              </w:rPr>
              <w:t>daudzdzīvokļu dzīvojamo māju dzīvokļu īpašniekiem izmanto</w:t>
            </w:r>
            <w:r w:rsidRPr="004823C7" w:rsidR="003D3D29">
              <w:rPr>
                <w:rFonts w:ascii="Times New Roman" w:hAnsi="Times New Roman"/>
                <w:sz w:val="24"/>
                <w:szCs w:val="24"/>
              </w:rPr>
              <w:t>t</w:t>
            </w:r>
            <w:r w:rsidRPr="004823C7" w:rsidR="008A43DF">
              <w:rPr>
                <w:rFonts w:ascii="Times New Roman" w:hAnsi="Times New Roman"/>
                <w:sz w:val="24"/>
                <w:szCs w:val="24"/>
              </w:rPr>
              <w:t xml:space="preserve"> izveido</w:t>
            </w:r>
            <w:r w:rsidRPr="004823C7" w:rsidR="00154CA5">
              <w:rPr>
                <w:rFonts w:ascii="Times New Roman" w:hAnsi="Times New Roman"/>
                <w:sz w:val="24"/>
                <w:szCs w:val="24"/>
              </w:rPr>
              <w:t>tos</w:t>
            </w:r>
            <w:r w:rsidRPr="004823C7" w:rsidR="008A43DF">
              <w:rPr>
                <w:rFonts w:ascii="Times New Roman" w:hAnsi="Times New Roman"/>
                <w:sz w:val="24"/>
                <w:szCs w:val="24"/>
              </w:rPr>
              <w:t xml:space="preserve"> </w:t>
            </w:r>
            <w:r w:rsidRPr="004823C7" w:rsidR="003D3D29">
              <w:rPr>
                <w:rFonts w:ascii="Times New Roman" w:hAnsi="Times New Roman"/>
                <w:sz w:val="24"/>
                <w:szCs w:val="24"/>
              </w:rPr>
              <w:t>uz</w:t>
            </w:r>
            <w:r w:rsidRPr="004823C7" w:rsidR="008A43DF">
              <w:rPr>
                <w:rFonts w:ascii="Times New Roman" w:hAnsi="Times New Roman"/>
                <w:sz w:val="24"/>
                <w:szCs w:val="24"/>
              </w:rPr>
              <w:t xml:space="preserve">krājumus, </w:t>
            </w:r>
            <w:r w:rsidRPr="004823C7" w:rsidR="00DC3A82">
              <w:rPr>
                <w:rFonts w:ascii="Times New Roman" w:hAnsi="Times New Roman"/>
                <w:sz w:val="24"/>
                <w:szCs w:val="24"/>
              </w:rPr>
              <w:t xml:space="preserve">tādējādi </w:t>
            </w:r>
            <w:r w:rsidRPr="004823C7" w:rsidR="003D3D29">
              <w:rPr>
                <w:rFonts w:ascii="Times New Roman" w:hAnsi="Times New Roman"/>
                <w:sz w:val="24"/>
                <w:szCs w:val="24"/>
              </w:rPr>
              <w:t xml:space="preserve">samazinot </w:t>
            </w:r>
            <w:r w:rsidRPr="004823C7" w:rsidR="00154CA5">
              <w:rPr>
                <w:rFonts w:ascii="Times New Roman" w:hAnsi="Times New Roman"/>
                <w:sz w:val="24"/>
                <w:szCs w:val="24"/>
              </w:rPr>
              <w:t>papildus nepieciešamo finansējuma apmēru un ar to saistītās izmaksas, atsevišķos gadījumos</w:t>
            </w:r>
            <w:r w:rsidRPr="004823C7" w:rsidR="00DC3A82">
              <w:rPr>
                <w:rFonts w:ascii="Times New Roman" w:hAnsi="Times New Roman"/>
                <w:sz w:val="24"/>
                <w:szCs w:val="24"/>
              </w:rPr>
              <w:t xml:space="preserve"> paātrinot </w:t>
            </w:r>
            <w:r w:rsidRPr="004823C7" w:rsidR="003D3D29">
              <w:rPr>
                <w:rFonts w:ascii="Times New Roman" w:hAnsi="Times New Roman"/>
                <w:sz w:val="24"/>
                <w:szCs w:val="24"/>
              </w:rPr>
              <w:t xml:space="preserve">lēmuma pieņemšanu par </w:t>
            </w:r>
            <w:r w:rsidRPr="004823C7" w:rsidR="00DC3A82">
              <w:rPr>
                <w:rFonts w:ascii="Times New Roman" w:hAnsi="Times New Roman"/>
                <w:sz w:val="24"/>
                <w:szCs w:val="24"/>
              </w:rPr>
              <w:t>granta piešķiršan</w:t>
            </w:r>
            <w:r w:rsidRPr="004823C7" w:rsidR="003D3D29">
              <w:rPr>
                <w:rFonts w:ascii="Times New Roman" w:hAnsi="Times New Roman"/>
                <w:sz w:val="24"/>
                <w:szCs w:val="24"/>
              </w:rPr>
              <w:t>u</w:t>
            </w:r>
            <w:r w:rsidRPr="004823C7" w:rsidR="00DC3A82">
              <w:rPr>
                <w:rFonts w:ascii="Times New Roman" w:hAnsi="Times New Roman"/>
                <w:sz w:val="24"/>
                <w:szCs w:val="24"/>
              </w:rPr>
              <w:t xml:space="preserve"> un energoefektivitātes paaugstināšanas pasākumu ieviešanas gaitu</w:t>
            </w:r>
            <w:r w:rsidR="00734AE9">
              <w:rPr>
                <w:rFonts w:ascii="Times New Roman" w:hAnsi="Times New Roman"/>
                <w:sz w:val="24"/>
                <w:szCs w:val="24"/>
              </w:rPr>
              <w:t>.</w:t>
            </w:r>
          </w:p>
          <w:p w:rsidR="00EF38D4" w:rsidRPr="00B83CED" w:rsidP="00B83CED" w14:paraId="07462490" w14:textId="2C8CD713">
            <w:pPr>
              <w:pStyle w:val="ListParagraph"/>
              <w:numPr>
                <w:ilvl w:val="0"/>
                <w:numId w:val="1"/>
              </w:numPr>
              <w:tabs>
                <w:tab w:val="left" w:pos="399"/>
              </w:tabs>
              <w:spacing w:after="120" w:line="240" w:lineRule="auto"/>
              <w:ind w:left="105" w:firstLine="0"/>
              <w:jc w:val="both"/>
              <w:rPr>
                <w:rFonts w:ascii="Times New Roman" w:hAnsi="Times New Roman"/>
                <w:sz w:val="24"/>
                <w:szCs w:val="24"/>
              </w:rPr>
            </w:pPr>
            <w:r w:rsidRPr="00B83CED">
              <w:rPr>
                <w:rFonts w:ascii="Times New Roman" w:hAnsi="Times New Roman"/>
                <w:b/>
                <w:i/>
                <w:sz w:val="24"/>
                <w:szCs w:val="24"/>
                <w:u w:val="single"/>
              </w:rPr>
              <w:t>Noteikt, ka energoefektivitātes paaugstināšanas pasākumu īstenošana ir ekonomiski pamatota, ja energoefektivitātes paaugstināšanas pasākumu iekšējās atdeves rādītājs 30 gadu periodā ir lielāks par 0</w:t>
            </w:r>
            <w:r w:rsidRPr="00B83CED" w:rsidR="00014D98">
              <w:rPr>
                <w:rFonts w:ascii="Times New Roman" w:hAnsi="Times New Roman"/>
                <w:b/>
                <w:i/>
                <w:sz w:val="24"/>
                <w:szCs w:val="24"/>
                <w:u w:val="single"/>
              </w:rPr>
              <w:t xml:space="preserve"> un </w:t>
            </w:r>
            <w:r w:rsidRPr="00B83CED" w:rsidR="0084785E">
              <w:rPr>
                <w:rFonts w:ascii="Times New Roman" w:hAnsi="Times New Roman"/>
                <w:b/>
                <w:i/>
                <w:sz w:val="24"/>
                <w:szCs w:val="24"/>
                <w:u w:val="single"/>
              </w:rPr>
              <w:t xml:space="preserve">šajā </w:t>
            </w:r>
            <w:r w:rsidRPr="00B83CED" w:rsidR="00014D98">
              <w:rPr>
                <w:rFonts w:ascii="Times New Roman" w:hAnsi="Times New Roman"/>
                <w:b/>
                <w:i/>
                <w:sz w:val="24"/>
                <w:szCs w:val="24"/>
                <w:u w:val="single"/>
              </w:rPr>
              <w:t>aprēķinā neņemt vērā maksājumus, kas būtiski neietekmē atmaksāšanos</w:t>
            </w:r>
            <w:r w:rsidRPr="00B83CED" w:rsidR="0084785E">
              <w:rPr>
                <w:rFonts w:ascii="Times New Roman" w:hAnsi="Times New Roman"/>
                <w:b/>
                <w:i/>
                <w:sz w:val="24"/>
                <w:szCs w:val="24"/>
                <w:u w:val="single"/>
              </w:rPr>
              <w:t xml:space="preserve"> (komisijas maksas)</w:t>
            </w:r>
            <w:r w:rsidRPr="00B83CED">
              <w:rPr>
                <w:rFonts w:ascii="Times New Roman" w:hAnsi="Times New Roman"/>
                <w:b/>
                <w:i/>
                <w:sz w:val="24"/>
                <w:szCs w:val="24"/>
                <w:u w:val="single"/>
              </w:rPr>
              <w:t>.</w:t>
            </w:r>
          </w:p>
          <w:p w:rsidR="00DE450B" w:rsidRPr="004823C7" w:rsidP="00186E33" w14:paraId="28F54E01" w14:textId="2C8B988A">
            <w:pPr>
              <w:spacing w:after="0" w:line="240" w:lineRule="auto"/>
              <w:ind w:firstLine="479"/>
              <w:jc w:val="both"/>
              <w:rPr>
                <w:rFonts w:ascii="Times New Roman" w:hAnsi="Times New Roman"/>
                <w:sz w:val="24"/>
                <w:szCs w:val="24"/>
              </w:rPr>
            </w:pPr>
            <w:r w:rsidRPr="004823C7">
              <w:rPr>
                <w:rFonts w:ascii="Times New Roman" w:hAnsi="Times New Roman"/>
                <w:sz w:val="24"/>
                <w:szCs w:val="24"/>
              </w:rPr>
              <w:t xml:space="preserve">Noteikumu projekts paredz, ka energoefektivitātes paaugstināšanas pasākumu atmaksāšanās periods tiek noteikts 30 gadi. Pašreizējā pieredze rāda, ka </w:t>
            </w:r>
            <w:r w:rsidRPr="004823C7" w:rsidR="00154CA5">
              <w:rPr>
                <w:rFonts w:ascii="Times New Roman" w:hAnsi="Times New Roman"/>
                <w:sz w:val="24"/>
                <w:szCs w:val="24"/>
              </w:rPr>
              <w:t xml:space="preserve">salīdzinoši </w:t>
            </w:r>
            <w:r w:rsidRPr="004823C7" w:rsidR="00C55ED3">
              <w:rPr>
                <w:rFonts w:ascii="Times New Roman" w:hAnsi="Times New Roman"/>
                <w:sz w:val="24"/>
                <w:szCs w:val="24"/>
              </w:rPr>
              <w:t>zemo</w:t>
            </w:r>
            <w:r w:rsidRPr="004823C7">
              <w:rPr>
                <w:rFonts w:ascii="Times New Roman" w:hAnsi="Times New Roman"/>
                <w:sz w:val="24"/>
                <w:szCs w:val="24"/>
              </w:rPr>
              <w:t xml:space="preserve"> centralizētās siltum</w:t>
            </w:r>
            <w:r w:rsidRPr="004823C7">
              <w:rPr>
                <w:rFonts w:ascii="Times New Roman" w:hAnsi="Times New Roman"/>
                <w:sz w:val="24"/>
                <w:szCs w:val="24"/>
              </w:rPr>
              <w:t>enerģijas</w:t>
            </w:r>
            <w:r w:rsidRPr="004823C7">
              <w:rPr>
                <w:rFonts w:ascii="Times New Roman" w:hAnsi="Times New Roman"/>
                <w:sz w:val="24"/>
                <w:szCs w:val="24"/>
              </w:rPr>
              <w:t xml:space="preserve"> tarifu dēļ, kas tieši ietekmē </w:t>
            </w:r>
            <w:r w:rsidRPr="004823C7" w:rsidR="009F3EAC">
              <w:rPr>
                <w:rFonts w:ascii="Times New Roman" w:hAnsi="Times New Roman"/>
                <w:sz w:val="24"/>
                <w:szCs w:val="24"/>
              </w:rPr>
              <w:t>4.2.1.1</w:t>
            </w:r>
            <w:r w:rsidRPr="004823C7" w:rsidR="00D22F2D">
              <w:rPr>
                <w:rFonts w:ascii="Times New Roman" w:hAnsi="Times New Roman"/>
                <w:sz w:val="24"/>
                <w:szCs w:val="24"/>
              </w:rPr>
              <w:t>.</w:t>
            </w:r>
            <w:r w:rsidRPr="004823C7" w:rsidR="009F3EAC">
              <w:rPr>
                <w:rFonts w:ascii="Times New Roman" w:hAnsi="Times New Roman"/>
                <w:sz w:val="24"/>
                <w:szCs w:val="24"/>
              </w:rPr>
              <w:t>pasākuma</w:t>
            </w:r>
            <w:r w:rsidRPr="004823C7">
              <w:rPr>
                <w:rFonts w:ascii="Times New Roman" w:hAnsi="Times New Roman"/>
                <w:sz w:val="24"/>
                <w:szCs w:val="24"/>
              </w:rPr>
              <w:t xml:space="preserve"> </w:t>
            </w:r>
            <w:r w:rsidRPr="004823C7">
              <w:rPr>
                <w:rFonts w:ascii="Times New Roman" w:hAnsi="Times New Roman"/>
                <w:sz w:val="24"/>
                <w:szCs w:val="24"/>
              </w:rPr>
              <w:t xml:space="preserve">ietvaros īstenojamo </w:t>
            </w:r>
            <w:r w:rsidRPr="004823C7" w:rsidR="00A83236">
              <w:rPr>
                <w:rFonts w:ascii="Times New Roman" w:hAnsi="Times New Roman"/>
                <w:sz w:val="24"/>
                <w:szCs w:val="24"/>
              </w:rPr>
              <w:t>energoefektivitātes paaugstināšanas pasākumu (turpmāk –</w:t>
            </w:r>
            <w:r w:rsidRPr="004823C7" w:rsidR="006F16F5">
              <w:rPr>
                <w:rFonts w:ascii="Times New Roman" w:hAnsi="Times New Roman"/>
                <w:sz w:val="24"/>
                <w:szCs w:val="24"/>
              </w:rPr>
              <w:t xml:space="preserve">– </w:t>
            </w:r>
            <w:r w:rsidRPr="004823C7">
              <w:rPr>
                <w:rFonts w:ascii="Times New Roman" w:hAnsi="Times New Roman"/>
                <w:sz w:val="24"/>
                <w:szCs w:val="24"/>
              </w:rPr>
              <w:t>projekt</w:t>
            </w:r>
            <w:r w:rsidR="006F16F5">
              <w:rPr>
                <w:rFonts w:ascii="Times New Roman" w:hAnsi="Times New Roman"/>
                <w:sz w:val="24"/>
                <w:szCs w:val="24"/>
              </w:rPr>
              <w:t>s)</w:t>
            </w:r>
            <w:r w:rsidRPr="004823C7">
              <w:rPr>
                <w:rFonts w:ascii="Times New Roman" w:hAnsi="Times New Roman"/>
                <w:sz w:val="24"/>
                <w:szCs w:val="24"/>
              </w:rPr>
              <w:t xml:space="preserve"> </w:t>
            </w:r>
            <w:r w:rsidRPr="004823C7">
              <w:rPr>
                <w:rFonts w:ascii="Times New Roman" w:hAnsi="Times New Roman"/>
                <w:sz w:val="24"/>
                <w:szCs w:val="24"/>
              </w:rPr>
              <w:t xml:space="preserve">atmaksāšanās periodu, </w:t>
            </w:r>
            <w:r w:rsidRPr="004823C7" w:rsidR="00F1096B">
              <w:rPr>
                <w:rFonts w:ascii="Times New Roman" w:hAnsi="Times New Roman"/>
                <w:sz w:val="24"/>
                <w:szCs w:val="24"/>
              </w:rPr>
              <w:t>lielai daļai daudzdzīvokļu dzīvojamo</w:t>
            </w:r>
            <w:r w:rsidRPr="004823C7">
              <w:rPr>
                <w:rFonts w:ascii="Times New Roman" w:hAnsi="Times New Roman"/>
                <w:sz w:val="24"/>
                <w:szCs w:val="24"/>
              </w:rPr>
              <w:t xml:space="preserve"> māj</w:t>
            </w:r>
            <w:r w:rsidRPr="004823C7" w:rsidR="00F1096B">
              <w:rPr>
                <w:rFonts w:ascii="Times New Roman" w:hAnsi="Times New Roman"/>
                <w:sz w:val="24"/>
                <w:szCs w:val="24"/>
              </w:rPr>
              <w:t xml:space="preserve">u dzīvokļu </w:t>
            </w:r>
            <w:r w:rsidRPr="004823C7" w:rsidR="00F47215">
              <w:rPr>
                <w:rFonts w:ascii="Times New Roman" w:hAnsi="Times New Roman"/>
                <w:sz w:val="24"/>
                <w:szCs w:val="24"/>
              </w:rPr>
              <w:t>īpašniekiem daļu</w:t>
            </w:r>
            <w:r w:rsidRPr="004823C7" w:rsidR="003D3D29">
              <w:rPr>
                <w:rFonts w:ascii="Times New Roman" w:hAnsi="Times New Roman"/>
                <w:sz w:val="24"/>
                <w:szCs w:val="24"/>
              </w:rPr>
              <w:t xml:space="preserve"> izmaksu </w:t>
            </w:r>
            <w:r w:rsidRPr="004823C7">
              <w:rPr>
                <w:rFonts w:ascii="Times New Roman" w:hAnsi="Times New Roman"/>
                <w:sz w:val="24"/>
                <w:szCs w:val="24"/>
              </w:rPr>
              <w:t xml:space="preserve">nākas </w:t>
            </w:r>
            <w:r w:rsidRPr="004823C7" w:rsidR="00F1096B">
              <w:rPr>
                <w:rFonts w:ascii="Times New Roman" w:hAnsi="Times New Roman"/>
                <w:sz w:val="24"/>
                <w:szCs w:val="24"/>
              </w:rPr>
              <w:t>iekļaut</w:t>
            </w:r>
            <w:r w:rsidRPr="004823C7" w:rsidR="003D3D29">
              <w:rPr>
                <w:rFonts w:ascii="Times New Roman" w:hAnsi="Times New Roman"/>
                <w:sz w:val="24"/>
                <w:szCs w:val="24"/>
              </w:rPr>
              <w:t xml:space="preserve"> neattiecināmo izmaksu sadaļā vai pat vispār </w:t>
            </w:r>
            <w:r w:rsidRPr="004823C7">
              <w:rPr>
                <w:rFonts w:ascii="Times New Roman" w:hAnsi="Times New Roman"/>
                <w:sz w:val="24"/>
                <w:szCs w:val="24"/>
              </w:rPr>
              <w:t>atteikties no p</w:t>
            </w:r>
            <w:r w:rsidRPr="004823C7" w:rsidR="00C55ED3">
              <w:rPr>
                <w:rFonts w:ascii="Times New Roman" w:hAnsi="Times New Roman"/>
                <w:sz w:val="24"/>
                <w:szCs w:val="24"/>
              </w:rPr>
              <w:t>rojekta īstenošanas.</w:t>
            </w:r>
          </w:p>
          <w:p w:rsidR="00AE2BCA" w:rsidRPr="004823C7" w:rsidP="00186E33" w14:paraId="65BE3DD9" w14:textId="7E76266C">
            <w:pPr>
              <w:spacing w:after="0" w:line="240" w:lineRule="auto"/>
              <w:ind w:firstLine="479"/>
              <w:jc w:val="both"/>
              <w:rPr>
                <w:rFonts w:ascii="Times New Roman" w:eastAsia="Times New Roman" w:hAnsi="Times New Roman"/>
                <w:bCs/>
                <w:sz w:val="24"/>
                <w:szCs w:val="24"/>
                <w:lang w:eastAsia="ja-JP"/>
              </w:rPr>
            </w:pPr>
            <w:r w:rsidRPr="004823C7">
              <w:rPr>
                <w:rFonts w:ascii="Times New Roman" w:hAnsi="Times New Roman"/>
                <w:sz w:val="24"/>
                <w:szCs w:val="24"/>
              </w:rPr>
              <w:t xml:space="preserve">Atbilstoši MK noteikumu Nr. 160 </w:t>
            </w:r>
            <w:r w:rsidRPr="004823C7" w:rsidR="00CA5280">
              <w:rPr>
                <w:rFonts w:ascii="Times New Roman" w:hAnsi="Times New Roman"/>
                <w:sz w:val="24"/>
                <w:szCs w:val="24"/>
              </w:rPr>
              <w:t xml:space="preserve">nosacījumiem </w:t>
            </w:r>
            <w:r w:rsidRPr="004823C7">
              <w:rPr>
                <w:rFonts w:ascii="Times New Roman" w:hAnsi="Times New Roman"/>
                <w:sz w:val="24"/>
                <w:szCs w:val="24"/>
              </w:rPr>
              <w:t>granta apmēra aprēķina metodika projekt</w:t>
            </w:r>
            <w:r w:rsidR="0005453E">
              <w:rPr>
                <w:rFonts w:ascii="Times New Roman" w:hAnsi="Times New Roman"/>
                <w:sz w:val="24"/>
                <w:szCs w:val="24"/>
              </w:rPr>
              <w:t>a</w:t>
            </w:r>
            <w:r w:rsidRPr="004823C7">
              <w:rPr>
                <w:rFonts w:ascii="Times New Roman" w:hAnsi="Times New Roman"/>
                <w:sz w:val="24"/>
                <w:szCs w:val="24"/>
              </w:rPr>
              <w:t xml:space="preserve"> īstenošanai tiek balstīta uz siltumenerģijas tarifu un ieguldījumu atmaksāšanās periodu.</w:t>
            </w:r>
            <w:r w:rsidRPr="004823C7">
              <w:rPr>
                <w:rFonts w:ascii="Times New Roman" w:eastAsia="Times New Roman" w:hAnsi="Times New Roman"/>
                <w:bCs/>
                <w:sz w:val="24"/>
                <w:szCs w:val="24"/>
                <w:lang w:eastAsia="ja-JP"/>
              </w:rPr>
              <w:t xml:space="preserve"> 4.2.1.1.</w:t>
            </w:r>
            <w:r w:rsidRPr="004823C7" w:rsidR="00BB5A91">
              <w:rPr>
                <w:rFonts w:ascii="Times New Roman" w:eastAsia="Times New Roman" w:hAnsi="Times New Roman"/>
                <w:bCs/>
                <w:sz w:val="24"/>
                <w:szCs w:val="24"/>
                <w:lang w:eastAsia="ja-JP"/>
              </w:rPr>
              <w:t> </w:t>
            </w:r>
            <w:r w:rsidRPr="004823C7">
              <w:rPr>
                <w:rFonts w:ascii="Times New Roman" w:eastAsia="Times New Roman" w:hAnsi="Times New Roman"/>
                <w:bCs/>
                <w:sz w:val="24"/>
                <w:szCs w:val="24"/>
                <w:lang w:eastAsia="ja-JP"/>
              </w:rPr>
              <w:t>pasākuma pirmajā īstenošanas gadā iegūtie dati norāda uz nepieciešamību pārskatīt noteikto 20 gadu ieguldījumu atmaksāšanās laika periodu energoefektivitātes paaugstināšanas pasākumiem.</w:t>
            </w:r>
            <w:r w:rsidRPr="004823C7" w:rsidR="00154CA5">
              <w:rPr>
                <w:rFonts w:ascii="Times New Roman" w:eastAsia="Times New Roman" w:hAnsi="Times New Roman"/>
                <w:bCs/>
                <w:sz w:val="24"/>
                <w:szCs w:val="24"/>
                <w:lang w:eastAsia="ja-JP"/>
              </w:rPr>
              <w:t xml:space="preserve"> Pašreiz ir jau konstatēti vairāki gadījumi, kad komercbankas ir atteikušas </w:t>
            </w:r>
            <w:r w:rsidRPr="004823C7" w:rsidR="00154CA5">
              <w:rPr>
                <w:rFonts w:ascii="Times New Roman" w:eastAsia="Times New Roman" w:hAnsi="Times New Roman"/>
                <w:bCs/>
                <w:sz w:val="24"/>
                <w:szCs w:val="24"/>
                <w:lang w:eastAsia="ja-JP"/>
              </w:rPr>
              <w:t xml:space="preserve">finansējumu lielu neattiecināmo izmaksu rezultātā. Neattiecināmo izmaksu apjoms būtiski palielinātu dzīvokļu īpašnieku finansiālo slogu, to ikmēnešu izmaksas </w:t>
            </w:r>
            <w:r w:rsidRPr="004823C7" w:rsidR="001249B4">
              <w:rPr>
                <w:rFonts w:ascii="Times New Roman" w:eastAsia="Times New Roman" w:hAnsi="Times New Roman"/>
                <w:bCs/>
                <w:sz w:val="24"/>
                <w:szCs w:val="24"/>
                <w:lang w:eastAsia="ja-JP"/>
              </w:rPr>
              <w:t xml:space="preserve">pieaugtu, kas apdraudētu aizdevuma atmaksāšanas iespējas. </w:t>
            </w:r>
          </w:p>
          <w:p w:rsidR="00F10589" w:rsidRPr="004823C7" w:rsidP="00186E33" w14:paraId="4E57A498" w14:textId="77777777">
            <w:pPr>
              <w:spacing w:after="0" w:line="240" w:lineRule="auto"/>
              <w:ind w:firstLine="479"/>
              <w:jc w:val="both"/>
              <w:rPr>
                <w:rFonts w:ascii="Times New Roman" w:eastAsia="Times New Roman" w:hAnsi="Times New Roman"/>
                <w:bCs/>
                <w:sz w:val="24"/>
                <w:szCs w:val="24"/>
                <w:lang w:eastAsia="ja-JP"/>
              </w:rPr>
            </w:pPr>
            <w:r w:rsidRPr="004823C7">
              <w:rPr>
                <w:rFonts w:ascii="Times New Roman" w:eastAsia="Times New Roman" w:hAnsi="Times New Roman"/>
                <w:bCs/>
                <w:sz w:val="24"/>
                <w:szCs w:val="24"/>
                <w:lang w:eastAsia="ja-JP"/>
              </w:rPr>
              <w:t>Daudzdzīvokļu māju energoefektivitātes paaugstināšanas finanšu pieejamības Ex ante izvērtējuma</w:t>
            </w:r>
            <w:r>
              <w:rPr>
                <w:rStyle w:val="FootnoteReference"/>
                <w:rFonts w:ascii="Times New Roman" w:eastAsia="Times New Roman" w:hAnsi="Times New Roman"/>
                <w:bCs/>
                <w:sz w:val="24"/>
                <w:szCs w:val="24"/>
                <w:lang w:eastAsia="ja-JP"/>
              </w:rPr>
              <w:footnoteReference w:id="2"/>
            </w:r>
            <w:r w:rsidRPr="004823C7">
              <w:rPr>
                <w:rFonts w:ascii="Times New Roman" w:eastAsia="Times New Roman" w:hAnsi="Times New Roman"/>
                <w:bCs/>
                <w:sz w:val="24"/>
                <w:szCs w:val="24"/>
                <w:lang w:eastAsia="ja-JP"/>
              </w:rPr>
              <w:t xml:space="preserve"> (turpmāk – Ex ante izvērtējums) aprēķinos tika ņemts vērā projektu rezultātā iegūtais siltumenerģijas izmaksu ietaupījums, izmantojot vidējo siltumenerģijas tarifu 53,57 EUR/MWh (bez PVN). Šī brīža siltumenerģijas tarifi virknē teritoriju ir ievērojami zemāki. Piemēram, siltumenerģijas tarifs </w:t>
            </w:r>
            <w:r w:rsidRPr="004823C7" w:rsidR="00BB72AA">
              <w:rPr>
                <w:rFonts w:ascii="Times New Roman" w:eastAsia="Times New Roman" w:hAnsi="Times New Roman"/>
                <w:bCs/>
                <w:sz w:val="24"/>
                <w:szCs w:val="24"/>
                <w:lang w:eastAsia="ja-JP"/>
              </w:rPr>
              <w:t xml:space="preserve">pēc situācijas uz 2017.gada 22.novembri </w:t>
            </w:r>
            <w:r w:rsidRPr="004823C7">
              <w:rPr>
                <w:rFonts w:ascii="Times New Roman" w:eastAsia="Times New Roman" w:hAnsi="Times New Roman"/>
                <w:bCs/>
                <w:sz w:val="24"/>
                <w:szCs w:val="24"/>
                <w:lang w:eastAsia="ja-JP"/>
              </w:rPr>
              <w:t xml:space="preserve">Rīgā </w:t>
            </w:r>
            <w:r w:rsidRPr="004823C7" w:rsidR="00BB72AA">
              <w:rPr>
                <w:rFonts w:ascii="Times New Roman" w:eastAsia="Times New Roman" w:hAnsi="Times New Roman"/>
                <w:bCs/>
                <w:sz w:val="24"/>
                <w:szCs w:val="24"/>
                <w:lang w:eastAsia="ja-JP"/>
              </w:rPr>
              <w:t>ir</w:t>
            </w:r>
            <w:r w:rsidRPr="004823C7">
              <w:rPr>
                <w:rFonts w:ascii="Times New Roman" w:eastAsia="Times New Roman" w:hAnsi="Times New Roman"/>
                <w:bCs/>
                <w:sz w:val="24"/>
                <w:szCs w:val="24"/>
                <w:lang w:eastAsia="ja-JP"/>
              </w:rPr>
              <w:t xml:space="preserve"> 4</w:t>
            </w:r>
            <w:r w:rsidRPr="004823C7" w:rsidR="00BB72AA">
              <w:rPr>
                <w:rFonts w:ascii="Times New Roman" w:eastAsia="Times New Roman" w:hAnsi="Times New Roman"/>
                <w:bCs/>
                <w:sz w:val="24"/>
                <w:szCs w:val="24"/>
                <w:lang w:eastAsia="ja-JP"/>
              </w:rPr>
              <w:t>4,39</w:t>
            </w:r>
            <w:r w:rsidRPr="004823C7">
              <w:rPr>
                <w:rFonts w:ascii="Times New Roman" w:eastAsia="Times New Roman" w:hAnsi="Times New Roman"/>
                <w:bCs/>
                <w:sz w:val="24"/>
                <w:szCs w:val="24"/>
                <w:lang w:eastAsia="ja-JP"/>
              </w:rPr>
              <w:t xml:space="preserve"> EUR/MWh, </w:t>
            </w:r>
            <w:r w:rsidRPr="004823C7" w:rsidR="00BB72AA">
              <w:rPr>
                <w:rFonts w:ascii="Times New Roman" w:eastAsia="Times New Roman" w:hAnsi="Times New Roman"/>
                <w:bCs/>
                <w:sz w:val="24"/>
                <w:szCs w:val="24"/>
                <w:lang w:eastAsia="ja-JP"/>
              </w:rPr>
              <w:t>Olainē – 46,45 EUR/MWh</w:t>
            </w:r>
            <w:r w:rsidRPr="004823C7" w:rsidR="0031762E">
              <w:rPr>
                <w:rFonts w:ascii="Times New Roman" w:eastAsia="Times New Roman" w:hAnsi="Times New Roman"/>
                <w:bCs/>
                <w:sz w:val="24"/>
                <w:szCs w:val="24"/>
                <w:lang w:eastAsia="ja-JP"/>
              </w:rPr>
              <w:t>,</w:t>
            </w:r>
            <w:r w:rsidRPr="004823C7" w:rsidR="00BB72AA">
              <w:rPr>
                <w:rFonts w:ascii="Times New Roman" w:eastAsia="Times New Roman" w:hAnsi="Times New Roman"/>
                <w:bCs/>
                <w:sz w:val="24"/>
                <w:szCs w:val="24"/>
                <w:lang w:eastAsia="ja-JP"/>
              </w:rPr>
              <w:t xml:space="preserve"> </w:t>
            </w:r>
            <w:r w:rsidRPr="004823C7">
              <w:rPr>
                <w:rFonts w:ascii="Times New Roman" w:eastAsia="Times New Roman" w:hAnsi="Times New Roman"/>
                <w:bCs/>
                <w:sz w:val="24"/>
                <w:szCs w:val="24"/>
                <w:lang w:eastAsia="ja-JP"/>
              </w:rPr>
              <w:t>Valmierā 4</w:t>
            </w:r>
            <w:r w:rsidRPr="004823C7" w:rsidR="00BB72AA">
              <w:rPr>
                <w:rFonts w:ascii="Times New Roman" w:eastAsia="Times New Roman" w:hAnsi="Times New Roman"/>
                <w:bCs/>
                <w:sz w:val="24"/>
                <w:szCs w:val="24"/>
                <w:lang w:eastAsia="ja-JP"/>
              </w:rPr>
              <w:t>6,98</w:t>
            </w:r>
            <w:r w:rsidRPr="004823C7">
              <w:rPr>
                <w:rFonts w:ascii="Times New Roman" w:eastAsia="Times New Roman" w:hAnsi="Times New Roman"/>
                <w:bCs/>
                <w:sz w:val="24"/>
                <w:szCs w:val="24"/>
                <w:lang w:eastAsia="ja-JP"/>
              </w:rPr>
              <w:t xml:space="preserve"> EUR/MWh, Kuldīgā</w:t>
            </w:r>
            <w:r w:rsidRPr="004823C7" w:rsidR="0031762E">
              <w:rPr>
                <w:rFonts w:ascii="Times New Roman" w:eastAsia="Times New Roman" w:hAnsi="Times New Roman"/>
                <w:bCs/>
                <w:sz w:val="24"/>
                <w:szCs w:val="24"/>
                <w:lang w:eastAsia="ja-JP"/>
              </w:rPr>
              <w:t xml:space="preserve"> – 49,80 EUR/MWh</w:t>
            </w:r>
            <w:r w:rsidRPr="004823C7">
              <w:rPr>
                <w:rFonts w:ascii="Times New Roman" w:eastAsia="Times New Roman" w:hAnsi="Times New Roman"/>
                <w:bCs/>
                <w:sz w:val="24"/>
                <w:szCs w:val="24"/>
                <w:lang w:eastAsia="ja-JP"/>
              </w:rPr>
              <w:t xml:space="preserve">, </w:t>
            </w:r>
            <w:r w:rsidRPr="004823C7" w:rsidR="0031762E">
              <w:rPr>
                <w:rFonts w:ascii="Times New Roman" w:eastAsia="Times New Roman" w:hAnsi="Times New Roman"/>
                <w:bCs/>
                <w:sz w:val="24"/>
                <w:szCs w:val="24"/>
                <w:lang w:eastAsia="ja-JP"/>
              </w:rPr>
              <w:t xml:space="preserve">Jelgavā – 51,73 EUR/MWh, Daugavpilī – 52.08 EUR/MWh, </w:t>
            </w:r>
            <w:r w:rsidRPr="004823C7">
              <w:rPr>
                <w:rFonts w:ascii="Times New Roman" w:eastAsia="Times New Roman" w:hAnsi="Times New Roman"/>
                <w:bCs/>
                <w:sz w:val="24"/>
                <w:szCs w:val="24"/>
                <w:lang w:eastAsia="ja-JP"/>
              </w:rPr>
              <w:t xml:space="preserve">Rēzeknē </w:t>
            </w:r>
            <w:r w:rsidRPr="004823C7" w:rsidR="0031762E">
              <w:rPr>
                <w:rFonts w:ascii="Times New Roman" w:eastAsia="Times New Roman" w:hAnsi="Times New Roman"/>
                <w:bCs/>
                <w:sz w:val="24"/>
                <w:szCs w:val="24"/>
                <w:lang w:eastAsia="ja-JP"/>
              </w:rPr>
              <w:t>52,42</w:t>
            </w:r>
            <w:r w:rsidRPr="004823C7">
              <w:rPr>
                <w:rFonts w:ascii="Times New Roman" w:eastAsia="Times New Roman" w:hAnsi="Times New Roman"/>
                <w:bCs/>
                <w:sz w:val="24"/>
                <w:szCs w:val="24"/>
                <w:lang w:eastAsia="ja-JP"/>
              </w:rPr>
              <w:t xml:space="preserve"> EUR/MWh. Jānorāda, ka </w:t>
            </w:r>
            <w:r w:rsidRPr="004823C7" w:rsidR="00EA1573">
              <w:rPr>
                <w:rFonts w:ascii="Times New Roman" w:eastAsia="Times New Roman" w:hAnsi="Times New Roman"/>
                <w:bCs/>
                <w:sz w:val="24"/>
                <w:szCs w:val="24"/>
                <w:lang w:eastAsia="ja-JP"/>
              </w:rPr>
              <w:t xml:space="preserve">interese no </w:t>
            </w:r>
            <w:r w:rsidRPr="004823C7">
              <w:rPr>
                <w:rFonts w:ascii="Times New Roman" w:eastAsia="Times New Roman" w:hAnsi="Times New Roman"/>
                <w:bCs/>
                <w:sz w:val="24"/>
                <w:szCs w:val="24"/>
                <w:lang w:eastAsia="ja-JP"/>
              </w:rPr>
              <w:t>pilsētā</w:t>
            </w:r>
            <w:r w:rsidRPr="004823C7" w:rsidR="00EA1573">
              <w:rPr>
                <w:rFonts w:ascii="Times New Roman" w:eastAsia="Times New Roman" w:hAnsi="Times New Roman"/>
                <w:bCs/>
                <w:sz w:val="24"/>
                <w:szCs w:val="24"/>
                <w:lang w:eastAsia="ja-JP"/>
              </w:rPr>
              <w:t>m</w:t>
            </w:r>
            <w:r w:rsidRPr="004823C7">
              <w:rPr>
                <w:rFonts w:ascii="Times New Roman" w:eastAsia="Times New Roman" w:hAnsi="Times New Roman"/>
                <w:bCs/>
                <w:sz w:val="24"/>
                <w:szCs w:val="24"/>
                <w:lang w:eastAsia="ja-JP"/>
              </w:rPr>
              <w:t xml:space="preserve"> ar zemākiem siltumenerģijas tarifiem </w:t>
            </w:r>
            <w:r w:rsidRPr="004823C7" w:rsidR="00EA1573">
              <w:rPr>
                <w:rFonts w:ascii="Times New Roman" w:eastAsia="Times New Roman" w:hAnsi="Times New Roman"/>
                <w:bCs/>
                <w:sz w:val="24"/>
                <w:szCs w:val="24"/>
                <w:lang w:eastAsia="ja-JP"/>
              </w:rPr>
              <w:t>ir salīdzinoši liela</w:t>
            </w:r>
            <w:r w:rsidRPr="004823C7">
              <w:rPr>
                <w:rFonts w:ascii="Times New Roman" w:eastAsia="Times New Roman" w:hAnsi="Times New Roman"/>
                <w:bCs/>
                <w:sz w:val="24"/>
                <w:szCs w:val="24"/>
                <w:lang w:eastAsia="ja-JP"/>
              </w:rPr>
              <w:t>, kā arī šobrīd zemais siltumenerģijas tarifs ir pilsētās ar vislielāko dzīvojamo māju īpatsvaru (Rīga, Valmiera, Ogre u.c.).</w:t>
            </w:r>
          </w:p>
          <w:p w:rsidR="00AE2BCA" w:rsidRPr="004823C7" w:rsidP="00186E33" w14:paraId="1352313D" w14:textId="77777777">
            <w:pPr>
              <w:spacing w:after="0" w:line="240" w:lineRule="auto"/>
              <w:ind w:firstLine="479"/>
              <w:jc w:val="both"/>
              <w:rPr>
                <w:rFonts w:ascii="Times New Roman" w:eastAsia="Times New Roman" w:hAnsi="Times New Roman"/>
                <w:bCs/>
                <w:sz w:val="24"/>
                <w:szCs w:val="24"/>
                <w:lang w:eastAsia="ja-JP"/>
              </w:rPr>
            </w:pPr>
            <w:bookmarkStart w:id="1" w:name="_Hlk499541234"/>
            <w:r w:rsidRPr="004823C7">
              <w:rPr>
                <w:rFonts w:ascii="Times New Roman" w:eastAsia="Times New Roman" w:hAnsi="Times New Roman"/>
                <w:bCs/>
                <w:sz w:val="24"/>
                <w:szCs w:val="24"/>
                <w:lang w:eastAsia="ja-JP"/>
              </w:rPr>
              <w:t>Atmaksāšanās perioda palielināšana daudz vairāk motivēs māju iedzīvotājus apgūt programmas līdzekļus</w:t>
            </w:r>
            <w:bookmarkEnd w:id="1"/>
            <w:r w:rsidRPr="004823C7">
              <w:rPr>
                <w:rFonts w:ascii="Times New Roman" w:eastAsia="Times New Roman" w:hAnsi="Times New Roman"/>
                <w:bCs/>
                <w:sz w:val="24"/>
                <w:szCs w:val="24"/>
                <w:lang w:eastAsia="ja-JP"/>
              </w:rPr>
              <w:t xml:space="preserve">.  </w:t>
            </w:r>
          </w:p>
          <w:p w:rsidR="00AE2BCA" w:rsidRPr="004823C7" w:rsidP="00186E33" w14:paraId="5337B8B7" w14:textId="77777777">
            <w:pPr>
              <w:spacing w:after="0" w:line="240" w:lineRule="auto"/>
              <w:ind w:firstLine="479"/>
              <w:jc w:val="both"/>
              <w:rPr>
                <w:rFonts w:ascii="Times New Roman" w:eastAsia="Times New Roman" w:hAnsi="Times New Roman"/>
                <w:bCs/>
                <w:sz w:val="24"/>
                <w:szCs w:val="24"/>
                <w:lang w:eastAsia="ja-JP"/>
              </w:rPr>
            </w:pPr>
            <w:r w:rsidRPr="004823C7">
              <w:rPr>
                <w:rFonts w:ascii="Times New Roman" w:eastAsia="Times New Roman" w:hAnsi="Times New Roman"/>
                <w:bCs/>
                <w:sz w:val="24"/>
                <w:szCs w:val="24"/>
                <w:lang w:eastAsia="ja-JP"/>
              </w:rPr>
              <w:t>Papildus Ex ante izvērtējumā</w:t>
            </w:r>
            <w:r w:rsidRPr="004823C7" w:rsidR="00EA1573">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 xml:space="preserve"> ņemot vērā arī inflāciju, tika pieņemts, ka vidējās energoefektivitātes paaugstināšanas pasākumu izmaksas būs 150 EUR/m</w:t>
            </w:r>
            <w:r w:rsidRPr="004823C7">
              <w:rPr>
                <w:rFonts w:ascii="Times New Roman" w:eastAsia="Times New Roman" w:hAnsi="Times New Roman"/>
                <w:bCs/>
                <w:sz w:val="24"/>
                <w:szCs w:val="24"/>
                <w:vertAlign w:val="superscript"/>
                <w:lang w:eastAsia="ja-JP"/>
              </w:rPr>
              <w:t>2</w:t>
            </w:r>
            <w:r w:rsidRPr="004823C7">
              <w:rPr>
                <w:rFonts w:ascii="Times New Roman" w:eastAsia="Times New Roman" w:hAnsi="Times New Roman"/>
                <w:bCs/>
                <w:sz w:val="24"/>
                <w:szCs w:val="24"/>
                <w:lang w:eastAsia="ja-JP"/>
              </w:rPr>
              <w:t xml:space="preserve">. Šobrīd sabiedrībā </w:t>
            </w:r>
            <w:r w:rsidR="00953B1C">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Altum</w:t>
            </w:r>
            <w:r w:rsidR="00953B1C">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 xml:space="preserve"> iesniegto projektu vidējās izmaksas </w:t>
            </w:r>
            <w:r w:rsidRPr="004823C7" w:rsidR="00AF324E">
              <w:rPr>
                <w:rFonts w:ascii="Times New Roman" w:eastAsia="Times New Roman" w:hAnsi="Times New Roman"/>
                <w:bCs/>
                <w:sz w:val="24"/>
                <w:szCs w:val="24"/>
                <w:lang w:eastAsia="ja-JP"/>
              </w:rPr>
              <w:t>var sasniegt pat 180</w:t>
            </w:r>
            <w:r w:rsidRPr="004823C7">
              <w:rPr>
                <w:rFonts w:ascii="Times New Roman" w:eastAsia="Times New Roman" w:hAnsi="Times New Roman"/>
                <w:bCs/>
                <w:sz w:val="24"/>
                <w:szCs w:val="24"/>
                <w:lang w:eastAsia="ja-JP"/>
              </w:rPr>
              <w:t xml:space="preserve"> EUR/m</w:t>
            </w:r>
            <w:r w:rsidRPr="004823C7">
              <w:rPr>
                <w:rFonts w:ascii="Times New Roman" w:eastAsia="Times New Roman" w:hAnsi="Times New Roman"/>
                <w:bCs/>
                <w:sz w:val="24"/>
                <w:szCs w:val="24"/>
                <w:vertAlign w:val="superscript"/>
                <w:lang w:eastAsia="ja-JP"/>
              </w:rPr>
              <w:t>2</w:t>
            </w:r>
            <w:r w:rsidRPr="004823C7">
              <w:rPr>
                <w:rFonts w:ascii="Times New Roman" w:eastAsia="Times New Roman" w:hAnsi="Times New Roman"/>
                <w:bCs/>
                <w:sz w:val="24"/>
                <w:szCs w:val="24"/>
                <w:lang w:eastAsia="ja-JP"/>
              </w:rPr>
              <w:t xml:space="preserve"> un prognozes par turpmāko gadu situāciju būvniecības sektorā liecina, ka izmaksas vēl ievērojami augs.</w:t>
            </w:r>
          </w:p>
          <w:p w:rsidR="0058064E" w:rsidRPr="004823C7" w:rsidP="0005453E" w14:paraId="1BB6303B" w14:textId="7FB7B496">
            <w:pPr>
              <w:spacing w:after="0" w:line="240" w:lineRule="auto"/>
              <w:ind w:firstLine="531"/>
              <w:jc w:val="both"/>
              <w:rPr>
                <w:rFonts w:ascii="Times New Roman" w:eastAsia="Times New Roman" w:hAnsi="Times New Roman"/>
                <w:bCs/>
                <w:sz w:val="24"/>
                <w:szCs w:val="24"/>
                <w:lang w:eastAsia="ja-JP"/>
              </w:rPr>
            </w:pPr>
            <w:r w:rsidRPr="004823C7">
              <w:rPr>
                <w:rFonts w:ascii="Times New Roman" w:eastAsia="Times New Roman" w:hAnsi="Times New Roman"/>
                <w:bCs/>
                <w:sz w:val="24"/>
                <w:szCs w:val="24"/>
                <w:lang w:eastAsia="ja-JP"/>
              </w:rPr>
              <w:t>Ņemot vērā siltumenerģijas tarifus un pieaugošās būvniecības izmaksas</w:t>
            </w:r>
            <w:r w:rsidR="0005453E">
              <w:rPr>
                <w:rFonts w:ascii="Times New Roman" w:eastAsia="Times New Roman" w:hAnsi="Times New Roman"/>
                <w:bCs/>
                <w:sz w:val="24"/>
                <w:szCs w:val="24"/>
                <w:lang w:eastAsia="ja-JP"/>
              </w:rPr>
              <w:t>,</w:t>
            </w:r>
            <w:r w:rsidRPr="004823C7">
              <w:rPr>
                <w:rFonts w:ascii="Times New Roman" w:eastAsia="Times New Roman" w:hAnsi="Times New Roman"/>
                <w:bCs/>
                <w:sz w:val="24"/>
                <w:szCs w:val="24"/>
                <w:lang w:eastAsia="ja-JP"/>
              </w:rPr>
              <w:t xml:space="preserve"> daudzām daudzdzīvokļu mājām </w:t>
            </w:r>
            <w:r w:rsidRPr="004823C7">
              <w:rPr>
                <w:rFonts w:ascii="Times New Roman" w:hAnsi="Times New Roman"/>
                <w:sz w:val="24"/>
                <w:szCs w:val="24"/>
                <w:shd w:val="clear" w:color="auto" w:fill="FFFFFF"/>
              </w:rPr>
              <w:t xml:space="preserve">energoefektivitātes paaugstināšanas pasākumu iekšējās atdeves rādītājs 20 gadu periodā ir negatīvs. Tādēļ daudzdzīvokļu dzīvojamo māju dzīvokļu īpašniekiem nākas uzņemties lielākas neattiecināmās izmaksas vai atteikties no projekta īstenošanas </w:t>
            </w:r>
            <w:r w:rsidRPr="004823C7">
              <w:rPr>
                <w:rFonts w:ascii="Times New Roman" w:eastAsia="Times New Roman" w:hAnsi="Times New Roman"/>
                <w:bCs/>
                <w:sz w:val="24"/>
                <w:szCs w:val="24"/>
                <w:lang w:eastAsia="ja-JP"/>
              </w:rPr>
              <w:t>4.2.1.1.pasākuma</w:t>
            </w:r>
            <w:r w:rsidRPr="004823C7">
              <w:rPr>
                <w:rFonts w:ascii="Times New Roman" w:hAnsi="Times New Roman"/>
                <w:sz w:val="24"/>
                <w:szCs w:val="24"/>
                <w:shd w:val="clear" w:color="auto" w:fill="FFFFFF"/>
              </w:rPr>
              <w:t xml:space="preserve"> ietvaros.</w:t>
            </w:r>
            <w:r w:rsidRPr="004823C7" w:rsidR="00B766EF">
              <w:rPr>
                <w:rFonts w:ascii="Times New Roman" w:hAnsi="Times New Roman"/>
                <w:sz w:val="24"/>
                <w:szCs w:val="24"/>
                <w:shd w:val="clear" w:color="auto" w:fill="FFFFFF"/>
              </w:rPr>
              <w:t xml:space="preserve"> </w:t>
            </w:r>
          </w:p>
          <w:p w:rsidR="00C21734" w:rsidRPr="004823C7" w:rsidP="00186E33" w14:paraId="3765028E" w14:textId="77777777">
            <w:pPr>
              <w:spacing w:after="0" w:line="240" w:lineRule="auto"/>
              <w:ind w:firstLine="479"/>
              <w:jc w:val="both"/>
              <w:rPr>
                <w:rFonts w:ascii="Times New Roman" w:hAnsi="Times New Roman"/>
                <w:sz w:val="24"/>
                <w:szCs w:val="24"/>
              </w:rPr>
            </w:pPr>
            <w:r w:rsidRPr="004823C7">
              <w:rPr>
                <w:rFonts w:ascii="Times New Roman" w:hAnsi="Times New Roman"/>
                <w:sz w:val="24"/>
                <w:szCs w:val="24"/>
              </w:rPr>
              <w:t xml:space="preserve">Palielinot energoefektivitātes pasākumu atmaksāšanās periodu līdz 30 gadiem, samazinātos neattiecināmo </w:t>
            </w:r>
            <w:r w:rsidRPr="004823C7" w:rsidR="00FE1A9E">
              <w:rPr>
                <w:rFonts w:ascii="Times New Roman" w:hAnsi="Times New Roman"/>
                <w:sz w:val="24"/>
                <w:szCs w:val="24"/>
              </w:rPr>
              <w:t xml:space="preserve">izmaksu finansiālais slogs </w:t>
            </w:r>
            <w:r w:rsidRPr="004823C7" w:rsidR="00DA0936">
              <w:rPr>
                <w:rFonts w:ascii="Times New Roman" w:hAnsi="Times New Roman"/>
                <w:sz w:val="24"/>
                <w:szCs w:val="24"/>
              </w:rPr>
              <w:t xml:space="preserve">daudzdzīvokļu dzīvojamo </w:t>
            </w:r>
            <w:r w:rsidRPr="004823C7" w:rsidR="00FE1A9E">
              <w:rPr>
                <w:rFonts w:ascii="Times New Roman" w:hAnsi="Times New Roman"/>
                <w:sz w:val="24"/>
                <w:szCs w:val="24"/>
              </w:rPr>
              <w:t>māju</w:t>
            </w:r>
            <w:r w:rsidRPr="004823C7" w:rsidR="00DA0936">
              <w:rPr>
                <w:rFonts w:ascii="Times New Roman" w:hAnsi="Times New Roman"/>
                <w:sz w:val="24"/>
                <w:szCs w:val="24"/>
              </w:rPr>
              <w:t xml:space="preserve"> dzīvokļu īpašniekiem</w:t>
            </w:r>
            <w:r w:rsidRPr="004823C7" w:rsidR="00D509C8">
              <w:rPr>
                <w:rFonts w:ascii="Times New Roman" w:hAnsi="Times New Roman"/>
                <w:sz w:val="24"/>
                <w:szCs w:val="24"/>
              </w:rPr>
              <w:t xml:space="preserve">, kā arī tiktu palielināts daudzdzīvokļu dzīvojamo māju skaits, kuru energoefektivitātes pasākumu īstenošana kļūtu ekonomiski pamatota, tādējādi tiktu stimulēta daudzdzīvokļu </w:t>
            </w:r>
            <w:r w:rsidRPr="004823C7" w:rsidR="00F1096B">
              <w:rPr>
                <w:rFonts w:ascii="Times New Roman" w:hAnsi="Times New Roman"/>
                <w:sz w:val="24"/>
                <w:szCs w:val="24"/>
              </w:rPr>
              <w:t xml:space="preserve">dzīvojamo </w:t>
            </w:r>
            <w:r w:rsidRPr="004823C7" w:rsidR="00D509C8">
              <w:rPr>
                <w:rFonts w:ascii="Times New Roman" w:hAnsi="Times New Roman"/>
                <w:sz w:val="24"/>
                <w:szCs w:val="24"/>
              </w:rPr>
              <w:t xml:space="preserve">māju </w:t>
            </w:r>
            <w:r w:rsidRPr="004823C7" w:rsidR="009F3EAC">
              <w:rPr>
                <w:rFonts w:ascii="Times New Roman" w:hAnsi="Times New Roman"/>
                <w:sz w:val="24"/>
                <w:szCs w:val="24"/>
              </w:rPr>
              <w:t xml:space="preserve">dzīvokļu īpašnieku </w:t>
            </w:r>
            <w:r w:rsidRPr="004823C7" w:rsidR="00D509C8">
              <w:rPr>
                <w:rFonts w:ascii="Times New Roman" w:hAnsi="Times New Roman"/>
                <w:sz w:val="24"/>
                <w:szCs w:val="24"/>
              </w:rPr>
              <w:t>dalība 4.2.1.1</w:t>
            </w:r>
            <w:r w:rsidRPr="004823C7" w:rsidR="00D22F2D">
              <w:rPr>
                <w:rFonts w:ascii="Times New Roman" w:hAnsi="Times New Roman"/>
                <w:sz w:val="24"/>
                <w:szCs w:val="24"/>
              </w:rPr>
              <w:t>.</w:t>
            </w:r>
            <w:r w:rsidRPr="004823C7" w:rsidR="00D509C8">
              <w:rPr>
                <w:rFonts w:ascii="Times New Roman" w:hAnsi="Times New Roman"/>
                <w:sz w:val="24"/>
                <w:szCs w:val="24"/>
              </w:rPr>
              <w:t>pasākumā</w:t>
            </w:r>
            <w:r w:rsidRPr="004823C7" w:rsidR="007C28C3">
              <w:rPr>
                <w:rFonts w:ascii="Times New Roman" w:hAnsi="Times New Roman"/>
                <w:sz w:val="24"/>
                <w:szCs w:val="24"/>
              </w:rPr>
              <w:t xml:space="preserve"> arī pilsētās ar zemu siltumenerģijas tarifu</w:t>
            </w:r>
            <w:r w:rsidRPr="004823C7" w:rsidR="00D509C8">
              <w:rPr>
                <w:rFonts w:ascii="Times New Roman" w:hAnsi="Times New Roman"/>
                <w:sz w:val="24"/>
                <w:szCs w:val="24"/>
              </w:rPr>
              <w:t>.</w:t>
            </w:r>
          </w:p>
          <w:p w:rsidR="00D27D96" w:rsidRPr="004823C7" w:rsidP="00186E33" w14:paraId="391FC120" w14:textId="77777777">
            <w:pPr>
              <w:spacing w:after="0" w:line="240" w:lineRule="auto"/>
              <w:ind w:firstLine="479"/>
              <w:jc w:val="both"/>
              <w:rPr>
                <w:rFonts w:ascii="Times New Roman" w:hAnsi="Times New Roman"/>
                <w:sz w:val="24"/>
                <w:szCs w:val="24"/>
              </w:rPr>
            </w:pPr>
            <w:r w:rsidRPr="004823C7">
              <w:rPr>
                <w:rFonts w:ascii="Times New Roman" w:hAnsi="Times New Roman"/>
                <w:sz w:val="24"/>
                <w:szCs w:val="24"/>
              </w:rPr>
              <w:t xml:space="preserve">Lai mazinātu risku, ka sabiedrībā </w:t>
            </w:r>
            <w:r w:rsidR="00953B1C">
              <w:rPr>
                <w:rFonts w:ascii="Times New Roman" w:hAnsi="Times New Roman"/>
                <w:sz w:val="24"/>
                <w:szCs w:val="24"/>
              </w:rPr>
              <w:t>"</w:t>
            </w:r>
            <w:r w:rsidRPr="004823C7">
              <w:rPr>
                <w:rFonts w:ascii="Times New Roman" w:hAnsi="Times New Roman"/>
                <w:sz w:val="24"/>
                <w:szCs w:val="24"/>
              </w:rPr>
              <w:t>Altum</w:t>
            </w:r>
            <w:r w:rsidR="00953B1C">
              <w:rPr>
                <w:rFonts w:ascii="Times New Roman" w:hAnsi="Times New Roman"/>
                <w:sz w:val="24"/>
                <w:szCs w:val="24"/>
              </w:rPr>
              <w:t>"</w:t>
            </w:r>
            <w:r w:rsidRPr="004823C7">
              <w:rPr>
                <w:rFonts w:ascii="Times New Roman" w:hAnsi="Times New Roman"/>
                <w:sz w:val="24"/>
                <w:szCs w:val="24"/>
              </w:rPr>
              <w:t xml:space="preserve"> jau šobrīd iesniegtie energoefektivitātes paaugstināšanas pasākumu pieteikumi tiek atsaukti, Ekonomikas ministrija ierosina noteikt, ka tiem pieteikumiem, kuri ir iesniegt sabiedrībā </w:t>
            </w:r>
            <w:r w:rsidR="00953B1C">
              <w:rPr>
                <w:rFonts w:ascii="Times New Roman" w:hAnsi="Times New Roman"/>
                <w:sz w:val="24"/>
                <w:szCs w:val="24"/>
              </w:rPr>
              <w:t>"</w:t>
            </w:r>
            <w:r w:rsidRPr="004823C7">
              <w:rPr>
                <w:rFonts w:ascii="Times New Roman" w:hAnsi="Times New Roman"/>
                <w:sz w:val="24"/>
                <w:szCs w:val="24"/>
              </w:rPr>
              <w:t>Altum</w:t>
            </w:r>
            <w:r w:rsidR="00953B1C">
              <w:rPr>
                <w:rFonts w:ascii="Times New Roman" w:hAnsi="Times New Roman"/>
                <w:sz w:val="24"/>
                <w:szCs w:val="24"/>
              </w:rPr>
              <w:t>"</w:t>
            </w:r>
            <w:r w:rsidRPr="004823C7">
              <w:rPr>
                <w:rFonts w:ascii="Times New Roman" w:hAnsi="Times New Roman"/>
                <w:sz w:val="24"/>
                <w:szCs w:val="24"/>
              </w:rPr>
              <w:t xml:space="preserve">, bet </w:t>
            </w:r>
            <w:r w:rsidRPr="004823C7" w:rsidR="0078379D">
              <w:rPr>
                <w:rFonts w:ascii="Times New Roman" w:hAnsi="Times New Roman"/>
                <w:sz w:val="24"/>
                <w:szCs w:val="24"/>
              </w:rPr>
              <w:t xml:space="preserve">pēc noteikumu projekta apstiprināšanas Ministru kabinetā un spēkā stāšanās </w:t>
            </w:r>
            <w:r w:rsidRPr="004823C7">
              <w:rPr>
                <w:rFonts w:ascii="Times New Roman" w:hAnsi="Times New Roman"/>
                <w:sz w:val="24"/>
                <w:szCs w:val="24"/>
              </w:rPr>
              <w:t>joprojām ir dažādās vērtēšanas stadijās, vērtē</w:t>
            </w:r>
            <w:r w:rsidRPr="004823C7" w:rsidR="0078379D">
              <w:rPr>
                <w:rFonts w:ascii="Times New Roman" w:hAnsi="Times New Roman"/>
                <w:sz w:val="24"/>
                <w:szCs w:val="24"/>
              </w:rPr>
              <w:t xml:space="preserve">šanā piemērot 30 gadu atmaksāšanās periodu. Savukārt atbalsta pieteikumiem, par kuriem </w:t>
            </w:r>
            <w:r w:rsidRPr="004823C7" w:rsidR="0078379D">
              <w:rPr>
                <w:rFonts w:ascii="Times New Roman" w:hAnsi="Times New Roman"/>
                <w:sz w:val="24"/>
                <w:szCs w:val="24"/>
              </w:rPr>
              <w:t xml:space="preserve">sabiedrība </w:t>
            </w:r>
            <w:r w:rsidR="00953B1C">
              <w:rPr>
                <w:rFonts w:ascii="Times New Roman" w:hAnsi="Times New Roman"/>
                <w:sz w:val="24"/>
                <w:szCs w:val="24"/>
              </w:rPr>
              <w:t>"</w:t>
            </w:r>
            <w:r w:rsidRPr="004823C7" w:rsidR="0078379D">
              <w:rPr>
                <w:rFonts w:ascii="Times New Roman" w:hAnsi="Times New Roman"/>
                <w:sz w:val="24"/>
                <w:szCs w:val="24"/>
              </w:rPr>
              <w:t>Altum</w:t>
            </w:r>
            <w:r w:rsidR="00953B1C">
              <w:rPr>
                <w:rFonts w:ascii="Times New Roman" w:hAnsi="Times New Roman"/>
                <w:sz w:val="24"/>
                <w:szCs w:val="24"/>
              </w:rPr>
              <w:t>"</w:t>
            </w:r>
            <w:r w:rsidRPr="004823C7" w:rsidR="0078379D">
              <w:rPr>
                <w:rFonts w:ascii="Times New Roman" w:hAnsi="Times New Roman"/>
                <w:sz w:val="24"/>
                <w:szCs w:val="24"/>
              </w:rPr>
              <w:t xml:space="preserve"> būs jau pieņēmusi lēmumu un tiks nodrošināta lēmuma nosacījumu izpilde, pārvērtēšanu ņemot vērā 30 gadu atmaksāš</w:t>
            </w:r>
            <w:r w:rsidR="0067042F">
              <w:rPr>
                <w:rFonts w:ascii="Times New Roman" w:hAnsi="Times New Roman"/>
                <w:sz w:val="24"/>
                <w:szCs w:val="24"/>
              </w:rPr>
              <w:t>a</w:t>
            </w:r>
            <w:r w:rsidRPr="004823C7" w:rsidR="0078379D">
              <w:rPr>
                <w:rFonts w:ascii="Times New Roman" w:hAnsi="Times New Roman"/>
                <w:sz w:val="24"/>
                <w:szCs w:val="24"/>
              </w:rPr>
              <w:t xml:space="preserve">nās periodu sabiedrība </w:t>
            </w:r>
            <w:r w:rsidR="00953B1C">
              <w:rPr>
                <w:rFonts w:ascii="Times New Roman" w:hAnsi="Times New Roman"/>
                <w:sz w:val="24"/>
                <w:szCs w:val="24"/>
              </w:rPr>
              <w:t>"</w:t>
            </w:r>
            <w:r w:rsidRPr="004823C7" w:rsidR="0078379D">
              <w:rPr>
                <w:rFonts w:ascii="Times New Roman" w:hAnsi="Times New Roman"/>
                <w:sz w:val="24"/>
                <w:szCs w:val="24"/>
              </w:rPr>
              <w:t>Altum</w:t>
            </w:r>
            <w:r w:rsidR="00953B1C">
              <w:rPr>
                <w:rFonts w:ascii="Times New Roman" w:hAnsi="Times New Roman"/>
                <w:sz w:val="24"/>
                <w:szCs w:val="24"/>
              </w:rPr>
              <w:t>"</w:t>
            </w:r>
            <w:r w:rsidRPr="004823C7" w:rsidR="0078379D">
              <w:rPr>
                <w:rFonts w:ascii="Times New Roman" w:hAnsi="Times New Roman"/>
                <w:sz w:val="24"/>
                <w:szCs w:val="24"/>
              </w:rPr>
              <w:t xml:space="preserve"> veiks tikai, ja pilnvarotā persona iesniegs precizētu atbalsta pieteikumu.</w:t>
            </w:r>
          </w:p>
          <w:p w:rsidR="00FF0842" w:rsidRPr="00477FA1" w:rsidP="003B59C7" w14:paraId="1240C3AA" w14:textId="61A928DA">
            <w:pPr>
              <w:spacing w:after="0" w:line="240" w:lineRule="auto"/>
              <w:ind w:firstLine="709"/>
              <w:jc w:val="both"/>
              <w:rPr>
                <w:rFonts w:ascii="Times New Roman" w:hAnsi="Times New Roman"/>
                <w:bCs/>
                <w:sz w:val="24"/>
                <w:szCs w:val="24"/>
              </w:rPr>
            </w:pPr>
            <w:r w:rsidRPr="00477FA1">
              <w:rPr>
                <w:rFonts w:ascii="Times New Roman" w:hAnsi="Times New Roman"/>
                <w:bCs/>
                <w:sz w:val="24"/>
                <w:szCs w:val="24"/>
              </w:rPr>
              <w:t xml:space="preserve">Ekonomikas ministrija ir izvērtējusi iespējamos riskus, kas saistīti ar finansējuma saņēmēja tiesiskās paļāvības principa un tiesiskās noteiktības principa pārkāpumiem, ierosinot grozījumus MK noteikumos Nr.160. </w:t>
            </w:r>
            <w:r w:rsidRPr="00477FA1">
              <w:rPr>
                <w:rFonts w:ascii="Times New Roman" w:hAnsi="Times New Roman"/>
                <w:bCs/>
                <w:sz w:val="24"/>
                <w:szCs w:val="24"/>
              </w:rPr>
              <w:t>Ierosinātie groz</w:t>
            </w:r>
            <w:r w:rsidRPr="00E77244">
              <w:rPr>
                <w:rFonts w:ascii="Times New Roman" w:hAnsi="Times New Roman"/>
                <w:bCs/>
                <w:sz w:val="24"/>
                <w:szCs w:val="24"/>
              </w:rPr>
              <w:t xml:space="preserve">ījumi tiks attiecināti tikai uz </w:t>
            </w:r>
            <w:r w:rsidRPr="00861D06" w:rsidR="00477FA1">
              <w:rPr>
                <w:rFonts w:ascii="Times New Roman" w:hAnsi="Times New Roman"/>
                <w:bCs/>
                <w:sz w:val="24"/>
                <w:szCs w:val="24"/>
              </w:rPr>
              <w:t>turpmākajām tiesiskaj</w:t>
            </w:r>
            <w:r w:rsidRPr="00610F13" w:rsidR="00477FA1">
              <w:rPr>
                <w:rFonts w:ascii="Times New Roman" w:hAnsi="Times New Roman"/>
                <w:bCs/>
                <w:sz w:val="24"/>
                <w:szCs w:val="24"/>
              </w:rPr>
              <w:t>ām attiecībām, kas tiks noslēgtas p</w:t>
            </w:r>
            <w:r w:rsidRPr="0067042F" w:rsidR="00477FA1">
              <w:rPr>
                <w:rFonts w:ascii="Times New Roman" w:hAnsi="Times New Roman"/>
                <w:bCs/>
                <w:sz w:val="24"/>
                <w:szCs w:val="24"/>
              </w:rPr>
              <w:t xml:space="preserve">ēc noteikumu grozījumu spēkā stāšanās dienas. Noteikumu </w:t>
            </w:r>
            <w:r w:rsidRPr="0067042F" w:rsidR="00D7437A">
              <w:rPr>
                <w:rFonts w:ascii="Times New Roman" w:hAnsi="Times New Roman"/>
                <w:bCs/>
                <w:sz w:val="24"/>
                <w:szCs w:val="24"/>
              </w:rPr>
              <w:t>39. un 50 punktā min</w:t>
            </w:r>
            <w:r w:rsidRPr="0067042F" w:rsidR="00477FA1">
              <w:rPr>
                <w:rFonts w:ascii="Times New Roman" w:hAnsi="Times New Roman"/>
                <w:bCs/>
                <w:sz w:val="24"/>
                <w:szCs w:val="24"/>
              </w:rPr>
              <w:t>ētajiem iesniegumiem, kurus pilnvarotās personas būs iesniegušas sabiedrībā "Altum", tiks piemērots 30 gadu atmaksāšanas periods, ja sabiedrība "Altum</w:t>
            </w:r>
            <w:r w:rsidR="0067042F">
              <w:rPr>
                <w:rFonts w:ascii="Times New Roman" w:hAnsi="Times New Roman"/>
                <w:bCs/>
                <w:sz w:val="24"/>
                <w:szCs w:val="24"/>
              </w:rPr>
              <w:t>"</w:t>
            </w:r>
            <w:r w:rsidRPr="0067042F" w:rsidR="00477FA1">
              <w:rPr>
                <w:rFonts w:ascii="Times New Roman" w:hAnsi="Times New Roman"/>
                <w:bCs/>
                <w:sz w:val="24"/>
                <w:szCs w:val="24"/>
              </w:rPr>
              <w:t xml:space="preserve"> nebūs pieņēmusi lēmumu par atbalsta piešķiršanu vai sabiedrība "Altum" būs pieņēmusi lēmumu par atbalsta piešķiršanu, </w:t>
            </w:r>
            <w:r w:rsidRPr="00477FA1" w:rsidR="00477FA1">
              <w:rPr>
                <w:rFonts w:ascii="Times New Roman" w:hAnsi="Times New Roman"/>
                <w:sz w:val="24"/>
                <w:szCs w:val="24"/>
              </w:rPr>
              <w:t>bet pilnvarotā persona un sabiedrība "Altum" nebūs noslēgusi līgumu par finanšu instrumenta vai granta saņemšanu, un pilnvarotā persona būs iesniegusi precizētus šo noteikumu 50.punktā noteiktos dokumentus.</w:t>
            </w:r>
            <w:r w:rsidR="00E77244">
              <w:rPr>
                <w:rFonts w:ascii="Times New Roman" w:hAnsi="Times New Roman"/>
                <w:sz w:val="24"/>
                <w:szCs w:val="24"/>
              </w:rPr>
              <w:t xml:space="preserve"> </w:t>
            </w:r>
            <w:r w:rsidR="00A83236">
              <w:rPr>
                <w:rFonts w:ascii="Times New Roman" w:hAnsi="Times New Roman"/>
                <w:sz w:val="24"/>
                <w:szCs w:val="24"/>
              </w:rPr>
              <w:t xml:space="preserve">Sabiedrība "Altum" informēs pilnvarotās personas, kuru iesniegtajiem projektiem būs pieņemts pozitīvs lēmums par atbalsta piešķiršanu, bet nebūs noslēgts līgums par finanšu instrumenta vai granta saņemšanu, par iespēju iesniegt precizētos dokumentus. </w:t>
            </w:r>
            <w:r w:rsidR="00E77244">
              <w:rPr>
                <w:rFonts w:ascii="Times New Roman" w:hAnsi="Times New Roman"/>
                <w:sz w:val="24"/>
                <w:szCs w:val="24"/>
              </w:rPr>
              <w:t>Uz tiesiskām attiecībām, kas nodibinātas līdz grozījumu spēkā stāšanās dienai, jaunās noteikumu normas netiks piemērotas.</w:t>
            </w:r>
            <w:r w:rsidR="00B0267D">
              <w:rPr>
                <w:rFonts w:ascii="Times New Roman" w:hAnsi="Times New Roman"/>
                <w:sz w:val="24"/>
                <w:szCs w:val="24"/>
              </w:rPr>
              <w:t xml:space="preserve"> </w:t>
            </w:r>
          </w:p>
          <w:p w:rsidR="00E07261" w:rsidRPr="007B3707" w:rsidP="00E07261" w14:paraId="599F1ED5" w14:textId="77777777">
            <w:pPr>
              <w:pStyle w:val="BodyText2"/>
              <w:spacing w:after="0" w:line="240" w:lineRule="auto"/>
              <w:ind w:firstLine="709"/>
              <w:jc w:val="both"/>
              <w:rPr>
                <w:bCs/>
                <w:sz w:val="24"/>
                <w:szCs w:val="28"/>
                <w:lang w:val="lv-LV"/>
              </w:rPr>
            </w:pPr>
            <w:r w:rsidRPr="007B3707">
              <w:rPr>
                <w:bCs/>
                <w:sz w:val="24"/>
                <w:szCs w:val="28"/>
                <w:lang w:val="lv-LV"/>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w:t>
            </w:r>
            <w:r w:rsidRPr="00E07261">
              <w:rPr>
                <w:bCs/>
                <w:sz w:val="24"/>
                <w:szCs w:val="28"/>
                <w:lang w:val="lv-LV"/>
              </w:rPr>
              <w:t xml:space="preserve"> </w:t>
            </w:r>
            <w:r w:rsidRPr="007B3707">
              <w:rPr>
                <w:bCs/>
                <w:sz w:val="24"/>
                <w:szCs w:val="28"/>
                <w:lang w:val="lv-LV"/>
              </w:rPr>
              <w:t>prasa, lai valsts, mainot normatīvo regulējumu, ievērotu saprātīgu līdzsvaru starp personas paļāvību un tām interesēm, kuru nodrošināšanas labad regulējums tiek mainīts (sk. Satversmes tiesas 2010.gada 6.decembra sprieduma lietā Nr.2010-25-01 4.punktu).</w:t>
            </w:r>
          </w:p>
          <w:p w:rsidR="00E07261" w:rsidRPr="007B3707" w:rsidP="003B59C7" w14:paraId="486EB58F" w14:textId="77777777">
            <w:pPr>
              <w:spacing w:after="0" w:line="240" w:lineRule="auto"/>
              <w:ind w:firstLine="709"/>
              <w:jc w:val="both"/>
              <w:rPr>
                <w:rFonts w:ascii="Times New Roman" w:hAnsi="Times New Roman"/>
                <w:bCs/>
                <w:sz w:val="24"/>
                <w:szCs w:val="28"/>
              </w:rPr>
            </w:pPr>
            <w:r w:rsidRPr="007B3707">
              <w:rPr>
                <w:rFonts w:ascii="Times New Roman" w:hAnsi="Times New Roman"/>
                <w:bCs/>
                <w:sz w:val="24"/>
                <w:szCs w:val="28"/>
              </w:rPr>
              <w:t>Noteikumu projektā iekļautās prasības uzskatāmas par finansējuma saņēmējiem labvēlīgākām un ir atbalstāmas ar nosacījumu, ka finansējuma saņēmējs tam ir piekritis.</w:t>
            </w:r>
          </w:p>
          <w:p w:rsidR="00E07261" w:rsidRPr="004823C7" w:rsidP="00E07261" w14:paraId="5A38032B" w14:textId="77777777">
            <w:pPr>
              <w:spacing w:after="0" w:line="240" w:lineRule="auto"/>
              <w:ind w:firstLine="672"/>
              <w:jc w:val="both"/>
              <w:rPr>
                <w:rFonts w:ascii="Times New Roman" w:hAnsi="Times New Roman"/>
                <w:sz w:val="24"/>
                <w:szCs w:val="24"/>
              </w:rPr>
            </w:pPr>
            <w:r w:rsidRPr="007B3707">
              <w:rPr>
                <w:rFonts w:ascii="Times New Roman" w:hAnsi="Times New Roman"/>
                <w:bCs/>
                <w:sz w:val="24"/>
                <w:szCs w:val="28"/>
              </w:rPr>
              <w:t>Papildus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p w:rsidR="00D509C8" w:rsidRPr="004823C7" w:rsidP="00B83CED" w14:paraId="53B568B3" w14:textId="5D17DCB6">
            <w:pPr>
              <w:spacing w:after="240" w:line="240" w:lineRule="auto"/>
              <w:ind w:firstLine="476"/>
              <w:jc w:val="both"/>
              <w:rPr>
                <w:rFonts w:ascii="Times New Roman" w:hAnsi="Times New Roman"/>
                <w:sz w:val="24"/>
                <w:szCs w:val="24"/>
              </w:rPr>
            </w:pPr>
            <w:r w:rsidRPr="004823C7">
              <w:rPr>
                <w:rFonts w:ascii="Times New Roman" w:hAnsi="Times New Roman"/>
                <w:sz w:val="24"/>
                <w:szCs w:val="24"/>
              </w:rPr>
              <w:t xml:space="preserve">Papildus ieviešot 4.2.1.1.pasākumu ir secināts, ka nodrošināt MK noteikumu Nr.160 53.1.2. apakšpunktā noteikto, ka, aprēķinot energoefektivitātes paaugstināšanas pasākumu iekšējās atdeves rādītāju, izmaksu sadaļā ir jānorāda arī komisijas maksa, ir </w:t>
            </w:r>
            <w:r w:rsidRPr="004823C7">
              <w:rPr>
                <w:rFonts w:ascii="Times New Roman" w:hAnsi="Times New Roman"/>
                <w:sz w:val="24"/>
                <w:szCs w:val="24"/>
              </w:rPr>
              <w:t xml:space="preserve">administratīvi sarežģīti un sabiedrībai </w:t>
            </w:r>
            <w:r w:rsidR="00953B1C">
              <w:rPr>
                <w:rFonts w:ascii="Times New Roman" w:hAnsi="Times New Roman"/>
                <w:sz w:val="24"/>
                <w:szCs w:val="24"/>
              </w:rPr>
              <w:t>"</w:t>
            </w:r>
            <w:r w:rsidRPr="004823C7">
              <w:rPr>
                <w:rFonts w:ascii="Times New Roman" w:hAnsi="Times New Roman"/>
                <w:sz w:val="24"/>
                <w:szCs w:val="24"/>
              </w:rPr>
              <w:t>Altum</w:t>
            </w:r>
            <w:r w:rsidR="00953B1C">
              <w:rPr>
                <w:rFonts w:ascii="Times New Roman" w:hAnsi="Times New Roman"/>
                <w:sz w:val="24"/>
                <w:szCs w:val="24"/>
              </w:rPr>
              <w:t>"</w:t>
            </w:r>
            <w:r w:rsidRPr="004823C7">
              <w:rPr>
                <w:rFonts w:ascii="Times New Roman" w:hAnsi="Times New Roman"/>
                <w:sz w:val="24"/>
                <w:szCs w:val="24"/>
              </w:rPr>
              <w:t xml:space="preserve"> </w:t>
            </w:r>
            <w:r w:rsidRPr="004823C7" w:rsidR="00E61D6A">
              <w:rPr>
                <w:rFonts w:ascii="Times New Roman" w:hAnsi="Times New Roman"/>
                <w:sz w:val="24"/>
                <w:szCs w:val="24"/>
              </w:rPr>
              <w:t>ir ilgstoši ar bankām jāsaskaņo to apmērs un veids. Izvērtējot vidējo komisiju maksu apmēru projektos</w:t>
            </w:r>
            <w:r w:rsidRPr="004823C7" w:rsidR="00050723">
              <w:rPr>
                <w:rFonts w:ascii="Times New Roman" w:hAnsi="Times New Roman"/>
                <w:sz w:val="24"/>
                <w:szCs w:val="24"/>
              </w:rPr>
              <w:t xml:space="preserve"> (vidēji līdz </w:t>
            </w:r>
            <w:r w:rsidRPr="004823C7" w:rsidR="0029723A">
              <w:rPr>
                <w:rFonts w:ascii="Times New Roman" w:hAnsi="Times New Roman"/>
                <w:sz w:val="24"/>
                <w:szCs w:val="24"/>
              </w:rPr>
              <w:t xml:space="preserve">1% no aizdevuma apmēra jeb </w:t>
            </w:r>
            <w:r w:rsidRPr="004823C7" w:rsidR="00050723">
              <w:rPr>
                <w:rFonts w:ascii="Times New Roman" w:hAnsi="Times New Roman"/>
                <w:sz w:val="24"/>
                <w:szCs w:val="24"/>
              </w:rPr>
              <w:t>1 500 EUR)</w:t>
            </w:r>
            <w:r w:rsidRPr="004823C7" w:rsidR="00E61D6A">
              <w:rPr>
                <w:rFonts w:ascii="Times New Roman" w:hAnsi="Times New Roman"/>
                <w:sz w:val="24"/>
                <w:szCs w:val="24"/>
              </w:rPr>
              <w:t xml:space="preserve">, par kuru īstenošanu noslēgti granta līgumi 4.2.1.1.pasākuma ietvaros, ir secināts, ka </w:t>
            </w:r>
            <w:r w:rsidRPr="004823C7" w:rsidR="00545B3D">
              <w:rPr>
                <w:rFonts w:ascii="Times New Roman" w:hAnsi="Times New Roman"/>
                <w:sz w:val="24"/>
                <w:szCs w:val="24"/>
              </w:rPr>
              <w:t>iespēja, ka šīs</w:t>
            </w:r>
            <w:r w:rsidRPr="004823C7" w:rsidR="00050723">
              <w:rPr>
                <w:rFonts w:ascii="Times New Roman" w:hAnsi="Times New Roman"/>
                <w:sz w:val="24"/>
                <w:szCs w:val="24"/>
              </w:rPr>
              <w:t xml:space="preserve"> izmaksas </w:t>
            </w:r>
            <w:r w:rsidRPr="004823C7" w:rsidR="00545B3D">
              <w:rPr>
                <w:rFonts w:ascii="Times New Roman" w:hAnsi="Times New Roman"/>
                <w:sz w:val="24"/>
                <w:szCs w:val="24"/>
              </w:rPr>
              <w:t>ir ar</w:t>
            </w:r>
            <w:r w:rsidRPr="004823C7" w:rsidR="00050723">
              <w:rPr>
                <w:rFonts w:ascii="Times New Roman" w:hAnsi="Times New Roman"/>
                <w:sz w:val="24"/>
                <w:szCs w:val="24"/>
              </w:rPr>
              <w:t xml:space="preserve"> ietekmi uz projekta iekšējās atdeves rādītāju</w:t>
            </w:r>
            <w:r w:rsidRPr="004823C7" w:rsidR="00E61D6A">
              <w:rPr>
                <w:rFonts w:ascii="Times New Roman" w:hAnsi="Times New Roman"/>
                <w:sz w:val="24"/>
                <w:szCs w:val="24"/>
              </w:rPr>
              <w:t xml:space="preserve">  </w:t>
            </w:r>
            <w:r w:rsidRPr="004823C7" w:rsidR="00050723">
              <w:rPr>
                <w:rFonts w:ascii="Times New Roman" w:hAnsi="Times New Roman"/>
                <w:sz w:val="24"/>
                <w:szCs w:val="24"/>
              </w:rPr>
              <w:t>un</w:t>
            </w:r>
            <w:r w:rsidRPr="004823C7" w:rsidR="00545B3D">
              <w:rPr>
                <w:rFonts w:ascii="Times New Roman" w:hAnsi="Times New Roman"/>
                <w:sz w:val="24"/>
                <w:szCs w:val="24"/>
              </w:rPr>
              <w:t xml:space="preserve"> </w:t>
            </w:r>
            <w:r w:rsidR="00B85E71">
              <w:rPr>
                <w:rFonts w:ascii="Times New Roman" w:hAnsi="Times New Roman"/>
                <w:sz w:val="24"/>
                <w:szCs w:val="24"/>
              </w:rPr>
              <w:t>administratīvo resursu patēriņu</w:t>
            </w:r>
            <w:r w:rsidRPr="004823C7" w:rsidR="00C941B2">
              <w:rPr>
                <w:rFonts w:ascii="Times New Roman" w:hAnsi="Times New Roman"/>
                <w:sz w:val="24"/>
                <w:szCs w:val="24"/>
              </w:rPr>
              <w:t>, kas nepieciešams, lai nodrošināto šo izmaksu korekta apmēra noteikšanu, nav samērīgs un to nepieciešams svītrot no MK noteikumiem Nr.160.</w:t>
            </w:r>
          </w:p>
          <w:p w:rsidR="00D509C8" w:rsidRPr="00B83CED" w:rsidP="00B83CED" w14:paraId="1E21FA1F" w14:textId="2CC78C74">
            <w:pPr>
              <w:numPr>
                <w:ilvl w:val="0"/>
                <w:numId w:val="1"/>
              </w:numPr>
              <w:tabs>
                <w:tab w:val="left" w:pos="339"/>
              </w:tabs>
              <w:spacing w:after="120" w:line="240" w:lineRule="auto"/>
              <w:ind w:left="0" w:firstLine="0"/>
              <w:jc w:val="both"/>
              <w:rPr>
                <w:rFonts w:ascii="Times New Roman" w:hAnsi="Times New Roman"/>
                <w:b/>
                <w:sz w:val="24"/>
                <w:szCs w:val="24"/>
              </w:rPr>
            </w:pPr>
            <w:r w:rsidRPr="004823C7">
              <w:rPr>
                <w:rFonts w:ascii="Times New Roman" w:hAnsi="Times New Roman"/>
                <w:b/>
                <w:i/>
                <w:sz w:val="24"/>
                <w:szCs w:val="24"/>
                <w:u w:val="single"/>
              </w:rPr>
              <w:t>Atteikties no granta grad</w:t>
            </w:r>
            <w:r w:rsidRPr="004823C7" w:rsidR="00DB5549">
              <w:rPr>
                <w:rFonts w:ascii="Times New Roman" w:hAnsi="Times New Roman"/>
                <w:b/>
                <w:i/>
                <w:sz w:val="24"/>
                <w:szCs w:val="24"/>
                <w:u w:val="single"/>
              </w:rPr>
              <w:t>ēšanas</w:t>
            </w:r>
            <w:r w:rsidRPr="004823C7">
              <w:rPr>
                <w:rFonts w:ascii="Times New Roman" w:hAnsi="Times New Roman"/>
                <w:b/>
                <w:i/>
                <w:sz w:val="24"/>
                <w:szCs w:val="24"/>
                <w:u w:val="single"/>
              </w:rPr>
              <w:t xml:space="preserve"> </w:t>
            </w:r>
            <w:r w:rsidRPr="004823C7" w:rsidR="0088730D">
              <w:rPr>
                <w:rFonts w:ascii="Times New Roman" w:hAnsi="Times New Roman"/>
                <w:b/>
                <w:i/>
                <w:sz w:val="24"/>
                <w:szCs w:val="24"/>
                <w:u w:val="single"/>
              </w:rPr>
              <w:t>atkarībā no plānotā siltumenerģijas patēriņa pēc projekta īstenošanas</w:t>
            </w:r>
            <w:r w:rsidRPr="004823C7" w:rsidR="00DB5549">
              <w:rPr>
                <w:rFonts w:ascii="Times New Roman" w:hAnsi="Times New Roman"/>
                <w:b/>
                <w:i/>
                <w:sz w:val="24"/>
                <w:szCs w:val="24"/>
                <w:u w:val="single"/>
              </w:rPr>
              <w:t>.</w:t>
            </w:r>
          </w:p>
          <w:p w:rsidR="007A77E7" w:rsidRPr="004823C7" w:rsidP="001D7786" w14:paraId="18853408" w14:textId="77777777">
            <w:pPr>
              <w:pStyle w:val="ListParagraph"/>
              <w:spacing w:after="0" w:line="240" w:lineRule="auto"/>
              <w:ind w:left="57" w:firstLine="425"/>
              <w:jc w:val="both"/>
              <w:rPr>
                <w:rFonts w:ascii="Times New Roman" w:hAnsi="Times New Roman"/>
                <w:sz w:val="24"/>
                <w:szCs w:val="24"/>
                <w:shd w:val="clear" w:color="auto" w:fill="FFFFFF"/>
              </w:rPr>
            </w:pPr>
            <w:r w:rsidRPr="004823C7">
              <w:rPr>
                <w:rFonts w:ascii="Times New Roman" w:hAnsi="Times New Roman"/>
                <w:sz w:val="24"/>
                <w:szCs w:val="24"/>
              </w:rPr>
              <w:t xml:space="preserve">MK noteikumos Nr. 160 noteikts, ka granta attiecināmo izmaksu apmērs tiek noteikts pamatojoties uz </w:t>
            </w:r>
            <w:r w:rsidRPr="004823C7">
              <w:rPr>
                <w:rFonts w:ascii="Times New Roman" w:hAnsi="Times New Roman"/>
                <w:sz w:val="24"/>
                <w:szCs w:val="24"/>
                <w:shd w:val="clear" w:color="auto" w:fill="FFFFFF"/>
              </w:rPr>
              <w:t xml:space="preserve">plānoto siltumenerģijas patēriņu </w:t>
            </w:r>
            <w:r w:rsidRPr="004823C7" w:rsidR="00DB5549">
              <w:rPr>
                <w:rFonts w:ascii="Times New Roman" w:hAnsi="Times New Roman"/>
                <w:sz w:val="24"/>
                <w:szCs w:val="24"/>
                <w:shd w:val="clear" w:color="auto" w:fill="FFFFFF"/>
              </w:rPr>
              <w:t>apkurei un projekta finansētāju</w:t>
            </w:r>
            <w:r w:rsidRPr="004823C7">
              <w:rPr>
                <w:rFonts w:ascii="Times New Roman" w:hAnsi="Times New Roman"/>
                <w:sz w:val="24"/>
                <w:szCs w:val="24"/>
                <w:shd w:val="clear" w:color="auto" w:fill="FFFFFF"/>
              </w:rPr>
              <w:t>.</w:t>
            </w:r>
            <w:r w:rsidRPr="004823C7" w:rsidR="00680FAF">
              <w:rPr>
                <w:rFonts w:ascii="Times New Roman" w:hAnsi="Times New Roman"/>
                <w:sz w:val="24"/>
                <w:szCs w:val="24"/>
                <w:shd w:val="clear" w:color="auto" w:fill="FFFFFF"/>
              </w:rPr>
              <w:t xml:space="preserve"> </w:t>
            </w:r>
            <w:r w:rsidRPr="004823C7" w:rsidR="00EC1FF9">
              <w:rPr>
                <w:rFonts w:ascii="Times New Roman" w:hAnsi="Times New Roman"/>
                <w:sz w:val="24"/>
                <w:szCs w:val="24"/>
                <w:shd w:val="clear" w:color="auto" w:fill="FFFFFF"/>
              </w:rPr>
              <w:t>Lielākais granta apmērs</w:t>
            </w:r>
            <w:r w:rsidRPr="004823C7" w:rsidR="00DB5549">
              <w:rPr>
                <w:rFonts w:ascii="Times New Roman" w:hAnsi="Times New Roman"/>
                <w:sz w:val="24"/>
                <w:szCs w:val="24"/>
                <w:shd w:val="clear" w:color="auto" w:fill="FFFFFF"/>
              </w:rPr>
              <w:t xml:space="preserve"> 50</w:t>
            </w:r>
            <w:r w:rsidRPr="004823C7" w:rsidR="00D40728">
              <w:rPr>
                <w:rFonts w:ascii="Times New Roman" w:hAnsi="Times New Roman"/>
                <w:sz w:val="24"/>
                <w:szCs w:val="24"/>
                <w:shd w:val="clear" w:color="auto" w:fill="FFFFFF"/>
              </w:rPr>
              <w:t> </w:t>
            </w:r>
            <w:r w:rsidRPr="004823C7" w:rsidR="00DB5549">
              <w:rPr>
                <w:rFonts w:ascii="Times New Roman" w:hAnsi="Times New Roman"/>
                <w:sz w:val="24"/>
                <w:szCs w:val="24"/>
                <w:shd w:val="clear" w:color="auto" w:fill="FFFFFF"/>
              </w:rPr>
              <w:t>% apmērā</w:t>
            </w:r>
            <w:r w:rsidRPr="004823C7" w:rsidR="007A6DDB">
              <w:rPr>
                <w:rFonts w:ascii="Times New Roman" w:hAnsi="Times New Roman"/>
                <w:sz w:val="24"/>
                <w:szCs w:val="24"/>
                <w:shd w:val="clear" w:color="auto" w:fill="FFFFFF"/>
              </w:rPr>
              <w:t xml:space="preserve"> (piesaistot privātā sektora finansējumu)</w:t>
            </w:r>
            <w:r w:rsidRPr="004823C7" w:rsidR="00F10589">
              <w:rPr>
                <w:rFonts w:ascii="Times New Roman" w:hAnsi="Times New Roman"/>
                <w:sz w:val="24"/>
                <w:szCs w:val="24"/>
                <w:shd w:val="clear" w:color="auto" w:fill="FFFFFF"/>
              </w:rPr>
              <w:t xml:space="preserve"> </w:t>
            </w:r>
            <w:r w:rsidRPr="004823C7" w:rsidR="007A6DDB">
              <w:rPr>
                <w:rFonts w:ascii="Times New Roman" w:hAnsi="Times New Roman"/>
                <w:sz w:val="24"/>
                <w:szCs w:val="24"/>
                <w:shd w:val="clear" w:color="auto" w:fill="FFFFFF"/>
              </w:rPr>
              <w:t xml:space="preserve">vai 35 % apmērā (izmantojot sabiedrības </w:t>
            </w:r>
            <w:r w:rsidR="00953B1C">
              <w:rPr>
                <w:rFonts w:ascii="Times New Roman" w:hAnsi="Times New Roman"/>
                <w:sz w:val="24"/>
                <w:szCs w:val="24"/>
                <w:shd w:val="clear" w:color="auto" w:fill="FFFFFF"/>
              </w:rPr>
              <w:t>"</w:t>
            </w:r>
            <w:r w:rsidRPr="004823C7" w:rsidR="007A6DDB">
              <w:rPr>
                <w:rFonts w:ascii="Times New Roman" w:hAnsi="Times New Roman"/>
                <w:sz w:val="24"/>
                <w:szCs w:val="24"/>
                <w:shd w:val="clear" w:color="auto" w:fill="FFFFFF"/>
              </w:rPr>
              <w:t>Altum</w:t>
            </w:r>
            <w:r w:rsidR="00953B1C">
              <w:rPr>
                <w:rFonts w:ascii="Times New Roman" w:hAnsi="Times New Roman"/>
                <w:sz w:val="24"/>
                <w:szCs w:val="24"/>
                <w:shd w:val="clear" w:color="auto" w:fill="FFFFFF"/>
              </w:rPr>
              <w:t>"</w:t>
            </w:r>
            <w:r w:rsidRPr="004823C7" w:rsidR="007A6DDB">
              <w:rPr>
                <w:rFonts w:ascii="Times New Roman" w:hAnsi="Times New Roman"/>
                <w:sz w:val="24"/>
                <w:szCs w:val="24"/>
                <w:shd w:val="clear" w:color="auto" w:fill="FFFFFF"/>
              </w:rPr>
              <w:t xml:space="preserve"> aizdevumu) </w:t>
            </w:r>
            <w:r w:rsidRPr="004823C7" w:rsidR="00EC1FF9">
              <w:rPr>
                <w:rFonts w:ascii="Times New Roman" w:hAnsi="Times New Roman"/>
                <w:sz w:val="24"/>
                <w:szCs w:val="24"/>
                <w:shd w:val="clear" w:color="auto" w:fill="FFFFFF"/>
              </w:rPr>
              <w:t>tiek piešķirts, ja siltumenerģijas patēriņ</w:t>
            </w:r>
            <w:r w:rsidRPr="004823C7" w:rsidR="00680FAF">
              <w:rPr>
                <w:rFonts w:ascii="Times New Roman" w:hAnsi="Times New Roman"/>
                <w:sz w:val="24"/>
                <w:szCs w:val="24"/>
                <w:shd w:val="clear" w:color="auto" w:fill="FFFFFF"/>
              </w:rPr>
              <w:t xml:space="preserve">š </w:t>
            </w:r>
            <w:r w:rsidRPr="004823C7" w:rsidR="00CA5280">
              <w:rPr>
                <w:rFonts w:ascii="Times New Roman" w:hAnsi="Times New Roman"/>
                <w:sz w:val="24"/>
                <w:szCs w:val="24"/>
                <w:shd w:val="clear" w:color="auto" w:fill="FFFFFF"/>
              </w:rPr>
              <w:t xml:space="preserve">apkurei </w:t>
            </w:r>
            <w:r w:rsidRPr="004823C7" w:rsidR="00680FAF">
              <w:rPr>
                <w:rFonts w:ascii="Times New Roman" w:hAnsi="Times New Roman"/>
                <w:sz w:val="24"/>
                <w:szCs w:val="24"/>
                <w:shd w:val="clear" w:color="auto" w:fill="FFFFFF"/>
              </w:rPr>
              <w:t>pēc projekta īstenošanas nepārsniedz</w:t>
            </w:r>
            <w:r w:rsidRPr="004823C7" w:rsidR="00EC1FF9">
              <w:rPr>
                <w:rFonts w:ascii="Times New Roman" w:hAnsi="Times New Roman"/>
                <w:sz w:val="24"/>
                <w:szCs w:val="24"/>
                <w:shd w:val="clear" w:color="auto" w:fill="FFFFFF"/>
              </w:rPr>
              <w:t xml:space="preserve"> 70 kWh/m</w:t>
            </w:r>
            <w:r w:rsidRPr="004823C7" w:rsidR="00EC1FF9">
              <w:rPr>
                <w:rFonts w:ascii="Times New Roman" w:hAnsi="Times New Roman"/>
                <w:sz w:val="24"/>
                <w:szCs w:val="24"/>
                <w:shd w:val="clear" w:color="auto" w:fill="FFFFFF"/>
                <w:vertAlign w:val="superscript"/>
              </w:rPr>
              <w:t>2</w:t>
            </w:r>
            <w:r w:rsidRPr="004823C7" w:rsidR="00EC1FF9">
              <w:rPr>
                <w:rFonts w:ascii="Times New Roman" w:hAnsi="Times New Roman"/>
                <w:sz w:val="24"/>
                <w:szCs w:val="24"/>
                <w:shd w:val="clear" w:color="auto" w:fill="FFFFFF"/>
              </w:rPr>
              <w:t xml:space="preserve">. </w:t>
            </w:r>
            <w:r w:rsidRPr="004823C7">
              <w:rPr>
                <w:rFonts w:ascii="Times New Roman" w:hAnsi="Times New Roman"/>
                <w:sz w:val="24"/>
                <w:szCs w:val="24"/>
                <w:shd w:val="clear" w:color="auto" w:fill="FFFFFF"/>
              </w:rPr>
              <w:t xml:space="preserve"> </w:t>
            </w:r>
            <w:r w:rsidRPr="004823C7">
              <w:rPr>
                <w:rFonts w:ascii="Times New Roman" w:hAnsi="Times New Roman" w:eastAsiaTheme="minorHAnsi"/>
                <w:sz w:val="24"/>
                <w:szCs w:val="24"/>
              </w:rPr>
              <w:t xml:space="preserve">Dzīvojamo māju īpašnieki vēlas saņemt maksimālo granta </w:t>
            </w:r>
            <w:r w:rsidRPr="004823C7" w:rsidR="00A059CE">
              <w:rPr>
                <w:rFonts w:ascii="Times New Roman" w:hAnsi="Times New Roman" w:eastAsiaTheme="minorHAnsi"/>
                <w:sz w:val="24"/>
                <w:szCs w:val="24"/>
              </w:rPr>
              <w:t>intensitāti</w:t>
            </w:r>
            <w:r w:rsidRPr="004823C7">
              <w:rPr>
                <w:rFonts w:ascii="Times New Roman" w:hAnsi="Times New Roman" w:eastAsiaTheme="minorHAnsi"/>
                <w:sz w:val="24"/>
                <w:szCs w:val="24"/>
              </w:rPr>
              <w:t xml:space="preserve">, </w:t>
            </w:r>
            <w:r w:rsidRPr="004823C7" w:rsidR="00B766EF">
              <w:rPr>
                <w:rFonts w:ascii="Times New Roman" w:hAnsi="Times New Roman" w:eastAsiaTheme="minorHAnsi"/>
                <w:sz w:val="24"/>
                <w:szCs w:val="24"/>
              </w:rPr>
              <w:t>paredzot</w:t>
            </w:r>
            <w:r w:rsidRPr="004823C7">
              <w:rPr>
                <w:rFonts w:ascii="Times New Roman" w:hAnsi="Times New Roman" w:eastAsiaTheme="minorHAnsi"/>
                <w:sz w:val="24"/>
                <w:szCs w:val="24"/>
              </w:rPr>
              <w:t xml:space="preserve"> apkures patēriņu zemāku par 70 kWh/m</w:t>
            </w:r>
            <w:r w:rsidRPr="004823C7">
              <w:rPr>
                <w:rFonts w:ascii="Times New Roman" w:hAnsi="Times New Roman" w:eastAsiaTheme="minorHAnsi"/>
                <w:sz w:val="24"/>
                <w:szCs w:val="24"/>
                <w:vertAlign w:val="superscript"/>
              </w:rPr>
              <w:t>2</w:t>
            </w:r>
            <w:r w:rsidRPr="004823C7">
              <w:rPr>
                <w:rFonts w:ascii="Times New Roman" w:hAnsi="Times New Roman" w:eastAsiaTheme="minorHAnsi"/>
                <w:sz w:val="24"/>
                <w:szCs w:val="24"/>
              </w:rPr>
              <w:t xml:space="preserve">. </w:t>
            </w:r>
            <w:r w:rsidRPr="004823C7" w:rsidR="00EC1FF9">
              <w:rPr>
                <w:rFonts w:ascii="Times New Roman" w:hAnsi="Times New Roman"/>
                <w:sz w:val="24"/>
                <w:szCs w:val="24"/>
                <w:shd w:val="clear" w:color="auto" w:fill="FFFFFF"/>
              </w:rPr>
              <w:t xml:space="preserve">Šāda siltumenerģijas patēriņa sasniegšanai </w:t>
            </w:r>
            <w:r w:rsidRPr="004823C7">
              <w:rPr>
                <w:rFonts w:ascii="Times New Roman" w:hAnsi="Times New Roman"/>
                <w:sz w:val="24"/>
                <w:szCs w:val="24"/>
                <w:shd w:val="clear" w:color="auto" w:fill="FFFFFF"/>
              </w:rPr>
              <w:t xml:space="preserve">visbiežāk </w:t>
            </w:r>
            <w:r w:rsidRPr="004823C7" w:rsidR="00EC1FF9">
              <w:rPr>
                <w:rFonts w:ascii="Times New Roman" w:hAnsi="Times New Roman"/>
                <w:sz w:val="24"/>
                <w:szCs w:val="24"/>
                <w:shd w:val="clear" w:color="auto" w:fill="FFFFFF"/>
              </w:rPr>
              <w:t xml:space="preserve">nepieciešams veikt komplekso </w:t>
            </w:r>
            <w:r w:rsidRPr="004823C7" w:rsidR="00CA5280">
              <w:rPr>
                <w:rFonts w:ascii="Times New Roman" w:hAnsi="Times New Roman"/>
                <w:sz w:val="24"/>
                <w:szCs w:val="24"/>
                <w:shd w:val="clear" w:color="auto" w:fill="FFFFFF"/>
              </w:rPr>
              <w:t>atjaunošanu</w:t>
            </w:r>
            <w:r w:rsidRPr="004823C7" w:rsidR="00EC1FF9">
              <w:rPr>
                <w:rFonts w:ascii="Times New Roman" w:hAnsi="Times New Roman"/>
                <w:sz w:val="24"/>
                <w:szCs w:val="24"/>
                <w:shd w:val="clear" w:color="auto" w:fill="FFFFFF"/>
              </w:rPr>
              <w:t xml:space="preserve">, kas sadārdzina projekta kopējās izmaksas un palielina finansiālo saistību apmēru daudzdzīvokļu mājas </w:t>
            </w:r>
            <w:r w:rsidRPr="004823C7" w:rsidR="009F3EAC">
              <w:rPr>
                <w:rFonts w:ascii="Times New Roman" w:hAnsi="Times New Roman"/>
                <w:sz w:val="24"/>
                <w:szCs w:val="24"/>
                <w:shd w:val="clear" w:color="auto" w:fill="FFFFFF"/>
              </w:rPr>
              <w:t>dzīvokļu īpašniekiem</w:t>
            </w:r>
            <w:r w:rsidRPr="004823C7" w:rsidR="00EC1FF9">
              <w:rPr>
                <w:rFonts w:ascii="Times New Roman" w:hAnsi="Times New Roman"/>
                <w:sz w:val="24"/>
                <w:szCs w:val="24"/>
                <w:shd w:val="clear" w:color="auto" w:fill="FFFFFF"/>
              </w:rPr>
              <w:t>.</w:t>
            </w:r>
          </w:p>
          <w:p w:rsidR="00D34A48" w:rsidP="001D7786" w14:paraId="1F4F4E4D" w14:textId="056BA016">
            <w:pPr>
              <w:pStyle w:val="ListParagraph"/>
              <w:spacing w:after="0" w:line="259" w:lineRule="auto"/>
              <w:ind w:left="57" w:firstLine="425"/>
              <w:jc w:val="both"/>
              <w:rPr>
                <w:rFonts w:ascii="Times New Roman" w:hAnsi="Times New Roman"/>
                <w:sz w:val="24"/>
                <w:szCs w:val="24"/>
                <w:shd w:val="clear" w:color="auto" w:fill="FFFFFF"/>
              </w:rPr>
            </w:pPr>
            <w:r w:rsidRPr="004823C7">
              <w:rPr>
                <w:rFonts w:ascii="Times New Roman" w:hAnsi="Times New Roman"/>
                <w:sz w:val="24"/>
                <w:szCs w:val="24"/>
                <w:shd w:val="clear" w:color="auto" w:fill="FFFFFF"/>
              </w:rPr>
              <w:t xml:space="preserve">Ekonomikas ministrijas ieskatā, atceļot </w:t>
            </w:r>
            <w:r w:rsidRPr="00186E33">
              <w:rPr>
                <w:rFonts w:ascii="Times New Roman" w:hAnsi="Times New Roman"/>
                <w:sz w:val="24"/>
                <w:szCs w:val="24"/>
                <w:shd w:val="clear" w:color="auto" w:fill="FFFFFF"/>
              </w:rPr>
              <w:t>granta gradāciju</w:t>
            </w:r>
            <w:r w:rsidRPr="00186E33" w:rsidR="00712AED">
              <w:rPr>
                <w:rFonts w:ascii="Times New Roman" w:hAnsi="Times New Roman"/>
                <w:sz w:val="24"/>
                <w:szCs w:val="24"/>
                <w:shd w:val="clear" w:color="auto" w:fill="FFFFFF"/>
              </w:rPr>
              <w:t xml:space="preserve"> </w:t>
            </w:r>
            <w:r w:rsidRPr="00186E33" w:rsidR="00712AED">
              <w:rPr>
                <w:rFonts w:ascii="Times New Roman" w:hAnsi="Times New Roman"/>
                <w:sz w:val="24"/>
                <w:szCs w:val="24"/>
              </w:rPr>
              <w:t>atkarībā no plānotā siltumenerģijas patēriņ</w:t>
            </w:r>
            <w:r w:rsidRPr="00186E33" w:rsidR="00B766EF">
              <w:rPr>
                <w:rFonts w:ascii="Times New Roman" w:hAnsi="Times New Roman"/>
                <w:sz w:val="24"/>
                <w:szCs w:val="24"/>
              </w:rPr>
              <w:t>a</w:t>
            </w:r>
            <w:r w:rsidR="00C06E89">
              <w:rPr>
                <w:rFonts w:ascii="Times New Roman" w:hAnsi="Times New Roman"/>
                <w:sz w:val="24"/>
                <w:szCs w:val="24"/>
                <w:shd w:val="clear" w:color="auto" w:fill="FFFFFF"/>
              </w:rPr>
              <w:t>,</w:t>
            </w:r>
            <w:r w:rsidRPr="00186E33" w:rsidR="00C3163C">
              <w:rPr>
                <w:rFonts w:ascii="Times New Roman" w:hAnsi="Times New Roman"/>
                <w:sz w:val="24"/>
                <w:szCs w:val="24"/>
                <w:shd w:val="clear" w:color="auto" w:fill="FFFFFF"/>
              </w:rPr>
              <w:t xml:space="preserve"> ēkas</w:t>
            </w:r>
            <w:r w:rsidRPr="00186E33">
              <w:rPr>
                <w:rFonts w:ascii="Times New Roman" w:hAnsi="Times New Roman"/>
                <w:sz w:val="24"/>
                <w:szCs w:val="24"/>
                <w:shd w:val="clear" w:color="auto" w:fill="FFFFFF"/>
              </w:rPr>
              <w:t>, kurām arī pēc investīciju atmaksāšanās perioda palielināšanas dažādu</w:t>
            </w:r>
            <w:r w:rsidRPr="004823C7">
              <w:rPr>
                <w:rFonts w:ascii="Times New Roman" w:hAnsi="Times New Roman"/>
                <w:sz w:val="24"/>
                <w:szCs w:val="24"/>
                <w:shd w:val="clear" w:color="auto" w:fill="FFFFFF"/>
              </w:rPr>
              <w:t xml:space="preserve"> apstākļu dēļ nebūs iespējams īstenot kompleksu atjaunošanu, varēs saņemt atbalstu pasākum</w:t>
            </w:r>
            <w:r w:rsidRPr="004823C7" w:rsidR="00B766EF">
              <w:rPr>
                <w:rFonts w:ascii="Times New Roman" w:hAnsi="Times New Roman"/>
                <w:sz w:val="24"/>
                <w:szCs w:val="24"/>
                <w:shd w:val="clear" w:color="auto" w:fill="FFFFFF"/>
              </w:rPr>
              <w:t>iem</w:t>
            </w:r>
            <w:r w:rsidRPr="004823C7">
              <w:rPr>
                <w:rFonts w:ascii="Times New Roman" w:hAnsi="Times New Roman"/>
                <w:sz w:val="24"/>
                <w:szCs w:val="24"/>
                <w:shd w:val="clear" w:color="auto" w:fill="FFFFFF"/>
              </w:rPr>
              <w:t xml:space="preserve">, </w:t>
            </w:r>
            <w:r w:rsidRPr="004823C7" w:rsidR="00992B7E">
              <w:rPr>
                <w:rFonts w:ascii="Times New Roman" w:hAnsi="Times New Roman"/>
                <w:sz w:val="24"/>
                <w:szCs w:val="24"/>
                <w:shd w:val="clear" w:color="auto" w:fill="FFFFFF"/>
              </w:rPr>
              <w:t>k</w:t>
            </w:r>
            <w:r w:rsidRPr="004823C7" w:rsidR="00B766EF">
              <w:rPr>
                <w:rFonts w:ascii="Times New Roman" w:hAnsi="Times New Roman"/>
                <w:sz w:val="24"/>
                <w:szCs w:val="24"/>
                <w:shd w:val="clear" w:color="auto" w:fill="FFFFFF"/>
              </w:rPr>
              <w:t>uri</w:t>
            </w:r>
            <w:r w:rsidRPr="004823C7" w:rsidR="00992B7E">
              <w:rPr>
                <w:rFonts w:ascii="Times New Roman" w:hAnsi="Times New Roman"/>
                <w:sz w:val="24"/>
                <w:szCs w:val="24"/>
                <w:shd w:val="clear" w:color="auto" w:fill="FFFFFF"/>
              </w:rPr>
              <w:t xml:space="preserve"> nodrošina ekonomisko atdevi, saņemot </w:t>
            </w:r>
            <w:r w:rsidRPr="004823C7" w:rsidR="00712AED">
              <w:rPr>
                <w:rFonts w:ascii="Times New Roman" w:hAnsi="Times New Roman"/>
                <w:sz w:val="24"/>
                <w:szCs w:val="24"/>
                <w:shd w:val="clear" w:color="auto" w:fill="FFFFFF"/>
              </w:rPr>
              <w:t>maksimālo granta atbalstu.</w:t>
            </w:r>
            <w:r w:rsidRPr="004823C7" w:rsidR="00B766EF">
              <w:rPr>
                <w:rFonts w:ascii="Times New Roman" w:hAnsi="Times New Roman"/>
                <w:sz w:val="24"/>
                <w:szCs w:val="24"/>
                <w:shd w:val="clear" w:color="auto" w:fill="FFFFFF"/>
              </w:rPr>
              <w:t xml:space="preserve"> Šajā gadījumā būtu iespējams </w:t>
            </w:r>
            <w:r w:rsidRPr="004823C7" w:rsidR="001341A4">
              <w:rPr>
                <w:rFonts w:ascii="Times New Roman" w:hAnsi="Times New Roman"/>
                <w:sz w:val="24"/>
                <w:szCs w:val="24"/>
                <w:shd w:val="clear" w:color="auto" w:fill="FFFFFF"/>
              </w:rPr>
              <w:t>īstenot</w:t>
            </w:r>
            <w:r w:rsidRPr="004823C7" w:rsidR="00B766EF">
              <w:rPr>
                <w:rFonts w:ascii="Times New Roman" w:hAnsi="Times New Roman"/>
                <w:sz w:val="24"/>
                <w:szCs w:val="24"/>
                <w:shd w:val="clear" w:color="auto" w:fill="FFFFFF"/>
              </w:rPr>
              <w:t xml:space="preserve"> tikai daļēju ēkas </w:t>
            </w:r>
            <w:r w:rsidRPr="004823C7" w:rsidR="001341A4">
              <w:rPr>
                <w:rFonts w:ascii="Times New Roman" w:hAnsi="Times New Roman"/>
                <w:sz w:val="24"/>
                <w:szCs w:val="24"/>
                <w:shd w:val="clear" w:color="auto" w:fill="FFFFFF"/>
              </w:rPr>
              <w:t>atjaunošanu</w:t>
            </w:r>
            <w:r w:rsidRPr="004823C7" w:rsidR="00B766EF">
              <w:rPr>
                <w:rFonts w:ascii="Times New Roman" w:hAnsi="Times New Roman"/>
                <w:sz w:val="24"/>
                <w:szCs w:val="24"/>
                <w:shd w:val="clear" w:color="auto" w:fill="FFFFFF"/>
              </w:rPr>
              <w:t xml:space="preserve">, piemēram, inženierkomunikāciju </w:t>
            </w:r>
            <w:r w:rsidRPr="004823C7" w:rsidR="001341A4">
              <w:rPr>
                <w:rFonts w:ascii="Times New Roman" w:hAnsi="Times New Roman"/>
                <w:sz w:val="24"/>
                <w:szCs w:val="24"/>
                <w:shd w:val="clear" w:color="auto" w:fill="FFFFFF"/>
              </w:rPr>
              <w:t>rekonstrukciju</w:t>
            </w:r>
            <w:r w:rsidRPr="004823C7" w:rsidR="00B766EF">
              <w:rPr>
                <w:rFonts w:ascii="Times New Roman" w:hAnsi="Times New Roman"/>
                <w:sz w:val="24"/>
                <w:szCs w:val="24"/>
                <w:shd w:val="clear" w:color="auto" w:fill="FFFFFF"/>
              </w:rPr>
              <w:t xml:space="preserve"> un gala sienu siltināšanu. Attiecīgo projektu izmaksas būtu </w:t>
            </w:r>
            <w:r w:rsidRPr="004823C7" w:rsidR="001341A4">
              <w:rPr>
                <w:rFonts w:ascii="Times New Roman" w:hAnsi="Times New Roman"/>
                <w:sz w:val="24"/>
                <w:szCs w:val="24"/>
                <w:shd w:val="clear" w:color="auto" w:fill="FFFFFF"/>
              </w:rPr>
              <w:t>ievērojami</w:t>
            </w:r>
            <w:r w:rsidRPr="004823C7" w:rsidR="00B766EF">
              <w:rPr>
                <w:rFonts w:ascii="Times New Roman" w:hAnsi="Times New Roman"/>
                <w:sz w:val="24"/>
                <w:szCs w:val="24"/>
                <w:shd w:val="clear" w:color="auto" w:fill="FFFFFF"/>
              </w:rPr>
              <w:t xml:space="preserve"> zemākas salīdzinoši ar komplekso </w:t>
            </w:r>
            <w:r w:rsidRPr="004823C7" w:rsidR="001341A4">
              <w:rPr>
                <w:rFonts w:ascii="Times New Roman" w:hAnsi="Times New Roman"/>
                <w:sz w:val="24"/>
                <w:szCs w:val="24"/>
                <w:shd w:val="clear" w:color="auto" w:fill="FFFFFF"/>
              </w:rPr>
              <w:t>atjaunošanu</w:t>
            </w:r>
            <w:r w:rsidRPr="004823C7" w:rsidR="00B766EF">
              <w:rPr>
                <w:rFonts w:ascii="Times New Roman" w:hAnsi="Times New Roman"/>
                <w:sz w:val="24"/>
                <w:szCs w:val="24"/>
                <w:shd w:val="clear" w:color="auto" w:fill="FFFFFF"/>
              </w:rPr>
              <w:t xml:space="preserve">. Attiecīgā pieeja būtiski uzlabotu iespēju saņemt atbalstu lielām mājām, kā arī mājām, kuru iedzīvotāji vēlas </w:t>
            </w:r>
            <w:r w:rsidRPr="004823C7" w:rsidR="001341A4">
              <w:rPr>
                <w:rFonts w:ascii="Times New Roman" w:hAnsi="Times New Roman"/>
                <w:sz w:val="24"/>
                <w:szCs w:val="24"/>
                <w:shd w:val="clear" w:color="auto" w:fill="FFFFFF"/>
              </w:rPr>
              <w:t>īstenot</w:t>
            </w:r>
            <w:r w:rsidRPr="004823C7" w:rsidR="00B766EF">
              <w:rPr>
                <w:rFonts w:ascii="Times New Roman" w:hAnsi="Times New Roman"/>
                <w:sz w:val="24"/>
                <w:szCs w:val="24"/>
                <w:shd w:val="clear" w:color="auto" w:fill="FFFFFF"/>
              </w:rPr>
              <w:t xml:space="preserve"> energoefektivitātes pasākumus pakāpeniski (nav bijusi pieredze </w:t>
            </w:r>
            <w:r w:rsidRPr="004823C7" w:rsidR="001341A4">
              <w:rPr>
                <w:rFonts w:ascii="Times New Roman" w:hAnsi="Times New Roman"/>
                <w:sz w:val="24"/>
                <w:szCs w:val="24"/>
                <w:shd w:val="clear" w:color="auto" w:fill="FFFFFF"/>
              </w:rPr>
              <w:t xml:space="preserve">šāda veida </w:t>
            </w:r>
            <w:r w:rsidRPr="004823C7" w:rsidR="00B766EF">
              <w:rPr>
                <w:rFonts w:ascii="Times New Roman" w:hAnsi="Times New Roman"/>
                <w:sz w:val="24"/>
                <w:szCs w:val="24"/>
                <w:shd w:val="clear" w:color="auto" w:fill="FFFFFF"/>
              </w:rPr>
              <w:t xml:space="preserve">projektu </w:t>
            </w:r>
            <w:r w:rsidRPr="004823C7" w:rsidR="001341A4">
              <w:rPr>
                <w:rFonts w:ascii="Times New Roman" w:hAnsi="Times New Roman"/>
                <w:sz w:val="24"/>
                <w:szCs w:val="24"/>
                <w:shd w:val="clear" w:color="auto" w:fill="FFFFFF"/>
              </w:rPr>
              <w:t>īstenošanā</w:t>
            </w:r>
            <w:r w:rsidRPr="004823C7" w:rsidR="00B766EF">
              <w:rPr>
                <w:rFonts w:ascii="Times New Roman" w:hAnsi="Times New Roman"/>
                <w:sz w:val="24"/>
                <w:szCs w:val="24"/>
                <w:shd w:val="clear" w:color="auto" w:fill="FFFFFF"/>
              </w:rPr>
              <w:t xml:space="preserve">), kā arī mājām, kurās energoefektivitātes </w:t>
            </w:r>
            <w:r w:rsidRPr="004823C7" w:rsidR="001341A4">
              <w:rPr>
                <w:rFonts w:ascii="Times New Roman" w:hAnsi="Times New Roman"/>
                <w:sz w:val="24"/>
                <w:szCs w:val="24"/>
                <w:shd w:val="clear" w:color="auto" w:fill="FFFFFF"/>
              </w:rPr>
              <w:t xml:space="preserve">paaugstināšanas </w:t>
            </w:r>
            <w:r w:rsidRPr="004823C7" w:rsidR="00B766EF">
              <w:rPr>
                <w:rFonts w:ascii="Times New Roman" w:hAnsi="Times New Roman"/>
                <w:sz w:val="24"/>
                <w:szCs w:val="24"/>
                <w:shd w:val="clear" w:color="auto" w:fill="FFFFFF"/>
              </w:rPr>
              <w:t xml:space="preserve">pasākumi jau ir </w:t>
            </w:r>
            <w:r w:rsidRPr="004823C7" w:rsidR="00190A5C">
              <w:rPr>
                <w:rFonts w:ascii="Times New Roman" w:hAnsi="Times New Roman"/>
                <w:sz w:val="24"/>
                <w:szCs w:val="24"/>
                <w:shd w:val="clear" w:color="auto" w:fill="FFFFFF"/>
              </w:rPr>
              <w:t xml:space="preserve">daļēji </w:t>
            </w:r>
            <w:r w:rsidRPr="004823C7" w:rsidR="00B766EF">
              <w:rPr>
                <w:rFonts w:ascii="Times New Roman" w:hAnsi="Times New Roman"/>
                <w:sz w:val="24"/>
                <w:szCs w:val="24"/>
                <w:shd w:val="clear" w:color="auto" w:fill="FFFFFF"/>
              </w:rPr>
              <w:t>veikti</w:t>
            </w:r>
            <w:r w:rsidRPr="004823C7" w:rsidR="00190A5C">
              <w:rPr>
                <w:rFonts w:ascii="Times New Roman" w:hAnsi="Times New Roman"/>
                <w:sz w:val="24"/>
                <w:szCs w:val="24"/>
                <w:shd w:val="clear" w:color="auto" w:fill="FFFFFF"/>
              </w:rPr>
              <w:t>.</w:t>
            </w:r>
          </w:p>
          <w:p w:rsidR="00EA1862" w:rsidRPr="00BF0B9E" w:rsidP="00BF0B9E" w14:paraId="6E8FE1E4" w14:textId="5E956829">
            <w:pPr>
              <w:pStyle w:val="ListParagraph"/>
              <w:spacing w:after="240" w:line="259" w:lineRule="auto"/>
              <w:ind w:left="57" w:firstLine="425"/>
              <w:jc w:val="both"/>
              <w:rPr>
                <w:rFonts w:ascii="Times New Roman" w:hAnsi="Times New Roman" w:eastAsiaTheme="minorHAnsi"/>
                <w:sz w:val="24"/>
                <w:szCs w:val="24"/>
              </w:rPr>
            </w:pPr>
            <w:r>
              <w:rPr>
                <w:rFonts w:ascii="Times New Roman" w:hAnsi="Times New Roman"/>
                <w:sz w:val="24"/>
                <w:szCs w:val="24"/>
                <w:shd w:val="clear" w:color="auto" w:fill="FFFFFF"/>
              </w:rPr>
              <w:t xml:space="preserve">Atceļot </w:t>
            </w:r>
            <w:r w:rsidR="00292E9E">
              <w:rPr>
                <w:rFonts w:ascii="Times New Roman" w:hAnsi="Times New Roman"/>
                <w:sz w:val="24"/>
                <w:szCs w:val="24"/>
                <w:shd w:val="clear" w:color="auto" w:fill="FFFFFF"/>
              </w:rPr>
              <w:t xml:space="preserve">granta </w:t>
            </w:r>
            <w:r>
              <w:rPr>
                <w:rFonts w:ascii="Times New Roman" w:hAnsi="Times New Roman"/>
                <w:sz w:val="24"/>
                <w:szCs w:val="24"/>
                <w:shd w:val="clear" w:color="auto" w:fill="FFFFFF"/>
              </w:rPr>
              <w:t>grad</w:t>
            </w:r>
            <w:r w:rsidR="00413570">
              <w:rPr>
                <w:rFonts w:ascii="Times New Roman" w:hAnsi="Times New Roman"/>
                <w:sz w:val="24"/>
                <w:szCs w:val="24"/>
                <w:shd w:val="clear" w:color="auto" w:fill="FFFFFF"/>
              </w:rPr>
              <w:t xml:space="preserve">āciju paliek spēkā MK noteikumu Nr. 160 55. punktā noteiktais, ka grants tiek piešķirts tikai tiem </w:t>
            </w:r>
            <w:r w:rsidRPr="00413570" w:rsidR="00413570">
              <w:rPr>
                <w:rFonts w:ascii="Times New Roman" w:hAnsi="Times New Roman"/>
                <w:sz w:val="24"/>
              </w:rPr>
              <w:t xml:space="preserve">energoefektivitātes paaugstināšanas pasākumiem, kuru iekšējās atdeves rādītājs noteikto gadu periodā ir </w:t>
            </w:r>
            <w:r w:rsidR="00413570">
              <w:rPr>
                <w:rFonts w:ascii="Times New Roman" w:hAnsi="Times New Roman"/>
                <w:sz w:val="24"/>
              </w:rPr>
              <w:t>lielāks</w:t>
            </w:r>
            <w:r w:rsidRPr="00413570" w:rsidR="00413570">
              <w:rPr>
                <w:rFonts w:ascii="Times New Roman" w:hAnsi="Times New Roman"/>
                <w:sz w:val="24"/>
              </w:rPr>
              <w:t xml:space="preserve"> par 0</w:t>
            </w:r>
            <w:r w:rsidR="00413570">
              <w:rPr>
                <w:rFonts w:ascii="Times New Roman" w:hAnsi="Times New Roman"/>
                <w:sz w:val="24"/>
              </w:rPr>
              <w:t xml:space="preserve"> –</w:t>
            </w:r>
            <w:r w:rsidR="00292E9E">
              <w:rPr>
                <w:rFonts w:ascii="Times New Roman" w:hAnsi="Times New Roman"/>
                <w:sz w:val="24"/>
              </w:rPr>
              <w:t xml:space="preserve"> energoefektivitātes pasākumu</w:t>
            </w:r>
            <w:r w:rsidR="00D17C5C">
              <w:rPr>
                <w:rFonts w:ascii="Times New Roman" w:hAnsi="Times New Roman"/>
                <w:sz w:val="24"/>
              </w:rPr>
              <w:t xml:space="preserve">  īstenošana ir ekonomiski pamatota</w:t>
            </w:r>
            <w:r w:rsidR="00413570">
              <w:rPr>
                <w:rFonts w:ascii="Times New Roman" w:hAnsi="Times New Roman"/>
                <w:sz w:val="24"/>
              </w:rPr>
              <w:t>.</w:t>
            </w:r>
            <w:r w:rsidR="00D96B96">
              <w:rPr>
                <w:rFonts w:ascii="Times New Roman" w:hAnsi="Times New Roman"/>
                <w:sz w:val="24"/>
              </w:rPr>
              <w:t xml:space="preserve"> </w:t>
            </w:r>
            <w:r w:rsidR="00D272A1">
              <w:rPr>
                <w:rFonts w:ascii="Times New Roman" w:hAnsi="Times New Roman"/>
                <w:sz w:val="24"/>
                <w:szCs w:val="24"/>
              </w:rPr>
              <w:t>Sabiedrība "</w:t>
            </w:r>
            <w:r w:rsidRPr="00EA1862">
              <w:rPr>
                <w:rFonts w:ascii="Times New Roman" w:hAnsi="Times New Roman"/>
                <w:sz w:val="24"/>
                <w:szCs w:val="24"/>
              </w:rPr>
              <w:t>Altum</w:t>
            </w:r>
            <w:r w:rsidR="00D272A1">
              <w:rPr>
                <w:rFonts w:ascii="Times New Roman" w:hAnsi="Times New Roman"/>
                <w:sz w:val="24"/>
                <w:szCs w:val="24"/>
              </w:rPr>
              <w:t>" turpinās izvērtēt projektos plānotos energoefektivitātes paaugstināšanas pasākumus</w:t>
            </w:r>
            <w:r w:rsidRPr="00EA1862">
              <w:rPr>
                <w:rFonts w:ascii="Times New Roman" w:hAnsi="Times New Roman"/>
                <w:sz w:val="24"/>
                <w:szCs w:val="24"/>
              </w:rPr>
              <w:t xml:space="preserve"> un </w:t>
            </w:r>
            <w:r w:rsidR="00D272A1">
              <w:rPr>
                <w:rFonts w:ascii="Times New Roman" w:hAnsi="Times New Roman"/>
                <w:sz w:val="24"/>
                <w:szCs w:val="24"/>
              </w:rPr>
              <w:t>paredzētās</w:t>
            </w:r>
            <w:r w:rsidRPr="00EA1862">
              <w:rPr>
                <w:rFonts w:ascii="Times New Roman" w:hAnsi="Times New Roman"/>
                <w:sz w:val="24"/>
                <w:szCs w:val="24"/>
              </w:rPr>
              <w:t xml:space="preserve"> būvniecības izmaksas, lai nodrošinātu, ka atbalsts tiek </w:t>
            </w:r>
            <w:r w:rsidR="00D272A1">
              <w:rPr>
                <w:rFonts w:ascii="Times New Roman" w:hAnsi="Times New Roman"/>
                <w:sz w:val="24"/>
                <w:szCs w:val="24"/>
              </w:rPr>
              <w:t>sniegts</w:t>
            </w:r>
            <w:r w:rsidRPr="00EA1862">
              <w:rPr>
                <w:rFonts w:ascii="Times New Roman" w:hAnsi="Times New Roman"/>
                <w:sz w:val="24"/>
                <w:szCs w:val="24"/>
              </w:rPr>
              <w:t xml:space="preserve"> tiem energoefektivitātes paaugstināšanas projektiem, kuros tiek īstenoti </w:t>
            </w:r>
            <w:r w:rsidR="00057FBD">
              <w:rPr>
                <w:rFonts w:ascii="Times New Roman" w:hAnsi="Times New Roman"/>
                <w:sz w:val="24"/>
                <w:szCs w:val="24"/>
              </w:rPr>
              <w:t>ēkas energosertifikātā</w:t>
            </w:r>
            <w:r w:rsidRPr="00EA1862">
              <w:rPr>
                <w:rFonts w:ascii="Times New Roman" w:hAnsi="Times New Roman"/>
                <w:sz w:val="24"/>
                <w:szCs w:val="24"/>
              </w:rPr>
              <w:t xml:space="preserve"> ieteiktie pasākumi, kas nodrošinās lielāko energoefektivitāti. Tajā pat laikā </w:t>
            </w:r>
            <w:r w:rsidRPr="00EA1862">
              <w:rPr>
                <w:rFonts w:ascii="Times New Roman" w:hAnsi="Times New Roman"/>
                <w:sz w:val="24"/>
                <w:szCs w:val="24"/>
              </w:rPr>
              <w:t>nodrošinot, ka plānotie energoefektivitātes darbi iekļausies Altum vidēj</w:t>
            </w:r>
            <w:r>
              <w:rPr>
                <w:rFonts w:ascii="Times New Roman" w:hAnsi="Times New Roman"/>
                <w:sz w:val="24"/>
                <w:szCs w:val="24"/>
              </w:rPr>
              <w:t>o būvniecības izmaksu aprēķinā.</w:t>
            </w:r>
          </w:p>
          <w:p w:rsidR="00FA2A7A" w:rsidRPr="00B83CED" w:rsidP="00B83CED" w14:paraId="08E89270" w14:textId="0C908713">
            <w:pPr>
              <w:numPr>
                <w:ilvl w:val="0"/>
                <w:numId w:val="1"/>
              </w:numPr>
              <w:tabs>
                <w:tab w:val="left" w:pos="312"/>
              </w:tabs>
              <w:spacing w:after="120" w:line="240" w:lineRule="auto"/>
              <w:ind w:left="0" w:firstLine="0"/>
              <w:jc w:val="both"/>
              <w:rPr>
                <w:rFonts w:ascii="Times New Roman" w:hAnsi="Times New Roman"/>
                <w:b/>
                <w:sz w:val="24"/>
                <w:szCs w:val="24"/>
              </w:rPr>
            </w:pPr>
            <w:r w:rsidRPr="004823C7">
              <w:rPr>
                <w:rFonts w:ascii="Times New Roman" w:hAnsi="Times New Roman"/>
                <w:b/>
                <w:i/>
                <w:sz w:val="24"/>
                <w:szCs w:val="24"/>
                <w:u w:val="single"/>
              </w:rPr>
              <w:t>Noteikt</w:t>
            </w:r>
            <w:r w:rsidRPr="004823C7" w:rsidR="0023000F">
              <w:rPr>
                <w:rFonts w:ascii="Times New Roman" w:hAnsi="Times New Roman"/>
                <w:b/>
                <w:i/>
                <w:sz w:val="24"/>
                <w:szCs w:val="24"/>
                <w:u w:val="single"/>
              </w:rPr>
              <w:t xml:space="preserve">  tehniskās dokumentācijas sagatavošanas izmaksas </w:t>
            </w:r>
            <w:r w:rsidRPr="004823C7" w:rsidR="00EB4FEF">
              <w:rPr>
                <w:rFonts w:ascii="Times New Roman" w:hAnsi="Times New Roman"/>
                <w:b/>
                <w:i/>
                <w:sz w:val="24"/>
                <w:szCs w:val="24"/>
                <w:u w:val="single"/>
              </w:rPr>
              <w:t xml:space="preserve">kā </w:t>
            </w:r>
            <w:r w:rsidRPr="004823C7" w:rsidR="0023000F">
              <w:rPr>
                <w:rFonts w:ascii="Times New Roman" w:hAnsi="Times New Roman"/>
                <w:b/>
                <w:i/>
                <w:sz w:val="24"/>
                <w:szCs w:val="24"/>
                <w:u w:val="single"/>
              </w:rPr>
              <w:t>attiecināmā</w:t>
            </w:r>
            <w:r w:rsidRPr="004823C7" w:rsidR="00EB4FEF">
              <w:rPr>
                <w:rFonts w:ascii="Times New Roman" w:hAnsi="Times New Roman"/>
                <w:b/>
                <w:i/>
                <w:sz w:val="24"/>
                <w:szCs w:val="24"/>
                <w:u w:val="single"/>
              </w:rPr>
              <w:t>s</w:t>
            </w:r>
            <w:r w:rsidRPr="004823C7" w:rsidR="0023000F">
              <w:rPr>
                <w:rFonts w:ascii="Times New Roman" w:hAnsi="Times New Roman"/>
                <w:b/>
                <w:i/>
                <w:sz w:val="24"/>
                <w:szCs w:val="24"/>
                <w:u w:val="single"/>
              </w:rPr>
              <w:t xml:space="preserve"> izmaks</w:t>
            </w:r>
            <w:r w:rsidRPr="004823C7" w:rsidR="00EB4FEF">
              <w:rPr>
                <w:rFonts w:ascii="Times New Roman" w:hAnsi="Times New Roman"/>
                <w:b/>
                <w:i/>
                <w:sz w:val="24"/>
                <w:szCs w:val="24"/>
                <w:u w:val="single"/>
              </w:rPr>
              <w:t>as</w:t>
            </w:r>
            <w:r w:rsidRPr="004823C7" w:rsidR="0023000F">
              <w:rPr>
                <w:rFonts w:ascii="Times New Roman" w:hAnsi="Times New Roman"/>
                <w:b/>
                <w:i/>
                <w:sz w:val="24"/>
                <w:szCs w:val="24"/>
                <w:u w:val="single"/>
              </w:rPr>
              <w:t>.</w:t>
            </w:r>
          </w:p>
          <w:p w:rsidR="00BB5A91" w:rsidRPr="004823C7" w:rsidP="00BB5A91" w14:paraId="5D468FC1" w14:textId="77777777">
            <w:pPr>
              <w:spacing w:after="0" w:line="240" w:lineRule="auto"/>
              <w:ind w:firstLine="479"/>
              <w:jc w:val="both"/>
              <w:rPr>
                <w:rFonts w:ascii="Times New Roman" w:hAnsi="Times New Roman"/>
                <w:sz w:val="24"/>
                <w:szCs w:val="24"/>
              </w:rPr>
            </w:pPr>
            <w:r w:rsidRPr="004823C7">
              <w:rPr>
                <w:rFonts w:ascii="Times New Roman" w:hAnsi="Times New Roman"/>
                <w:sz w:val="24"/>
                <w:szCs w:val="24"/>
              </w:rPr>
              <w:t>Daudzdzīvokļu dzīvojamās ēkas energoefektivitātes paaugstināšanas īstenošanai nepieciešamās t</w:t>
            </w:r>
            <w:r w:rsidRPr="004823C7" w:rsidR="00B949A9">
              <w:rPr>
                <w:rFonts w:ascii="Times New Roman" w:hAnsi="Times New Roman"/>
                <w:sz w:val="24"/>
                <w:szCs w:val="24"/>
              </w:rPr>
              <w:t>ehniskās dokumentācijas sagatavošanas izmaksas var pārsniegt pat 10</w:t>
            </w:r>
            <w:r w:rsidRPr="004823C7">
              <w:rPr>
                <w:rFonts w:ascii="Times New Roman" w:hAnsi="Times New Roman"/>
                <w:sz w:val="24"/>
                <w:szCs w:val="24"/>
              </w:rPr>
              <w:t> </w:t>
            </w:r>
            <w:r w:rsidRPr="004823C7" w:rsidR="00B949A9">
              <w:rPr>
                <w:rFonts w:ascii="Times New Roman" w:hAnsi="Times New Roman"/>
                <w:sz w:val="24"/>
                <w:szCs w:val="24"/>
              </w:rPr>
              <w:t xml:space="preserve">000 </w:t>
            </w:r>
            <w:r w:rsidRPr="004823C7" w:rsidR="002D1DFB">
              <w:rPr>
                <w:rFonts w:ascii="Times New Roman" w:hAnsi="Times New Roman"/>
                <w:sz w:val="24"/>
                <w:szCs w:val="24"/>
              </w:rPr>
              <w:t>EUR</w:t>
            </w:r>
            <w:r w:rsidRPr="004823C7">
              <w:rPr>
                <w:rFonts w:ascii="Times New Roman" w:hAnsi="Times New Roman"/>
                <w:sz w:val="24"/>
                <w:szCs w:val="24"/>
              </w:rPr>
              <w:t>.</w:t>
            </w:r>
            <w:r w:rsidRPr="004823C7" w:rsidR="00B949A9">
              <w:rPr>
                <w:rFonts w:ascii="Times New Roman" w:hAnsi="Times New Roman"/>
                <w:sz w:val="24"/>
                <w:szCs w:val="24"/>
              </w:rPr>
              <w:t xml:space="preserve"> </w:t>
            </w:r>
            <w:r w:rsidRPr="004823C7" w:rsidR="00B40A51">
              <w:rPr>
                <w:rFonts w:ascii="Times New Roman" w:hAnsi="Times New Roman"/>
                <w:sz w:val="24"/>
                <w:szCs w:val="24"/>
              </w:rPr>
              <w:t>Saskaņā ar spēkā esošo MK noteikumu Nr.160 regulējumu šīs izmaksas nav attiecināmas</w:t>
            </w:r>
            <w:r w:rsidRPr="004823C7" w:rsidR="00F40CD0">
              <w:rPr>
                <w:rFonts w:ascii="Times New Roman" w:hAnsi="Times New Roman"/>
                <w:sz w:val="24"/>
                <w:szCs w:val="24"/>
              </w:rPr>
              <w:t>. Tehniskās dokumentācijas izmaksas netika noteiktas kā attiecināmas, jo bija paredzēta aktīvāka pašvaldību iesaiste līdzfinansējuma nodrošināšanā tehniskās dokumentācijas izstrāde</w:t>
            </w:r>
            <w:r w:rsidRPr="004823C7" w:rsidR="00E60C0C">
              <w:rPr>
                <w:rFonts w:ascii="Times New Roman" w:hAnsi="Times New Roman"/>
                <w:sz w:val="24"/>
                <w:szCs w:val="24"/>
              </w:rPr>
              <w:t>i</w:t>
            </w:r>
            <w:r w:rsidRPr="004823C7">
              <w:rPr>
                <w:rFonts w:ascii="Times New Roman" w:hAnsi="Times New Roman"/>
                <w:sz w:val="24"/>
                <w:szCs w:val="24"/>
              </w:rPr>
              <w:t xml:space="preserve">. Virkne pašvaldību ir izstrādājušas individuālas atbalsta programmas, tomēr joprojām lielam skaitam dzīvokļu īpašnieku nav pieejams atbalsts šādu pasākumu īstenošanai, kā arī tiem </w:t>
            </w:r>
            <w:r w:rsidRPr="004823C7" w:rsidR="00B949A9">
              <w:rPr>
                <w:rFonts w:ascii="Times New Roman" w:hAnsi="Times New Roman"/>
                <w:sz w:val="24"/>
                <w:szCs w:val="24"/>
              </w:rPr>
              <w:t xml:space="preserve">šāda apmēra brīvie finansiālie līdzekļi nav pieejami. </w:t>
            </w:r>
          </w:p>
          <w:p w:rsidR="0023000F" w:rsidP="0014604B" w14:paraId="7705BA5F" w14:textId="77777777">
            <w:pPr>
              <w:spacing w:after="0" w:line="240" w:lineRule="auto"/>
              <w:ind w:firstLine="479"/>
              <w:jc w:val="both"/>
              <w:rPr>
                <w:rFonts w:ascii="Times New Roman" w:hAnsi="Times New Roman"/>
                <w:sz w:val="24"/>
                <w:szCs w:val="24"/>
              </w:rPr>
            </w:pPr>
            <w:r w:rsidRPr="004823C7">
              <w:rPr>
                <w:rFonts w:ascii="Times New Roman" w:hAnsi="Times New Roman"/>
                <w:sz w:val="24"/>
                <w:szCs w:val="24"/>
              </w:rPr>
              <w:t>Ņemot vērā, ka t</w:t>
            </w:r>
            <w:r w:rsidRPr="004823C7" w:rsidR="00B949A9">
              <w:rPr>
                <w:rFonts w:ascii="Times New Roman" w:hAnsi="Times New Roman"/>
                <w:sz w:val="24"/>
                <w:szCs w:val="24"/>
              </w:rPr>
              <w:t xml:space="preserve">ehniskās dokumentācijas sagatavošanas izmaksu attiecināšana ļautu </w:t>
            </w:r>
            <w:r w:rsidRPr="004823C7" w:rsidR="00CF722F">
              <w:rPr>
                <w:rFonts w:ascii="Times New Roman" w:hAnsi="Times New Roman"/>
                <w:sz w:val="24"/>
                <w:szCs w:val="24"/>
              </w:rPr>
              <w:t xml:space="preserve">daudzdzīvokļu dzīvojamo māju </w:t>
            </w:r>
            <w:r w:rsidRPr="004823C7" w:rsidR="00B949A9">
              <w:rPr>
                <w:rFonts w:ascii="Times New Roman" w:hAnsi="Times New Roman"/>
                <w:sz w:val="24"/>
                <w:szCs w:val="24"/>
              </w:rPr>
              <w:t>dzīvokļu īpašniekiem vieglāk pieņemt lēmumu par sagatavošanos energoefektivitātes paaugstināšanas darbiem</w:t>
            </w:r>
            <w:r w:rsidRPr="004823C7">
              <w:rPr>
                <w:rFonts w:ascii="Times New Roman" w:hAnsi="Times New Roman"/>
                <w:sz w:val="24"/>
                <w:szCs w:val="24"/>
              </w:rPr>
              <w:t xml:space="preserve">, </w:t>
            </w:r>
            <w:r w:rsidRPr="004823C7" w:rsidR="00826475">
              <w:rPr>
                <w:rFonts w:ascii="Times New Roman" w:hAnsi="Times New Roman"/>
                <w:sz w:val="24"/>
                <w:szCs w:val="24"/>
              </w:rPr>
              <w:t>n</w:t>
            </w:r>
            <w:r w:rsidRPr="004823C7" w:rsidR="009C3DBA">
              <w:rPr>
                <w:rFonts w:ascii="Times New Roman" w:hAnsi="Times New Roman"/>
                <w:sz w:val="24"/>
                <w:szCs w:val="24"/>
              </w:rPr>
              <w:t xml:space="preserve">oteikumu projekts paredz, ka MK noteikumu Nr.160 39.2., 39.3., 39.4. un 39.5. apakšpunktā norādītās izmaksas tiek noteiktas </w:t>
            </w:r>
            <w:r w:rsidRPr="004823C7" w:rsidR="00EB4FEF">
              <w:rPr>
                <w:rFonts w:ascii="Times New Roman" w:hAnsi="Times New Roman"/>
                <w:sz w:val="24"/>
                <w:szCs w:val="24"/>
              </w:rPr>
              <w:t xml:space="preserve">kā </w:t>
            </w:r>
            <w:r w:rsidRPr="004823C7" w:rsidR="009C3DBA">
              <w:rPr>
                <w:rFonts w:ascii="Times New Roman" w:hAnsi="Times New Roman"/>
                <w:sz w:val="24"/>
                <w:szCs w:val="24"/>
              </w:rPr>
              <w:t>attiecināmā</w:t>
            </w:r>
            <w:r w:rsidRPr="004823C7" w:rsidR="00EB4FEF">
              <w:rPr>
                <w:rFonts w:ascii="Times New Roman" w:hAnsi="Times New Roman"/>
                <w:sz w:val="24"/>
                <w:szCs w:val="24"/>
              </w:rPr>
              <w:t>s</w:t>
            </w:r>
            <w:r w:rsidRPr="004823C7" w:rsidR="009C3DBA">
              <w:rPr>
                <w:rFonts w:ascii="Times New Roman" w:hAnsi="Times New Roman"/>
                <w:sz w:val="24"/>
                <w:szCs w:val="24"/>
              </w:rPr>
              <w:t xml:space="preserve"> izmaks</w:t>
            </w:r>
            <w:r w:rsidRPr="004823C7" w:rsidR="00EB4FEF">
              <w:rPr>
                <w:rFonts w:ascii="Times New Roman" w:hAnsi="Times New Roman"/>
                <w:sz w:val="24"/>
                <w:szCs w:val="24"/>
              </w:rPr>
              <w:t>as</w:t>
            </w:r>
            <w:r w:rsidRPr="004823C7" w:rsidR="009C3DBA">
              <w:rPr>
                <w:rFonts w:ascii="Times New Roman" w:hAnsi="Times New Roman"/>
                <w:sz w:val="24"/>
                <w:szCs w:val="24"/>
              </w:rPr>
              <w:t>. Papildus tiek noteikts, ka t</w:t>
            </w:r>
            <w:r w:rsidRPr="004823C7">
              <w:rPr>
                <w:rFonts w:ascii="Times New Roman" w:hAnsi="Times New Roman"/>
                <w:sz w:val="24"/>
                <w:szCs w:val="24"/>
              </w:rPr>
              <w:t>ehniskā</w:t>
            </w:r>
            <w:r w:rsidRPr="004823C7" w:rsidR="00EB4FEF">
              <w:rPr>
                <w:rFonts w:ascii="Times New Roman" w:hAnsi="Times New Roman"/>
                <w:sz w:val="24"/>
                <w:szCs w:val="24"/>
              </w:rPr>
              <w:t>s</w:t>
            </w:r>
            <w:r w:rsidRPr="004823C7">
              <w:rPr>
                <w:rFonts w:ascii="Times New Roman" w:hAnsi="Times New Roman"/>
                <w:sz w:val="24"/>
                <w:szCs w:val="24"/>
              </w:rPr>
              <w:t xml:space="preserve"> dokumentācija</w:t>
            </w:r>
            <w:r w:rsidRPr="004823C7" w:rsidR="005E5100">
              <w:rPr>
                <w:rFonts w:ascii="Times New Roman" w:hAnsi="Times New Roman"/>
                <w:sz w:val="24"/>
                <w:szCs w:val="24"/>
              </w:rPr>
              <w:t>s</w:t>
            </w:r>
            <w:r w:rsidRPr="004823C7">
              <w:rPr>
                <w:rFonts w:ascii="Times New Roman" w:hAnsi="Times New Roman"/>
                <w:sz w:val="24"/>
                <w:szCs w:val="24"/>
              </w:rPr>
              <w:t>, autoruzraudzība</w:t>
            </w:r>
            <w:r w:rsidRPr="004823C7" w:rsidR="005E5100">
              <w:rPr>
                <w:rFonts w:ascii="Times New Roman" w:hAnsi="Times New Roman"/>
                <w:sz w:val="24"/>
                <w:szCs w:val="24"/>
              </w:rPr>
              <w:t>s</w:t>
            </w:r>
            <w:r w:rsidRPr="004823C7">
              <w:rPr>
                <w:rFonts w:ascii="Times New Roman" w:hAnsi="Times New Roman"/>
                <w:sz w:val="24"/>
                <w:szCs w:val="24"/>
              </w:rPr>
              <w:t xml:space="preserve"> un būvuzraudzība</w:t>
            </w:r>
            <w:r w:rsidRPr="004823C7" w:rsidR="005E5100">
              <w:rPr>
                <w:rFonts w:ascii="Times New Roman" w:hAnsi="Times New Roman"/>
                <w:sz w:val="24"/>
                <w:szCs w:val="24"/>
              </w:rPr>
              <w:t>s izmaksas</w:t>
            </w:r>
            <w:r w:rsidRPr="004823C7">
              <w:rPr>
                <w:rFonts w:ascii="Times New Roman" w:hAnsi="Times New Roman"/>
                <w:sz w:val="24"/>
                <w:szCs w:val="24"/>
              </w:rPr>
              <w:t xml:space="preserve"> nepārsniedz 10 % no būvniecības pakalpojuma līguma vai </w:t>
            </w:r>
            <w:r w:rsidRPr="004823C7" w:rsidR="00083975">
              <w:rPr>
                <w:rFonts w:ascii="Times New Roman" w:hAnsi="Times New Roman"/>
                <w:sz w:val="24"/>
                <w:szCs w:val="24"/>
              </w:rPr>
              <w:t xml:space="preserve">būvniecības pakalpojumu </w:t>
            </w:r>
            <w:r w:rsidRPr="004823C7">
              <w:rPr>
                <w:rFonts w:ascii="Times New Roman" w:hAnsi="Times New Roman"/>
                <w:sz w:val="24"/>
                <w:szCs w:val="24"/>
              </w:rPr>
              <w:t>līgum</w:t>
            </w:r>
            <w:r w:rsidRPr="004823C7" w:rsidR="00962C95">
              <w:rPr>
                <w:rFonts w:ascii="Times New Roman" w:hAnsi="Times New Roman"/>
                <w:sz w:val="24"/>
                <w:szCs w:val="24"/>
              </w:rPr>
              <w:t>u</w:t>
            </w:r>
            <w:r w:rsidRPr="004823C7">
              <w:rPr>
                <w:rFonts w:ascii="Times New Roman" w:hAnsi="Times New Roman"/>
                <w:sz w:val="24"/>
                <w:szCs w:val="24"/>
              </w:rPr>
              <w:t xml:space="preserve"> summas.</w:t>
            </w:r>
            <w:r w:rsidRPr="004823C7" w:rsidR="009C3DBA">
              <w:rPr>
                <w:rFonts w:ascii="Times New Roman" w:hAnsi="Times New Roman"/>
                <w:sz w:val="24"/>
                <w:szCs w:val="24"/>
              </w:rPr>
              <w:t xml:space="preserve"> </w:t>
            </w:r>
            <w:r w:rsidRPr="004823C7">
              <w:rPr>
                <w:rFonts w:ascii="Times New Roman" w:hAnsi="Times New Roman"/>
                <w:sz w:val="24"/>
                <w:szCs w:val="24"/>
              </w:rPr>
              <w:t xml:space="preserve">Tehniskās dokumentācijas izmaksas </w:t>
            </w:r>
            <w:r w:rsidRPr="004823C7">
              <w:rPr>
                <w:rFonts w:ascii="Times New Roman" w:hAnsi="Times New Roman"/>
                <w:sz w:val="24"/>
                <w:szCs w:val="24"/>
              </w:rPr>
              <w:t xml:space="preserve">būs </w:t>
            </w:r>
            <w:r w:rsidRPr="004823C7">
              <w:rPr>
                <w:rFonts w:ascii="Times New Roman" w:hAnsi="Times New Roman"/>
                <w:sz w:val="24"/>
                <w:szCs w:val="24"/>
              </w:rPr>
              <w:t>attiecinām</w:t>
            </w:r>
            <w:r w:rsidRPr="004823C7" w:rsidR="00EB4FEF">
              <w:rPr>
                <w:rFonts w:ascii="Times New Roman" w:hAnsi="Times New Roman"/>
                <w:sz w:val="24"/>
                <w:szCs w:val="24"/>
              </w:rPr>
              <w:t>a</w:t>
            </w:r>
            <w:r w:rsidRPr="004823C7">
              <w:rPr>
                <w:rFonts w:ascii="Times New Roman" w:hAnsi="Times New Roman"/>
                <w:sz w:val="24"/>
                <w:szCs w:val="24"/>
              </w:rPr>
              <w:t xml:space="preserve">s energoefektivitātes paaugstināšanas </w:t>
            </w:r>
            <w:r w:rsidRPr="004823C7" w:rsidR="00EB4FEF">
              <w:rPr>
                <w:rFonts w:ascii="Times New Roman" w:hAnsi="Times New Roman"/>
                <w:sz w:val="24"/>
                <w:szCs w:val="24"/>
              </w:rPr>
              <w:t>projektiem</w:t>
            </w:r>
            <w:r w:rsidRPr="004823C7">
              <w:rPr>
                <w:rFonts w:ascii="Times New Roman" w:hAnsi="Times New Roman"/>
                <w:sz w:val="24"/>
                <w:szCs w:val="24"/>
              </w:rPr>
              <w:t>, kas sabiedrīb</w:t>
            </w:r>
            <w:r w:rsidRPr="004823C7" w:rsidR="003558C3">
              <w:rPr>
                <w:rFonts w:ascii="Times New Roman" w:hAnsi="Times New Roman"/>
                <w:sz w:val="24"/>
                <w:szCs w:val="24"/>
              </w:rPr>
              <w:t>ā</w:t>
            </w:r>
            <w:r w:rsidRPr="004823C7" w:rsidR="00520855">
              <w:rPr>
                <w:rFonts w:ascii="Times New Roman" w:hAnsi="Times New Roman"/>
                <w:sz w:val="24"/>
                <w:szCs w:val="24"/>
              </w:rPr>
              <w:t xml:space="preserve"> </w:t>
            </w:r>
            <w:r w:rsidRPr="004823C7" w:rsidR="002B4C6E">
              <w:rPr>
                <w:rFonts w:ascii="Times New Roman" w:hAnsi="Times New Roman"/>
                <w:sz w:val="24"/>
                <w:szCs w:val="24"/>
              </w:rPr>
              <w:t xml:space="preserve">"Altum" </w:t>
            </w:r>
            <w:r w:rsidRPr="004823C7" w:rsidR="00826475">
              <w:rPr>
                <w:rFonts w:ascii="Times New Roman" w:hAnsi="Times New Roman"/>
                <w:sz w:val="24"/>
                <w:szCs w:val="24"/>
              </w:rPr>
              <w:t xml:space="preserve">tiks </w:t>
            </w:r>
            <w:r w:rsidRPr="004823C7">
              <w:rPr>
                <w:rFonts w:ascii="Times New Roman" w:hAnsi="Times New Roman"/>
                <w:sz w:val="24"/>
                <w:szCs w:val="24"/>
              </w:rPr>
              <w:t xml:space="preserve">iesniegti no 2018. gada </w:t>
            </w:r>
            <w:r w:rsidRPr="004823C7" w:rsidR="00D91C87">
              <w:rPr>
                <w:rFonts w:ascii="Times New Roman" w:hAnsi="Times New Roman"/>
                <w:sz w:val="24"/>
                <w:szCs w:val="24"/>
              </w:rPr>
              <w:t xml:space="preserve">1. </w:t>
            </w:r>
            <w:r w:rsidRPr="004823C7">
              <w:rPr>
                <w:rFonts w:ascii="Times New Roman" w:hAnsi="Times New Roman"/>
                <w:sz w:val="24"/>
                <w:szCs w:val="24"/>
              </w:rPr>
              <w:t>janvāra</w:t>
            </w:r>
            <w:r w:rsidRPr="004823C7" w:rsidR="00441BEA">
              <w:rPr>
                <w:rFonts w:ascii="Times New Roman" w:hAnsi="Times New Roman"/>
                <w:sz w:val="24"/>
                <w:szCs w:val="24"/>
              </w:rPr>
              <w:t>, bet izmaksas var būt radušās jau projektiem, kas šobrīd tiek gatavoti – no 2017.gada 1.janvāra</w:t>
            </w:r>
            <w:r w:rsidRPr="004823C7">
              <w:rPr>
                <w:rFonts w:ascii="Times New Roman" w:hAnsi="Times New Roman"/>
                <w:sz w:val="24"/>
                <w:szCs w:val="24"/>
              </w:rPr>
              <w:t>.</w:t>
            </w:r>
          </w:p>
          <w:p w:rsidR="00973493" w:rsidP="00973493" w14:paraId="1F3D13C6" w14:textId="1DF85CF2">
            <w:pPr>
              <w:spacing w:after="0" w:line="240" w:lineRule="auto"/>
              <w:ind w:firstLine="479"/>
              <w:jc w:val="both"/>
              <w:rPr>
                <w:rFonts w:ascii="Times New Roman" w:hAnsi="Times New Roman"/>
                <w:sz w:val="24"/>
                <w:szCs w:val="24"/>
              </w:rPr>
            </w:pPr>
            <w:r w:rsidRPr="00260BEE">
              <w:rPr>
                <w:rFonts w:ascii="Times New Roman" w:hAnsi="Times New Roman"/>
                <w:sz w:val="24"/>
                <w:szCs w:val="24"/>
              </w:rPr>
              <w:t>Ņemot vērā, ka Latvijā ir pašvaldības, kas  izstrādājušas individuālas atbalsta programmas daudzdzīvokļu dzīvojamo māju energoefektivitātes paaugstināšanas pasākumu līdzfinansēšanai, sabiedrība "Altum" uzraudzīs, ka projektu īstenošanas gaitā neiestājas dubultā finansējuma risks. Tiks papildināta iesniegumu veidlapa, kurā pilnvarotajai personai būs jāapliecina dubultā finansējuma neesamība.</w:t>
            </w:r>
            <w:r w:rsidR="00C46E2D">
              <w:rPr>
                <w:rFonts w:ascii="Times New Roman" w:hAnsi="Times New Roman"/>
                <w:sz w:val="24"/>
                <w:szCs w:val="24"/>
              </w:rPr>
              <w:t xml:space="preserve"> </w:t>
            </w:r>
            <w:r w:rsidR="00260BEE">
              <w:rPr>
                <w:rFonts w:ascii="Times New Roman" w:hAnsi="Times New Roman"/>
                <w:sz w:val="24"/>
                <w:szCs w:val="24"/>
              </w:rPr>
              <w:t xml:space="preserve">Gadījumos, kad dzīvokļu īpašnieki velēsies saņemt kompensāciju par jau veiktajām izmaksām (piemēram, tehniskā projekta sagatavošanu), pilnvarotajai personai būs papildus jāiesniedz apliecinājums, ka konkrētās mājas projektā nav ticis ieguldīts pašvaldības finansējums. </w:t>
            </w:r>
          </w:p>
          <w:p w:rsidR="00FA2A7A" w:rsidRPr="004823C7" w:rsidP="003569B8" w14:paraId="7424C472" w14:textId="77777777">
            <w:pPr>
              <w:spacing w:after="0" w:line="240" w:lineRule="auto"/>
              <w:jc w:val="both"/>
              <w:rPr>
                <w:rFonts w:ascii="Times New Roman" w:hAnsi="Times New Roman"/>
                <w:sz w:val="24"/>
                <w:szCs w:val="24"/>
              </w:rPr>
            </w:pPr>
          </w:p>
          <w:p w:rsidR="005F1E15" w:rsidRPr="004823C7" w:rsidP="006F55DB" w14:paraId="41914C17" w14:textId="77777777">
            <w:pPr>
              <w:numPr>
                <w:ilvl w:val="0"/>
                <w:numId w:val="1"/>
              </w:numPr>
              <w:tabs>
                <w:tab w:val="left" w:pos="260"/>
              </w:tabs>
              <w:spacing w:after="0" w:line="240" w:lineRule="auto"/>
              <w:ind w:left="0" w:firstLine="0"/>
              <w:jc w:val="both"/>
              <w:rPr>
                <w:rFonts w:ascii="Times New Roman" w:hAnsi="Times New Roman"/>
              </w:rPr>
            </w:pPr>
            <w:r w:rsidRPr="004823C7">
              <w:rPr>
                <w:rFonts w:ascii="Times New Roman" w:hAnsi="Times New Roman"/>
                <w:b/>
                <w:i/>
                <w:sz w:val="24"/>
                <w:szCs w:val="24"/>
                <w:u w:val="single"/>
              </w:rPr>
              <w:t>Precizēt</w:t>
            </w:r>
            <w:r w:rsidRPr="004823C7" w:rsidR="00642623">
              <w:rPr>
                <w:rFonts w:ascii="Times New Roman" w:hAnsi="Times New Roman"/>
                <w:b/>
                <w:i/>
                <w:sz w:val="24"/>
                <w:szCs w:val="24"/>
                <w:u w:val="single"/>
              </w:rPr>
              <w:t xml:space="preserve"> energoefektivitātes paaugstināšanas pasākumu vadīšanas izmaks</w:t>
            </w:r>
            <w:r w:rsidRPr="004823C7">
              <w:rPr>
                <w:rFonts w:ascii="Times New Roman" w:hAnsi="Times New Roman"/>
                <w:b/>
                <w:i/>
                <w:sz w:val="24"/>
                <w:szCs w:val="24"/>
                <w:u w:val="single"/>
              </w:rPr>
              <w:t>u attiecināšanas nosacījumus.</w:t>
            </w:r>
          </w:p>
          <w:p w:rsidR="00083A23" w:rsidRPr="004823C7" w:rsidP="00993F07" w14:paraId="7E20DFCD" w14:textId="77777777">
            <w:pPr>
              <w:spacing w:after="0" w:line="240" w:lineRule="auto"/>
              <w:ind w:firstLine="479"/>
              <w:jc w:val="both"/>
              <w:rPr>
                <w:rFonts w:ascii="Times New Roman" w:hAnsi="Times New Roman"/>
                <w:sz w:val="24"/>
                <w:szCs w:val="24"/>
              </w:rPr>
            </w:pPr>
            <w:r w:rsidRPr="004823C7">
              <w:rPr>
                <w:rFonts w:ascii="Times New Roman" w:hAnsi="Times New Roman"/>
                <w:sz w:val="24"/>
                <w:szCs w:val="24"/>
              </w:rPr>
              <w:t xml:space="preserve">Noteikumu projekts paredz, ka </w:t>
            </w:r>
            <w:r w:rsidRPr="004823C7" w:rsidR="007725CD">
              <w:rPr>
                <w:rFonts w:ascii="Times New Roman" w:hAnsi="Times New Roman"/>
                <w:sz w:val="24"/>
                <w:szCs w:val="24"/>
              </w:rPr>
              <w:t>piln</w:t>
            </w:r>
            <w:r w:rsidRPr="004823C7" w:rsidR="005C7438">
              <w:rPr>
                <w:rFonts w:ascii="Times New Roman" w:hAnsi="Times New Roman"/>
                <w:sz w:val="24"/>
                <w:szCs w:val="24"/>
              </w:rPr>
              <w:t>varotās personas</w:t>
            </w:r>
            <w:r w:rsidRPr="004823C7" w:rsidR="003F0E8E">
              <w:rPr>
                <w:rFonts w:ascii="Times New Roman" w:hAnsi="Times New Roman"/>
                <w:sz w:val="24"/>
                <w:szCs w:val="24"/>
              </w:rPr>
              <w:t xml:space="preserve"> energoefektivitātes </w:t>
            </w:r>
            <w:r w:rsidRPr="004823C7" w:rsidR="000D5DEB">
              <w:rPr>
                <w:rFonts w:ascii="Times New Roman" w:hAnsi="Times New Roman"/>
                <w:sz w:val="24"/>
                <w:szCs w:val="24"/>
              </w:rPr>
              <w:t>paaugstināšanas</w:t>
            </w:r>
            <w:r w:rsidRPr="004823C7" w:rsidR="003F0E8E">
              <w:rPr>
                <w:rFonts w:ascii="Times New Roman" w:hAnsi="Times New Roman"/>
                <w:sz w:val="24"/>
                <w:szCs w:val="24"/>
              </w:rPr>
              <w:t xml:space="preserve"> projektā var slēgt </w:t>
            </w:r>
            <w:r w:rsidRPr="004823C7" w:rsidR="00F243EC">
              <w:rPr>
                <w:rFonts w:ascii="Times New Roman" w:hAnsi="Times New Roman"/>
                <w:sz w:val="24"/>
                <w:szCs w:val="24"/>
              </w:rPr>
              <w:t xml:space="preserve">arī </w:t>
            </w:r>
            <w:r w:rsidRPr="004823C7" w:rsidR="003F0E8E">
              <w:rPr>
                <w:rFonts w:ascii="Times New Roman" w:hAnsi="Times New Roman"/>
                <w:sz w:val="24"/>
                <w:szCs w:val="24"/>
              </w:rPr>
              <w:t xml:space="preserve">uzņēmuma </w:t>
            </w:r>
            <w:r w:rsidRPr="004823C7" w:rsidR="003F2464">
              <w:rPr>
                <w:rFonts w:ascii="Times New Roman" w:hAnsi="Times New Roman"/>
                <w:sz w:val="24"/>
                <w:szCs w:val="24"/>
              </w:rPr>
              <w:t xml:space="preserve"> vai pakalpojuma </w:t>
            </w:r>
            <w:r w:rsidRPr="004823C7" w:rsidR="003F0E8E">
              <w:rPr>
                <w:rFonts w:ascii="Times New Roman" w:hAnsi="Times New Roman"/>
                <w:sz w:val="24"/>
                <w:szCs w:val="24"/>
              </w:rPr>
              <w:t xml:space="preserve">līgumus par </w:t>
            </w:r>
            <w:r w:rsidRPr="004823C7" w:rsidR="000D5DEB">
              <w:rPr>
                <w:rFonts w:ascii="Times New Roman" w:hAnsi="Times New Roman"/>
                <w:sz w:val="24"/>
                <w:szCs w:val="24"/>
              </w:rPr>
              <w:t>energoefektivitātes pasākuma vadīšanu</w:t>
            </w:r>
            <w:r w:rsidRPr="004823C7" w:rsidR="003F0E8E">
              <w:rPr>
                <w:rFonts w:ascii="Times New Roman" w:hAnsi="Times New Roman"/>
                <w:sz w:val="24"/>
                <w:szCs w:val="24"/>
              </w:rPr>
              <w:t>. Ņemot vērā, ka daudzdzīvokļu</w:t>
            </w:r>
            <w:r w:rsidRPr="004823C7" w:rsidR="00F1096B">
              <w:rPr>
                <w:rFonts w:ascii="Times New Roman" w:hAnsi="Times New Roman"/>
                <w:sz w:val="24"/>
                <w:szCs w:val="24"/>
              </w:rPr>
              <w:t xml:space="preserve"> dzīvojamo</w:t>
            </w:r>
            <w:r w:rsidRPr="004823C7" w:rsidR="003F0E8E">
              <w:rPr>
                <w:rFonts w:ascii="Times New Roman" w:hAnsi="Times New Roman"/>
                <w:sz w:val="24"/>
                <w:szCs w:val="24"/>
              </w:rPr>
              <w:t xml:space="preserve"> māju namu pārvaldniekiem ir ierobežota </w:t>
            </w:r>
            <w:r w:rsidRPr="004823C7" w:rsidR="000D5DEB">
              <w:rPr>
                <w:rFonts w:ascii="Times New Roman" w:hAnsi="Times New Roman"/>
                <w:sz w:val="24"/>
                <w:szCs w:val="24"/>
              </w:rPr>
              <w:t xml:space="preserve">darbinieku </w:t>
            </w:r>
            <w:r w:rsidRPr="004823C7" w:rsidR="003F0E8E">
              <w:rPr>
                <w:rFonts w:ascii="Times New Roman" w:hAnsi="Times New Roman"/>
                <w:sz w:val="24"/>
                <w:szCs w:val="24"/>
              </w:rPr>
              <w:t xml:space="preserve">kapacitāte, </w:t>
            </w:r>
            <w:r w:rsidRPr="004823C7" w:rsidR="00826475">
              <w:rPr>
                <w:rFonts w:ascii="Times New Roman" w:hAnsi="Times New Roman"/>
                <w:sz w:val="24"/>
                <w:szCs w:val="24"/>
              </w:rPr>
              <w:t xml:space="preserve">iespēja </w:t>
            </w:r>
            <w:r w:rsidRPr="004823C7" w:rsidR="00170BEF">
              <w:rPr>
                <w:rFonts w:ascii="Times New Roman" w:hAnsi="Times New Roman"/>
                <w:sz w:val="24"/>
                <w:szCs w:val="24"/>
              </w:rPr>
              <w:t>piesaistīt speciālistus izmantojot uzņēmuma līgumu</w:t>
            </w:r>
            <w:r w:rsidRPr="004823C7" w:rsidR="003F0E8E">
              <w:rPr>
                <w:rFonts w:ascii="Times New Roman" w:hAnsi="Times New Roman"/>
                <w:sz w:val="24"/>
                <w:szCs w:val="24"/>
              </w:rPr>
              <w:t xml:space="preserve"> </w:t>
            </w:r>
            <w:r w:rsidRPr="004823C7">
              <w:rPr>
                <w:rFonts w:ascii="Times New Roman" w:hAnsi="Times New Roman"/>
                <w:sz w:val="24"/>
                <w:szCs w:val="24"/>
              </w:rPr>
              <w:t xml:space="preserve">vai pakalpojuma līgumu </w:t>
            </w:r>
            <w:r w:rsidRPr="004823C7" w:rsidR="00170BEF">
              <w:rPr>
                <w:rFonts w:ascii="Times New Roman" w:hAnsi="Times New Roman"/>
                <w:sz w:val="24"/>
                <w:szCs w:val="24"/>
              </w:rPr>
              <w:t>padarī</w:t>
            </w:r>
            <w:r w:rsidRPr="004823C7" w:rsidR="00826475">
              <w:rPr>
                <w:rFonts w:ascii="Times New Roman" w:hAnsi="Times New Roman"/>
                <w:sz w:val="24"/>
                <w:szCs w:val="24"/>
              </w:rPr>
              <w:t>s</w:t>
            </w:r>
            <w:r w:rsidRPr="004823C7" w:rsidR="00170BEF">
              <w:rPr>
                <w:rFonts w:ascii="Times New Roman" w:hAnsi="Times New Roman"/>
                <w:sz w:val="24"/>
                <w:szCs w:val="24"/>
              </w:rPr>
              <w:t xml:space="preserve"> </w:t>
            </w:r>
            <w:r w:rsidRPr="004823C7" w:rsidR="00170BEF">
              <w:rPr>
                <w:rFonts w:ascii="Times New Roman" w:hAnsi="Times New Roman"/>
                <w:sz w:val="24"/>
                <w:szCs w:val="24"/>
              </w:rPr>
              <w:t>projektu vadības procesu elastīgāku un atvieglo</w:t>
            </w:r>
            <w:r w:rsidRPr="004823C7" w:rsidR="00826475">
              <w:rPr>
                <w:rFonts w:ascii="Times New Roman" w:hAnsi="Times New Roman"/>
                <w:sz w:val="24"/>
                <w:szCs w:val="24"/>
              </w:rPr>
              <w:t>s</w:t>
            </w:r>
            <w:r w:rsidRPr="004823C7" w:rsidR="00170BEF">
              <w:rPr>
                <w:rFonts w:ascii="Times New Roman" w:hAnsi="Times New Roman"/>
                <w:sz w:val="24"/>
                <w:szCs w:val="24"/>
              </w:rPr>
              <w:t xml:space="preserve"> administratīvos procesus.</w:t>
            </w:r>
          </w:p>
          <w:p w:rsidR="004A58B9" w:rsidP="008E5003" w14:paraId="6C5F39FD" w14:textId="2274EA92">
            <w:pPr>
              <w:spacing w:line="240" w:lineRule="auto"/>
              <w:ind w:firstLine="479"/>
              <w:jc w:val="both"/>
              <w:rPr>
                <w:rFonts w:ascii="Times New Roman" w:hAnsi="Times New Roman"/>
                <w:sz w:val="24"/>
                <w:szCs w:val="24"/>
              </w:rPr>
            </w:pPr>
            <w:r w:rsidRPr="004823C7">
              <w:rPr>
                <w:rFonts w:ascii="Times New Roman" w:hAnsi="Times New Roman"/>
                <w:sz w:val="24"/>
                <w:szCs w:val="24"/>
              </w:rPr>
              <w:t>Savukārt, l</w:t>
            </w:r>
            <w:r w:rsidRPr="004823C7" w:rsidR="005C7438">
              <w:rPr>
                <w:rFonts w:ascii="Times New Roman" w:hAnsi="Times New Roman"/>
                <w:sz w:val="24"/>
                <w:szCs w:val="24"/>
              </w:rPr>
              <w:t xml:space="preserve">ai ierobežotu </w:t>
            </w:r>
            <w:r w:rsidRPr="004823C7" w:rsidR="00DF0AB6">
              <w:rPr>
                <w:rFonts w:ascii="Times New Roman" w:hAnsi="Times New Roman"/>
                <w:sz w:val="24"/>
                <w:szCs w:val="24"/>
              </w:rPr>
              <w:t xml:space="preserve">energoefektivitātes </w:t>
            </w:r>
            <w:r w:rsidRPr="004823C7" w:rsidR="005C7438">
              <w:rPr>
                <w:rFonts w:ascii="Times New Roman" w:hAnsi="Times New Roman"/>
                <w:sz w:val="24"/>
                <w:szCs w:val="24"/>
              </w:rPr>
              <w:t>pasākum</w:t>
            </w:r>
            <w:r w:rsidRPr="004823C7" w:rsidR="00DF0AB6">
              <w:rPr>
                <w:rFonts w:ascii="Times New Roman" w:hAnsi="Times New Roman"/>
                <w:sz w:val="24"/>
                <w:szCs w:val="24"/>
              </w:rPr>
              <w:t>a</w:t>
            </w:r>
            <w:r w:rsidRPr="004823C7" w:rsidR="005C7438">
              <w:rPr>
                <w:rFonts w:ascii="Times New Roman" w:hAnsi="Times New Roman"/>
                <w:sz w:val="24"/>
                <w:szCs w:val="24"/>
              </w:rPr>
              <w:t xml:space="preserve"> vadīšanas izmaksu apmēru energoefektivitātes projektā, tiek noteikts 3% ierobežojums vadības izmaksām no energoefektivitātes paaugstināšanas pasākuma kopējām attiecināmajām izmaksām.</w:t>
            </w:r>
            <w:r w:rsidRPr="004823C7" w:rsidR="00170BEF">
              <w:rPr>
                <w:rFonts w:ascii="Times New Roman" w:hAnsi="Times New Roman"/>
                <w:sz w:val="24"/>
                <w:szCs w:val="24"/>
              </w:rPr>
              <w:t xml:space="preserve"> </w:t>
            </w:r>
            <w:r w:rsidRPr="004823C7" w:rsidR="00712AED">
              <w:rPr>
                <w:rFonts w:ascii="Times New Roman" w:hAnsi="Times New Roman"/>
                <w:sz w:val="24"/>
                <w:szCs w:val="24"/>
              </w:rPr>
              <w:t xml:space="preserve">Šādu ierobežojumu sabiedrība </w:t>
            </w:r>
            <w:r w:rsidR="00953B1C">
              <w:rPr>
                <w:rFonts w:ascii="Times New Roman" w:hAnsi="Times New Roman"/>
                <w:sz w:val="24"/>
                <w:szCs w:val="24"/>
              </w:rPr>
              <w:t>"</w:t>
            </w:r>
            <w:r w:rsidRPr="004823C7" w:rsidR="00712AED">
              <w:rPr>
                <w:rFonts w:ascii="Times New Roman" w:hAnsi="Times New Roman"/>
                <w:sz w:val="24"/>
                <w:szCs w:val="24"/>
              </w:rPr>
              <w:t>Altum</w:t>
            </w:r>
            <w:r w:rsidR="00953B1C">
              <w:rPr>
                <w:rFonts w:ascii="Times New Roman" w:hAnsi="Times New Roman"/>
                <w:sz w:val="24"/>
                <w:szCs w:val="24"/>
              </w:rPr>
              <w:t>"</w:t>
            </w:r>
            <w:r w:rsidRPr="004823C7" w:rsidR="00712AED">
              <w:rPr>
                <w:rFonts w:ascii="Times New Roman" w:hAnsi="Times New Roman"/>
                <w:sz w:val="24"/>
                <w:szCs w:val="24"/>
              </w:rPr>
              <w:t xml:space="preserve"> jau sākotnēji ir noteikusi savos </w:t>
            </w:r>
            <w:r w:rsidRPr="004823C7" w:rsidR="00083A23">
              <w:rPr>
                <w:rFonts w:ascii="Times New Roman" w:hAnsi="Times New Roman"/>
                <w:sz w:val="24"/>
                <w:szCs w:val="24"/>
              </w:rPr>
              <w:t xml:space="preserve">iekšējos </w:t>
            </w:r>
            <w:r w:rsidRPr="004823C7" w:rsidR="00712AED">
              <w:rPr>
                <w:rFonts w:ascii="Times New Roman" w:hAnsi="Times New Roman"/>
                <w:sz w:val="24"/>
                <w:szCs w:val="24"/>
              </w:rPr>
              <w:t xml:space="preserve">normatīvajos dokumentos, par to informējot </w:t>
            </w:r>
            <w:r w:rsidRPr="004823C7" w:rsidR="00083A23">
              <w:rPr>
                <w:rFonts w:ascii="Times New Roman" w:hAnsi="Times New Roman"/>
                <w:sz w:val="24"/>
                <w:szCs w:val="24"/>
              </w:rPr>
              <w:t>gan</w:t>
            </w:r>
            <w:r w:rsidRPr="004823C7" w:rsidR="00712AED">
              <w:rPr>
                <w:rFonts w:ascii="Times New Roman" w:hAnsi="Times New Roman"/>
                <w:sz w:val="24"/>
                <w:szCs w:val="24"/>
              </w:rPr>
              <w:t xml:space="preserve"> esošos un potenciālos proje</w:t>
            </w:r>
            <w:r w:rsidRPr="004823C7" w:rsidR="000E44A6">
              <w:rPr>
                <w:rFonts w:ascii="Times New Roman" w:hAnsi="Times New Roman"/>
                <w:sz w:val="24"/>
                <w:szCs w:val="24"/>
              </w:rPr>
              <w:t>ktu īstenotājus, tādejādi projektu īstenotājiem netiek izvirzītas jaunas prasības</w:t>
            </w:r>
            <w:r w:rsidRPr="004A58B9" w:rsidR="000E44A6">
              <w:rPr>
                <w:rFonts w:ascii="Times New Roman" w:hAnsi="Times New Roman"/>
                <w:sz w:val="24"/>
                <w:szCs w:val="24"/>
              </w:rPr>
              <w:t>.</w:t>
            </w:r>
            <w:r w:rsidRPr="004A58B9">
              <w:rPr>
                <w:rFonts w:ascii="Times New Roman" w:hAnsi="Times New Roman"/>
                <w:sz w:val="24"/>
                <w:szCs w:val="24"/>
              </w:rPr>
              <w:t xml:space="preserve"> </w:t>
            </w:r>
          </w:p>
          <w:p w:rsidR="008E5003" w:rsidP="008E5003" w14:paraId="47BE5587" w14:textId="3578B9B1">
            <w:pPr>
              <w:spacing w:line="240" w:lineRule="auto"/>
              <w:ind w:firstLine="479"/>
              <w:jc w:val="both"/>
              <w:rPr>
                <w:rFonts w:ascii="Times New Roman" w:hAnsi="Times New Roman"/>
                <w:sz w:val="24"/>
                <w:szCs w:val="24"/>
              </w:rPr>
            </w:pPr>
            <w:r>
              <w:rPr>
                <w:rFonts w:ascii="Times New Roman" w:hAnsi="Times New Roman"/>
                <w:sz w:val="24"/>
                <w:szCs w:val="24"/>
              </w:rPr>
              <w:t>Slēdzot darba, uzņēmuma vai pakalpojuma līgumus, ir attiecināmas šādas izmaksas:</w:t>
            </w:r>
          </w:p>
          <w:tbl>
            <w:tblPr>
              <w:tblW w:w="6616" w:type="dxa"/>
              <w:tblLayout w:type="fixed"/>
              <w:tblCellMar>
                <w:left w:w="0" w:type="dxa"/>
                <w:right w:w="0" w:type="dxa"/>
              </w:tblCellMar>
              <w:tblLook w:val="04A0"/>
            </w:tblPr>
            <w:tblGrid>
              <w:gridCol w:w="1513"/>
              <w:gridCol w:w="5103"/>
            </w:tblGrid>
            <w:tr w14:paraId="59DC18E9" w14:textId="77777777" w:rsidTr="001B0394">
              <w:tblPrEx>
                <w:tblW w:w="6616" w:type="dxa"/>
                <w:tblLayout w:type="fixed"/>
                <w:tblCellMar>
                  <w:left w:w="0" w:type="dxa"/>
                  <w:right w:w="0" w:type="dxa"/>
                </w:tblCellMar>
                <w:tblLook w:val="04A0"/>
              </w:tblPrEx>
              <w:trPr>
                <w:trHeight w:val="582"/>
              </w:trPr>
              <w:tc>
                <w:tcPr>
                  <w:tcW w:w="1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236" w:rsidRPr="004A58B9" w:rsidP="00A83236" w14:paraId="0FDA1529" w14:textId="7A57A832">
                  <w:pPr>
                    <w:jc w:val="center"/>
                    <w:rPr>
                      <w:rFonts w:ascii="Times New Roman" w:hAnsi="Times New Roman"/>
                    </w:rPr>
                  </w:pPr>
                  <w:r>
                    <w:rPr>
                      <w:rFonts w:ascii="Times New Roman" w:hAnsi="Times New Roman"/>
                      <w:b/>
                      <w:bCs/>
                    </w:rPr>
                    <w:t>Līguma veids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236" w:rsidRPr="004A58B9" w:rsidP="00A83236" w14:paraId="3C6A6CC8" w14:textId="77777777">
                  <w:pPr>
                    <w:jc w:val="center"/>
                    <w:rPr>
                      <w:rFonts w:ascii="Times New Roman" w:hAnsi="Times New Roman"/>
                    </w:rPr>
                  </w:pPr>
                  <w:r w:rsidRPr="004A58B9">
                    <w:rPr>
                      <w:rFonts w:ascii="Times New Roman" w:hAnsi="Times New Roman"/>
                      <w:b/>
                      <w:bCs/>
                    </w:rPr>
                    <w:t>Attiecināmās izmaksas</w:t>
                  </w:r>
                </w:p>
              </w:tc>
            </w:tr>
            <w:tr w14:paraId="33E94844" w14:textId="77777777" w:rsidTr="001B0394">
              <w:tblPrEx>
                <w:tblW w:w="6616" w:type="dxa"/>
                <w:tblLayout w:type="fixed"/>
                <w:tblCellMar>
                  <w:left w:w="0" w:type="dxa"/>
                  <w:right w:w="0" w:type="dxa"/>
                </w:tblCellMar>
                <w:tblLook w:val="04A0"/>
              </w:tblPrEx>
              <w:trPr>
                <w:trHeight w:val="1327"/>
              </w:trPr>
              <w:tc>
                <w:tcPr>
                  <w:tcW w:w="1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236" w:rsidRPr="002A2605" w:rsidP="00BC4843" w14:paraId="6BB47DD4" w14:textId="77777777">
                  <w:pPr>
                    <w:spacing w:after="0" w:line="240" w:lineRule="auto"/>
                    <w:jc w:val="both"/>
                    <w:rPr>
                      <w:rFonts w:ascii="Times New Roman" w:hAnsi="Times New Roman"/>
                    </w:rPr>
                  </w:pPr>
                  <w:r w:rsidRPr="00A83236">
                    <w:rPr>
                      <w:rFonts w:ascii="Times New Roman" w:hAnsi="Times New Roman"/>
                    </w:rPr>
                    <w:t>Darba līgums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E5003" w:rsidRPr="008245AE" w:rsidP="008245AE" w14:paraId="0E63481C" w14:textId="181ECCDD">
                  <w:pPr>
                    <w:pStyle w:val="ListParagraph"/>
                    <w:numPr>
                      <w:ilvl w:val="0"/>
                      <w:numId w:val="18"/>
                    </w:numPr>
                    <w:tabs>
                      <w:tab w:val="right" w:pos="4887"/>
                    </w:tabs>
                    <w:spacing w:after="0"/>
                    <w:jc w:val="both"/>
                    <w:rPr>
                      <w:rFonts w:ascii="Times New Roman" w:hAnsi="Times New Roman"/>
                    </w:rPr>
                  </w:pPr>
                  <w:r w:rsidRPr="008245AE">
                    <w:rPr>
                      <w:rFonts w:ascii="Times New Roman" w:hAnsi="Times New Roman"/>
                    </w:rPr>
                    <w:t>darba samaksa;</w:t>
                  </w:r>
                </w:p>
                <w:p w:rsidR="008E5003" w:rsidRPr="008E5003" w:rsidP="008E5003" w14:paraId="350EA7BE" w14:textId="0809AE6B">
                  <w:pPr>
                    <w:pStyle w:val="ListParagraph"/>
                    <w:numPr>
                      <w:ilvl w:val="0"/>
                      <w:numId w:val="18"/>
                    </w:numPr>
                    <w:jc w:val="both"/>
                    <w:rPr>
                      <w:rFonts w:ascii="Times New Roman" w:hAnsi="Times New Roman"/>
                    </w:rPr>
                  </w:pPr>
                  <w:r w:rsidRPr="008E5003">
                    <w:rPr>
                      <w:rFonts w:ascii="Times New Roman" w:hAnsi="Times New Roman"/>
                    </w:rPr>
                    <w:t>darba devēja valsts sociālās apdrošināšanas iemaksas</w:t>
                  </w:r>
                </w:p>
                <w:p w:rsidR="008E5003" w:rsidRPr="008E5003" w:rsidP="008E5003" w14:paraId="064C3065" w14:textId="28E491AF">
                  <w:pPr>
                    <w:pStyle w:val="ListParagraph"/>
                    <w:numPr>
                      <w:ilvl w:val="0"/>
                      <w:numId w:val="18"/>
                    </w:numPr>
                    <w:jc w:val="both"/>
                    <w:rPr>
                      <w:rFonts w:ascii="Times New Roman" w:hAnsi="Times New Roman"/>
                    </w:rPr>
                  </w:pPr>
                  <w:r w:rsidRPr="008E5003">
                    <w:rPr>
                      <w:rFonts w:ascii="Times New Roman" w:hAnsi="Times New Roman"/>
                    </w:rPr>
                    <w:t>riska valsts nodeva</w:t>
                  </w:r>
                </w:p>
              </w:tc>
            </w:tr>
            <w:tr w14:paraId="4342D032" w14:textId="77777777" w:rsidTr="001B0394">
              <w:tblPrEx>
                <w:tblW w:w="6616" w:type="dxa"/>
                <w:tblLayout w:type="fixed"/>
                <w:tblCellMar>
                  <w:left w:w="0" w:type="dxa"/>
                  <w:right w:w="0" w:type="dxa"/>
                </w:tblCellMar>
                <w:tblLook w:val="04A0"/>
              </w:tblPrEx>
              <w:trPr>
                <w:trHeight w:val="2487"/>
              </w:trPr>
              <w:tc>
                <w:tcPr>
                  <w:tcW w:w="1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843" w:rsidP="00BC4843" w14:paraId="11A63803" w14:textId="2BB4B087">
                  <w:pPr>
                    <w:spacing w:after="0" w:line="240" w:lineRule="auto"/>
                    <w:jc w:val="both"/>
                    <w:rPr>
                      <w:rFonts w:ascii="Times New Roman" w:hAnsi="Times New Roman"/>
                    </w:rPr>
                  </w:pPr>
                  <w:r w:rsidRPr="00A83236">
                    <w:rPr>
                      <w:rFonts w:ascii="Times New Roman" w:hAnsi="Times New Roman"/>
                    </w:rPr>
                    <w:t>Pakalpojuma līgums</w:t>
                  </w:r>
                  <w:r>
                    <w:rPr>
                      <w:rFonts w:ascii="Times New Roman" w:hAnsi="Times New Roman"/>
                    </w:rPr>
                    <w:t>;</w:t>
                  </w:r>
                </w:p>
                <w:p w:rsidR="00BC4843" w:rsidP="00BC4843" w14:paraId="4B3F4F20" w14:textId="21BA2E1F">
                  <w:pPr>
                    <w:spacing w:after="0" w:line="240" w:lineRule="auto"/>
                    <w:jc w:val="both"/>
                    <w:rPr>
                      <w:rFonts w:ascii="Times New Roman" w:hAnsi="Times New Roman"/>
                    </w:rPr>
                  </w:pPr>
                </w:p>
                <w:p w:rsidR="00BC4843" w:rsidRPr="00BC4843" w:rsidP="00BC4843" w14:paraId="2339BD05" w14:textId="77777777">
                  <w:pPr>
                    <w:spacing w:after="0" w:line="240" w:lineRule="auto"/>
                    <w:jc w:val="both"/>
                    <w:rPr>
                      <w:rFonts w:ascii="Times New Roman" w:hAnsi="Times New Roman"/>
                    </w:rPr>
                  </w:pPr>
                  <w:r>
                    <w:rPr>
                      <w:rFonts w:ascii="Times New Roman" w:hAnsi="Times New Roman"/>
                    </w:rPr>
                    <w:t>Uzņēmuma līgums</w:t>
                  </w:r>
                </w:p>
                <w:p w:rsidR="00A83236" w:rsidRPr="00A83236" w:rsidP="00A83236" w14:paraId="1192F894" w14:textId="2AB8AB54">
                  <w:pPr>
                    <w:jc w:val="both"/>
                    <w:rPr>
                      <w:rFonts w:ascii="Times New Roman" w:hAnsi="Times New Roman"/>
                    </w:rPr>
                  </w:pPr>
                  <w:r w:rsidRPr="00A83236">
                    <w:rPr>
                      <w:rFonts w:ascii="Times New Roman" w:hAnsi="Times New Roman"/>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C4843" w:rsidRPr="00BC4843" w:rsidP="00BC4843" w14:paraId="4602FBB2" w14:textId="43363D37">
                  <w:pPr>
                    <w:pStyle w:val="ListParagraph"/>
                    <w:numPr>
                      <w:ilvl w:val="0"/>
                      <w:numId w:val="19"/>
                    </w:numPr>
                    <w:spacing w:after="0"/>
                    <w:jc w:val="both"/>
                    <w:rPr>
                      <w:rFonts w:ascii="Times New Roman" w:hAnsi="Times New Roman"/>
                    </w:rPr>
                  </w:pPr>
                  <w:r w:rsidRPr="00BC4843">
                    <w:rPr>
                      <w:rFonts w:ascii="Times New Roman" w:hAnsi="Times New Roman"/>
                    </w:rPr>
                    <w:t>pakalpojuma samaksa;</w:t>
                  </w:r>
                </w:p>
                <w:p w:rsidR="00BC4843" w:rsidRPr="00BC4843" w:rsidP="00BC4843" w14:paraId="12D72FE4" w14:textId="2A0A0682">
                  <w:pPr>
                    <w:pStyle w:val="ListParagraph"/>
                    <w:numPr>
                      <w:ilvl w:val="0"/>
                      <w:numId w:val="19"/>
                    </w:numPr>
                    <w:spacing w:after="0"/>
                    <w:jc w:val="both"/>
                    <w:rPr>
                      <w:rFonts w:ascii="Times New Roman" w:hAnsi="Times New Roman"/>
                    </w:rPr>
                  </w:pPr>
                  <w:r w:rsidRPr="00BC4843">
                    <w:rPr>
                      <w:rFonts w:ascii="Times New Roman" w:hAnsi="Times New Roman"/>
                    </w:rPr>
                    <w:t>darba devēja valsts sociālās apdrošināšanas iemaksas;</w:t>
                  </w:r>
                </w:p>
                <w:p w:rsidR="00BC4843" w:rsidRPr="00BC4843" w:rsidP="00BC4843" w14:paraId="5DA87EF1" w14:textId="25A81E8B">
                  <w:pPr>
                    <w:pStyle w:val="ListParagraph"/>
                    <w:numPr>
                      <w:ilvl w:val="0"/>
                      <w:numId w:val="19"/>
                    </w:numPr>
                    <w:spacing w:after="0"/>
                    <w:jc w:val="both"/>
                    <w:rPr>
                      <w:rFonts w:ascii="Times New Roman" w:hAnsi="Times New Roman"/>
                    </w:rPr>
                  </w:pPr>
                  <w:r w:rsidRPr="00BC4843">
                    <w:rPr>
                      <w:rFonts w:ascii="Times New Roman" w:hAnsi="Times New Roman"/>
                    </w:rPr>
                    <w:t>riska valsts nodeva</w:t>
                  </w:r>
                </w:p>
                <w:p w:rsidR="00BC4843" w:rsidRPr="00BC4843" w:rsidP="00BC4843" w14:paraId="2BC3B43F" w14:textId="23942B25">
                  <w:pPr>
                    <w:pStyle w:val="ListParagraph"/>
                    <w:numPr>
                      <w:ilvl w:val="0"/>
                      <w:numId w:val="19"/>
                    </w:numPr>
                    <w:spacing w:after="0"/>
                    <w:jc w:val="both"/>
                    <w:rPr>
                      <w:rFonts w:ascii="Times New Roman" w:hAnsi="Times New Roman"/>
                    </w:rPr>
                  </w:pPr>
                  <w:r w:rsidRPr="00BC4843">
                    <w:rPr>
                      <w:rFonts w:ascii="Times New Roman" w:hAnsi="Times New Roman"/>
                    </w:rPr>
                    <w:t>PVN, ja uzņēmējs nav reģistrējies</w:t>
                  </w:r>
                  <w:r w:rsidR="00FD3E88">
                    <w:rPr>
                      <w:rFonts w:ascii="Times New Roman" w:hAnsi="Times New Roman"/>
                    </w:rPr>
                    <w:t xml:space="preserve"> par saimnieciskās darbības veicēju</w:t>
                  </w:r>
                  <w:r w:rsidRPr="00BC4843">
                    <w:rPr>
                      <w:rFonts w:ascii="Times New Roman" w:hAnsi="Times New Roman"/>
                    </w:rPr>
                    <w:t xml:space="preserve"> un nav PVN maksātājs</w:t>
                  </w:r>
                </w:p>
                <w:p w:rsidR="00A83236" w:rsidRPr="002A2605" w:rsidP="008245AE" w14:paraId="79797322" w14:textId="564DE48B">
                  <w:pPr>
                    <w:pStyle w:val="ListParagraph"/>
                    <w:numPr>
                      <w:ilvl w:val="0"/>
                      <w:numId w:val="19"/>
                    </w:numPr>
                    <w:spacing w:after="0"/>
                    <w:jc w:val="both"/>
                  </w:pPr>
                  <w:r w:rsidRPr="00BC4843">
                    <w:rPr>
                      <w:rFonts w:ascii="Times New Roman" w:hAnsi="Times New Roman"/>
                    </w:rPr>
                    <w:t>šajā gadījumā nepienākas kompensācija par atvaļinājumu, bet kompensācija par slimības lapām – kā vienojas līgumā.</w:t>
                  </w:r>
                </w:p>
              </w:tc>
            </w:tr>
          </w:tbl>
          <w:p w:rsidR="006B6120" w:rsidRPr="006B6120" w:rsidP="00523947" w14:paraId="7F8339B0" w14:textId="12F1006E">
            <w:pPr>
              <w:pStyle w:val="ListParagraph"/>
              <w:numPr>
                <w:ilvl w:val="0"/>
                <w:numId w:val="1"/>
              </w:numPr>
              <w:tabs>
                <w:tab w:val="left" w:pos="260"/>
              </w:tabs>
              <w:spacing w:before="120" w:after="120" w:line="240" w:lineRule="auto"/>
              <w:ind w:left="0" w:firstLine="0"/>
              <w:jc w:val="both"/>
              <w:rPr>
                <w:rFonts w:ascii="Times New Roman" w:hAnsi="Times New Roman"/>
                <w:szCs w:val="24"/>
              </w:rPr>
            </w:pPr>
            <w:r w:rsidRPr="006B6120">
              <w:rPr>
                <w:rFonts w:ascii="Times New Roman" w:hAnsi="Times New Roman"/>
                <w:b/>
                <w:i/>
                <w:sz w:val="24"/>
                <w:szCs w:val="24"/>
                <w:u w:val="single"/>
              </w:rPr>
              <w:t>Noteikt, ka energoefektivitātes paaugstināšanas pasākumu vadīšanas izmaksas, kas radušās pirms sabiedrības "Altum" lēmuma par granta piešķiršanu, ir attiecināmas par periodu, kas nepārsniedz 6 mēnešus pirms sabiedrības "Altum" lēmuma pieņemšanas par granta piešķiršanu.</w:t>
            </w:r>
          </w:p>
          <w:p w:rsidR="006B6120" w:rsidP="006B6120" w14:paraId="4F477754" w14:textId="77777777">
            <w:pPr>
              <w:spacing w:after="120" w:line="240" w:lineRule="auto"/>
              <w:jc w:val="both"/>
              <w:rPr>
                <w:rFonts w:ascii="Times New Roman" w:hAnsi="Times New Roman"/>
                <w:sz w:val="24"/>
                <w:szCs w:val="28"/>
              </w:rPr>
            </w:pPr>
            <w:r w:rsidRPr="006B6120">
              <w:rPr>
                <w:rFonts w:ascii="Times New Roman" w:hAnsi="Times New Roman"/>
                <w:iCs/>
                <w:sz w:val="24"/>
              </w:rPr>
              <w:t>Ņemot vēra, ka energoefektivitātes paaugstināšanas projekta sagatavošana līdz sabiedrības "Altum" lēmuma par granta piešķiršanu pieņemšanai var aizņemt laika periodu līdz 1 gadam, kā arī šis projekta posms projektu vadītājiem ir viens no darbietilpīgākajiem, samērīga ir prasība, ka projektu vadības izmaksas ir attiecināmas arī par periodu līdz granta lēmuma pieņemšanai.</w:t>
            </w:r>
            <w:r w:rsidRPr="006B6120">
              <w:rPr>
                <w:rFonts w:ascii="Times New Roman" w:hAnsi="Times New Roman"/>
                <w:sz w:val="24"/>
                <w:szCs w:val="28"/>
              </w:rPr>
              <w:t xml:space="preserve"> Šādas izmaiņas uzlabos iespēju projektu vadītājiem veltīt pienācīgu laiku projektu sagatavošanai, t.i., ekonomiski pamatoto darbu ar vislielāko ekonomisko atdevi identificēšanai un iedzīvotāju pārliecināšanai par projekta īstenošanas nepieciešamību un lietderību.</w:t>
            </w:r>
          </w:p>
          <w:p w:rsidR="006F55DB" w:rsidRPr="006B6120" w:rsidP="006B6120" w14:paraId="3B77E8E8" w14:textId="6502A5C7">
            <w:pPr>
              <w:pStyle w:val="ListParagraph"/>
              <w:numPr>
                <w:ilvl w:val="0"/>
                <w:numId w:val="1"/>
              </w:numPr>
              <w:spacing w:after="120" w:line="240" w:lineRule="auto"/>
              <w:ind w:left="261" w:hanging="261"/>
              <w:jc w:val="both"/>
              <w:rPr>
                <w:rFonts w:ascii="Times New Roman" w:hAnsi="Times New Roman"/>
                <w:b/>
                <w:i/>
                <w:sz w:val="24"/>
                <w:szCs w:val="24"/>
                <w:u w:val="single"/>
              </w:rPr>
            </w:pPr>
            <w:r w:rsidRPr="006B6120">
              <w:rPr>
                <w:rFonts w:ascii="Times New Roman" w:hAnsi="Times New Roman"/>
                <w:b/>
                <w:i/>
                <w:sz w:val="24"/>
                <w:szCs w:val="24"/>
                <w:u w:val="single"/>
              </w:rPr>
              <w:t xml:space="preserve"> </w:t>
            </w:r>
            <w:r>
              <w:rPr>
                <w:rFonts w:ascii="Times New Roman" w:hAnsi="Times New Roman"/>
                <w:b/>
                <w:i/>
                <w:sz w:val="24"/>
                <w:szCs w:val="24"/>
                <w:u w:val="single"/>
              </w:rPr>
              <w:t xml:space="preserve">Precizēt </w:t>
            </w:r>
            <w:r w:rsidRPr="006B6120">
              <w:rPr>
                <w:rFonts w:ascii="Times New Roman" w:hAnsi="Times New Roman"/>
                <w:b/>
                <w:i/>
                <w:sz w:val="24"/>
                <w:szCs w:val="24"/>
                <w:u w:val="single"/>
              </w:rPr>
              <w:t>4.2.1.1.pasākuma ietvaros sasniedzamos rādītājus.</w:t>
            </w:r>
          </w:p>
          <w:p w:rsidR="006F55DB" w:rsidP="002A7654" w14:paraId="30B1C064" w14:textId="4E15EAF7">
            <w:pPr>
              <w:spacing w:before="60" w:after="60" w:line="240" w:lineRule="auto"/>
              <w:ind w:firstLine="479"/>
              <w:jc w:val="both"/>
              <w:rPr>
                <w:rFonts w:ascii="Times New Roman" w:hAnsi="Times New Roman"/>
                <w:iCs/>
                <w:sz w:val="24"/>
              </w:rPr>
            </w:pPr>
            <w:r w:rsidRPr="004D67AE">
              <w:rPr>
                <w:rFonts w:ascii="Times New Roman" w:hAnsi="Times New Roman"/>
                <w:iCs/>
                <w:sz w:val="24"/>
              </w:rPr>
              <w:t xml:space="preserve">Lai nodrošinātu MK noteikumos Nr. 160 iekļauto rādītāju atbilstību darbības </w:t>
            </w:r>
            <w:r w:rsidRPr="00B64E54">
              <w:rPr>
                <w:rFonts w:ascii="Times New Roman" w:hAnsi="Times New Roman"/>
                <w:iCs/>
                <w:sz w:val="24"/>
              </w:rPr>
              <w:t xml:space="preserve">programmā </w:t>
            </w:r>
            <w:r w:rsidRPr="00B64E54">
              <w:rPr>
                <w:rFonts w:ascii="Times New Roman" w:hAnsi="Times New Roman"/>
                <w:bCs/>
                <w:sz w:val="24"/>
                <w:szCs w:val="24"/>
                <w:shd w:val="clear" w:color="auto" w:fill="FFFFFF"/>
              </w:rPr>
              <w:t xml:space="preserve">"Izaugsme un nodarbinātība" (turpmāk </w:t>
            </w:r>
            <w:r w:rsidRPr="00B64E54">
              <w:rPr>
                <w:rFonts w:ascii="Times New Roman" w:hAnsi="Times New Roman"/>
                <w:bCs/>
                <w:sz w:val="24"/>
                <w:szCs w:val="24"/>
                <w:shd w:val="clear" w:color="auto" w:fill="FFFFFF"/>
              </w:rPr>
              <w:t xml:space="preserve">– darbības programma) </w:t>
            </w:r>
            <w:r w:rsidRPr="00B64E54">
              <w:rPr>
                <w:rFonts w:ascii="Times New Roman" w:hAnsi="Times New Roman"/>
                <w:iCs/>
                <w:sz w:val="24"/>
              </w:rPr>
              <w:t xml:space="preserve">noteiktajiem </w:t>
            </w:r>
            <w:r>
              <w:rPr>
                <w:rFonts w:ascii="Times New Roman" w:hAnsi="Times New Roman"/>
                <w:iCs/>
                <w:sz w:val="24"/>
              </w:rPr>
              <w:t xml:space="preserve">gala un </w:t>
            </w:r>
            <w:r w:rsidRPr="004D67AE">
              <w:rPr>
                <w:rFonts w:ascii="Times New Roman" w:hAnsi="Times New Roman"/>
                <w:iCs/>
                <w:sz w:val="24"/>
              </w:rPr>
              <w:t xml:space="preserve">starpposmu rādītājiem, </w:t>
            </w:r>
            <w:r w:rsidR="0000514B">
              <w:rPr>
                <w:rFonts w:ascii="Times New Roman" w:hAnsi="Times New Roman"/>
                <w:iCs/>
                <w:sz w:val="24"/>
              </w:rPr>
              <w:t xml:space="preserve">Ekonomikas ministrija ierosina </w:t>
            </w:r>
            <w:r w:rsidRPr="004D67AE">
              <w:rPr>
                <w:rFonts w:ascii="Times New Roman" w:hAnsi="Times New Roman"/>
                <w:iCs/>
                <w:sz w:val="24"/>
              </w:rPr>
              <w:t xml:space="preserve">no </w:t>
            </w:r>
            <w:r w:rsidR="0000514B">
              <w:rPr>
                <w:rFonts w:ascii="Times New Roman" w:hAnsi="Times New Roman"/>
                <w:iCs/>
                <w:sz w:val="24"/>
              </w:rPr>
              <w:t>Ministru kabineta n</w:t>
            </w:r>
            <w:r w:rsidRPr="004D67AE">
              <w:rPr>
                <w:rFonts w:ascii="Times New Roman" w:hAnsi="Times New Roman"/>
                <w:iCs/>
                <w:sz w:val="24"/>
              </w:rPr>
              <w:t>oteikumiem</w:t>
            </w:r>
            <w:r w:rsidR="0000514B">
              <w:rPr>
                <w:rFonts w:ascii="Times New Roman" w:hAnsi="Times New Roman"/>
                <w:iCs/>
                <w:sz w:val="24"/>
              </w:rPr>
              <w:t xml:space="preserve"> Nr. 160</w:t>
            </w:r>
            <w:r w:rsidRPr="004D67AE">
              <w:rPr>
                <w:rFonts w:ascii="Times New Roman" w:hAnsi="Times New Roman"/>
                <w:iCs/>
                <w:sz w:val="24"/>
              </w:rPr>
              <w:t xml:space="preserve"> </w:t>
            </w:r>
            <w:r>
              <w:rPr>
                <w:rFonts w:ascii="Times New Roman" w:hAnsi="Times New Roman"/>
                <w:iCs/>
                <w:sz w:val="24"/>
              </w:rPr>
              <w:t xml:space="preserve"> </w:t>
            </w:r>
            <w:r w:rsidRPr="004D67AE">
              <w:rPr>
                <w:rFonts w:ascii="Times New Roman" w:hAnsi="Times New Roman"/>
                <w:iCs/>
                <w:sz w:val="24"/>
              </w:rPr>
              <w:t xml:space="preserve">svītrot </w:t>
            </w:r>
            <w:r w:rsidR="002A7654">
              <w:rPr>
                <w:rFonts w:ascii="Times New Roman" w:hAnsi="Times New Roman"/>
                <w:iCs/>
                <w:sz w:val="24"/>
              </w:rPr>
              <w:t xml:space="preserve">noteikto 2018. gada starprezultātu (5052 mājsaimniecības ar uzlabotu enerģijas patēriņa klasifikāciju), vienlaikus noteikumu projektā iekļaujot darbības programmā noteikto </w:t>
            </w:r>
            <w:r>
              <w:rPr>
                <w:rFonts w:ascii="Times New Roman" w:hAnsi="Times New Roman"/>
                <w:iCs/>
                <w:sz w:val="24"/>
              </w:rPr>
              <w:t>4.2.1.1.pasākuma</w:t>
            </w:r>
            <w:r w:rsidR="002A7654">
              <w:rPr>
                <w:rFonts w:ascii="Times New Roman" w:hAnsi="Times New Roman"/>
                <w:iCs/>
                <w:sz w:val="24"/>
              </w:rPr>
              <w:t xml:space="preserve"> starprezultātu</w:t>
            </w:r>
            <w:r w:rsidRPr="00F14706">
              <w:rPr>
                <w:rFonts w:ascii="Times New Roman" w:hAnsi="Times New Roman"/>
                <w:iCs/>
                <w:sz w:val="24"/>
              </w:rPr>
              <w:t xml:space="preserve"> uz 2018. gada 31. </w:t>
            </w:r>
            <w:r w:rsidR="002A7654">
              <w:rPr>
                <w:rFonts w:ascii="Times New Roman" w:hAnsi="Times New Roman"/>
                <w:iCs/>
                <w:sz w:val="24"/>
              </w:rPr>
              <w:t>decembri – 70 noslēgti līgumi</w:t>
            </w:r>
            <w:r w:rsidRPr="00F14706">
              <w:rPr>
                <w:rFonts w:ascii="Times New Roman" w:hAnsi="Times New Roman"/>
                <w:iCs/>
                <w:sz w:val="24"/>
              </w:rPr>
              <w:t xml:space="preserve"> </w:t>
            </w:r>
            <w:r>
              <w:rPr>
                <w:rFonts w:ascii="Times New Roman" w:hAnsi="Times New Roman"/>
                <w:iCs/>
                <w:sz w:val="24"/>
              </w:rPr>
              <w:t>par energoefektivitātes paaugstināšanas pasākumu īstenošanu.</w:t>
            </w:r>
          </w:p>
          <w:p w:rsidR="00714D70" w:rsidP="00714D70" w14:paraId="39E3E3C4" w14:textId="58D70CE2">
            <w:pPr>
              <w:spacing w:before="60" w:after="60" w:line="240" w:lineRule="auto"/>
              <w:ind w:firstLine="479"/>
              <w:jc w:val="both"/>
              <w:rPr>
                <w:rFonts w:ascii="Times New Roman" w:hAnsi="Times New Roman"/>
                <w:iCs/>
                <w:sz w:val="24"/>
              </w:rPr>
            </w:pPr>
            <w:r>
              <w:rPr>
                <w:rFonts w:ascii="Times New Roman" w:hAnsi="Times New Roman"/>
                <w:iCs/>
                <w:sz w:val="24"/>
              </w:rPr>
              <w:t>Savukārt, lai vienkāršotu un nedublētu darbības programmā</w:t>
            </w:r>
            <w:r w:rsidR="00D272A1">
              <w:rPr>
                <w:rFonts w:ascii="Times New Roman" w:hAnsi="Times New Roman"/>
                <w:iCs/>
                <w:sz w:val="24"/>
              </w:rPr>
              <w:t xml:space="preserve"> "Izaugsme un nodarbinātība"</w:t>
            </w:r>
            <w:r>
              <w:rPr>
                <w:rFonts w:ascii="Times New Roman" w:hAnsi="Times New Roman"/>
                <w:iCs/>
                <w:sz w:val="24"/>
              </w:rPr>
              <w:t xml:space="preserve"> norādīto uzraudzības rādītāju uzskaiti, visa rādītāja “Mājsaimniecības ar uzlabotu enerģijas patēriņa klasifikāciju līdz 2023. gada 31. decembrim” vērtība tiek norādīta MK noteikumos Nr. 160 (rezultāts tiek palielināts no 13 476 līdz 14 286). Tādejādi tiek atslogots cita plānotā pasākuma – paralēlie aizdevumi energoefektivitātes pakalpojuma sniedzējiem (ESKO) – rādītājs un netiek veidota iespējami dubulta rezultātu uzskaite, ja ESKO īstenots projekts saņem grantu arī MK noteikumu Nr. 160 ietvaros.</w:t>
            </w:r>
          </w:p>
          <w:p w:rsidR="00AF1A51" w:rsidRPr="004823C7" w:rsidP="00AF1A51" w14:paraId="1A9BF7D3" w14:textId="1DC5F041">
            <w:pPr>
              <w:spacing w:before="60" w:after="60" w:line="240" w:lineRule="auto"/>
              <w:ind w:firstLine="531"/>
              <w:jc w:val="both"/>
              <w:rPr>
                <w:rFonts w:ascii="Times New Roman" w:hAnsi="Times New Roman"/>
                <w:sz w:val="24"/>
                <w:szCs w:val="24"/>
              </w:rPr>
            </w:pPr>
            <w:r w:rsidRPr="004823C7">
              <w:rPr>
                <w:rFonts w:ascii="Times New Roman" w:hAnsi="Times New Roman"/>
                <w:sz w:val="24"/>
                <w:szCs w:val="24"/>
              </w:rPr>
              <w:t xml:space="preserve">Ekonomikas ministrijas ierosinātās izmaiņas pozitīvi ietekmēs sabiedrību </w:t>
            </w:r>
            <w:r w:rsidRPr="004823C7">
              <w:rPr>
                <w:rFonts w:ascii="Times New Roman" w:hAnsi="Times New Roman"/>
                <w:iCs/>
                <w:sz w:val="24"/>
              </w:rPr>
              <w:t>"</w:t>
            </w:r>
            <w:r w:rsidRPr="004823C7">
              <w:rPr>
                <w:rFonts w:ascii="Times New Roman" w:hAnsi="Times New Roman"/>
                <w:sz w:val="24"/>
                <w:szCs w:val="24"/>
              </w:rPr>
              <w:t>Altum</w:t>
            </w:r>
            <w:r w:rsidRPr="004823C7">
              <w:rPr>
                <w:rFonts w:ascii="Times New Roman" w:hAnsi="Times New Roman"/>
                <w:iCs/>
                <w:sz w:val="24"/>
              </w:rPr>
              <w:t>"</w:t>
            </w:r>
            <w:r w:rsidRPr="004823C7">
              <w:rPr>
                <w:rFonts w:ascii="Times New Roman" w:hAnsi="Times New Roman"/>
                <w:sz w:val="24"/>
                <w:szCs w:val="24"/>
              </w:rPr>
              <w:t xml:space="preserve"> kā finansējuma saņēmēju, jo tiks paplašināts to daudzdzīvokļu dzīvojamo māju loks, kas var pretendēt uz atbalstu 4.2.1.1.pasākuma ietvaros, kā arī tiek paplašinātas attiecināmo izmaksu pozīcijas. Ar plašāku potenciālo atbalsta saņēmēju un finansētāju loku, kā arī papildu attiecināmajām izmaksām tiek radīta pozitīva ietekme uz 4.2.1.1.pasākuma ietvaros noteikto kopējo rādītāju sasniegšanu.</w:t>
            </w:r>
          </w:p>
          <w:p w:rsidR="00AF1A51" w:rsidRPr="00DE1449" w:rsidP="00AF1A51" w14:paraId="6C7F0A47" w14:textId="5C3F8CB1">
            <w:pPr>
              <w:spacing w:before="60" w:after="60" w:line="240" w:lineRule="auto"/>
              <w:ind w:firstLine="531"/>
              <w:jc w:val="both"/>
              <w:rPr>
                <w:rFonts w:ascii="Times New Roman" w:hAnsi="Times New Roman"/>
                <w:sz w:val="24"/>
                <w:szCs w:val="24"/>
              </w:rPr>
            </w:pPr>
            <w:r w:rsidRPr="004823C7">
              <w:rPr>
                <w:rFonts w:ascii="Times New Roman" w:hAnsi="Times New Roman"/>
                <w:sz w:val="24"/>
                <w:szCs w:val="24"/>
              </w:rPr>
              <w:t>Piedāvātie grozījumi neapdraud  MK noteikumu Nr.160 5.punktā minēto kopējo uzraudzības rādītāju sasniegšanu:</w:t>
            </w:r>
          </w:p>
          <w:p w:rsidR="00AF1A51" w:rsidP="00AF1A51" w14:paraId="60BA4193" w14:textId="77777777">
            <w:pPr>
              <w:pStyle w:val="ListParagraph"/>
              <w:numPr>
                <w:ilvl w:val="0"/>
                <w:numId w:val="13"/>
              </w:numPr>
              <w:spacing w:after="0" w:line="240" w:lineRule="auto"/>
              <w:jc w:val="both"/>
              <w:rPr>
                <w:rFonts w:ascii="Times New Roman" w:hAnsi="Times New Roman"/>
                <w:sz w:val="24"/>
                <w:szCs w:val="24"/>
              </w:rPr>
            </w:pPr>
            <w:r w:rsidRPr="00E65333">
              <w:rPr>
                <w:rFonts w:ascii="Times New Roman" w:hAnsi="Times New Roman"/>
                <w:sz w:val="24"/>
                <w:szCs w:val="24"/>
              </w:rPr>
              <w:t>vidējais siltumenerģijas patēriņš apkurei dzīvojamās ēkās Latvijā tuvosies 120 kWh/m2</w:t>
            </w:r>
            <w:r>
              <w:rPr>
                <w:rFonts w:ascii="Times New Roman" w:hAnsi="Times New Roman"/>
                <w:sz w:val="24"/>
                <w:szCs w:val="24"/>
              </w:rPr>
              <w:t>;</w:t>
            </w:r>
          </w:p>
          <w:p w:rsidR="00AF1A51" w:rsidP="00AF1A51" w14:paraId="647280F0" w14:textId="293ACEA9">
            <w:pPr>
              <w:pStyle w:val="ListParagraph"/>
              <w:numPr>
                <w:ilvl w:val="0"/>
                <w:numId w:val="13"/>
              </w:numPr>
              <w:spacing w:after="0" w:line="240" w:lineRule="auto"/>
              <w:jc w:val="both"/>
              <w:rPr>
                <w:rFonts w:ascii="Times New Roman" w:hAnsi="Times New Roman"/>
                <w:sz w:val="24"/>
                <w:szCs w:val="24"/>
              </w:rPr>
            </w:pPr>
            <w:r w:rsidRPr="00E65333">
              <w:rPr>
                <w:rFonts w:ascii="Times New Roman" w:hAnsi="Times New Roman"/>
                <w:sz w:val="24"/>
                <w:szCs w:val="24"/>
              </w:rPr>
              <w:t xml:space="preserve">līdz 2023. gada 31. decembrim </w:t>
            </w:r>
            <w:r>
              <w:rPr>
                <w:rFonts w:ascii="Times New Roman" w:hAnsi="Times New Roman"/>
                <w:sz w:val="24"/>
                <w:szCs w:val="24"/>
              </w:rPr>
              <w:t>14 286</w:t>
            </w:r>
            <w:r w:rsidRPr="00E65333">
              <w:rPr>
                <w:rFonts w:ascii="Times New Roman" w:hAnsi="Times New Roman"/>
                <w:sz w:val="24"/>
                <w:szCs w:val="24"/>
              </w:rPr>
              <w:t xml:space="preserve"> mājsaimniecībām tiks uzlabota enerģijas patēriņa klasifikācija</w:t>
            </w:r>
            <w:r w:rsidR="002056BF">
              <w:rPr>
                <w:rFonts w:ascii="Times New Roman" w:hAnsi="Times New Roman"/>
                <w:sz w:val="24"/>
                <w:szCs w:val="24"/>
              </w:rPr>
              <w:t xml:space="preserve"> – </w:t>
            </w:r>
            <w:r w:rsidRPr="004823C7" w:rsidR="002056BF">
              <w:rPr>
                <w:rFonts w:ascii="Times New Roman" w:hAnsi="Times New Roman"/>
                <w:sz w:val="24"/>
                <w:szCs w:val="24"/>
              </w:rPr>
              <w:t xml:space="preserve">pašreiz sabiedrībā </w:t>
            </w:r>
            <w:r w:rsidRPr="004823C7" w:rsidR="002056BF">
              <w:rPr>
                <w:rFonts w:ascii="Times New Roman" w:hAnsi="Times New Roman"/>
                <w:iCs/>
                <w:sz w:val="24"/>
              </w:rPr>
              <w:t>"</w:t>
            </w:r>
            <w:r w:rsidRPr="004823C7" w:rsidR="002056BF">
              <w:rPr>
                <w:rFonts w:ascii="Times New Roman" w:hAnsi="Times New Roman"/>
                <w:sz w:val="24"/>
                <w:szCs w:val="24"/>
              </w:rPr>
              <w:t>Altum</w:t>
            </w:r>
            <w:r w:rsidRPr="004823C7" w:rsidR="002056BF">
              <w:rPr>
                <w:rFonts w:ascii="Times New Roman" w:hAnsi="Times New Roman"/>
                <w:iCs/>
                <w:sz w:val="24"/>
              </w:rPr>
              <w:t>"</w:t>
            </w:r>
            <w:r w:rsidRPr="004823C7" w:rsidR="002056BF">
              <w:rPr>
                <w:rFonts w:ascii="Times New Roman" w:hAnsi="Times New Roman"/>
                <w:sz w:val="24"/>
                <w:szCs w:val="24"/>
              </w:rPr>
              <w:t xml:space="preserve"> iesniegtie projekti aptver </w:t>
            </w:r>
            <w:r w:rsidR="002056BF">
              <w:rPr>
                <w:rFonts w:ascii="Times New Roman" w:hAnsi="Times New Roman"/>
                <w:sz w:val="24"/>
                <w:szCs w:val="24"/>
              </w:rPr>
              <w:t>vairāk kā</w:t>
            </w:r>
            <w:r w:rsidRPr="004823C7" w:rsidR="002056BF">
              <w:rPr>
                <w:rFonts w:ascii="Times New Roman" w:hAnsi="Times New Roman"/>
                <w:sz w:val="24"/>
                <w:szCs w:val="24"/>
              </w:rPr>
              <w:t xml:space="preserve"> </w:t>
            </w:r>
            <w:r w:rsidR="002056BF">
              <w:rPr>
                <w:rFonts w:ascii="Times New Roman" w:hAnsi="Times New Roman"/>
                <w:sz w:val="24"/>
                <w:szCs w:val="24"/>
              </w:rPr>
              <w:t>5</w:t>
            </w:r>
            <w:r w:rsidRPr="004823C7" w:rsidR="002056BF">
              <w:rPr>
                <w:rFonts w:ascii="Times New Roman" w:hAnsi="Times New Roman"/>
                <w:sz w:val="24"/>
                <w:szCs w:val="24"/>
              </w:rPr>
              <w:t>0% no plānotā</w:t>
            </w:r>
            <w:r w:rsidR="002056BF">
              <w:rPr>
                <w:rFonts w:ascii="Times New Roman" w:hAnsi="Times New Roman"/>
                <w:sz w:val="24"/>
                <w:szCs w:val="24"/>
              </w:rPr>
              <w:t>s</w:t>
            </w:r>
            <w:r w:rsidRPr="004823C7" w:rsidR="002056BF">
              <w:rPr>
                <w:rFonts w:ascii="Times New Roman" w:hAnsi="Times New Roman"/>
                <w:sz w:val="24"/>
                <w:szCs w:val="24"/>
              </w:rPr>
              <w:t xml:space="preserve"> </w:t>
            </w:r>
            <w:r w:rsidR="002056BF">
              <w:rPr>
                <w:rFonts w:ascii="Times New Roman" w:hAnsi="Times New Roman"/>
                <w:sz w:val="24"/>
                <w:szCs w:val="24"/>
              </w:rPr>
              <w:t>rādītāja vērtības</w:t>
            </w:r>
            <w:r>
              <w:rPr>
                <w:rFonts w:ascii="Times New Roman" w:hAnsi="Times New Roman"/>
                <w:sz w:val="24"/>
                <w:szCs w:val="24"/>
              </w:rPr>
              <w:t>;</w:t>
            </w:r>
          </w:p>
          <w:p w:rsidR="002056BF" w:rsidP="00AF1A51" w14:paraId="06DDD24A" w14:textId="6F9C3042">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tiks sasniegts </w:t>
            </w:r>
            <w:r w:rsidRPr="00457A45">
              <w:rPr>
                <w:rFonts w:ascii="Times New Roman" w:hAnsi="Times New Roman"/>
                <w:sz w:val="24"/>
                <w:szCs w:val="24"/>
              </w:rPr>
              <w:t>aprēķinātais siltumnīcefekta gāzu samazinājums gadā – 12</w:t>
            </w:r>
            <w:r>
              <w:rPr>
                <w:rFonts w:ascii="Times New Roman" w:hAnsi="Times New Roman"/>
                <w:sz w:val="24"/>
                <w:szCs w:val="24"/>
              </w:rPr>
              <w:t> </w:t>
            </w:r>
            <w:r w:rsidRPr="00457A45">
              <w:rPr>
                <w:rFonts w:ascii="Times New Roman" w:hAnsi="Times New Roman"/>
                <w:sz w:val="24"/>
                <w:szCs w:val="24"/>
              </w:rPr>
              <w:t>582 CO</w:t>
            </w:r>
            <w:r w:rsidRPr="00457A45">
              <w:rPr>
                <w:rFonts w:ascii="Times New Roman" w:hAnsi="Times New Roman"/>
                <w:sz w:val="24"/>
                <w:szCs w:val="24"/>
                <w:vertAlign w:val="subscript"/>
              </w:rPr>
              <w:t>2</w:t>
            </w:r>
            <w:r w:rsidRPr="00457A45">
              <w:rPr>
                <w:rFonts w:ascii="Times New Roman" w:hAnsi="Times New Roman"/>
                <w:sz w:val="24"/>
                <w:szCs w:val="24"/>
              </w:rPr>
              <w:t xml:space="preserve"> ekvivalenta tonnas </w:t>
            </w:r>
            <w:r>
              <w:rPr>
                <w:rFonts w:ascii="Times New Roman" w:hAnsi="Times New Roman"/>
                <w:sz w:val="24"/>
                <w:szCs w:val="24"/>
              </w:rPr>
              <w:t xml:space="preserve">– </w:t>
            </w:r>
            <w:r w:rsidRPr="004823C7">
              <w:rPr>
                <w:rFonts w:ascii="Times New Roman" w:hAnsi="Times New Roman"/>
                <w:sz w:val="24"/>
                <w:szCs w:val="24"/>
              </w:rPr>
              <w:t xml:space="preserve">pašreiz sabiedrībā </w:t>
            </w:r>
            <w:r w:rsidRPr="004823C7">
              <w:rPr>
                <w:rFonts w:ascii="Times New Roman" w:hAnsi="Times New Roman"/>
                <w:iCs/>
                <w:sz w:val="24"/>
              </w:rPr>
              <w:t>"</w:t>
            </w:r>
            <w:r w:rsidRPr="004823C7">
              <w:rPr>
                <w:rFonts w:ascii="Times New Roman" w:hAnsi="Times New Roman"/>
                <w:sz w:val="24"/>
                <w:szCs w:val="24"/>
              </w:rPr>
              <w:t>Altum</w:t>
            </w:r>
            <w:r>
              <w:rPr>
                <w:rFonts w:ascii="Times New Roman" w:hAnsi="Times New Roman"/>
                <w:sz w:val="24"/>
                <w:szCs w:val="24"/>
              </w:rPr>
              <w:t>"</w:t>
            </w:r>
            <w:r w:rsidRPr="004823C7">
              <w:rPr>
                <w:rFonts w:ascii="Times New Roman" w:hAnsi="Times New Roman"/>
                <w:sz w:val="24"/>
                <w:szCs w:val="24"/>
              </w:rPr>
              <w:t xml:space="preserve"> iesniegtie projekti aptver </w:t>
            </w:r>
            <w:r>
              <w:rPr>
                <w:rFonts w:ascii="Times New Roman" w:hAnsi="Times New Roman"/>
                <w:sz w:val="24"/>
                <w:szCs w:val="24"/>
              </w:rPr>
              <w:t>vairāk kā</w:t>
            </w:r>
            <w:r w:rsidRPr="004823C7">
              <w:rPr>
                <w:rFonts w:ascii="Times New Roman" w:hAnsi="Times New Roman"/>
                <w:sz w:val="24"/>
                <w:szCs w:val="24"/>
              </w:rPr>
              <w:t xml:space="preserve">  </w:t>
            </w:r>
            <w:r>
              <w:rPr>
                <w:rFonts w:ascii="Times New Roman" w:hAnsi="Times New Roman"/>
                <w:sz w:val="24"/>
                <w:szCs w:val="24"/>
              </w:rPr>
              <w:t>5</w:t>
            </w:r>
            <w:r w:rsidRPr="004823C7">
              <w:rPr>
                <w:rFonts w:ascii="Times New Roman" w:hAnsi="Times New Roman"/>
                <w:sz w:val="24"/>
                <w:szCs w:val="24"/>
              </w:rPr>
              <w:t xml:space="preserve">0% no </w:t>
            </w:r>
            <w:r>
              <w:rPr>
                <w:rFonts w:ascii="Times New Roman" w:hAnsi="Times New Roman"/>
                <w:sz w:val="24"/>
                <w:szCs w:val="24"/>
              </w:rPr>
              <w:t>plānotās rādītāja vērtības</w:t>
            </w:r>
            <w:r w:rsidRPr="004823C7">
              <w:rPr>
                <w:rFonts w:ascii="Times New Roman" w:hAnsi="Times New Roman"/>
                <w:sz w:val="24"/>
                <w:szCs w:val="24"/>
              </w:rPr>
              <w:t>;</w:t>
            </w:r>
          </w:p>
          <w:p w:rsidR="00AF1A51" w:rsidP="00AF1A51" w14:paraId="17C95D8B" w14:textId="1EE1106C">
            <w:pPr>
              <w:pStyle w:val="ListParagraph"/>
              <w:numPr>
                <w:ilvl w:val="0"/>
                <w:numId w:val="13"/>
              </w:numPr>
              <w:spacing w:after="0" w:line="240" w:lineRule="auto"/>
              <w:jc w:val="both"/>
              <w:rPr>
                <w:rFonts w:ascii="Times New Roman" w:hAnsi="Times New Roman"/>
                <w:sz w:val="24"/>
                <w:szCs w:val="24"/>
              </w:rPr>
            </w:pPr>
            <w:r w:rsidRPr="00B11D1B">
              <w:rPr>
                <w:rFonts w:ascii="Times New Roman" w:hAnsi="Times New Roman"/>
                <w:sz w:val="24"/>
                <w:szCs w:val="24"/>
              </w:rPr>
              <w:t>līdz 2018. gada beigām</w:t>
            </w:r>
            <w:r>
              <w:rPr>
                <w:rFonts w:ascii="Times New Roman" w:hAnsi="Times New Roman"/>
                <w:sz w:val="24"/>
                <w:szCs w:val="24"/>
              </w:rPr>
              <w:t xml:space="preserve"> </w:t>
            </w:r>
            <w:r w:rsidRPr="00E65333">
              <w:rPr>
                <w:rFonts w:ascii="Times New Roman" w:hAnsi="Times New Roman"/>
                <w:sz w:val="24"/>
                <w:szCs w:val="24"/>
              </w:rPr>
              <w:t xml:space="preserve">tiks noslēgti 70 līgumi ar finansējuma saņēmējiem par ēku </w:t>
            </w:r>
            <w:r w:rsidR="0000514B">
              <w:rPr>
                <w:rFonts w:ascii="Times New Roman" w:hAnsi="Times New Roman"/>
                <w:sz w:val="24"/>
                <w:szCs w:val="24"/>
              </w:rPr>
              <w:t>energoefektivitātes paaugstināšanas pasākumu īstenošanu</w:t>
            </w:r>
            <w:r>
              <w:rPr>
                <w:rFonts w:ascii="Times New Roman" w:hAnsi="Times New Roman"/>
                <w:sz w:val="24"/>
                <w:szCs w:val="24"/>
              </w:rPr>
              <w:t>.</w:t>
            </w:r>
          </w:p>
          <w:p w:rsidR="00AF1A51" w:rsidRPr="00E65333" w:rsidP="00AF1A51" w14:paraId="2316559F" w14:textId="7E843900">
            <w:pPr>
              <w:spacing w:after="0" w:line="240" w:lineRule="auto"/>
              <w:ind w:firstLine="479"/>
              <w:jc w:val="both"/>
              <w:rPr>
                <w:rFonts w:ascii="Times New Roman" w:hAnsi="Times New Roman"/>
                <w:sz w:val="24"/>
                <w:szCs w:val="24"/>
              </w:rPr>
            </w:pPr>
            <w:r>
              <w:rPr>
                <w:rFonts w:ascii="Times New Roman" w:hAnsi="Times New Roman"/>
                <w:sz w:val="24"/>
                <w:szCs w:val="24"/>
              </w:rPr>
              <w:t>Aprēķiniem tiek p</w:t>
            </w:r>
            <w:r w:rsidRPr="00E65333">
              <w:rPr>
                <w:rFonts w:ascii="Times New Roman" w:hAnsi="Times New Roman"/>
                <w:sz w:val="24"/>
                <w:szCs w:val="24"/>
              </w:rPr>
              <w:t>ieņem</w:t>
            </w:r>
            <w:r>
              <w:rPr>
                <w:rFonts w:ascii="Times New Roman" w:hAnsi="Times New Roman"/>
                <w:sz w:val="24"/>
                <w:szCs w:val="24"/>
              </w:rPr>
              <w:t>s</w:t>
            </w:r>
            <w:r w:rsidRPr="00E65333">
              <w:rPr>
                <w:rFonts w:ascii="Times New Roman" w:hAnsi="Times New Roman"/>
                <w:sz w:val="24"/>
                <w:szCs w:val="24"/>
              </w:rPr>
              <w:t>, ka vidējās daudzdzīvokļu dzīvojamā</w:t>
            </w:r>
            <w:r>
              <w:rPr>
                <w:rFonts w:ascii="Times New Roman" w:hAnsi="Times New Roman"/>
                <w:sz w:val="24"/>
                <w:szCs w:val="24"/>
              </w:rPr>
              <w:t>s</w:t>
            </w:r>
            <w:r w:rsidRPr="00E65333">
              <w:rPr>
                <w:rFonts w:ascii="Times New Roman" w:hAnsi="Times New Roman"/>
                <w:sz w:val="24"/>
                <w:szCs w:val="24"/>
              </w:rPr>
              <w:t xml:space="preserve"> māja</w:t>
            </w:r>
            <w:r>
              <w:rPr>
                <w:rFonts w:ascii="Times New Roman" w:hAnsi="Times New Roman"/>
                <w:sz w:val="24"/>
                <w:szCs w:val="24"/>
              </w:rPr>
              <w:t>s</w:t>
            </w:r>
            <w:r w:rsidRPr="00E65333">
              <w:rPr>
                <w:rFonts w:ascii="Times New Roman" w:hAnsi="Times New Roman"/>
                <w:sz w:val="24"/>
                <w:szCs w:val="24"/>
              </w:rPr>
              <w:t xml:space="preserve">, </w:t>
            </w:r>
            <w:r>
              <w:rPr>
                <w:rFonts w:ascii="Times New Roman" w:hAnsi="Times New Roman"/>
                <w:sz w:val="24"/>
                <w:szCs w:val="24"/>
              </w:rPr>
              <w:t>kurā veic energoefektivitātes paaugstināšanas pasākumus</w:t>
            </w:r>
            <w:r w:rsidRPr="00E65333">
              <w:rPr>
                <w:rFonts w:ascii="Times New Roman" w:hAnsi="Times New Roman"/>
                <w:sz w:val="24"/>
                <w:szCs w:val="24"/>
              </w:rPr>
              <w:t xml:space="preserve"> 4.2.1.1</w:t>
            </w:r>
            <w:r>
              <w:rPr>
                <w:rFonts w:ascii="Times New Roman" w:hAnsi="Times New Roman"/>
                <w:sz w:val="24"/>
                <w:szCs w:val="24"/>
              </w:rPr>
              <w:t>.</w:t>
            </w:r>
            <w:r w:rsidRPr="00E65333">
              <w:rPr>
                <w:rFonts w:ascii="Times New Roman" w:hAnsi="Times New Roman"/>
                <w:sz w:val="24"/>
                <w:szCs w:val="24"/>
              </w:rPr>
              <w:t xml:space="preserve"> pasākuma ietvaros</w:t>
            </w:r>
            <w:r>
              <w:rPr>
                <w:rFonts w:ascii="Times New Roman" w:hAnsi="Times New Roman"/>
                <w:sz w:val="24"/>
                <w:szCs w:val="24"/>
              </w:rPr>
              <w:t>, platība</w:t>
            </w:r>
            <w:r w:rsidRPr="00E65333">
              <w:rPr>
                <w:rFonts w:ascii="Times New Roman" w:hAnsi="Times New Roman"/>
                <w:sz w:val="24"/>
                <w:szCs w:val="24"/>
              </w:rPr>
              <w:t xml:space="preserve"> ir 2000 m</w:t>
            </w:r>
            <w:r w:rsidRPr="006F55DB">
              <w:rPr>
                <w:rFonts w:ascii="Times New Roman" w:hAnsi="Times New Roman"/>
                <w:sz w:val="24"/>
                <w:szCs w:val="24"/>
                <w:vertAlign w:val="superscript"/>
              </w:rPr>
              <w:t>2</w:t>
            </w:r>
            <w:r w:rsidRPr="00E65333">
              <w:rPr>
                <w:rFonts w:ascii="Times New Roman" w:hAnsi="Times New Roman"/>
                <w:sz w:val="24"/>
                <w:szCs w:val="24"/>
              </w:rPr>
              <w:t xml:space="preserve">, </w:t>
            </w:r>
            <w:r>
              <w:rPr>
                <w:rFonts w:ascii="Times New Roman" w:hAnsi="Times New Roman"/>
                <w:sz w:val="24"/>
                <w:szCs w:val="24"/>
              </w:rPr>
              <w:t>tajā ir</w:t>
            </w:r>
            <w:r w:rsidRPr="00E65333">
              <w:rPr>
                <w:rFonts w:ascii="Times New Roman" w:hAnsi="Times New Roman"/>
                <w:sz w:val="24"/>
                <w:szCs w:val="24"/>
              </w:rPr>
              <w:t xml:space="preserve"> 40 mājsaimniecīb</w:t>
            </w:r>
            <w:r>
              <w:rPr>
                <w:rFonts w:ascii="Times New Roman" w:hAnsi="Times New Roman"/>
                <w:sz w:val="24"/>
                <w:szCs w:val="24"/>
              </w:rPr>
              <w:t>as un</w:t>
            </w:r>
            <w:r w:rsidRPr="00E65333">
              <w:rPr>
                <w:rFonts w:ascii="Times New Roman" w:hAnsi="Times New Roman"/>
                <w:sz w:val="24"/>
                <w:szCs w:val="24"/>
              </w:rPr>
              <w:t xml:space="preserve"> vidējais atbalsts granta veidā </w:t>
            </w:r>
            <w:r>
              <w:rPr>
                <w:rFonts w:ascii="Times New Roman" w:hAnsi="Times New Roman"/>
                <w:sz w:val="24"/>
                <w:szCs w:val="24"/>
              </w:rPr>
              <w:t>vienai mājai ir</w:t>
            </w:r>
            <w:r w:rsidRPr="00E65333">
              <w:rPr>
                <w:rFonts w:ascii="Times New Roman" w:hAnsi="Times New Roman"/>
                <w:sz w:val="24"/>
                <w:szCs w:val="24"/>
              </w:rPr>
              <w:t xml:space="preserve"> 1</w:t>
            </w:r>
            <w:r w:rsidR="001C22B9">
              <w:rPr>
                <w:rFonts w:ascii="Times New Roman" w:hAnsi="Times New Roman"/>
                <w:sz w:val="24"/>
                <w:szCs w:val="24"/>
              </w:rPr>
              <w:t>6</w:t>
            </w:r>
            <w:r w:rsidRPr="00E65333">
              <w:rPr>
                <w:rFonts w:ascii="Times New Roman" w:hAnsi="Times New Roman"/>
                <w:sz w:val="24"/>
                <w:szCs w:val="24"/>
              </w:rPr>
              <w:t>0</w:t>
            </w:r>
            <w:r w:rsidR="00F33C80">
              <w:rPr>
                <w:rFonts w:ascii="Times New Roman" w:hAnsi="Times New Roman"/>
                <w:sz w:val="24"/>
                <w:szCs w:val="24"/>
              </w:rPr>
              <w:t> </w:t>
            </w:r>
            <w:r w:rsidRPr="00E65333">
              <w:rPr>
                <w:rFonts w:ascii="Times New Roman" w:hAnsi="Times New Roman"/>
                <w:sz w:val="24"/>
                <w:szCs w:val="24"/>
              </w:rPr>
              <w:t>000 EUR</w:t>
            </w:r>
            <w:r>
              <w:rPr>
                <w:rFonts w:ascii="Times New Roman" w:hAnsi="Times New Roman"/>
                <w:sz w:val="24"/>
                <w:szCs w:val="24"/>
              </w:rPr>
              <w:t xml:space="preserve">. Ņemot vērā, ka </w:t>
            </w:r>
            <w:r w:rsidRPr="00E65333">
              <w:rPr>
                <w:rFonts w:ascii="Times New Roman" w:hAnsi="Times New Roman"/>
                <w:sz w:val="24"/>
                <w:szCs w:val="24"/>
              </w:rPr>
              <w:t xml:space="preserve"> </w:t>
            </w:r>
            <w:r>
              <w:rPr>
                <w:rFonts w:ascii="Times New Roman" w:hAnsi="Times New Roman"/>
                <w:sz w:val="24"/>
                <w:szCs w:val="24"/>
              </w:rPr>
              <w:t>sabiedrības</w:t>
            </w:r>
            <w:r w:rsidRPr="00E65333">
              <w:rPr>
                <w:rFonts w:ascii="Times New Roman" w:hAnsi="Times New Roman"/>
                <w:sz w:val="24"/>
                <w:szCs w:val="24"/>
              </w:rPr>
              <w:t xml:space="preserve"> "Altum" projekta izmaksām ir pieejam</w:t>
            </w:r>
            <w:r>
              <w:rPr>
                <w:rFonts w:ascii="Times New Roman" w:hAnsi="Times New Roman"/>
                <w:sz w:val="24"/>
                <w:szCs w:val="24"/>
              </w:rPr>
              <w:t>s publiskais finansējums</w:t>
            </w:r>
            <w:r w:rsidRPr="00E65333">
              <w:rPr>
                <w:rFonts w:ascii="Times New Roman" w:hAnsi="Times New Roman"/>
                <w:sz w:val="24"/>
                <w:szCs w:val="24"/>
              </w:rPr>
              <w:t xml:space="preserve"> </w:t>
            </w:r>
            <w:r w:rsidRPr="00E02623" w:rsidR="0000514B">
              <w:rPr>
                <w:rFonts w:ascii="Times New Roman" w:hAnsi="Times New Roman"/>
                <w:sz w:val="24"/>
                <w:szCs w:val="24"/>
              </w:rPr>
              <w:t xml:space="preserve">122 950 024 </w:t>
            </w:r>
            <w:r w:rsidRPr="00E65333">
              <w:rPr>
                <w:rFonts w:ascii="Times New Roman" w:hAnsi="Times New Roman"/>
                <w:sz w:val="24"/>
                <w:szCs w:val="24"/>
              </w:rPr>
              <w:t>EUR</w:t>
            </w:r>
            <w:r>
              <w:rPr>
                <w:rFonts w:ascii="Times New Roman" w:hAnsi="Times New Roman"/>
                <w:sz w:val="24"/>
                <w:szCs w:val="24"/>
              </w:rPr>
              <w:t xml:space="preserve"> apmērā</w:t>
            </w:r>
            <w:r w:rsidRPr="00E65333">
              <w:rPr>
                <w:rFonts w:ascii="Times New Roman" w:hAnsi="Times New Roman"/>
                <w:sz w:val="24"/>
                <w:szCs w:val="24"/>
              </w:rPr>
              <w:t xml:space="preserve">, </w:t>
            </w:r>
            <w:r>
              <w:rPr>
                <w:rFonts w:ascii="Times New Roman" w:hAnsi="Times New Roman"/>
                <w:sz w:val="24"/>
                <w:szCs w:val="24"/>
              </w:rPr>
              <w:t xml:space="preserve">4.2.1.1.pasākuma </w:t>
            </w:r>
            <w:r w:rsidRPr="00E65333">
              <w:rPr>
                <w:rFonts w:ascii="Times New Roman" w:hAnsi="Times New Roman"/>
                <w:sz w:val="24"/>
                <w:szCs w:val="24"/>
              </w:rPr>
              <w:t xml:space="preserve">ietvaros </w:t>
            </w:r>
            <w:r>
              <w:rPr>
                <w:rFonts w:ascii="Times New Roman" w:hAnsi="Times New Roman"/>
                <w:sz w:val="24"/>
                <w:szCs w:val="24"/>
              </w:rPr>
              <w:t xml:space="preserve">atbalstu granta veidā var piešķirt </w:t>
            </w:r>
            <w:r w:rsidRPr="00E65333">
              <w:rPr>
                <w:rFonts w:ascii="Times New Roman" w:hAnsi="Times New Roman"/>
                <w:sz w:val="24"/>
                <w:szCs w:val="24"/>
              </w:rPr>
              <w:t xml:space="preserve">aptuveni </w:t>
            </w:r>
            <w:r w:rsidR="001C22B9">
              <w:rPr>
                <w:rFonts w:ascii="Times New Roman" w:hAnsi="Times New Roman"/>
                <w:sz w:val="24"/>
                <w:szCs w:val="24"/>
              </w:rPr>
              <w:t xml:space="preserve"> 768</w:t>
            </w:r>
            <w:r w:rsidR="001B0394">
              <w:rPr>
                <w:rFonts w:ascii="Times New Roman" w:hAnsi="Times New Roman"/>
                <w:sz w:val="24"/>
                <w:szCs w:val="24"/>
              </w:rPr>
              <w:t xml:space="preserve"> </w:t>
            </w:r>
            <w:r w:rsidRPr="00E65333">
              <w:rPr>
                <w:rFonts w:ascii="Times New Roman" w:hAnsi="Times New Roman"/>
                <w:sz w:val="24"/>
                <w:szCs w:val="24"/>
              </w:rPr>
              <w:t>daudzdzīvokļu māj</w:t>
            </w:r>
            <w:r>
              <w:rPr>
                <w:rFonts w:ascii="Times New Roman" w:hAnsi="Times New Roman"/>
                <w:sz w:val="24"/>
                <w:szCs w:val="24"/>
              </w:rPr>
              <w:t>u energoefektivitātes paaugstināšanai. Tas nozīmē, ka atbalsts tiks sniegts</w:t>
            </w:r>
            <w:r w:rsidRPr="00E65333">
              <w:rPr>
                <w:rFonts w:ascii="Times New Roman" w:hAnsi="Times New Roman"/>
                <w:sz w:val="24"/>
                <w:szCs w:val="24"/>
              </w:rPr>
              <w:t xml:space="preserve"> vairāk nekā 3</w:t>
            </w:r>
            <w:r w:rsidR="00303D9C">
              <w:rPr>
                <w:rFonts w:ascii="Times New Roman" w:hAnsi="Times New Roman"/>
                <w:sz w:val="24"/>
                <w:szCs w:val="24"/>
              </w:rPr>
              <w:t>3</w:t>
            </w:r>
            <w:r w:rsidRPr="00E65333">
              <w:rPr>
                <w:rFonts w:ascii="Times New Roman" w:hAnsi="Times New Roman"/>
                <w:sz w:val="24"/>
                <w:szCs w:val="24"/>
              </w:rPr>
              <w:t xml:space="preserve"> 000 mājsaimniecību</w:t>
            </w:r>
            <w:r>
              <w:rPr>
                <w:rFonts w:ascii="Times New Roman" w:hAnsi="Times New Roman"/>
                <w:sz w:val="24"/>
                <w:szCs w:val="24"/>
              </w:rPr>
              <w:t>, kas pārsniedz darbības programmā noteikto mājsaimniecību skaitu</w:t>
            </w:r>
            <w:r w:rsidRPr="00E65333">
              <w:rPr>
                <w:rFonts w:ascii="Times New Roman" w:hAnsi="Times New Roman"/>
                <w:sz w:val="24"/>
                <w:szCs w:val="24"/>
              </w:rPr>
              <w:t xml:space="preserve">. </w:t>
            </w:r>
          </w:p>
          <w:p w:rsidR="00F14706" w:rsidRPr="006F55DB" w:rsidP="00993F07" w14:paraId="499FC4E4" w14:textId="1AEB68C5">
            <w:pPr>
              <w:spacing w:after="240" w:line="240" w:lineRule="auto"/>
              <w:ind w:firstLine="476"/>
              <w:jc w:val="both"/>
              <w:rPr>
                <w:rFonts w:ascii="Times New Roman" w:hAnsi="Times New Roman"/>
                <w:sz w:val="24"/>
                <w:szCs w:val="24"/>
              </w:rPr>
            </w:pPr>
            <w:r w:rsidRPr="00DE1449">
              <w:rPr>
                <w:rFonts w:ascii="Times New Roman" w:hAnsi="Times New Roman"/>
                <w:sz w:val="24"/>
                <w:szCs w:val="24"/>
              </w:rPr>
              <w:t xml:space="preserve">Ņemot vērā piedāvātos grozījumus, </w:t>
            </w:r>
            <w:r>
              <w:rPr>
                <w:rFonts w:ascii="Times New Roman" w:hAnsi="Times New Roman"/>
                <w:sz w:val="24"/>
                <w:szCs w:val="24"/>
              </w:rPr>
              <w:t>Ekonomikas ministrija precizēs</w:t>
            </w:r>
            <w:r w:rsidRPr="006F55DB">
              <w:rPr>
                <w:rFonts w:ascii="Times New Roman" w:hAnsi="Times New Roman"/>
                <w:sz w:val="24"/>
                <w:szCs w:val="24"/>
              </w:rPr>
              <w:t xml:space="preserve"> darbības programmas 4.2.1. specifiskā atbalsta mērķa "Veicināt energoefektivitātes paaugstināšanu valsts un dzīvojamās ēkās" </w:t>
            </w:r>
            <w:r w:rsidRPr="00DE1449">
              <w:rPr>
                <w:rFonts w:ascii="Times New Roman" w:hAnsi="Times New Roman"/>
                <w:sz w:val="24"/>
                <w:szCs w:val="24"/>
              </w:rPr>
              <w:t>rādītāju pasi</w:t>
            </w:r>
            <w:r>
              <w:rPr>
                <w:rFonts w:ascii="Times New Roman" w:hAnsi="Times New Roman"/>
                <w:sz w:val="24"/>
                <w:szCs w:val="24"/>
              </w:rPr>
              <w:t>.</w:t>
            </w:r>
          </w:p>
          <w:p w:rsidR="006F55DB" w:rsidRPr="00E65333" w:rsidP="006B6120" w14:paraId="43D7757C" w14:textId="77777777">
            <w:pPr>
              <w:pStyle w:val="ListParagraph"/>
              <w:numPr>
                <w:ilvl w:val="0"/>
                <w:numId w:val="1"/>
              </w:numPr>
              <w:spacing w:after="120" w:line="240" w:lineRule="auto"/>
              <w:ind w:left="391" w:hanging="391"/>
              <w:jc w:val="both"/>
              <w:rPr>
                <w:b/>
                <w:i/>
                <w:u w:val="single"/>
              </w:rPr>
            </w:pPr>
            <w:r w:rsidRPr="00E65333">
              <w:rPr>
                <w:rFonts w:ascii="Times New Roman" w:hAnsi="Times New Roman"/>
                <w:b/>
                <w:i/>
                <w:sz w:val="24"/>
                <w:szCs w:val="24"/>
                <w:u w:val="single"/>
              </w:rPr>
              <w:t>Noteikt, ka tiek palielināta 4.2.1.1 pasākuma snieguma rezerve par 3 266 888 euro un attiecīgi tiek samazināt</w:t>
            </w:r>
            <w:r>
              <w:rPr>
                <w:rFonts w:ascii="Times New Roman" w:hAnsi="Times New Roman"/>
                <w:b/>
                <w:i/>
                <w:sz w:val="24"/>
                <w:szCs w:val="24"/>
                <w:u w:val="single"/>
              </w:rPr>
              <w:t>s</w:t>
            </w:r>
            <w:r w:rsidRPr="00E65333">
              <w:rPr>
                <w:rFonts w:ascii="Times New Roman" w:hAnsi="Times New Roman"/>
                <w:b/>
                <w:i/>
                <w:sz w:val="24"/>
                <w:szCs w:val="24"/>
                <w:u w:val="single"/>
              </w:rPr>
              <w:t xml:space="preserve"> pieejamā attiecināmā finansējuma</w:t>
            </w:r>
            <w:r w:rsidRPr="002556A3">
              <w:rPr>
                <w:rFonts w:ascii="Times New Roman" w:hAnsi="Times New Roman"/>
                <w:b/>
                <w:i/>
                <w:sz w:val="24"/>
                <w:szCs w:val="24"/>
                <w:u w:val="single"/>
              </w:rPr>
              <w:t xml:space="preserve"> apmērs</w:t>
            </w:r>
            <w:r w:rsidRPr="00E65333">
              <w:rPr>
                <w:rFonts w:ascii="Times New Roman" w:hAnsi="Times New Roman"/>
                <w:b/>
                <w:i/>
                <w:sz w:val="24"/>
                <w:szCs w:val="24"/>
                <w:u w:val="single"/>
              </w:rPr>
              <w:t xml:space="preserve"> līguma</w:t>
            </w:r>
            <w:r>
              <w:rPr>
                <w:rFonts w:ascii="Times New Roman" w:hAnsi="Times New Roman"/>
                <w:b/>
                <w:i/>
                <w:sz w:val="24"/>
                <w:szCs w:val="24"/>
                <w:u w:val="single"/>
              </w:rPr>
              <w:t>m</w:t>
            </w:r>
            <w:r w:rsidRPr="00E65333">
              <w:rPr>
                <w:rFonts w:ascii="Times New Roman" w:hAnsi="Times New Roman"/>
                <w:b/>
                <w:i/>
                <w:sz w:val="24"/>
                <w:szCs w:val="24"/>
                <w:u w:val="single"/>
              </w:rPr>
              <w:t xml:space="preserve"> par </w:t>
            </w:r>
            <w:r>
              <w:rPr>
                <w:rFonts w:ascii="Times New Roman" w:hAnsi="Times New Roman"/>
                <w:b/>
                <w:i/>
                <w:sz w:val="24"/>
                <w:szCs w:val="24"/>
                <w:u w:val="single"/>
              </w:rPr>
              <w:t xml:space="preserve">sabiedrības </w:t>
            </w:r>
            <w:r w:rsidRPr="003C2906">
              <w:rPr>
                <w:rFonts w:ascii="Times New Roman" w:hAnsi="Times New Roman"/>
                <w:b/>
                <w:i/>
                <w:sz w:val="24"/>
                <w:szCs w:val="24"/>
                <w:u w:val="single"/>
              </w:rPr>
              <w:t>"</w:t>
            </w:r>
            <w:r>
              <w:rPr>
                <w:rFonts w:ascii="Times New Roman" w:hAnsi="Times New Roman"/>
                <w:b/>
                <w:i/>
                <w:sz w:val="24"/>
                <w:szCs w:val="24"/>
                <w:u w:val="single"/>
              </w:rPr>
              <w:t>Altum</w:t>
            </w:r>
            <w:r w:rsidRPr="003C2906">
              <w:rPr>
                <w:rFonts w:ascii="Times New Roman" w:hAnsi="Times New Roman"/>
                <w:b/>
                <w:i/>
                <w:sz w:val="24"/>
                <w:szCs w:val="24"/>
                <w:u w:val="single"/>
              </w:rPr>
              <w:t>"</w:t>
            </w:r>
            <w:r>
              <w:rPr>
                <w:rFonts w:ascii="Times New Roman" w:hAnsi="Times New Roman"/>
                <w:b/>
                <w:i/>
                <w:sz w:val="24"/>
                <w:szCs w:val="24"/>
                <w:u w:val="single"/>
              </w:rPr>
              <w:t xml:space="preserve"> </w:t>
            </w:r>
            <w:r w:rsidRPr="00E65333">
              <w:rPr>
                <w:rFonts w:ascii="Times New Roman" w:hAnsi="Times New Roman"/>
                <w:b/>
                <w:i/>
                <w:sz w:val="24"/>
                <w:szCs w:val="24"/>
                <w:u w:val="single"/>
              </w:rPr>
              <w:t>projekta īstenošanu.</w:t>
            </w:r>
          </w:p>
          <w:p w:rsidR="001D7786" w:rsidP="00D272A1" w14:paraId="0EB9D96F" w14:textId="0AABB40C">
            <w:pPr>
              <w:pStyle w:val="NormalWeb"/>
              <w:spacing w:before="0" w:beforeAutospacing="0" w:after="120" w:afterAutospacing="0"/>
              <w:ind w:left="391" w:right="11"/>
              <w:jc w:val="both"/>
            </w:pPr>
            <w:r>
              <w:t>Saskaņā ar</w:t>
            </w:r>
            <w:r w:rsidR="00C978A1">
              <w:t xml:space="preserve"> 2018. gada</w:t>
            </w:r>
            <w:r w:rsidRPr="00973493" w:rsidR="006F55DB">
              <w:t xml:space="preserve"> 4. janvāra Ministru </w:t>
            </w:r>
            <w:r>
              <w:t>kabineta sēdes lēmumu (Protokola</w:t>
            </w:r>
            <w:r w:rsidRPr="00973493" w:rsidR="006F55DB">
              <w:t xml:space="preserve"> Nr. 1., 32.§, 2.2.</w:t>
            </w:r>
            <w:r>
              <w:t>apakš</w:t>
            </w:r>
            <w:r w:rsidRPr="00973493" w:rsidR="006F55DB">
              <w:t xml:space="preserve">punkts) 4.2.1.2.pasākuma "Veicināt energoefektivitātes paaugstināšanu valsts ēkās" snieguma finanšu rezerve </w:t>
            </w:r>
            <w:r w:rsidRPr="00973493" w:rsidR="006F55DB">
              <w:rPr>
                <w:color w:val="2A2A2A"/>
                <w:shd w:val="clear" w:color="auto" w:fill="FFFFFF"/>
              </w:rPr>
              <w:t xml:space="preserve">3 266 888 EUR apmērā ir iekļauta 4.2.1.1.pasākumā. </w:t>
            </w:r>
            <w:r w:rsidRPr="00973493" w:rsidR="006F55DB">
              <w:t>Attiecīgi tiek samazināts pieejamā attiecināmā finansējuma apmērs līgumam par sabiedrības "Altum" projekta īstenošanu.</w:t>
            </w:r>
            <w:r w:rsidR="00C978A1">
              <w:t xml:space="preserve"> </w:t>
            </w:r>
            <w:r w:rsidRPr="00F37D7B" w:rsidR="00C36455">
              <w:t>Tiklīdz 4.2.1.2.</w:t>
            </w:r>
            <w:r w:rsidR="00C36455">
              <w:t> </w:t>
            </w:r>
            <w:r w:rsidRPr="00F37D7B" w:rsidR="00C36455">
              <w:t>pasākuma "Veicināt energoefektivitātes paaugstināšanu valsts ēkās" ietvaros atbrīv</w:t>
            </w:r>
            <w:r w:rsidR="00C36455">
              <w:t>osies</w:t>
            </w:r>
            <w:r w:rsidRPr="00F37D7B" w:rsidR="00C36455">
              <w:t xml:space="preserve"> publiskais finansējums, t</w:t>
            </w:r>
            <w:r w:rsidR="00C36455">
              <w:t>as</w:t>
            </w:r>
            <w:r w:rsidRPr="00F37D7B" w:rsidR="00C36455">
              <w:t xml:space="preserve"> primāri </w:t>
            </w:r>
            <w:r w:rsidR="00C36455">
              <w:t xml:space="preserve">tiks </w:t>
            </w:r>
            <w:r w:rsidRPr="00F37D7B" w:rsidR="00C36455">
              <w:t>novirzīt</w:t>
            </w:r>
            <w:r w:rsidR="00C36455">
              <w:t>s</w:t>
            </w:r>
            <w:r w:rsidRPr="00F37D7B" w:rsidR="00C36455">
              <w:t xml:space="preserve"> 4.2.1.1. pasākuma  snieguma rezerves samazināšanai</w:t>
            </w:r>
            <w:r w:rsidR="00C36455">
              <w:t>.</w:t>
            </w:r>
          </w:p>
          <w:p w:rsidR="00377FA3" w:rsidRPr="00973493" w:rsidP="00FD3E88" w14:paraId="747EE3B6" w14:textId="03AA9236">
            <w:pPr>
              <w:pStyle w:val="NormalWeb"/>
              <w:spacing w:before="0" w:beforeAutospacing="0" w:after="120" w:afterAutospacing="0"/>
              <w:ind w:right="11"/>
              <w:jc w:val="both"/>
            </w:pPr>
          </w:p>
        </w:tc>
      </w:tr>
      <w:tr w14:paraId="452B4811" w14:textId="77777777" w:rsidTr="00B83CED">
        <w:tblPrEx>
          <w:tblW w:w="9579" w:type="dxa"/>
          <w:tblInd w:w="-537" w:type="dxa"/>
          <w:tblLayout w:type="fixed"/>
          <w:tblCellMar>
            <w:left w:w="0" w:type="dxa"/>
            <w:right w:w="0" w:type="dxa"/>
          </w:tblCellMar>
          <w:tblLook w:val="04A0"/>
        </w:tblPrEx>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rsidR="00F67AF9" w:rsidRPr="00670216" w:rsidP="00F67AF9" w14:paraId="74FCA878" w14:textId="77777777">
            <w:pPr>
              <w:spacing w:after="0" w:line="240" w:lineRule="auto"/>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3. Projekta izstrādē iesaistītās institūcijas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67AF9" w:rsidRPr="00670216" w:rsidP="00EF38D4" w14:paraId="1BD7E9A6" w14:textId="77777777">
            <w:pPr>
              <w:spacing w:after="0" w:line="240" w:lineRule="auto"/>
              <w:jc w:val="both"/>
              <w:rPr>
                <w:rFonts w:ascii="Times New Roman" w:hAnsi="Times New Roman"/>
                <w:sz w:val="24"/>
                <w:szCs w:val="24"/>
              </w:rPr>
            </w:pPr>
            <w:r>
              <w:rPr>
                <w:rFonts w:ascii="Times New Roman" w:hAnsi="Times New Roman"/>
                <w:sz w:val="24"/>
                <w:szCs w:val="24"/>
              </w:rPr>
              <w:t>Ekonomikas ministrija</w:t>
            </w:r>
          </w:p>
        </w:tc>
      </w:tr>
      <w:tr w14:paraId="420980DF" w14:textId="77777777" w:rsidTr="00B83CED">
        <w:tblPrEx>
          <w:tblW w:w="9579" w:type="dxa"/>
          <w:tblInd w:w="-537" w:type="dxa"/>
          <w:tblLayout w:type="fixed"/>
          <w:tblCellMar>
            <w:left w:w="0" w:type="dxa"/>
            <w:right w:w="0" w:type="dxa"/>
          </w:tblCellMar>
          <w:tblLook w:val="04A0"/>
        </w:tblPrEx>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rsidR="00F67AF9" w:rsidRPr="00670216" w:rsidP="00F67AF9" w14:paraId="287887F3" w14:textId="77777777">
            <w:pPr>
              <w:spacing w:after="0" w:line="240" w:lineRule="auto"/>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 4. Cita informācija</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67AF9" w:rsidRPr="00670216" w:rsidP="00010F01" w14:paraId="33042B9A" w14:textId="77777777">
            <w:pPr>
              <w:spacing w:after="0" w:line="240" w:lineRule="auto"/>
              <w:jc w:val="both"/>
              <w:rPr>
                <w:rFonts w:ascii="Times New Roman" w:hAnsi="Times New Roman"/>
                <w:sz w:val="24"/>
                <w:szCs w:val="24"/>
              </w:rPr>
            </w:pPr>
            <w:r w:rsidRPr="00670216">
              <w:rPr>
                <w:rFonts w:ascii="Times New Roman" w:hAnsi="Times New Roman"/>
                <w:sz w:val="24"/>
                <w:szCs w:val="24"/>
              </w:rPr>
              <w:t>Nav</w:t>
            </w:r>
          </w:p>
        </w:tc>
      </w:tr>
    </w:tbl>
    <w:p w:rsidR="00E71E86" w:rsidRPr="00670216" w:rsidP="00286064" w14:paraId="01A1C142" w14:textId="77777777"/>
    <w:tbl>
      <w:tblPr>
        <w:tblpPr w:leftFromText="180" w:rightFromText="180" w:bottomFromText="200" w:vertAnchor="text" w:horzAnchor="page" w:tblpX="1381" w:tblpY="8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3231"/>
        <w:gridCol w:w="6408"/>
      </w:tblGrid>
      <w:tr w14:paraId="7F9F3349" w14:textId="77777777" w:rsidTr="00C81002">
        <w:tblPrEx>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Ex>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1E86" w:rsidRPr="00670216" w:rsidP="00C81002" w14:paraId="357FB713" w14:textId="77777777">
            <w:pPr>
              <w:spacing w:after="0" w:line="240" w:lineRule="auto"/>
              <w:jc w:val="center"/>
              <w:rPr>
                <w:rFonts w:ascii="Times New Roman" w:eastAsia="Times New Roman" w:hAnsi="Times New Roman"/>
                <w:b/>
                <w:bCs/>
                <w:sz w:val="24"/>
                <w:szCs w:val="24"/>
                <w:lang w:eastAsia="lv-LV"/>
              </w:rPr>
            </w:pPr>
            <w:r w:rsidRPr="00670216">
              <w:rPr>
                <w:rFonts w:ascii="Times New Roman" w:eastAsia="Times New Roman" w:hAnsi="Times New Roman"/>
                <w:b/>
                <w:bCs/>
                <w:sz w:val="24"/>
                <w:szCs w:val="24"/>
                <w:lang w:eastAsia="lv-LV"/>
              </w:rPr>
              <w:t>II. Tiesību akta projekta ietekme uz sabiedrību, tautsaimniecības attīstību un administratīvo slogu</w:t>
            </w:r>
          </w:p>
        </w:tc>
      </w:tr>
      <w:tr w14:paraId="27C6E876" w14:textId="77777777" w:rsidTr="00C81002">
        <w:tblPrEx>
          <w:tblW w:w="9639" w:type="dxa"/>
          <w:tblCellMar>
            <w:left w:w="0" w:type="dxa"/>
            <w:right w:w="0" w:type="dxa"/>
          </w:tblCellMar>
          <w:tblLook w:val="04A0"/>
        </w:tblPrEx>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197F6598" w14:textId="77777777">
            <w:pPr>
              <w:numPr>
                <w:ilvl w:val="0"/>
                <w:numId w:val="10"/>
              </w:numPr>
              <w:spacing w:after="0" w:line="240" w:lineRule="auto"/>
              <w:ind w:left="3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Sabiedrības mērķgrupas,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47692540" w14:textId="77777777">
            <w:pPr>
              <w:spacing w:before="75" w:after="75" w:line="240" w:lineRule="auto"/>
              <w:ind w:firstLine="450"/>
              <w:jc w:val="both"/>
              <w:rPr>
                <w:rFonts w:ascii="Times New Roman" w:eastAsia="Times New Roman" w:hAnsi="Times New Roman"/>
                <w:iCs/>
                <w:sz w:val="24"/>
                <w:szCs w:val="24"/>
                <w:lang w:eastAsia="lv-LV"/>
              </w:rPr>
            </w:pPr>
            <w:r w:rsidRPr="00670216">
              <w:rPr>
                <w:rFonts w:ascii="Times New Roman" w:eastAsia="Times New Roman" w:hAnsi="Times New Roman"/>
                <w:iCs/>
                <w:sz w:val="24"/>
                <w:szCs w:val="24"/>
                <w:lang w:eastAsia="lv-LV"/>
              </w:rPr>
              <w:t xml:space="preserve">Sabiedrība </w:t>
            </w:r>
            <w:r w:rsidRPr="00670216" w:rsidR="00BE035A">
              <w:rPr>
                <w:rFonts w:ascii="Times New Roman" w:eastAsia="Times New Roman" w:hAnsi="Times New Roman"/>
                <w:iCs/>
                <w:sz w:val="24"/>
                <w:szCs w:val="24"/>
                <w:lang w:eastAsia="lv-LV"/>
              </w:rPr>
              <w:t>"</w:t>
            </w:r>
            <w:r w:rsidRPr="00670216">
              <w:rPr>
                <w:rFonts w:ascii="Times New Roman" w:eastAsia="Times New Roman" w:hAnsi="Times New Roman"/>
                <w:iCs/>
                <w:sz w:val="24"/>
                <w:szCs w:val="24"/>
                <w:lang w:eastAsia="lv-LV"/>
              </w:rPr>
              <w:t>Altum</w:t>
            </w:r>
            <w:r w:rsidRPr="00670216" w:rsidR="00BE035A">
              <w:rPr>
                <w:rFonts w:ascii="Times New Roman" w:eastAsia="Times New Roman" w:hAnsi="Times New Roman"/>
                <w:iCs/>
                <w:sz w:val="24"/>
                <w:szCs w:val="24"/>
                <w:lang w:eastAsia="lv-LV"/>
              </w:rPr>
              <w:t>"</w:t>
            </w:r>
            <w:r w:rsidRPr="00670216">
              <w:rPr>
                <w:rFonts w:ascii="Times New Roman" w:eastAsia="Times New Roman" w:hAnsi="Times New Roman"/>
                <w:iCs/>
                <w:sz w:val="24"/>
                <w:szCs w:val="24"/>
                <w:lang w:eastAsia="lv-LV"/>
              </w:rPr>
              <w:t xml:space="preserve">, daudzdzīvokļu dzīvojamo māju dzīvokļu īpašnieki, dzīvokļu īpašnieku pilnvarotās personas, pārvaldnieki, </w:t>
            </w:r>
            <w:r w:rsidRPr="00670216" w:rsidR="009E71E2">
              <w:rPr>
                <w:rFonts w:ascii="Times New Roman" w:eastAsia="Times New Roman" w:hAnsi="Times New Roman"/>
                <w:iCs/>
                <w:sz w:val="24"/>
                <w:szCs w:val="24"/>
                <w:lang w:eastAsia="lv-LV"/>
              </w:rPr>
              <w:t xml:space="preserve">energoservisa </w:t>
            </w:r>
            <w:r w:rsidRPr="00670216">
              <w:rPr>
                <w:rFonts w:ascii="Times New Roman" w:eastAsia="Times New Roman" w:hAnsi="Times New Roman"/>
                <w:iCs/>
                <w:sz w:val="24"/>
                <w:szCs w:val="24"/>
                <w:lang w:eastAsia="lv-LV"/>
              </w:rPr>
              <w:t>kompānijas.</w:t>
            </w:r>
          </w:p>
        </w:tc>
      </w:tr>
      <w:tr w14:paraId="4B1A5F59" w14:textId="77777777" w:rsidTr="00C81002">
        <w:tblPrEx>
          <w:tblW w:w="9639" w:type="dxa"/>
          <w:tblCellMar>
            <w:left w:w="0" w:type="dxa"/>
            <w:right w:w="0" w:type="dxa"/>
          </w:tblCellMar>
          <w:tblLook w:val="04A0"/>
        </w:tblPrEx>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14D0B30A" w14:textId="77777777">
            <w:pPr>
              <w:numPr>
                <w:ilvl w:val="0"/>
                <w:numId w:val="10"/>
              </w:numPr>
              <w:spacing w:after="0" w:line="240" w:lineRule="auto"/>
              <w:ind w:left="3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186E33" w14:paraId="257134A4" w14:textId="77777777">
            <w:pPr>
              <w:spacing w:after="0" w:line="240" w:lineRule="auto"/>
              <w:ind w:firstLine="450"/>
              <w:jc w:val="both"/>
              <w:rPr>
                <w:rFonts w:ascii="Times New Roman" w:eastAsia="Times New Roman" w:hAnsi="Times New Roman"/>
                <w:iCs/>
                <w:sz w:val="24"/>
                <w:szCs w:val="24"/>
                <w:lang w:eastAsia="lv-LV"/>
              </w:rPr>
            </w:pPr>
            <w:r w:rsidRPr="00670216">
              <w:rPr>
                <w:rFonts w:ascii="Times New Roman" w:eastAsia="Times New Roman" w:hAnsi="Times New Roman"/>
                <w:iCs/>
                <w:sz w:val="24"/>
                <w:szCs w:val="24"/>
                <w:lang w:eastAsia="lv-LV"/>
              </w:rPr>
              <w:t>Noteikumu projekts neparedz ietekmi uz administratīvo slogu.</w:t>
            </w:r>
          </w:p>
          <w:p w:rsidR="004C4481" w:rsidP="007370E1" w14:paraId="7D89CEA7" w14:textId="652C38B5">
            <w:pPr>
              <w:spacing w:after="0" w:line="240" w:lineRule="auto"/>
              <w:ind w:firstLine="450"/>
              <w:jc w:val="both"/>
              <w:rPr>
                <w:rFonts w:ascii="Times New Roman" w:eastAsia="Times New Roman" w:hAnsi="Times New Roman"/>
                <w:iCs/>
                <w:sz w:val="24"/>
                <w:szCs w:val="24"/>
                <w:lang w:eastAsia="lv-LV"/>
              </w:rPr>
            </w:pPr>
            <w:r w:rsidRPr="00670216">
              <w:rPr>
                <w:rFonts w:ascii="Times New Roman" w:eastAsia="Times New Roman" w:hAnsi="Times New Roman"/>
                <w:iCs/>
                <w:sz w:val="24"/>
                <w:szCs w:val="24"/>
                <w:lang w:eastAsia="lv-LV"/>
              </w:rPr>
              <w:t xml:space="preserve">Noteikumu projekta īstenošanu nodrošinās sabiedrība </w:t>
            </w:r>
            <w:r w:rsidRPr="00670216" w:rsidR="00BE035A">
              <w:rPr>
                <w:rFonts w:ascii="Times New Roman" w:eastAsia="Times New Roman" w:hAnsi="Times New Roman"/>
                <w:iCs/>
                <w:sz w:val="24"/>
                <w:szCs w:val="24"/>
                <w:lang w:eastAsia="lv-LV"/>
              </w:rPr>
              <w:t>"</w:t>
            </w:r>
            <w:r w:rsidRPr="00670216">
              <w:rPr>
                <w:rFonts w:ascii="Times New Roman" w:eastAsia="Times New Roman" w:hAnsi="Times New Roman"/>
                <w:iCs/>
                <w:sz w:val="24"/>
                <w:szCs w:val="24"/>
                <w:lang w:eastAsia="lv-LV"/>
              </w:rPr>
              <w:t>Altum</w:t>
            </w:r>
            <w:r w:rsidRPr="00670216" w:rsidR="00BE035A">
              <w:rPr>
                <w:rFonts w:ascii="Times New Roman" w:eastAsia="Times New Roman" w:hAnsi="Times New Roman"/>
                <w:iCs/>
                <w:sz w:val="24"/>
                <w:szCs w:val="24"/>
                <w:lang w:eastAsia="lv-LV"/>
              </w:rPr>
              <w:t>"</w:t>
            </w:r>
            <w:r w:rsidRPr="00670216">
              <w:rPr>
                <w:rFonts w:ascii="Times New Roman" w:eastAsia="Times New Roman" w:hAnsi="Times New Roman"/>
                <w:iCs/>
                <w:sz w:val="24"/>
                <w:szCs w:val="24"/>
                <w:lang w:eastAsia="lv-LV"/>
              </w:rPr>
              <w:t>.</w:t>
            </w:r>
          </w:p>
          <w:p w:rsidR="00E71E86" w:rsidRPr="00670216" w:rsidP="00186E33" w14:paraId="4871A6D7" w14:textId="6D1CB8CF">
            <w:pPr>
              <w:spacing w:after="0" w:line="240" w:lineRule="auto"/>
              <w:ind w:firstLine="450"/>
              <w:jc w:val="both"/>
              <w:rPr>
                <w:rFonts w:ascii="Times New Roman" w:eastAsia="Times New Roman" w:hAnsi="Times New Roman"/>
                <w:sz w:val="24"/>
                <w:szCs w:val="24"/>
                <w:lang w:eastAsia="lv-LV"/>
              </w:rPr>
            </w:pPr>
            <w:r w:rsidRPr="00670216">
              <w:rPr>
                <w:rFonts w:ascii="Times New Roman" w:eastAsia="Times New Roman" w:hAnsi="Times New Roman"/>
                <w:iCs/>
                <w:sz w:val="24"/>
                <w:szCs w:val="24"/>
                <w:lang w:eastAsia="lv-LV"/>
              </w:rPr>
              <w:t xml:space="preserve">Noteikumu projekts paredz pozitīvu ietekmi uz tautsaimniecību, jo  nodrošina, ka tiek veikti uzlabojumi </w:t>
            </w:r>
            <w:r w:rsidR="001D6DC2">
              <w:rPr>
                <w:rFonts w:ascii="Times New Roman" w:eastAsia="Times New Roman" w:hAnsi="Times New Roman"/>
                <w:iCs/>
                <w:sz w:val="24"/>
                <w:szCs w:val="24"/>
                <w:lang w:eastAsia="lv-LV"/>
              </w:rPr>
              <w:t>4.2.1.1.p</w:t>
            </w:r>
            <w:r w:rsidRPr="00670216">
              <w:rPr>
                <w:rFonts w:ascii="Times New Roman" w:eastAsia="Times New Roman" w:hAnsi="Times New Roman"/>
                <w:iCs/>
                <w:sz w:val="24"/>
                <w:szCs w:val="24"/>
                <w:lang w:eastAsia="lv-LV"/>
              </w:rPr>
              <w:t>asākuma īstenošanas nosacījumiem, ar mērķi sekmēt daudzdzīvokļu dzīvojamo māju energoefektivitātes pasākumu ieviešanu.</w:t>
            </w:r>
          </w:p>
        </w:tc>
      </w:tr>
      <w:tr w14:paraId="792AA623" w14:textId="77777777" w:rsidTr="00C81002">
        <w:tblPrEx>
          <w:tblW w:w="9639" w:type="dxa"/>
          <w:tblCellMar>
            <w:left w:w="0" w:type="dxa"/>
            <w:right w:w="0" w:type="dxa"/>
          </w:tblCellMar>
          <w:tblLook w:val="04A0"/>
        </w:tblPrEx>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4DC8B09F" w14:textId="77777777">
            <w:pPr>
              <w:numPr>
                <w:ilvl w:val="0"/>
                <w:numId w:val="10"/>
              </w:numPr>
              <w:spacing w:after="0" w:line="240" w:lineRule="auto"/>
              <w:ind w:left="3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272CB50E" w14:textId="557A251D">
            <w:pPr>
              <w:spacing w:after="0" w:line="240" w:lineRule="auto"/>
              <w:ind w:firstLine="450"/>
              <w:jc w:val="both"/>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 xml:space="preserve">Eiropas Savienības fondu administrēšanas izmaksas plānots segt no Eiropas Savienības struktūrfondu un Kohēzijas fonda 2014.-2020.gada plānošanas perioda finansējuma vai atmaksātā finansējuma </w:t>
            </w:r>
            <w:r w:rsidRPr="004221B8">
              <w:rPr>
                <w:rFonts w:ascii="Times New Roman" w:eastAsia="Times New Roman" w:hAnsi="Times New Roman"/>
                <w:sz w:val="24"/>
                <w:szCs w:val="24"/>
                <w:lang w:eastAsia="lv-LV"/>
              </w:rPr>
              <w:t>atbilstoši</w:t>
            </w:r>
            <w:r w:rsidRPr="004221B8">
              <w:rPr>
                <w:rFonts w:ascii="Times New Roman" w:hAnsi="Times New Roman"/>
                <w:sz w:val="24"/>
                <w:szCs w:val="24"/>
              </w:rPr>
              <w:t xml:space="preserve"> </w:t>
            </w:r>
            <w:r w:rsidRPr="004221B8" w:rsidR="004221B8">
              <w:rPr>
                <w:rFonts w:ascii="Times New Roman" w:hAnsi="Times New Roman"/>
                <w:sz w:val="24"/>
                <w:szCs w:val="24"/>
              </w:rPr>
              <w:t>"Eiropas Parlamenta un Padomes 2013.gada 17.decembra Regulas (ES) Nr. 1303/2013, ar ko paredz kopīgus</w:t>
            </w:r>
            <w:r w:rsidRPr="00C92E67" w:rsidR="004221B8">
              <w:t xml:space="preserve"> </w:t>
            </w:r>
            <w:r w:rsidRPr="004221B8" w:rsidR="004221B8">
              <w:rPr>
                <w:rFonts w:ascii="Times New Roman" w:hAnsi="Times New Roman"/>
                <w:sz w:val="24"/>
                <w:szCs w:val="24"/>
              </w:rPr>
              <w:t xml:space="preserve">noteikumus par Eiropas Reģionālās attīstības fondu, Eiropas Sociālo fondu, Kohēzijas fondu, Eiropas Lauksaimniecības fondu </w:t>
            </w:r>
            <w:r w:rsidRPr="004221B8" w:rsidR="004221B8">
              <w:rPr>
                <w:rFonts w:ascii="Times New Roman" w:hAnsi="Times New Roman"/>
                <w:sz w:val="24"/>
                <w:szCs w:val="24"/>
              </w:rPr>
              <w:t>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221B8">
              <w:t>"</w:t>
            </w:r>
            <w:r w:rsidR="00010F01">
              <w:rPr>
                <w:rFonts w:ascii="Times New Roman" w:eastAsia="Times New Roman" w:hAnsi="Times New Roman"/>
                <w:sz w:val="24"/>
                <w:szCs w:val="24"/>
                <w:lang w:eastAsia="lv-LV"/>
              </w:rPr>
              <w:t xml:space="preserve"> </w:t>
            </w:r>
            <w:r w:rsidRPr="00670216">
              <w:rPr>
                <w:rFonts w:ascii="Times New Roman" w:eastAsia="Times New Roman" w:hAnsi="Times New Roman"/>
                <w:sz w:val="24"/>
                <w:szCs w:val="24"/>
                <w:lang w:eastAsia="lv-LV"/>
              </w:rPr>
              <w:t xml:space="preserve">44. pantam, sabiedrībai </w:t>
            </w:r>
            <w:r w:rsidRPr="00670216" w:rsidR="00933F6C">
              <w:rPr>
                <w:rFonts w:ascii="Times New Roman" w:eastAsia="Times New Roman" w:hAnsi="Times New Roman"/>
                <w:sz w:val="24"/>
                <w:szCs w:val="24"/>
                <w:lang w:eastAsia="lv-LV"/>
              </w:rPr>
              <w:t>"</w:t>
            </w:r>
            <w:r w:rsidRPr="00670216">
              <w:rPr>
                <w:rFonts w:ascii="Times New Roman" w:eastAsia="Times New Roman" w:hAnsi="Times New Roman"/>
                <w:sz w:val="24"/>
                <w:szCs w:val="24"/>
                <w:lang w:eastAsia="lv-LV"/>
              </w:rPr>
              <w:t>Altum</w:t>
            </w:r>
            <w:r w:rsidRPr="00670216" w:rsidR="00933F6C">
              <w:rPr>
                <w:rFonts w:ascii="Times New Roman" w:eastAsia="Times New Roman" w:hAnsi="Times New Roman"/>
                <w:sz w:val="24"/>
                <w:szCs w:val="24"/>
                <w:lang w:eastAsia="lv-LV"/>
              </w:rPr>
              <w:t>"</w:t>
            </w:r>
            <w:r w:rsidRPr="00670216">
              <w:rPr>
                <w:rFonts w:ascii="Times New Roman" w:eastAsia="Times New Roman" w:hAnsi="Times New Roman"/>
                <w:sz w:val="24"/>
                <w:szCs w:val="24"/>
                <w:lang w:eastAsia="lv-LV"/>
              </w:rPr>
              <w:t xml:space="preserve"> sedzot vadības izmaksas saskaņā ar </w:t>
            </w:r>
            <w:r w:rsidRPr="00670216">
              <w:rPr>
                <w:sz w:val="24"/>
                <w:szCs w:val="24"/>
              </w:rPr>
              <w:t xml:space="preserve"> </w:t>
            </w:r>
            <w:r w:rsidRPr="00670216">
              <w:rPr>
                <w:rFonts w:ascii="Times New Roman" w:eastAsia="Times New Roman" w:hAnsi="Times New Roman"/>
                <w:sz w:val="24"/>
                <w:szCs w:val="24"/>
                <w:lang w:eastAsia="lv-LV"/>
              </w:rPr>
              <w:t>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13. pantā noteikto.</w:t>
            </w:r>
          </w:p>
        </w:tc>
      </w:tr>
      <w:tr w14:paraId="1A1701BD" w14:textId="77777777" w:rsidTr="00C81002">
        <w:tblPrEx>
          <w:tblW w:w="9639" w:type="dxa"/>
          <w:tblCellMar>
            <w:left w:w="0" w:type="dxa"/>
            <w:right w:w="0" w:type="dxa"/>
          </w:tblCellMar>
          <w:tblLook w:val="04A0"/>
        </w:tblPrEx>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74347490" w14:textId="77777777">
            <w:pPr>
              <w:numPr>
                <w:ilvl w:val="0"/>
                <w:numId w:val="10"/>
              </w:numPr>
              <w:spacing w:after="0" w:line="240" w:lineRule="auto"/>
              <w:ind w:left="3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1B68AF3A" w14:textId="77777777">
            <w:pPr>
              <w:spacing w:after="0" w:line="240" w:lineRule="auto"/>
              <w:ind w:firstLine="450"/>
              <w:jc w:val="both"/>
              <w:rPr>
                <w:rFonts w:ascii="Times New Roman" w:eastAsia="Times New Roman" w:hAnsi="Times New Roman"/>
                <w:iCs/>
                <w:sz w:val="24"/>
                <w:szCs w:val="24"/>
                <w:lang w:eastAsia="lv-LV"/>
              </w:rPr>
            </w:pPr>
            <w:r w:rsidRPr="00670216">
              <w:rPr>
                <w:rFonts w:ascii="Times New Roman" w:eastAsia="Times New Roman" w:hAnsi="Times New Roman"/>
                <w:sz w:val="24"/>
                <w:szCs w:val="24"/>
                <w:lang w:eastAsia="lv-LV"/>
              </w:rPr>
              <w:t>Nav</w:t>
            </w:r>
          </w:p>
        </w:tc>
      </w:tr>
    </w:tbl>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9640"/>
      </w:tblGrid>
      <w:tr w14:paraId="497B86ED"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670216" w:rsidP="00C81002" w14:paraId="7FAA75F0" w14:textId="318BB8F3">
            <w:pPr>
              <w:spacing w:line="240" w:lineRule="auto"/>
              <w:jc w:val="center"/>
              <w:rPr>
                <w:rFonts w:ascii="Times New Roman" w:eastAsia="Times New Roman" w:hAnsi="Times New Roman"/>
                <w:b/>
                <w:sz w:val="24"/>
                <w:szCs w:val="24"/>
                <w:lang w:eastAsia="lv-LV"/>
              </w:rPr>
            </w:pPr>
            <w:r>
              <w:rPr>
                <w:rFonts w:ascii="Times New Roman" w:hAnsi="Times New Roman"/>
                <w:b/>
                <w:bCs/>
                <w:sz w:val="24"/>
                <w:szCs w:val="24"/>
              </w:rPr>
              <w:t>III</w:t>
            </w:r>
            <w:r w:rsidRPr="00670216">
              <w:rPr>
                <w:rFonts w:ascii="Times New Roman" w:hAnsi="Times New Roman"/>
                <w:b/>
                <w:bCs/>
                <w:sz w:val="24"/>
                <w:szCs w:val="24"/>
              </w:rPr>
              <w:t xml:space="preserve">. </w:t>
            </w:r>
            <w:r w:rsidR="00F40919">
              <w:rPr>
                <w:rFonts w:ascii="Times New Roman" w:hAnsi="Times New Roman"/>
                <w:b/>
                <w:bCs/>
                <w:sz w:val="24"/>
                <w:szCs w:val="24"/>
              </w:rPr>
              <w:t>Tiesību akta projekta ietekme uz valsts budžetu un pašvaldību budžetiem</w:t>
            </w:r>
          </w:p>
        </w:tc>
      </w:tr>
      <w:tr w14:paraId="07A3060D" w14:textId="77777777" w:rsidTr="00D6392B">
        <w:tblPrEx>
          <w:tblW w:w="9640" w:type="dxa"/>
          <w:tblInd w:w="-456" w:type="dxa"/>
          <w:tblLayout w:type="fixed"/>
          <w:tblCellMar>
            <w:left w:w="0" w:type="dxa"/>
            <w:right w:w="0" w:type="dxa"/>
          </w:tblCellMar>
          <w:tblLook w:val="04A0"/>
        </w:tblPrEx>
        <w:trPr>
          <w:trHeight w:val="547"/>
        </w:trPr>
        <w:tc>
          <w:tcPr>
            <w:tcW w:w="9640" w:type="dxa"/>
            <w:tcBorders>
              <w:top w:val="thickThinLargeGap" w:sz="6" w:space="0" w:color="C0C0C0"/>
              <w:left w:val="thickThinLargeGap" w:sz="6" w:space="0" w:color="C0C0C0"/>
              <w:right w:val="thickThinLargeGap" w:sz="6" w:space="0" w:color="C0C0C0"/>
            </w:tcBorders>
            <w:hideMark/>
          </w:tcPr>
          <w:p w:rsidR="00D6392B" w:rsidRPr="00670216" w:rsidP="00D6392B" w14:paraId="22F40CFD" w14:textId="77777777">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Projekts šo jomu neskar</w:t>
            </w:r>
          </w:p>
        </w:tc>
      </w:tr>
    </w:tbl>
    <w:p w:rsidR="00322B07" w:rsidP="00D6392B" w14:paraId="142BE6C9" w14:textId="77777777">
      <w:pPr>
        <w:spacing w:after="0" w:line="240" w:lineRule="auto"/>
        <w:jc w:val="center"/>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9640"/>
      </w:tblGrid>
      <w:tr w14:paraId="2D2B64CE"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D6392B" w:rsidP="00D6392B" w14:paraId="73415A20" w14:textId="77777777">
            <w:pPr>
              <w:spacing w:line="240" w:lineRule="auto"/>
              <w:jc w:val="center"/>
              <w:rPr>
                <w:rFonts w:ascii="Times New Roman" w:eastAsia="Times New Roman" w:hAnsi="Times New Roman"/>
                <w:b/>
                <w:sz w:val="24"/>
                <w:szCs w:val="24"/>
                <w:lang w:eastAsia="lv-LV"/>
              </w:rPr>
            </w:pPr>
            <w:r w:rsidRPr="00D6392B">
              <w:rPr>
                <w:rFonts w:ascii="Times New Roman" w:hAnsi="Times New Roman"/>
                <w:b/>
                <w:bCs/>
                <w:sz w:val="24"/>
                <w:szCs w:val="24"/>
              </w:rPr>
              <w:t xml:space="preserve">IV. </w:t>
            </w:r>
            <w:r w:rsidRPr="00D6392B">
              <w:rPr>
                <w:rFonts w:ascii="Times New Roman" w:hAnsi="Times New Roman"/>
                <w:b/>
                <w:color w:val="000000"/>
                <w:sz w:val="24"/>
                <w:szCs w:val="24"/>
              </w:rPr>
              <w:t>Tiesību akta projekta ietekme uz spēkā esošo tiesību normu sistēmu</w:t>
            </w:r>
          </w:p>
        </w:tc>
      </w:tr>
      <w:tr w14:paraId="0E3094B8" w14:textId="77777777" w:rsidTr="00D6392B">
        <w:tblPrEx>
          <w:tblW w:w="9640" w:type="dxa"/>
          <w:tblInd w:w="-456" w:type="dxa"/>
          <w:tblLayout w:type="fixed"/>
          <w:tblCellMar>
            <w:left w:w="0" w:type="dxa"/>
            <w:right w:w="0" w:type="dxa"/>
          </w:tblCellMar>
          <w:tblLook w:val="04A0"/>
        </w:tblPrEx>
        <w:trPr>
          <w:trHeight w:val="482"/>
        </w:trPr>
        <w:tc>
          <w:tcPr>
            <w:tcW w:w="9640" w:type="dxa"/>
            <w:tcBorders>
              <w:top w:val="thickThinLargeGap" w:sz="6" w:space="0" w:color="C0C0C0"/>
              <w:left w:val="thickThinLargeGap" w:sz="6" w:space="0" w:color="C0C0C0"/>
              <w:right w:val="thickThinLargeGap" w:sz="6" w:space="0" w:color="C0C0C0"/>
            </w:tcBorders>
            <w:hideMark/>
          </w:tcPr>
          <w:p w:rsidR="00D6392B" w:rsidRPr="00670216" w:rsidP="00D6392B" w14:paraId="74C6EAF4" w14:textId="77777777">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Projekts šo jomu neskar</w:t>
            </w:r>
          </w:p>
        </w:tc>
      </w:tr>
    </w:tbl>
    <w:p w:rsidR="00D6392B" w:rsidP="00D6392B" w14:paraId="78C616E8" w14:textId="77777777">
      <w:pPr>
        <w:spacing w:after="0" w:line="240" w:lineRule="auto"/>
        <w:jc w:val="center"/>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030"/>
        <w:gridCol w:w="5610"/>
      </w:tblGrid>
      <w:tr w14:paraId="0A54AF0B"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D6392B" w:rsidP="00D6392B" w14:paraId="6269A7BB" w14:textId="77777777">
            <w:pPr>
              <w:spacing w:line="240" w:lineRule="auto"/>
              <w:jc w:val="center"/>
              <w:rPr>
                <w:rFonts w:ascii="Times New Roman" w:eastAsia="Times New Roman" w:hAnsi="Times New Roman"/>
                <w:b/>
                <w:sz w:val="24"/>
                <w:szCs w:val="24"/>
                <w:lang w:eastAsia="lv-LV"/>
              </w:rPr>
            </w:pPr>
            <w:r w:rsidRPr="00D6392B">
              <w:rPr>
                <w:rFonts w:ascii="Times New Roman" w:hAnsi="Times New Roman"/>
                <w:b/>
                <w:bCs/>
                <w:sz w:val="24"/>
                <w:szCs w:val="24"/>
              </w:rPr>
              <w:t xml:space="preserve">V. </w:t>
            </w:r>
            <w:r w:rsidRPr="00D6392B">
              <w:rPr>
                <w:rFonts w:ascii="Times New Roman" w:hAnsi="Times New Roman"/>
                <w:b/>
                <w:color w:val="000000"/>
                <w:sz w:val="24"/>
                <w:szCs w:val="24"/>
              </w:rPr>
              <w:t>Tiesību akta projekta atbilstība Latvijas Republikas starptautiskajām saistībām</w:t>
            </w:r>
          </w:p>
        </w:tc>
      </w:tr>
      <w:tr w14:paraId="4183E36A" w14:textId="77777777" w:rsidTr="00D6392B">
        <w:tblPrEx>
          <w:tblW w:w="9640" w:type="dxa"/>
          <w:tblInd w:w="-456" w:type="dxa"/>
          <w:tblLayout w:type="fixed"/>
          <w:tblCellMar>
            <w:left w:w="0" w:type="dxa"/>
            <w:right w:w="0" w:type="dxa"/>
          </w:tblCellMar>
          <w:tblLook w:val="04A0"/>
        </w:tblPrEx>
        <w:trPr>
          <w:trHeight w:val="475"/>
        </w:trPr>
        <w:tc>
          <w:tcPr>
            <w:tcW w:w="9640" w:type="dxa"/>
            <w:gridSpan w:val="2"/>
            <w:tcBorders>
              <w:top w:val="thickThinLargeGap" w:sz="6" w:space="0" w:color="C0C0C0"/>
              <w:left w:val="thickThinLargeGap" w:sz="6" w:space="0" w:color="C0C0C0"/>
              <w:right w:val="thickThinLargeGap" w:sz="6" w:space="0" w:color="C0C0C0"/>
            </w:tcBorders>
            <w:hideMark/>
          </w:tcPr>
          <w:p w:rsidR="00D6392B" w:rsidRPr="00670216" w:rsidP="00D6392B" w14:paraId="6DCBE101" w14:textId="77777777">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52F66FF3" w14:textId="77777777" w:rsidTr="009E71E2">
        <w:tblPrEx>
          <w:tblW w:w="9640" w:type="dxa"/>
          <w:tblInd w:w="-456" w:type="dxa"/>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763B108A" w14:textId="77777777">
            <w:pPr>
              <w:spacing w:line="240" w:lineRule="auto"/>
              <w:jc w:val="center"/>
              <w:rPr>
                <w:rFonts w:ascii="Times New Roman" w:eastAsia="Times New Roman" w:hAnsi="Times New Roman"/>
                <w:b/>
                <w:sz w:val="24"/>
                <w:szCs w:val="24"/>
                <w:lang w:eastAsia="lv-LV"/>
              </w:rPr>
            </w:pPr>
            <w:r w:rsidRPr="00670216">
              <w:rPr>
                <w:rFonts w:ascii="Times New Roman" w:hAnsi="Times New Roman"/>
                <w:b/>
                <w:bCs/>
                <w:sz w:val="24"/>
                <w:szCs w:val="24"/>
              </w:rPr>
              <w:t>VI. Sabiedrības līdzdalība un komunikācijas aktivitātes</w:t>
            </w:r>
          </w:p>
        </w:tc>
      </w:tr>
      <w:tr w14:paraId="259D263E"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533193D2" w14:textId="77777777">
            <w:pPr>
              <w:numPr>
                <w:ilvl w:val="0"/>
                <w:numId w:val="11"/>
              </w:numPr>
              <w:spacing w:after="0" w:line="240" w:lineRule="auto"/>
              <w:ind w:left="0" w:firstLine="0"/>
              <w:rPr>
                <w:rFonts w:ascii="Times New Roman" w:eastAsia="Times New Roman" w:hAnsi="Times New Roman"/>
                <w:sz w:val="24"/>
                <w:szCs w:val="24"/>
                <w:lang w:eastAsia="lv-LV"/>
              </w:rPr>
            </w:pPr>
            <w:r w:rsidRPr="00670216">
              <w:rPr>
                <w:rFonts w:ascii="Times New Roman" w:hAnsi="Times New Roman"/>
                <w:sz w:val="24"/>
                <w:szCs w:val="24"/>
              </w:rPr>
              <w:t>Plānotās sabiedrības līdzdalības un komunikācijas aktivitātes saistībā ar projektu</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rsidR="00E71E86" w:rsidRPr="00670216" w:rsidP="00C81002" w14:paraId="3000B143" w14:textId="77777777">
            <w:pPr>
              <w:spacing w:after="0" w:line="240" w:lineRule="auto"/>
              <w:jc w:val="both"/>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 xml:space="preserve">Noteikumu </w:t>
            </w:r>
            <w:r w:rsidR="0088730D">
              <w:rPr>
                <w:rFonts w:ascii="Times New Roman" w:eastAsia="Times New Roman" w:hAnsi="Times New Roman"/>
                <w:sz w:val="24"/>
                <w:szCs w:val="24"/>
                <w:lang w:eastAsia="lv-LV"/>
              </w:rPr>
              <w:t xml:space="preserve">projekts </w:t>
            </w:r>
            <w:r w:rsidRPr="00670216">
              <w:rPr>
                <w:rFonts w:ascii="Times New Roman" w:eastAsia="Times New Roman" w:hAnsi="Times New Roman"/>
                <w:sz w:val="24"/>
                <w:szCs w:val="24"/>
                <w:lang w:eastAsia="lv-LV"/>
              </w:rPr>
              <w:t xml:space="preserve">ir ievietots </w:t>
            </w:r>
            <w:r w:rsidR="00322B07">
              <w:rPr>
                <w:rFonts w:ascii="Times New Roman" w:eastAsia="Times New Roman" w:hAnsi="Times New Roman"/>
                <w:sz w:val="24"/>
                <w:szCs w:val="24"/>
                <w:lang w:eastAsia="lv-LV"/>
              </w:rPr>
              <w:t>Ekonomikas ministrijas</w:t>
            </w:r>
            <w:r w:rsidRPr="00670216" w:rsidR="002B4C6E">
              <w:rPr>
                <w:rFonts w:ascii="Times New Roman" w:eastAsia="Times New Roman" w:hAnsi="Times New Roman"/>
                <w:sz w:val="24"/>
                <w:szCs w:val="24"/>
                <w:lang w:eastAsia="lv-LV"/>
              </w:rPr>
              <w:t xml:space="preserve">  </w:t>
            </w:r>
            <w:r w:rsidRPr="00670216">
              <w:rPr>
                <w:rFonts w:ascii="Times New Roman" w:eastAsia="Times New Roman" w:hAnsi="Times New Roman"/>
                <w:sz w:val="24"/>
                <w:szCs w:val="24"/>
                <w:lang w:eastAsia="lv-LV"/>
              </w:rPr>
              <w:t>tīmekļa vietnē.</w:t>
            </w:r>
          </w:p>
        </w:tc>
      </w:tr>
      <w:tr w14:paraId="300F63E5"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18D0D644" w14:textId="77777777">
            <w:pPr>
              <w:numPr>
                <w:ilvl w:val="0"/>
                <w:numId w:val="11"/>
              </w:numPr>
              <w:spacing w:line="240" w:lineRule="auto"/>
              <w:ind w:left="0" w:firstLine="0"/>
              <w:rPr>
                <w:rFonts w:ascii="Times New Roman" w:eastAsia="Times New Roman" w:hAnsi="Times New Roman"/>
                <w:sz w:val="24"/>
                <w:szCs w:val="24"/>
                <w:lang w:eastAsia="lv-LV"/>
              </w:rPr>
            </w:pPr>
            <w:r w:rsidRPr="00670216">
              <w:rPr>
                <w:rFonts w:ascii="Times New Roman" w:hAnsi="Times New Roman"/>
                <w:sz w:val="24"/>
                <w:szCs w:val="24"/>
              </w:rPr>
              <w:t>Sabiedrības līdzdalība projekta izstrādē</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rsidR="00E71E86" w:rsidRPr="00670216" w:rsidP="00C81002" w14:paraId="1EB8BBF5" w14:textId="77777777">
            <w:pPr>
              <w:spacing w:after="0" w:line="240" w:lineRule="auto"/>
              <w:jc w:val="both"/>
              <w:rPr>
                <w:rFonts w:ascii="Times New Roman" w:eastAsia="Times New Roman" w:hAnsi="Times New Roman"/>
                <w:iCs/>
                <w:sz w:val="24"/>
                <w:szCs w:val="24"/>
                <w:lang w:eastAsia="lv-LV"/>
              </w:rPr>
            </w:pPr>
            <w:r w:rsidRPr="00670216">
              <w:rPr>
                <w:rFonts w:ascii="Times New Roman" w:eastAsia="Times New Roman" w:hAnsi="Times New Roman"/>
                <w:iCs/>
                <w:sz w:val="24"/>
                <w:szCs w:val="24"/>
                <w:lang w:eastAsia="lv-LV"/>
              </w:rPr>
              <w:t>Nav</w:t>
            </w:r>
          </w:p>
        </w:tc>
      </w:tr>
      <w:tr w14:paraId="13329F31" w14:textId="77777777" w:rsidTr="009E71E2">
        <w:tblPrEx>
          <w:tblW w:w="9640" w:type="dxa"/>
          <w:tblInd w:w="-456" w:type="dxa"/>
          <w:tblLayout w:type="fixed"/>
          <w:tblCellMar>
            <w:left w:w="0" w:type="dxa"/>
            <w:right w:w="0" w:type="dxa"/>
          </w:tblCellMar>
          <w:tblLook w:val="04A0"/>
        </w:tblPrEx>
        <w:trPr>
          <w:trHeight w:val="72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59782361" w14:textId="77777777">
            <w:pPr>
              <w:numPr>
                <w:ilvl w:val="0"/>
                <w:numId w:val="11"/>
              </w:numPr>
              <w:spacing w:line="240" w:lineRule="auto"/>
              <w:ind w:left="0" w:firstLine="0"/>
              <w:rPr>
                <w:rFonts w:ascii="Times New Roman" w:eastAsia="Times New Roman" w:hAnsi="Times New Roman"/>
                <w:sz w:val="24"/>
                <w:szCs w:val="24"/>
                <w:lang w:eastAsia="lv-LV"/>
              </w:rPr>
            </w:pPr>
            <w:r w:rsidRPr="00670216">
              <w:rPr>
                <w:rFonts w:ascii="Times New Roman" w:hAnsi="Times New Roman"/>
                <w:sz w:val="24"/>
                <w:szCs w:val="24"/>
              </w:rPr>
              <w:t>Sabiedrības līdzdalības rezultāti</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70F21C3F" w14:textId="77777777">
            <w:pPr>
              <w:spacing w:after="0" w:line="240" w:lineRule="auto"/>
              <w:jc w:val="both"/>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Nav</w:t>
            </w:r>
          </w:p>
        </w:tc>
      </w:tr>
      <w:tr w14:paraId="1978749F" w14:textId="77777777" w:rsidTr="009E71E2">
        <w:tblPrEx>
          <w:tblW w:w="9640" w:type="dxa"/>
          <w:tblInd w:w="-456" w:type="dxa"/>
          <w:tblLayout w:type="fixed"/>
          <w:tblCellMar>
            <w:left w:w="0" w:type="dxa"/>
            <w:right w:w="0" w:type="dxa"/>
          </w:tblCellMar>
          <w:tblLook w:val="04A0"/>
        </w:tblPrEx>
        <w:trPr>
          <w:trHeight w:val="36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1811C97C" w14:textId="77777777">
            <w:pPr>
              <w:numPr>
                <w:ilvl w:val="0"/>
                <w:numId w:val="11"/>
              </w:numPr>
              <w:spacing w:after="0" w:line="240" w:lineRule="auto"/>
              <w:ind w:left="0" w:firstLine="0"/>
              <w:rPr>
                <w:rFonts w:ascii="Times New Roman" w:eastAsia="Times New Roman" w:hAnsi="Times New Roman"/>
                <w:sz w:val="24"/>
                <w:szCs w:val="24"/>
                <w:lang w:eastAsia="lv-LV"/>
              </w:rPr>
            </w:pPr>
            <w:r w:rsidRPr="00670216">
              <w:rPr>
                <w:rFonts w:ascii="Times New Roman" w:hAnsi="Times New Roman"/>
                <w:sz w:val="24"/>
                <w:szCs w:val="24"/>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7D6B53BD" w14:textId="77777777">
            <w:pPr>
              <w:spacing w:after="0" w:line="240" w:lineRule="auto"/>
              <w:jc w:val="both"/>
              <w:rPr>
                <w:rFonts w:ascii="Times New Roman" w:eastAsia="Times New Roman" w:hAnsi="Times New Roman"/>
                <w:sz w:val="24"/>
                <w:szCs w:val="24"/>
                <w:lang w:eastAsia="lv-LV"/>
              </w:rPr>
            </w:pPr>
            <w:r w:rsidRPr="00670216">
              <w:rPr>
                <w:rFonts w:ascii="Times New Roman" w:eastAsia="Times New Roman" w:hAnsi="Times New Roman"/>
                <w:iCs/>
                <w:sz w:val="24"/>
                <w:szCs w:val="24"/>
                <w:lang w:eastAsia="lv-LV"/>
              </w:rPr>
              <w:t>Nav</w:t>
            </w:r>
          </w:p>
        </w:tc>
      </w:tr>
    </w:tbl>
    <w:p w:rsidR="00E71E86" w:rsidRPr="00670216" w:rsidP="00E71E86" w14:paraId="3D1EAE16" w14:textId="77777777">
      <w:pPr>
        <w:tabs>
          <w:tab w:val="left" w:pos="7655"/>
        </w:tabs>
        <w:spacing w:line="240" w:lineRule="auto"/>
        <w:jc w:val="both"/>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030"/>
        <w:gridCol w:w="5610"/>
      </w:tblGrid>
      <w:tr w14:paraId="494BC09D" w14:textId="77777777" w:rsidTr="009E71E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5D094FEB" w14:textId="77777777">
            <w:pPr>
              <w:spacing w:line="240" w:lineRule="auto"/>
              <w:jc w:val="center"/>
              <w:rPr>
                <w:rFonts w:ascii="Times New Roman" w:eastAsia="Times New Roman" w:hAnsi="Times New Roman"/>
                <w:b/>
                <w:sz w:val="24"/>
                <w:szCs w:val="24"/>
                <w:lang w:eastAsia="lv-LV"/>
              </w:rPr>
            </w:pPr>
            <w:r w:rsidRPr="00670216">
              <w:rPr>
                <w:rFonts w:ascii="Times New Roman" w:eastAsia="Times New Roman" w:hAnsi="Times New Roman"/>
                <w:b/>
                <w:sz w:val="24"/>
                <w:szCs w:val="24"/>
                <w:lang w:eastAsia="lv-LV"/>
              </w:rPr>
              <w:t>VII. Tiesību akta projekta izpildes nodrošināšana un tās ietekme uz institūcijām</w:t>
            </w:r>
          </w:p>
        </w:tc>
      </w:tr>
      <w:tr w14:paraId="18253700" w14:textId="77777777" w:rsidTr="009E71E2">
        <w:tblPrEx>
          <w:tblW w:w="9640" w:type="dxa"/>
          <w:tblInd w:w="-456" w:type="dxa"/>
          <w:tblLayout w:type="fixed"/>
          <w:tblCellMar>
            <w:left w:w="0" w:type="dxa"/>
            <w:right w:w="0" w:type="dxa"/>
          </w:tblCellMar>
          <w:tblLook w:val="04A0"/>
        </w:tblPrEx>
        <w:trPr>
          <w:trHeight w:val="558"/>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7A29237E" w14:textId="77777777">
            <w:pPr>
              <w:numPr>
                <w:ilvl w:val="0"/>
                <w:numId w:val="12"/>
              </w:numPr>
              <w:spacing w:after="0" w:line="240" w:lineRule="auto"/>
              <w:ind w:left="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Projekta izpildē iesaistītās institūcijas</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17439E86" w14:textId="77777777">
            <w:pPr>
              <w:spacing w:after="0" w:line="240" w:lineRule="auto"/>
              <w:ind w:firstLine="425"/>
              <w:jc w:val="both"/>
              <w:rPr>
                <w:rFonts w:ascii="Times New Roman" w:hAnsi="Times New Roman"/>
                <w:sz w:val="24"/>
                <w:szCs w:val="24"/>
                <w:lang w:eastAsia="lv-LV"/>
              </w:rPr>
            </w:pPr>
            <w:r w:rsidRPr="00670216">
              <w:rPr>
                <w:rFonts w:ascii="Times New Roman" w:hAnsi="Times New Roman"/>
                <w:sz w:val="24"/>
                <w:szCs w:val="24"/>
              </w:rPr>
              <w:t xml:space="preserve">Noteikumu projekta izpildē ir iesaistīta </w:t>
            </w:r>
            <w:r w:rsidR="00322B07">
              <w:rPr>
                <w:rFonts w:ascii="Times New Roman" w:eastAsia="Times New Roman" w:hAnsi="Times New Roman"/>
                <w:sz w:val="24"/>
                <w:szCs w:val="24"/>
                <w:lang w:eastAsia="lv-LV"/>
              </w:rPr>
              <w:t>Ekonomikas ministrija</w:t>
            </w:r>
            <w:r w:rsidRPr="00670216">
              <w:rPr>
                <w:rFonts w:ascii="Times New Roman" w:hAnsi="Times New Roman"/>
                <w:sz w:val="24"/>
                <w:szCs w:val="24"/>
              </w:rPr>
              <w:t xml:space="preserve">, Finanšu ministrija,  CFLA un sabiedrība </w:t>
            </w:r>
            <w:r w:rsidRPr="00670216" w:rsidR="00BE035A">
              <w:rPr>
                <w:rFonts w:ascii="Times New Roman" w:hAnsi="Times New Roman"/>
                <w:sz w:val="24"/>
                <w:szCs w:val="24"/>
              </w:rPr>
              <w:t>"</w:t>
            </w:r>
            <w:r w:rsidRPr="00670216">
              <w:rPr>
                <w:rFonts w:ascii="Times New Roman" w:hAnsi="Times New Roman"/>
                <w:sz w:val="24"/>
                <w:szCs w:val="24"/>
              </w:rPr>
              <w:t>Altum</w:t>
            </w:r>
            <w:r w:rsidRPr="00670216" w:rsidR="00BE035A">
              <w:rPr>
                <w:rFonts w:ascii="Times New Roman" w:hAnsi="Times New Roman"/>
                <w:sz w:val="24"/>
                <w:szCs w:val="24"/>
              </w:rPr>
              <w:t>"</w:t>
            </w:r>
            <w:r w:rsidRPr="00670216">
              <w:rPr>
                <w:rFonts w:ascii="Times New Roman" w:hAnsi="Times New Roman"/>
                <w:sz w:val="24"/>
                <w:szCs w:val="24"/>
              </w:rPr>
              <w:t>.</w:t>
            </w:r>
          </w:p>
        </w:tc>
      </w:tr>
      <w:tr w14:paraId="73645AE5"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66BBB6F1" w14:textId="77777777">
            <w:pPr>
              <w:numPr>
                <w:ilvl w:val="0"/>
                <w:numId w:val="12"/>
              </w:numPr>
              <w:spacing w:after="0" w:line="240" w:lineRule="auto"/>
              <w:ind w:left="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Projekta izpildes ietekme uz pārvaldes funkcijām un institucionālo struktūru.</w:t>
            </w:r>
          </w:p>
          <w:p w:rsidR="00E71E86" w:rsidRPr="00670216" w:rsidP="00C81002" w14:paraId="4A662161" w14:textId="77777777">
            <w:pPr>
              <w:spacing w:after="0" w:line="240" w:lineRule="auto"/>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4B1B5A4F" w14:textId="77777777">
            <w:pPr>
              <w:spacing w:line="240" w:lineRule="auto"/>
              <w:ind w:firstLine="567"/>
              <w:jc w:val="both"/>
              <w:rPr>
                <w:rFonts w:ascii="Times New Roman" w:hAnsi="Times New Roman"/>
                <w:sz w:val="24"/>
                <w:szCs w:val="24"/>
              </w:rPr>
            </w:pPr>
            <w:r w:rsidRPr="00670216">
              <w:rPr>
                <w:rFonts w:ascii="Times New Roman" w:hAnsi="Times New Roman"/>
                <w:sz w:val="24"/>
                <w:szCs w:val="24"/>
              </w:rPr>
              <w:t xml:space="preserve">Noteikumu projekta izpildi nodrošinās </w:t>
            </w:r>
            <w:r w:rsidRPr="00670216" w:rsidR="007E496C">
              <w:rPr>
                <w:rFonts w:ascii="Times New Roman" w:eastAsia="Times New Roman" w:hAnsi="Times New Roman"/>
                <w:sz w:val="24"/>
                <w:szCs w:val="24"/>
                <w:lang w:eastAsia="lv-LV"/>
              </w:rPr>
              <w:t>Ekonomikas ministrija</w:t>
            </w:r>
            <w:r w:rsidRPr="00670216" w:rsidR="007E496C">
              <w:rPr>
                <w:rFonts w:ascii="Times New Roman" w:hAnsi="Times New Roman"/>
                <w:sz w:val="24"/>
                <w:szCs w:val="24"/>
              </w:rPr>
              <w:t xml:space="preserve"> </w:t>
            </w:r>
            <w:r w:rsidRPr="00670216">
              <w:rPr>
                <w:rFonts w:ascii="Times New Roman" w:hAnsi="Times New Roman"/>
                <w:sz w:val="24"/>
                <w:szCs w:val="24"/>
              </w:rPr>
              <w:t xml:space="preserve">un </w:t>
            </w:r>
            <w:r w:rsidRPr="00670216" w:rsidR="009E71E2">
              <w:rPr>
                <w:rFonts w:ascii="Times New Roman" w:hAnsi="Times New Roman"/>
                <w:sz w:val="24"/>
                <w:szCs w:val="24"/>
              </w:rPr>
              <w:t xml:space="preserve">sabiedrība </w:t>
            </w:r>
            <w:r w:rsidRPr="00670216" w:rsidR="00BE035A">
              <w:rPr>
                <w:rFonts w:ascii="Times New Roman" w:hAnsi="Times New Roman"/>
                <w:sz w:val="24"/>
                <w:szCs w:val="24"/>
              </w:rPr>
              <w:t>"</w:t>
            </w:r>
            <w:r w:rsidRPr="00670216" w:rsidR="009E71E2">
              <w:rPr>
                <w:rFonts w:ascii="Times New Roman" w:hAnsi="Times New Roman"/>
                <w:sz w:val="24"/>
                <w:szCs w:val="24"/>
              </w:rPr>
              <w:t>Altum</w:t>
            </w:r>
            <w:r w:rsidRPr="00670216" w:rsidR="00BE035A">
              <w:rPr>
                <w:rFonts w:ascii="Times New Roman" w:hAnsi="Times New Roman"/>
                <w:sz w:val="24"/>
                <w:szCs w:val="24"/>
              </w:rPr>
              <w:t>"</w:t>
            </w:r>
            <w:r w:rsidRPr="00670216">
              <w:rPr>
                <w:rFonts w:ascii="Times New Roman" w:hAnsi="Times New Roman"/>
                <w:sz w:val="24"/>
                <w:szCs w:val="24"/>
              </w:rPr>
              <w:t xml:space="preserve"> </w:t>
            </w:r>
            <w:r w:rsidRPr="00670216" w:rsidR="009E71E2">
              <w:rPr>
                <w:rFonts w:ascii="Times New Roman" w:hAnsi="Times New Roman"/>
                <w:sz w:val="24"/>
                <w:szCs w:val="24"/>
              </w:rPr>
              <w:t xml:space="preserve">savas </w:t>
            </w:r>
            <w:r w:rsidRPr="00670216">
              <w:rPr>
                <w:rFonts w:ascii="Times New Roman" w:hAnsi="Times New Roman"/>
                <w:sz w:val="24"/>
                <w:szCs w:val="24"/>
              </w:rPr>
              <w:t>darbības ietvaros.</w:t>
            </w:r>
          </w:p>
        </w:tc>
      </w:tr>
      <w:tr w14:paraId="637503B0"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E71E86" w14:paraId="6BFFE6FE" w14:textId="77777777">
            <w:pPr>
              <w:numPr>
                <w:ilvl w:val="0"/>
                <w:numId w:val="12"/>
              </w:numPr>
              <w:spacing w:after="0" w:line="240" w:lineRule="auto"/>
              <w:ind w:left="0" w:firstLine="0"/>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670216" w:rsidP="00C81002" w14:paraId="534D9C60" w14:textId="77777777">
            <w:pPr>
              <w:spacing w:after="0" w:line="240" w:lineRule="auto"/>
              <w:ind w:firstLine="284"/>
              <w:rPr>
                <w:rFonts w:ascii="Times New Roman" w:eastAsia="Times New Roman" w:hAnsi="Times New Roman"/>
                <w:sz w:val="24"/>
                <w:szCs w:val="24"/>
                <w:lang w:eastAsia="lv-LV"/>
              </w:rPr>
            </w:pPr>
            <w:r w:rsidRPr="00670216">
              <w:rPr>
                <w:rFonts w:ascii="Times New Roman" w:eastAsia="Times New Roman" w:hAnsi="Times New Roman"/>
                <w:sz w:val="24"/>
                <w:szCs w:val="24"/>
                <w:lang w:eastAsia="lv-LV"/>
              </w:rPr>
              <w:t>Nav</w:t>
            </w:r>
          </w:p>
        </w:tc>
      </w:tr>
    </w:tbl>
    <w:p w:rsidR="00E71E86" w:rsidRPr="00670216" w:rsidP="00E71E86" w14:paraId="02FC4833" w14:textId="77777777">
      <w:pPr>
        <w:tabs>
          <w:tab w:val="right" w:pos="9071"/>
        </w:tabs>
        <w:spacing w:after="0" w:line="240" w:lineRule="auto"/>
        <w:ind w:left="-567"/>
        <w:jc w:val="both"/>
        <w:rPr>
          <w:rFonts w:ascii="Times New Roman" w:hAnsi="Times New Roman"/>
          <w:sz w:val="24"/>
          <w:szCs w:val="24"/>
        </w:rPr>
      </w:pPr>
    </w:p>
    <w:p w:rsidR="00E71E86" w:rsidRPr="00E67E15" w:rsidP="00E71E86" w14:paraId="236A882C" w14:textId="77777777">
      <w:pPr>
        <w:tabs>
          <w:tab w:val="right" w:pos="9071"/>
        </w:tabs>
        <w:spacing w:after="0" w:line="240" w:lineRule="auto"/>
        <w:ind w:left="-567"/>
        <w:jc w:val="both"/>
        <w:rPr>
          <w:rFonts w:ascii="Times New Roman" w:hAnsi="Times New Roman"/>
          <w:b/>
          <w:sz w:val="24"/>
          <w:szCs w:val="24"/>
        </w:rPr>
      </w:pPr>
      <w:r w:rsidRPr="00E67E15">
        <w:rPr>
          <w:rFonts w:ascii="Times New Roman" w:hAnsi="Times New Roman"/>
          <w:b/>
          <w:sz w:val="24"/>
          <w:szCs w:val="24"/>
        </w:rPr>
        <w:t>Ministru prezidenta biedrs,</w:t>
      </w:r>
    </w:p>
    <w:p w:rsidR="00E71E86" w:rsidRPr="00E67E15" w:rsidP="00E71E86" w14:paraId="48F6C9F1" w14:textId="77777777">
      <w:pPr>
        <w:tabs>
          <w:tab w:val="right" w:pos="9071"/>
        </w:tabs>
        <w:spacing w:after="0" w:line="240" w:lineRule="auto"/>
        <w:ind w:left="-567"/>
        <w:jc w:val="both"/>
        <w:rPr>
          <w:rFonts w:ascii="Times New Roman" w:hAnsi="Times New Roman"/>
          <w:b/>
          <w:sz w:val="24"/>
          <w:szCs w:val="24"/>
        </w:rPr>
      </w:pPr>
      <w:r w:rsidRPr="00E67E15">
        <w:rPr>
          <w:rFonts w:ascii="Times New Roman" w:hAnsi="Times New Roman"/>
          <w:b/>
          <w:sz w:val="24"/>
          <w:szCs w:val="24"/>
        </w:rPr>
        <w:t xml:space="preserve">ekonomikas ministrs </w:t>
      </w:r>
      <w:r w:rsidRPr="00E67E15">
        <w:rPr>
          <w:rFonts w:ascii="Times New Roman" w:hAnsi="Times New Roman"/>
          <w:b/>
          <w:sz w:val="24"/>
          <w:szCs w:val="24"/>
        </w:rPr>
        <w:tab/>
        <w:t>A. Ašeradens</w:t>
      </w:r>
    </w:p>
    <w:p w:rsidR="00E71E86" w:rsidRPr="00E67E15" w:rsidP="00E71E86" w14:paraId="3EADF7BF" w14:textId="77777777">
      <w:pPr>
        <w:keepLines/>
        <w:widowControl w:val="0"/>
        <w:tabs>
          <w:tab w:val="right" w:pos="9071"/>
        </w:tabs>
        <w:spacing w:after="0" w:line="240" w:lineRule="auto"/>
        <w:rPr>
          <w:rFonts w:ascii="Times New Roman" w:eastAsia="Times New Roman" w:hAnsi="Times New Roman"/>
          <w:b/>
          <w:sz w:val="24"/>
          <w:szCs w:val="24"/>
          <w:lang w:eastAsia="lv-LV"/>
        </w:rPr>
      </w:pPr>
    </w:p>
    <w:p w:rsidR="00E71E86" w:rsidRPr="00E67E15" w:rsidP="00E71E86" w14:paraId="33062205" w14:textId="4F6F111E">
      <w:pPr>
        <w:tabs>
          <w:tab w:val="right" w:pos="9071"/>
        </w:tabs>
        <w:spacing w:after="0" w:line="240" w:lineRule="auto"/>
        <w:ind w:left="-567"/>
        <w:jc w:val="both"/>
        <w:rPr>
          <w:rFonts w:ascii="Times New Roman" w:hAnsi="Times New Roman"/>
          <w:b/>
          <w:sz w:val="24"/>
          <w:szCs w:val="24"/>
        </w:rPr>
      </w:pPr>
      <w:r w:rsidRPr="00E67E15">
        <w:rPr>
          <w:rFonts w:ascii="Times New Roman" w:hAnsi="Times New Roman"/>
          <w:b/>
          <w:sz w:val="24"/>
          <w:szCs w:val="24"/>
        </w:rPr>
        <w:t>Vīza: Valsts sekretārs</w:t>
      </w:r>
      <w:r w:rsidRPr="00E67E15">
        <w:rPr>
          <w:rFonts w:ascii="Times New Roman" w:hAnsi="Times New Roman"/>
          <w:b/>
          <w:sz w:val="24"/>
          <w:szCs w:val="24"/>
        </w:rPr>
        <w:tab/>
        <w:t>J.</w:t>
      </w:r>
      <w:r w:rsidR="00F200E8">
        <w:rPr>
          <w:rFonts w:ascii="Times New Roman" w:hAnsi="Times New Roman"/>
          <w:b/>
          <w:sz w:val="24"/>
          <w:szCs w:val="24"/>
        </w:rPr>
        <w:t xml:space="preserve"> </w:t>
      </w:r>
      <w:r w:rsidRPr="00E67E15">
        <w:rPr>
          <w:rFonts w:ascii="Times New Roman" w:hAnsi="Times New Roman"/>
          <w:b/>
          <w:sz w:val="24"/>
          <w:szCs w:val="24"/>
        </w:rPr>
        <w:t>Stinka</w:t>
      </w:r>
    </w:p>
    <w:p w:rsidR="00E71E86" w:rsidRPr="00670216" w:rsidP="00E71E86" w14:paraId="0D53E62C" w14:textId="77777777">
      <w:pPr>
        <w:tabs>
          <w:tab w:val="right" w:pos="9071"/>
        </w:tabs>
        <w:spacing w:after="0" w:line="240" w:lineRule="auto"/>
        <w:ind w:left="-567"/>
        <w:jc w:val="both"/>
        <w:rPr>
          <w:rFonts w:ascii="Times New Roman" w:hAnsi="Times New Roman"/>
          <w:sz w:val="24"/>
          <w:szCs w:val="24"/>
        </w:rPr>
      </w:pPr>
    </w:p>
    <w:p w:rsidR="00E71E86" w:rsidRPr="00670216" w:rsidP="00E71E86" w14:paraId="66B1DCFB" w14:textId="77777777">
      <w:pPr>
        <w:widowControl w:val="0"/>
        <w:spacing w:after="0" w:line="240" w:lineRule="auto"/>
        <w:ind w:left="-567"/>
        <w:jc w:val="both"/>
        <w:rPr>
          <w:rFonts w:ascii="Times New Roman" w:eastAsia="Times New Roman" w:hAnsi="Times New Roman"/>
          <w:sz w:val="20"/>
          <w:szCs w:val="20"/>
        </w:rPr>
      </w:pPr>
    </w:p>
    <w:p w:rsidR="0097683C" w:rsidP="00E71E86" w14:paraId="64088A4A" w14:textId="77777777">
      <w:pPr>
        <w:widowControl w:val="0"/>
        <w:tabs>
          <w:tab w:val="left" w:pos="2025"/>
        </w:tabs>
        <w:spacing w:after="0" w:line="240" w:lineRule="auto"/>
        <w:ind w:left="-567"/>
        <w:jc w:val="both"/>
        <w:rPr>
          <w:rFonts w:ascii="Times New Roman" w:eastAsia="Times New Roman" w:hAnsi="Times New Roman"/>
          <w:sz w:val="20"/>
          <w:szCs w:val="20"/>
        </w:rPr>
      </w:pPr>
      <w:r w:rsidRPr="00670216">
        <w:rPr>
          <w:rFonts w:ascii="Times New Roman" w:eastAsia="Times New Roman" w:hAnsi="Times New Roman"/>
          <w:sz w:val="20"/>
          <w:szCs w:val="20"/>
        </w:rPr>
        <w:t>Selickis</w:t>
      </w:r>
    </w:p>
    <w:p w:rsidR="00E71E86" w:rsidRPr="00670216" w:rsidP="00E71E86" w14:paraId="50776F76" w14:textId="6AAF335E">
      <w:pPr>
        <w:widowControl w:val="0"/>
        <w:tabs>
          <w:tab w:val="left" w:pos="2025"/>
        </w:tabs>
        <w:spacing w:after="0" w:line="240" w:lineRule="auto"/>
        <w:ind w:left="-567"/>
        <w:jc w:val="both"/>
        <w:rPr>
          <w:rFonts w:ascii="Times New Roman" w:eastAsia="Times New Roman" w:hAnsi="Times New Roman"/>
          <w:sz w:val="20"/>
          <w:szCs w:val="20"/>
        </w:rPr>
      </w:pPr>
      <w:r w:rsidRPr="00670216">
        <w:rPr>
          <w:rFonts w:ascii="Times New Roman" w:eastAsia="Times New Roman" w:hAnsi="Times New Roman"/>
          <w:sz w:val="20"/>
          <w:szCs w:val="20"/>
        </w:rPr>
        <w:t>67013161</w:t>
      </w:r>
    </w:p>
    <w:p w:rsidR="00E71E86" w:rsidRPr="003B59C7" w:rsidP="003B59C7" w14:paraId="10FBD963" w14:textId="77777777">
      <w:pPr>
        <w:widowControl w:val="0"/>
        <w:spacing w:after="0" w:line="240" w:lineRule="auto"/>
        <w:ind w:left="-567"/>
        <w:jc w:val="both"/>
        <w:rPr>
          <w:rFonts w:ascii="Times New Roman" w:hAnsi="Times New Roman"/>
          <w:sz w:val="20"/>
          <w:szCs w:val="20"/>
        </w:rPr>
      </w:pPr>
      <w:r w:rsidRPr="00670216">
        <w:rPr>
          <w:rFonts w:ascii="Times New Roman" w:eastAsia="Times New Roman" w:hAnsi="Times New Roman"/>
          <w:sz w:val="20"/>
          <w:szCs w:val="20"/>
        </w:rPr>
        <w:t>Dainis.Selickis</w:t>
      </w:r>
      <w:r w:rsidRPr="00670216">
        <w:rPr>
          <w:rFonts w:ascii="Times New Roman" w:eastAsia="Times New Roman" w:hAnsi="Times New Roman"/>
          <w:sz w:val="20"/>
          <w:szCs w:val="20"/>
        </w:rPr>
        <w:t>@em.gov.lv</w:t>
      </w:r>
      <w:r w:rsidRPr="00670216">
        <w:rPr>
          <w:rFonts w:ascii="Times New Roman" w:hAnsi="Times New Roman"/>
          <w:sz w:val="20"/>
          <w:szCs w:val="20"/>
        </w:rPr>
        <w:tab/>
      </w:r>
    </w:p>
    <w:sectPr>
      <w:headerReference w:type="default"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394" w:rsidRPr="004F15DF" w:rsidP="00F913C0" w14:paraId="5DCBFB40" w14:textId="01CACF32">
    <w:pPr>
      <w:tabs>
        <w:tab w:val="left" w:pos="6260"/>
      </w:tabs>
      <w:spacing w:after="0" w:line="240" w:lineRule="auto"/>
      <w:ind w:left="-567" w:right="-1050"/>
      <w:jc w:val="both"/>
      <w:rPr>
        <w:rFonts w:ascii="Times New Roman" w:hAnsi="Times New Roman"/>
        <w:sz w:val="20"/>
        <w:szCs w:val="20"/>
      </w:rPr>
    </w:pPr>
    <w:r w:rsidRPr="00E65333">
      <w:rPr>
        <w:rFonts w:ascii="Times New Roman" w:hAnsi="Times New Roman"/>
        <w:noProof/>
        <w:sz w:val="20"/>
      </w:rPr>
      <w:t>EMAnot_</w:t>
    </w:r>
    <w:r w:rsidR="009935AE">
      <w:rPr>
        <w:rFonts w:ascii="Times New Roman" w:hAnsi="Times New Roman"/>
        <w:noProof/>
        <w:sz w:val="20"/>
      </w:rPr>
      <w:t>1202</w:t>
    </w:r>
    <w:r w:rsidRPr="00E65333">
      <w:rPr>
        <w:rFonts w:ascii="Times New Roman" w:hAnsi="Times New Roman"/>
        <w:noProof/>
        <w:sz w:val="20"/>
      </w:rPr>
      <w:t>1</w:t>
    </w:r>
    <w:r w:rsidR="009935AE">
      <w:rPr>
        <w:rFonts w:ascii="Times New Roman" w:hAnsi="Times New Roman"/>
        <w:noProof/>
        <w:sz w:val="20"/>
      </w:rPr>
      <w:t>8</w:t>
    </w:r>
    <w:r w:rsidR="00F200E8">
      <w:rPr>
        <w:rFonts w:ascii="Times New Roman" w:hAnsi="Times New Roman"/>
        <w:noProof/>
        <w:sz w:val="20"/>
      </w:rPr>
      <w:t>_G</w:t>
    </w:r>
    <w:r w:rsidRPr="00E65333">
      <w:rPr>
        <w:rFonts w:ascii="Times New Roman" w:hAnsi="Times New Roman"/>
        <w:noProof/>
        <w:sz w:val="20"/>
      </w:rPr>
      <w:t>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979" w:rsidP="003C3CF6" w14:paraId="4DA5D843" w14:textId="77777777">
      <w:pPr>
        <w:spacing w:after="0" w:line="240" w:lineRule="auto"/>
      </w:pPr>
      <w:r>
        <w:separator/>
      </w:r>
    </w:p>
  </w:footnote>
  <w:footnote w:type="continuationSeparator" w:id="1">
    <w:p w:rsidR="00CF2979" w:rsidP="003C3CF6" w14:paraId="660B17FA" w14:textId="77777777">
      <w:pPr>
        <w:spacing w:after="0" w:line="240" w:lineRule="auto"/>
      </w:pPr>
      <w:r>
        <w:continuationSeparator/>
      </w:r>
    </w:p>
  </w:footnote>
  <w:footnote w:id="2">
    <w:p w:rsidR="001B0394" w:rsidRPr="003C3CF6" w:rsidP="00AE2BCA" w14:paraId="3C5C1397" w14:textId="77777777">
      <w:pPr>
        <w:pStyle w:val="FootnoteText"/>
        <w:ind w:right="-908"/>
        <w:rPr>
          <w:rFonts w:ascii="Times New Roman" w:hAnsi="Times New Roman"/>
        </w:rPr>
      </w:pPr>
      <w:r w:rsidRPr="003C3CF6">
        <w:rPr>
          <w:rStyle w:val="FootnoteReference"/>
          <w:rFonts w:ascii="Times New Roman" w:hAnsi="Times New Roman"/>
        </w:rPr>
        <w:footnoteRef/>
      </w:r>
      <w:r w:rsidRPr="003C3CF6">
        <w:rPr>
          <w:rFonts w:ascii="Times New Roman" w:hAnsi="Times New Roman"/>
        </w:rPr>
        <w:t xml:space="preserve"> Pieejams Ekonomikas ministrijas tīmekļa vietnē: https://em.gov.lv/lv/es_fondi/atbalsta_pasakumi_2014_2020/veicinat_energoefektivitates_paaugstinasanu_dzivojamas_ekas/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5848524"/>
      <w:docPartObj>
        <w:docPartGallery w:val="Page Numbers (Top of Page)"/>
        <w:docPartUnique/>
      </w:docPartObj>
    </w:sdtPr>
    <w:sdtEndPr>
      <w:rPr>
        <w:rFonts w:ascii="Times New Roman" w:hAnsi="Times New Roman"/>
        <w:noProof/>
      </w:rPr>
    </w:sdtEndPr>
    <w:sdtContent>
      <w:p w:rsidR="001B0394" w:rsidRPr="00414834" w14:paraId="51809A4A" w14:textId="24D3BA85">
        <w:pPr>
          <w:pStyle w:val="Header"/>
          <w:jc w:val="center"/>
          <w:rPr>
            <w:rFonts w:ascii="Times New Roman" w:hAnsi="Times New Roman"/>
          </w:rPr>
        </w:pPr>
        <w:r w:rsidRPr="00414834">
          <w:rPr>
            <w:rFonts w:ascii="Times New Roman" w:hAnsi="Times New Roman"/>
          </w:rPr>
          <w:fldChar w:fldCharType="begin"/>
        </w:r>
        <w:r w:rsidRPr="00414834">
          <w:rPr>
            <w:rFonts w:ascii="Times New Roman" w:hAnsi="Times New Roman"/>
          </w:rPr>
          <w:instrText xml:space="preserve"> PAGE   \* MERGEFORMAT </w:instrText>
        </w:r>
        <w:r w:rsidRPr="00414834">
          <w:rPr>
            <w:rFonts w:ascii="Times New Roman" w:hAnsi="Times New Roman"/>
          </w:rPr>
          <w:fldChar w:fldCharType="separate"/>
        </w:r>
        <w:r w:rsidR="007B1329">
          <w:rPr>
            <w:rFonts w:ascii="Times New Roman" w:hAnsi="Times New Roman"/>
            <w:noProof/>
          </w:rPr>
          <w:t>11</w:t>
        </w:r>
        <w:r w:rsidRPr="00414834">
          <w:rPr>
            <w:rFonts w:ascii="Times New Roman" w:hAnsi="Times New Roman"/>
            <w:noProof/>
          </w:rPr>
          <w:fldChar w:fldCharType="end"/>
        </w:r>
      </w:p>
    </w:sdtContent>
  </w:sdt>
  <w:p w:rsidR="001B0394" w14:paraId="4DABDE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2B41CB"/>
    <w:multiLevelType w:val="hybridMultilevel"/>
    <w:tmpl w:val="88603D1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57C5CD8"/>
    <w:multiLevelType w:val="hybridMultilevel"/>
    <w:tmpl w:val="1C5C626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2C80F43"/>
    <w:multiLevelType w:val="hybridMultilevel"/>
    <w:tmpl w:val="5E844372"/>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343069D"/>
    <w:multiLevelType w:val="hybridMultilevel"/>
    <w:tmpl w:val="D902E1FA"/>
    <w:lvl w:ilvl="0">
      <w:start w:val="1"/>
      <w:numFmt w:val="bullet"/>
      <w:lvlText w:val=""/>
      <w:lvlJc w:val="left"/>
      <w:pPr>
        <w:ind w:left="1369" w:hanging="360"/>
      </w:pPr>
      <w:rPr>
        <w:rFonts w:ascii="Wingdings" w:hAnsi="Wingdings" w:hint="default"/>
      </w:rPr>
    </w:lvl>
    <w:lvl w:ilvl="1" w:tentative="1">
      <w:start w:val="1"/>
      <w:numFmt w:val="bullet"/>
      <w:lvlText w:val="o"/>
      <w:lvlJc w:val="left"/>
      <w:pPr>
        <w:ind w:left="2089" w:hanging="360"/>
      </w:pPr>
      <w:rPr>
        <w:rFonts w:ascii="Courier New" w:hAnsi="Courier New" w:cs="Courier New" w:hint="default"/>
      </w:rPr>
    </w:lvl>
    <w:lvl w:ilvl="2" w:tentative="1">
      <w:start w:val="1"/>
      <w:numFmt w:val="bullet"/>
      <w:lvlText w:val=""/>
      <w:lvlJc w:val="left"/>
      <w:pPr>
        <w:ind w:left="2809" w:hanging="360"/>
      </w:pPr>
      <w:rPr>
        <w:rFonts w:ascii="Wingdings" w:hAnsi="Wingdings" w:hint="default"/>
      </w:rPr>
    </w:lvl>
    <w:lvl w:ilvl="3" w:tentative="1">
      <w:start w:val="1"/>
      <w:numFmt w:val="bullet"/>
      <w:lvlText w:val=""/>
      <w:lvlJc w:val="left"/>
      <w:pPr>
        <w:ind w:left="3529" w:hanging="360"/>
      </w:pPr>
      <w:rPr>
        <w:rFonts w:ascii="Symbol" w:hAnsi="Symbol" w:hint="default"/>
      </w:rPr>
    </w:lvl>
    <w:lvl w:ilvl="4" w:tentative="1">
      <w:start w:val="1"/>
      <w:numFmt w:val="bullet"/>
      <w:lvlText w:val="o"/>
      <w:lvlJc w:val="left"/>
      <w:pPr>
        <w:ind w:left="4249" w:hanging="360"/>
      </w:pPr>
      <w:rPr>
        <w:rFonts w:ascii="Courier New" w:hAnsi="Courier New" w:cs="Courier New" w:hint="default"/>
      </w:rPr>
    </w:lvl>
    <w:lvl w:ilvl="5" w:tentative="1">
      <w:start w:val="1"/>
      <w:numFmt w:val="bullet"/>
      <w:lvlText w:val=""/>
      <w:lvlJc w:val="left"/>
      <w:pPr>
        <w:ind w:left="4969" w:hanging="360"/>
      </w:pPr>
      <w:rPr>
        <w:rFonts w:ascii="Wingdings" w:hAnsi="Wingdings" w:hint="default"/>
      </w:rPr>
    </w:lvl>
    <w:lvl w:ilvl="6" w:tentative="1">
      <w:start w:val="1"/>
      <w:numFmt w:val="bullet"/>
      <w:lvlText w:val=""/>
      <w:lvlJc w:val="left"/>
      <w:pPr>
        <w:ind w:left="5689" w:hanging="360"/>
      </w:pPr>
      <w:rPr>
        <w:rFonts w:ascii="Symbol" w:hAnsi="Symbol" w:hint="default"/>
      </w:rPr>
    </w:lvl>
    <w:lvl w:ilvl="7" w:tentative="1">
      <w:start w:val="1"/>
      <w:numFmt w:val="bullet"/>
      <w:lvlText w:val="o"/>
      <w:lvlJc w:val="left"/>
      <w:pPr>
        <w:ind w:left="6409" w:hanging="360"/>
      </w:pPr>
      <w:rPr>
        <w:rFonts w:ascii="Courier New" w:hAnsi="Courier New" w:cs="Courier New" w:hint="default"/>
      </w:rPr>
    </w:lvl>
    <w:lvl w:ilvl="8" w:tentative="1">
      <w:start w:val="1"/>
      <w:numFmt w:val="bullet"/>
      <w:lvlText w:val=""/>
      <w:lvlJc w:val="left"/>
      <w:pPr>
        <w:ind w:left="7129" w:hanging="360"/>
      </w:pPr>
      <w:rPr>
        <w:rFonts w:ascii="Wingdings" w:hAnsi="Wingdings" w:hint="default"/>
      </w:rPr>
    </w:lvl>
  </w:abstractNum>
  <w:abstractNum w:abstractNumId="4" w15:restartNumberingAfterBreak="1">
    <w:nsid w:val="2C992CD0"/>
    <w:multiLevelType w:val="hybridMultilevel"/>
    <w:tmpl w:val="D59E9310"/>
    <w:lvl w:ilvl="0">
      <w:start w:val="0"/>
      <w:numFmt w:val="bullet"/>
      <w:lvlText w:val="•"/>
      <w:lvlJc w:val="left"/>
      <w:pPr>
        <w:ind w:left="714" w:hanging="660"/>
      </w:pPr>
      <w:rPr>
        <w:rFonts w:ascii="Times New Roman" w:eastAsia="Calibri" w:hAnsi="Times New Roman" w:cs="Times New Roman" w:hint="default"/>
      </w:rPr>
    </w:lvl>
    <w:lvl w:ilvl="1" w:tentative="1">
      <w:start w:val="1"/>
      <w:numFmt w:val="bullet"/>
      <w:lvlText w:val="o"/>
      <w:lvlJc w:val="left"/>
      <w:pPr>
        <w:ind w:left="1134" w:hanging="360"/>
      </w:pPr>
      <w:rPr>
        <w:rFonts w:ascii="Courier New" w:hAnsi="Courier New" w:cs="Courier New" w:hint="default"/>
      </w:rPr>
    </w:lvl>
    <w:lvl w:ilvl="2" w:tentative="1">
      <w:start w:val="1"/>
      <w:numFmt w:val="bullet"/>
      <w:lvlText w:val=""/>
      <w:lvlJc w:val="left"/>
      <w:pPr>
        <w:ind w:left="1854" w:hanging="360"/>
      </w:pPr>
      <w:rPr>
        <w:rFonts w:ascii="Wingdings" w:hAnsi="Wingdings" w:hint="default"/>
      </w:rPr>
    </w:lvl>
    <w:lvl w:ilvl="3" w:tentative="1">
      <w:start w:val="1"/>
      <w:numFmt w:val="bullet"/>
      <w:lvlText w:val=""/>
      <w:lvlJc w:val="left"/>
      <w:pPr>
        <w:ind w:left="2574" w:hanging="360"/>
      </w:pPr>
      <w:rPr>
        <w:rFonts w:ascii="Symbol" w:hAnsi="Symbol" w:hint="default"/>
      </w:rPr>
    </w:lvl>
    <w:lvl w:ilvl="4" w:tentative="1">
      <w:start w:val="1"/>
      <w:numFmt w:val="bullet"/>
      <w:lvlText w:val="o"/>
      <w:lvlJc w:val="left"/>
      <w:pPr>
        <w:ind w:left="3294" w:hanging="360"/>
      </w:pPr>
      <w:rPr>
        <w:rFonts w:ascii="Courier New" w:hAnsi="Courier New" w:cs="Courier New" w:hint="default"/>
      </w:rPr>
    </w:lvl>
    <w:lvl w:ilvl="5" w:tentative="1">
      <w:start w:val="1"/>
      <w:numFmt w:val="bullet"/>
      <w:lvlText w:val=""/>
      <w:lvlJc w:val="left"/>
      <w:pPr>
        <w:ind w:left="4014" w:hanging="360"/>
      </w:pPr>
      <w:rPr>
        <w:rFonts w:ascii="Wingdings" w:hAnsi="Wingdings" w:hint="default"/>
      </w:rPr>
    </w:lvl>
    <w:lvl w:ilvl="6" w:tentative="1">
      <w:start w:val="1"/>
      <w:numFmt w:val="bullet"/>
      <w:lvlText w:val=""/>
      <w:lvlJc w:val="left"/>
      <w:pPr>
        <w:ind w:left="4734" w:hanging="360"/>
      </w:pPr>
      <w:rPr>
        <w:rFonts w:ascii="Symbol" w:hAnsi="Symbol" w:hint="default"/>
      </w:rPr>
    </w:lvl>
    <w:lvl w:ilvl="7" w:tentative="1">
      <w:start w:val="1"/>
      <w:numFmt w:val="bullet"/>
      <w:lvlText w:val="o"/>
      <w:lvlJc w:val="left"/>
      <w:pPr>
        <w:ind w:left="5454" w:hanging="360"/>
      </w:pPr>
      <w:rPr>
        <w:rFonts w:ascii="Courier New" w:hAnsi="Courier New" w:cs="Courier New" w:hint="default"/>
      </w:rPr>
    </w:lvl>
    <w:lvl w:ilvl="8" w:tentative="1">
      <w:start w:val="1"/>
      <w:numFmt w:val="bullet"/>
      <w:lvlText w:val=""/>
      <w:lvlJc w:val="left"/>
      <w:pPr>
        <w:ind w:left="6174" w:hanging="360"/>
      </w:pPr>
      <w:rPr>
        <w:rFonts w:ascii="Wingdings" w:hAnsi="Wingdings" w:hint="default"/>
      </w:rPr>
    </w:lvl>
  </w:abstractNum>
  <w:abstractNum w:abstractNumId="5" w15:restartNumberingAfterBreak="1">
    <w:nsid w:val="2FE067BF"/>
    <w:multiLevelType w:val="hybridMultilevel"/>
    <w:tmpl w:val="B6F6A51A"/>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3D126FE"/>
    <w:multiLevelType w:val="multilevel"/>
    <w:tmpl w:val="559CD8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1">
    <w:nsid w:val="33EC2173"/>
    <w:multiLevelType w:val="hybridMultilevel"/>
    <w:tmpl w:val="D75C680A"/>
    <w:lvl w:ilvl="0">
      <w:start w:val="20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40BC1EDF"/>
    <w:multiLevelType w:val="hybridMultilevel"/>
    <w:tmpl w:val="8CE47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A8A4C39"/>
    <w:multiLevelType w:val="hybridMultilevel"/>
    <w:tmpl w:val="8C562F6C"/>
    <w:lvl w:ilvl="0">
      <w:start w:val="1"/>
      <w:numFmt w:val="decimal"/>
      <w:lvlText w:val="%1."/>
      <w:lvlJc w:val="left"/>
      <w:pPr>
        <w:ind w:left="720" w:hanging="360"/>
      </w:pPr>
      <w:rPr>
        <w:rFonts w:ascii="Times New Roman" w:hAnsi="Times New Roman" w:cs="Times New Roman" w:hint="default"/>
        <w:b/>
        <w:i/>
        <w:sz w:val="24"/>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C825B11"/>
    <w:multiLevelType w:val="hybridMultilevel"/>
    <w:tmpl w:val="BED0C13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1">
    <w:nsid w:val="4D737D58"/>
    <w:multiLevelType w:val="hybridMultilevel"/>
    <w:tmpl w:val="8C562F6C"/>
    <w:lvl w:ilvl="0">
      <w:start w:val="1"/>
      <w:numFmt w:val="decimal"/>
      <w:lvlText w:val="%1."/>
      <w:lvlJc w:val="left"/>
      <w:pPr>
        <w:ind w:left="720" w:hanging="360"/>
      </w:pPr>
      <w:rPr>
        <w:rFonts w:ascii="Times New Roman" w:hAnsi="Times New Roman" w:cs="Times New Roman" w:hint="default"/>
        <w:b/>
        <w:i/>
        <w:sz w:val="24"/>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D8103BB"/>
    <w:multiLevelType w:val="hybridMultilevel"/>
    <w:tmpl w:val="6EBEEA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0371BA8"/>
    <w:multiLevelType w:val="multilevel"/>
    <w:tmpl w:val="77708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1">
    <w:nsid w:val="56635F6E"/>
    <w:multiLevelType w:val="hybridMultilevel"/>
    <w:tmpl w:val="B64AAA0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64013F9C"/>
    <w:multiLevelType w:val="multilevel"/>
    <w:tmpl w:val="19986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1">
    <w:nsid w:val="6DD25271"/>
    <w:multiLevelType w:val="hybridMultilevel"/>
    <w:tmpl w:val="1312EA8C"/>
    <w:lvl w:ilvl="0">
      <w:start w:val="1"/>
      <w:numFmt w:val="bullet"/>
      <w:lvlText w:val=""/>
      <w:lvlJc w:val="left"/>
      <w:pPr>
        <w:ind w:left="714" w:hanging="660"/>
      </w:pPr>
      <w:rPr>
        <w:rFonts w:ascii="Wingdings" w:hAnsi="Wingdings" w:hint="default"/>
      </w:rPr>
    </w:lvl>
    <w:lvl w:ilvl="1" w:tentative="1">
      <w:start w:val="1"/>
      <w:numFmt w:val="bullet"/>
      <w:lvlText w:val="o"/>
      <w:lvlJc w:val="left"/>
      <w:pPr>
        <w:ind w:left="1134" w:hanging="360"/>
      </w:pPr>
      <w:rPr>
        <w:rFonts w:ascii="Courier New" w:hAnsi="Courier New" w:cs="Courier New" w:hint="default"/>
      </w:rPr>
    </w:lvl>
    <w:lvl w:ilvl="2" w:tentative="1">
      <w:start w:val="1"/>
      <w:numFmt w:val="bullet"/>
      <w:lvlText w:val=""/>
      <w:lvlJc w:val="left"/>
      <w:pPr>
        <w:ind w:left="1854" w:hanging="360"/>
      </w:pPr>
      <w:rPr>
        <w:rFonts w:ascii="Wingdings" w:hAnsi="Wingdings" w:hint="default"/>
      </w:rPr>
    </w:lvl>
    <w:lvl w:ilvl="3" w:tentative="1">
      <w:start w:val="1"/>
      <w:numFmt w:val="bullet"/>
      <w:lvlText w:val=""/>
      <w:lvlJc w:val="left"/>
      <w:pPr>
        <w:ind w:left="2574" w:hanging="360"/>
      </w:pPr>
      <w:rPr>
        <w:rFonts w:ascii="Symbol" w:hAnsi="Symbol" w:hint="default"/>
      </w:rPr>
    </w:lvl>
    <w:lvl w:ilvl="4" w:tentative="1">
      <w:start w:val="1"/>
      <w:numFmt w:val="bullet"/>
      <w:lvlText w:val="o"/>
      <w:lvlJc w:val="left"/>
      <w:pPr>
        <w:ind w:left="3294" w:hanging="360"/>
      </w:pPr>
      <w:rPr>
        <w:rFonts w:ascii="Courier New" w:hAnsi="Courier New" w:cs="Courier New" w:hint="default"/>
      </w:rPr>
    </w:lvl>
    <w:lvl w:ilvl="5" w:tentative="1">
      <w:start w:val="1"/>
      <w:numFmt w:val="bullet"/>
      <w:lvlText w:val=""/>
      <w:lvlJc w:val="left"/>
      <w:pPr>
        <w:ind w:left="4014" w:hanging="360"/>
      </w:pPr>
      <w:rPr>
        <w:rFonts w:ascii="Wingdings" w:hAnsi="Wingdings" w:hint="default"/>
      </w:rPr>
    </w:lvl>
    <w:lvl w:ilvl="6" w:tentative="1">
      <w:start w:val="1"/>
      <w:numFmt w:val="bullet"/>
      <w:lvlText w:val=""/>
      <w:lvlJc w:val="left"/>
      <w:pPr>
        <w:ind w:left="4734" w:hanging="360"/>
      </w:pPr>
      <w:rPr>
        <w:rFonts w:ascii="Symbol" w:hAnsi="Symbol" w:hint="default"/>
      </w:rPr>
    </w:lvl>
    <w:lvl w:ilvl="7" w:tentative="1">
      <w:start w:val="1"/>
      <w:numFmt w:val="bullet"/>
      <w:lvlText w:val="o"/>
      <w:lvlJc w:val="left"/>
      <w:pPr>
        <w:ind w:left="5454" w:hanging="360"/>
      </w:pPr>
      <w:rPr>
        <w:rFonts w:ascii="Courier New" w:hAnsi="Courier New" w:cs="Courier New" w:hint="default"/>
      </w:rPr>
    </w:lvl>
    <w:lvl w:ilvl="8" w:tentative="1">
      <w:start w:val="1"/>
      <w:numFmt w:val="bullet"/>
      <w:lvlText w:val=""/>
      <w:lvlJc w:val="left"/>
      <w:pPr>
        <w:ind w:left="6174" w:hanging="360"/>
      </w:pPr>
      <w:rPr>
        <w:rFonts w:ascii="Wingdings" w:hAnsi="Wingdings" w:hint="default"/>
      </w:rPr>
    </w:lvl>
  </w:abstractNum>
  <w:abstractNum w:abstractNumId="17" w15:restartNumberingAfterBreak="1">
    <w:nsid w:val="742C1DB5"/>
    <w:multiLevelType w:val="hybridMultilevel"/>
    <w:tmpl w:val="D8A02B4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1">
    <w:nsid w:val="7BB11309"/>
    <w:multiLevelType w:val="hybridMultilevel"/>
    <w:tmpl w:val="9E966C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6"/>
  </w:num>
  <w:num w:numId="5">
    <w:abstractNumId w:val="2"/>
  </w:num>
  <w:num w:numId="6">
    <w:abstractNumId w:val="0"/>
  </w:num>
  <w:num w:numId="7">
    <w:abstractNumId w:val="14"/>
  </w:num>
  <w:num w:numId="8">
    <w:abstractNumId w:val="10"/>
  </w:num>
  <w:num w:numId="9">
    <w:abstractNumId w:val="17"/>
  </w:num>
  <w:num w:numId="10">
    <w:abstractNumId w:val="18"/>
  </w:num>
  <w:num w:numId="11">
    <w:abstractNumId w:val="5"/>
  </w:num>
  <w:num w:numId="12">
    <w:abstractNumId w:val="8"/>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A"/>
    <w:rsid w:val="000005A9"/>
    <w:rsid w:val="000044D5"/>
    <w:rsid w:val="0000514B"/>
    <w:rsid w:val="00005EA0"/>
    <w:rsid w:val="00010F01"/>
    <w:rsid w:val="00011108"/>
    <w:rsid w:val="00014D98"/>
    <w:rsid w:val="00021BB4"/>
    <w:rsid w:val="00027C57"/>
    <w:rsid w:val="000337C1"/>
    <w:rsid w:val="000379F0"/>
    <w:rsid w:val="00045AC0"/>
    <w:rsid w:val="000474FA"/>
    <w:rsid w:val="00050723"/>
    <w:rsid w:val="0005453E"/>
    <w:rsid w:val="00055F8D"/>
    <w:rsid w:val="00057FBD"/>
    <w:rsid w:val="000637BC"/>
    <w:rsid w:val="00070ED0"/>
    <w:rsid w:val="0007193A"/>
    <w:rsid w:val="00072E0D"/>
    <w:rsid w:val="00083975"/>
    <w:rsid w:val="00083A23"/>
    <w:rsid w:val="00084EC4"/>
    <w:rsid w:val="000A16F1"/>
    <w:rsid w:val="000A21FF"/>
    <w:rsid w:val="000B27D7"/>
    <w:rsid w:val="000D214E"/>
    <w:rsid w:val="000D24BE"/>
    <w:rsid w:val="000D39CA"/>
    <w:rsid w:val="000D5DEB"/>
    <w:rsid w:val="000E41AB"/>
    <w:rsid w:val="000E44A6"/>
    <w:rsid w:val="000F011D"/>
    <w:rsid w:val="000F3165"/>
    <w:rsid w:val="00100780"/>
    <w:rsid w:val="00107310"/>
    <w:rsid w:val="00107A0D"/>
    <w:rsid w:val="00113115"/>
    <w:rsid w:val="0011474C"/>
    <w:rsid w:val="00116C06"/>
    <w:rsid w:val="00117473"/>
    <w:rsid w:val="00117722"/>
    <w:rsid w:val="001249B4"/>
    <w:rsid w:val="00133123"/>
    <w:rsid w:val="001341A4"/>
    <w:rsid w:val="001343EB"/>
    <w:rsid w:val="00134724"/>
    <w:rsid w:val="0014604B"/>
    <w:rsid w:val="00154CA5"/>
    <w:rsid w:val="00161C1B"/>
    <w:rsid w:val="00170BEF"/>
    <w:rsid w:val="00176F90"/>
    <w:rsid w:val="00181C04"/>
    <w:rsid w:val="0018241C"/>
    <w:rsid w:val="00183A89"/>
    <w:rsid w:val="0018645E"/>
    <w:rsid w:val="00186E33"/>
    <w:rsid w:val="00187B1D"/>
    <w:rsid w:val="0019012C"/>
    <w:rsid w:val="00190A5C"/>
    <w:rsid w:val="001B0394"/>
    <w:rsid w:val="001C1B4E"/>
    <w:rsid w:val="001C22B9"/>
    <w:rsid w:val="001C7CFF"/>
    <w:rsid w:val="001D6DC2"/>
    <w:rsid w:val="001D7786"/>
    <w:rsid w:val="001F2487"/>
    <w:rsid w:val="0020385C"/>
    <w:rsid w:val="00204C6E"/>
    <w:rsid w:val="002056BF"/>
    <w:rsid w:val="00212E71"/>
    <w:rsid w:val="002173AB"/>
    <w:rsid w:val="002221F7"/>
    <w:rsid w:val="00223F71"/>
    <w:rsid w:val="00227135"/>
    <w:rsid w:val="0023000F"/>
    <w:rsid w:val="00231C66"/>
    <w:rsid w:val="00235891"/>
    <w:rsid w:val="00247D7A"/>
    <w:rsid w:val="00251167"/>
    <w:rsid w:val="002556A3"/>
    <w:rsid w:val="00260BEE"/>
    <w:rsid w:val="00262189"/>
    <w:rsid w:val="00277477"/>
    <w:rsid w:val="00283760"/>
    <w:rsid w:val="00286064"/>
    <w:rsid w:val="002871A4"/>
    <w:rsid w:val="00291175"/>
    <w:rsid w:val="002926E6"/>
    <w:rsid w:val="00292E9E"/>
    <w:rsid w:val="0029723A"/>
    <w:rsid w:val="002A2605"/>
    <w:rsid w:val="002A61DA"/>
    <w:rsid w:val="002A7654"/>
    <w:rsid w:val="002B4C6E"/>
    <w:rsid w:val="002B4CCA"/>
    <w:rsid w:val="002B5D29"/>
    <w:rsid w:val="002B6797"/>
    <w:rsid w:val="002C208B"/>
    <w:rsid w:val="002D1DFB"/>
    <w:rsid w:val="002D26B4"/>
    <w:rsid w:val="002E138B"/>
    <w:rsid w:val="002E1F06"/>
    <w:rsid w:val="002E2F7A"/>
    <w:rsid w:val="00303D9C"/>
    <w:rsid w:val="00315A2B"/>
    <w:rsid w:val="0031762E"/>
    <w:rsid w:val="00322B07"/>
    <w:rsid w:val="00324A9C"/>
    <w:rsid w:val="00327BFC"/>
    <w:rsid w:val="0033091C"/>
    <w:rsid w:val="00331FF8"/>
    <w:rsid w:val="0035082F"/>
    <w:rsid w:val="003558C3"/>
    <w:rsid w:val="003569B8"/>
    <w:rsid w:val="00363043"/>
    <w:rsid w:val="00367739"/>
    <w:rsid w:val="00377FA3"/>
    <w:rsid w:val="003814EE"/>
    <w:rsid w:val="003924C4"/>
    <w:rsid w:val="003945DA"/>
    <w:rsid w:val="003A72A2"/>
    <w:rsid w:val="003B02FD"/>
    <w:rsid w:val="003B59C7"/>
    <w:rsid w:val="003B6E97"/>
    <w:rsid w:val="003C2906"/>
    <w:rsid w:val="003C3CF6"/>
    <w:rsid w:val="003D3D29"/>
    <w:rsid w:val="003D6B74"/>
    <w:rsid w:val="003D7F0B"/>
    <w:rsid w:val="003E2B61"/>
    <w:rsid w:val="003F0E8E"/>
    <w:rsid w:val="003F2464"/>
    <w:rsid w:val="0040010C"/>
    <w:rsid w:val="00401683"/>
    <w:rsid w:val="00404554"/>
    <w:rsid w:val="00413570"/>
    <w:rsid w:val="00414834"/>
    <w:rsid w:val="004207C0"/>
    <w:rsid w:val="004221B8"/>
    <w:rsid w:val="00427A84"/>
    <w:rsid w:val="00427D2C"/>
    <w:rsid w:val="00441BEA"/>
    <w:rsid w:val="0044598C"/>
    <w:rsid w:val="004512F3"/>
    <w:rsid w:val="00451ACD"/>
    <w:rsid w:val="00457A45"/>
    <w:rsid w:val="004673A9"/>
    <w:rsid w:val="00475A10"/>
    <w:rsid w:val="00477FA1"/>
    <w:rsid w:val="00481A4E"/>
    <w:rsid w:val="004823C7"/>
    <w:rsid w:val="00492E97"/>
    <w:rsid w:val="004932DB"/>
    <w:rsid w:val="004A3874"/>
    <w:rsid w:val="004A58B9"/>
    <w:rsid w:val="004C3827"/>
    <w:rsid w:val="004C4481"/>
    <w:rsid w:val="004C5A5D"/>
    <w:rsid w:val="004D5C7A"/>
    <w:rsid w:val="004D67AE"/>
    <w:rsid w:val="004F0027"/>
    <w:rsid w:val="004F15DF"/>
    <w:rsid w:val="004F52F7"/>
    <w:rsid w:val="004F5CF3"/>
    <w:rsid w:val="00500193"/>
    <w:rsid w:val="00507E40"/>
    <w:rsid w:val="0052025E"/>
    <w:rsid w:val="00520855"/>
    <w:rsid w:val="00520995"/>
    <w:rsid w:val="00523947"/>
    <w:rsid w:val="00523E44"/>
    <w:rsid w:val="005240FA"/>
    <w:rsid w:val="00526A90"/>
    <w:rsid w:val="005325CC"/>
    <w:rsid w:val="00537F8C"/>
    <w:rsid w:val="005406E3"/>
    <w:rsid w:val="00543996"/>
    <w:rsid w:val="00545971"/>
    <w:rsid w:val="00545B3D"/>
    <w:rsid w:val="005563A1"/>
    <w:rsid w:val="00567681"/>
    <w:rsid w:val="00572CE4"/>
    <w:rsid w:val="005736C8"/>
    <w:rsid w:val="00575354"/>
    <w:rsid w:val="0058064E"/>
    <w:rsid w:val="005875C4"/>
    <w:rsid w:val="00597EF7"/>
    <w:rsid w:val="00597FDB"/>
    <w:rsid w:val="005A18B3"/>
    <w:rsid w:val="005B4B10"/>
    <w:rsid w:val="005C533C"/>
    <w:rsid w:val="005C7438"/>
    <w:rsid w:val="005D2EED"/>
    <w:rsid w:val="005E5100"/>
    <w:rsid w:val="005E69EC"/>
    <w:rsid w:val="005E71C6"/>
    <w:rsid w:val="005F1E15"/>
    <w:rsid w:val="005F3669"/>
    <w:rsid w:val="00610F13"/>
    <w:rsid w:val="00611D18"/>
    <w:rsid w:val="00625C8F"/>
    <w:rsid w:val="006268ED"/>
    <w:rsid w:val="00632AC0"/>
    <w:rsid w:val="00642623"/>
    <w:rsid w:val="00642B3A"/>
    <w:rsid w:val="006445F8"/>
    <w:rsid w:val="006549AB"/>
    <w:rsid w:val="00656C66"/>
    <w:rsid w:val="00661A98"/>
    <w:rsid w:val="00670216"/>
    <w:rsid w:val="0067042F"/>
    <w:rsid w:val="00680671"/>
    <w:rsid w:val="00680FAF"/>
    <w:rsid w:val="006833F5"/>
    <w:rsid w:val="00684C0E"/>
    <w:rsid w:val="00684F5D"/>
    <w:rsid w:val="00687585"/>
    <w:rsid w:val="00696C3A"/>
    <w:rsid w:val="006A04F8"/>
    <w:rsid w:val="006A5503"/>
    <w:rsid w:val="006B389E"/>
    <w:rsid w:val="006B6120"/>
    <w:rsid w:val="006B7D39"/>
    <w:rsid w:val="006D2116"/>
    <w:rsid w:val="006D7062"/>
    <w:rsid w:val="006E7407"/>
    <w:rsid w:val="006F16F5"/>
    <w:rsid w:val="006F2BEA"/>
    <w:rsid w:val="006F55DB"/>
    <w:rsid w:val="006F6F5D"/>
    <w:rsid w:val="00701C08"/>
    <w:rsid w:val="007040F3"/>
    <w:rsid w:val="00710CFD"/>
    <w:rsid w:val="007120BC"/>
    <w:rsid w:val="00712AED"/>
    <w:rsid w:val="00714D70"/>
    <w:rsid w:val="007216EA"/>
    <w:rsid w:val="00734AE9"/>
    <w:rsid w:val="00736626"/>
    <w:rsid w:val="007370E1"/>
    <w:rsid w:val="00742D51"/>
    <w:rsid w:val="0076543B"/>
    <w:rsid w:val="007669CD"/>
    <w:rsid w:val="007725CD"/>
    <w:rsid w:val="007772C3"/>
    <w:rsid w:val="007811F8"/>
    <w:rsid w:val="0078379D"/>
    <w:rsid w:val="00787F5B"/>
    <w:rsid w:val="00792A4A"/>
    <w:rsid w:val="007A6DDB"/>
    <w:rsid w:val="007A77E7"/>
    <w:rsid w:val="007B1329"/>
    <w:rsid w:val="007B3287"/>
    <w:rsid w:val="007B36C0"/>
    <w:rsid w:val="007B3707"/>
    <w:rsid w:val="007C28C3"/>
    <w:rsid w:val="007D5377"/>
    <w:rsid w:val="007E496C"/>
    <w:rsid w:val="008067AC"/>
    <w:rsid w:val="00812A6E"/>
    <w:rsid w:val="008163E8"/>
    <w:rsid w:val="00816EDF"/>
    <w:rsid w:val="0082188C"/>
    <w:rsid w:val="008245AE"/>
    <w:rsid w:val="00826475"/>
    <w:rsid w:val="00827518"/>
    <w:rsid w:val="008472E2"/>
    <w:rsid w:val="0084785E"/>
    <w:rsid w:val="00850306"/>
    <w:rsid w:val="00851B1C"/>
    <w:rsid w:val="008600CA"/>
    <w:rsid w:val="00861D06"/>
    <w:rsid w:val="008659D3"/>
    <w:rsid w:val="008801B3"/>
    <w:rsid w:val="00884E1C"/>
    <w:rsid w:val="00885BF7"/>
    <w:rsid w:val="0088730D"/>
    <w:rsid w:val="008A11AB"/>
    <w:rsid w:val="008A3F07"/>
    <w:rsid w:val="008A43DF"/>
    <w:rsid w:val="008A4E43"/>
    <w:rsid w:val="008A61D5"/>
    <w:rsid w:val="008B30AD"/>
    <w:rsid w:val="008B3B8B"/>
    <w:rsid w:val="008C24D9"/>
    <w:rsid w:val="008D0D87"/>
    <w:rsid w:val="008E22E5"/>
    <w:rsid w:val="008E2541"/>
    <w:rsid w:val="008E5003"/>
    <w:rsid w:val="00905BEB"/>
    <w:rsid w:val="00913EFE"/>
    <w:rsid w:val="00917A08"/>
    <w:rsid w:val="00921F23"/>
    <w:rsid w:val="00933F6C"/>
    <w:rsid w:val="009365C9"/>
    <w:rsid w:val="00937389"/>
    <w:rsid w:val="00940F83"/>
    <w:rsid w:val="0094169D"/>
    <w:rsid w:val="009527D6"/>
    <w:rsid w:val="00953B1C"/>
    <w:rsid w:val="00957792"/>
    <w:rsid w:val="00962C95"/>
    <w:rsid w:val="00963119"/>
    <w:rsid w:val="00970A2E"/>
    <w:rsid w:val="00973493"/>
    <w:rsid w:val="0097683C"/>
    <w:rsid w:val="00977162"/>
    <w:rsid w:val="0098680A"/>
    <w:rsid w:val="00987F3E"/>
    <w:rsid w:val="00990EC9"/>
    <w:rsid w:val="00992B7E"/>
    <w:rsid w:val="009935AE"/>
    <w:rsid w:val="00993F07"/>
    <w:rsid w:val="00996398"/>
    <w:rsid w:val="009A2CC9"/>
    <w:rsid w:val="009A6511"/>
    <w:rsid w:val="009B54FB"/>
    <w:rsid w:val="009C3DBA"/>
    <w:rsid w:val="009C6BC1"/>
    <w:rsid w:val="009D1BDC"/>
    <w:rsid w:val="009E71E2"/>
    <w:rsid w:val="009E7CD9"/>
    <w:rsid w:val="009F1670"/>
    <w:rsid w:val="009F3EAC"/>
    <w:rsid w:val="009F5043"/>
    <w:rsid w:val="00A059CE"/>
    <w:rsid w:val="00A22A7A"/>
    <w:rsid w:val="00A2398F"/>
    <w:rsid w:val="00A25674"/>
    <w:rsid w:val="00A461C7"/>
    <w:rsid w:val="00A52CBE"/>
    <w:rsid w:val="00A7283F"/>
    <w:rsid w:val="00A80355"/>
    <w:rsid w:val="00A82A85"/>
    <w:rsid w:val="00A83236"/>
    <w:rsid w:val="00A878AA"/>
    <w:rsid w:val="00A916A2"/>
    <w:rsid w:val="00A96D38"/>
    <w:rsid w:val="00AA1A21"/>
    <w:rsid w:val="00AA5C91"/>
    <w:rsid w:val="00AA7C58"/>
    <w:rsid w:val="00AC07DE"/>
    <w:rsid w:val="00AC1FD0"/>
    <w:rsid w:val="00AC3BE5"/>
    <w:rsid w:val="00AD0CCD"/>
    <w:rsid w:val="00AE2BCA"/>
    <w:rsid w:val="00AE47C6"/>
    <w:rsid w:val="00AF0A6A"/>
    <w:rsid w:val="00AF14B1"/>
    <w:rsid w:val="00AF151F"/>
    <w:rsid w:val="00AF1A51"/>
    <w:rsid w:val="00AF2F99"/>
    <w:rsid w:val="00AF324E"/>
    <w:rsid w:val="00B00B8C"/>
    <w:rsid w:val="00B00C23"/>
    <w:rsid w:val="00B0267D"/>
    <w:rsid w:val="00B11D1B"/>
    <w:rsid w:val="00B13D2A"/>
    <w:rsid w:val="00B22609"/>
    <w:rsid w:val="00B32B00"/>
    <w:rsid w:val="00B36456"/>
    <w:rsid w:val="00B40A51"/>
    <w:rsid w:val="00B64E54"/>
    <w:rsid w:val="00B741D8"/>
    <w:rsid w:val="00B766EF"/>
    <w:rsid w:val="00B76D3D"/>
    <w:rsid w:val="00B77D8B"/>
    <w:rsid w:val="00B82509"/>
    <w:rsid w:val="00B83CED"/>
    <w:rsid w:val="00B85328"/>
    <w:rsid w:val="00B85E71"/>
    <w:rsid w:val="00B949A9"/>
    <w:rsid w:val="00BA0349"/>
    <w:rsid w:val="00BA24FA"/>
    <w:rsid w:val="00BB3FA5"/>
    <w:rsid w:val="00BB5A91"/>
    <w:rsid w:val="00BB72AA"/>
    <w:rsid w:val="00BB72D3"/>
    <w:rsid w:val="00BC1264"/>
    <w:rsid w:val="00BC2105"/>
    <w:rsid w:val="00BC4843"/>
    <w:rsid w:val="00BC535C"/>
    <w:rsid w:val="00BE035A"/>
    <w:rsid w:val="00BE7EE3"/>
    <w:rsid w:val="00BF0B9E"/>
    <w:rsid w:val="00BF1EDB"/>
    <w:rsid w:val="00BF289B"/>
    <w:rsid w:val="00BF702E"/>
    <w:rsid w:val="00C0016C"/>
    <w:rsid w:val="00C03B62"/>
    <w:rsid w:val="00C06507"/>
    <w:rsid w:val="00C06E89"/>
    <w:rsid w:val="00C1179E"/>
    <w:rsid w:val="00C13B61"/>
    <w:rsid w:val="00C21107"/>
    <w:rsid w:val="00C21734"/>
    <w:rsid w:val="00C3163C"/>
    <w:rsid w:val="00C36455"/>
    <w:rsid w:val="00C46E2D"/>
    <w:rsid w:val="00C55ED3"/>
    <w:rsid w:val="00C71120"/>
    <w:rsid w:val="00C81002"/>
    <w:rsid w:val="00C849B7"/>
    <w:rsid w:val="00C92E67"/>
    <w:rsid w:val="00C9414F"/>
    <w:rsid w:val="00C941B2"/>
    <w:rsid w:val="00C974B9"/>
    <w:rsid w:val="00C978A1"/>
    <w:rsid w:val="00CA1F6E"/>
    <w:rsid w:val="00CA5280"/>
    <w:rsid w:val="00CB43A0"/>
    <w:rsid w:val="00CB43EE"/>
    <w:rsid w:val="00CC4E98"/>
    <w:rsid w:val="00CC6FF1"/>
    <w:rsid w:val="00CD0D13"/>
    <w:rsid w:val="00CD36FD"/>
    <w:rsid w:val="00CE22C3"/>
    <w:rsid w:val="00CE5022"/>
    <w:rsid w:val="00CE5288"/>
    <w:rsid w:val="00CE55CE"/>
    <w:rsid w:val="00CF2979"/>
    <w:rsid w:val="00CF7006"/>
    <w:rsid w:val="00CF722F"/>
    <w:rsid w:val="00D001CD"/>
    <w:rsid w:val="00D01017"/>
    <w:rsid w:val="00D01ABE"/>
    <w:rsid w:val="00D10508"/>
    <w:rsid w:val="00D10628"/>
    <w:rsid w:val="00D158AC"/>
    <w:rsid w:val="00D17C5C"/>
    <w:rsid w:val="00D22F2D"/>
    <w:rsid w:val="00D272A1"/>
    <w:rsid w:val="00D272A4"/>
    <w:rsid w:val="00D27D96"/>
    <w:rsid w:val="00D303D9"/>
    <w:rsid w:val="00D34A48"/>
    <w:rsid w:val="00D35019"/>
    <w:rsid w:val="00D37DE8"/>
    <w:rsid w:val="00D40728"/>
    <w:rsid w:val="00D40DB9"/>
    <w:rsid w:val="00D413D4"/>
    <w:rsid w:val="00D509C8"/>
    <w:rsid w:val="00D57158"/>
    <w:rsid w:val="00D6392B"/>
    <w:rsid w:val="00D70525"/>
    <w:rsid w:val="00D7437A"/>
    <w:rsid w:val="00D75169"/>
    <w:rsid w:val="00D751A2"/>
    <w:rsid w:val="00D75ACD"/>
    <w:rsid w:val="00D815A2"/>
    <w:rsid w:val="00D90001"/>
    <w:rsid w:val="00D91C87"/>
    <w:rsid w:val="00D96B96"/>
    <w:rsid w:val="00DA0936"/>
    <w:rsid w:val="00DB5549"/>
    <w:rsid w:val="00DB7B7C"/>
    <w:rsid w:val="00DC259F"/>
    <w:rsid w:val="00DC3A82"/>
    <w:rsid w:val="00DD157C"/>
    <w:rsid w:val="00DD1F58"/>
    <w:rsid w:val="00DD2C9C"/>
    <w:rsid w:val="00DD40FC"/>
    <w:rsid w:val="00DE1449"/>
    <w:rsid w:val="00DE450B"/>
    <w:rsid w:val="00DE738A"/>
    <w:rsid w:val="00DF0AB6"/>
    <w:rsid w:val="00DF243B"/>
    <w:rsid w:val="00E02623"/>
    <w:rsid w:val="00E07261"/>
    <w:rsid w:val="00E2412B"/>
    <w:rsid w:val="00E345C0"/>
    <w:rsid w:val="00E42AE5"/>
    <w:rsid w:val="00E53BAA"/>
    <w:rsid w:val="00E56204"/>
    <w:rsid w:val="00E60C0C"/>
    <w:rsid w:val="00E61D6A"/>
    <w:rsid w:val="00E629E3"/>
    <w:rsid w:val="00E650F4"/>
    <w:rsid w:val="00E65333"/>
    <w:rsid w:val="00E6579D"/>
    <w:rsid w:val="00E65B31"/>
    <w:rsid w:val="00E67E15"/>
    <w:rsid w:val="00E71E86"/>
    <w:rsid w:val="00E77244"/>
    <w:rsid w:val="00E8034E"/>
    <w:rsid w:val="00E8476D"/>
    <w:rsid w:val="00E87D29"/>
    <w:rsid w:val="00E90319"/>
    <w:rsid w:val="00E90570"/>
    <w:rsid w:val="00E9153A"/>
    <w:rsid w:val="00E952FC"/>
    <w:rsid w:val="00EA07B0"/>
    <w:rsid w:val="00EA08AC"/>
    <w:rsid w:val="00EA1573"/>
    <w:rsid w:val="00EA1862"/>
    <w:rsid w:val="00EA36A6"/>
    <w:rsid w:val="00EA418E"/>
    <w:rsid w:val="00EA4F24"/>
    <w:rsid w:val="00EA744E"/>
    <w:rsid w:val="00EA7631"/>
    <w:rsid w:val="00EB4FEF"/>
    <w:rsid w:val="00EB52D9"/>
    <w:rsid w:val="00EC0D1A"/>
    <w:rsid w:val="00EC1FF9"/>
    <w:rsid w:val="00ED1EA2"/>
    <w:rsid w:val="00ED20E4"/>
    <w:rsid w:val="00EE49FC"/>
    <w:rsid w:val="00EE59D4"/>
    <w:rsid w:val="00EF38D4"/>
    <w:rsid w:val="00F10589"/>
    <w:rsid w:val="00F1096B"/>
    <w:rsid w:val="00F123ED"/>
    <w:rsid w:val="00F13B25"/>
    <w:rsid w:val="00F14706"/>
    <w:rsid w:val="00F154EA"/>
    <w:rsid w:val="00F17759"/>
    <w:rsid w:val="00F200E8"/>
    <w:rsid w:val="00F243EC"/>
    <w:rsid w:val="00F26551"/>
    <w:rsid w:val="00F26699"/>
    <w:rsid w:val="00F32719"/>
    <w:rsid w:val="00F33C80"/>
    <w:rsid w:val="00F37D7B"/>
    <w:rsid w:val="00F40919"/>
    <w:rsid w:val="00F40CD0"/>
    <w:rsid w:val="00F44C0D"/>
    <w:rsid w:val="00F47215"/>
    <w:rsid w:val="00F500FC"/>
    <w:rsid w:val="00F501F8"/>
    <w:rsid w:val="00F511F6"/>
    <w:rsid w:val="00F519CE"/>
    <w:rsid w:val="00F57991"/>
    <w:rsid w:val="00F65CCD"/>
    <w:rsid w:val="00F67AF9"/>
    <w:rsid w:val="00F72255"/>
    <w:rsid w:val="00F73A15"/>
    <w:rsid w:val="00F7582D"/>
    <w:rsid w:val="00F81D7C"/>
    <w:rsid w:val="00F913C0"/>
    <w:rsid w:val="00F9149C"/>
    <w:rsid w:val="00F92BE0"/>
    <w:rsid w:val="00F93FC3"/>
    <w:rsid w:val="00F96290"/>
    <w:rsid w:val="00FA2A7A"/>
    <w:rsid w:val="00FA3FFC"/>
    <w:rsid w:val="00FC288B"/>
    <w:rsid w:val="00FC408D"/>
    <w:rsid w:val="00FC5387"/>
    <w:rsid w:val="00FD17FB"/>
    <w:rsid w:val="00FD3E88"/>
    <w:rsid w:val="00FD79BA"/>
    <w:rsid w:val="00FE1A9E"/>
    <w:rsid w:val="00FE680B"/>
    <w:rsid w:val="00FF0842"/>
    <w:rsid w:val="00FF3B8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D07A7A2-C419-4B9F-89E0-D5EF676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Bullet list,L,List Paragraph11,Normal bullet 2,Numurets,OBC Bullet,Saistīto dokumentu saraksts,Syle 1"/>
    <w:basedOn w:val="Normal"/>
    <w:link w:val="ListParagraphChar"/>
    <w:uiPriority w:val="34"/>
    <w:qFormat/>
    <w:rsid w:val="00286064"/>
    <w:pPr>
      <w:ind w:left="720"/>
      <w:contextualSpacing/>
    </w:pPr>
    <w:rPr>
      <w:sz w:val="20"/>
      <w:szCs w:val="20"/>
    </w:rPr>
  </w:style>
  <w:style w:type="character" w:customStyle="1" w:styleId="ListParagraphChar">
    <w:name w:val="List Paragraph Char"/>
    <w:aliases w:val="Bullet Style Char,Bullet list Char,L Char,List Paragraph11 Char,Normal bullet 2 Char,Numurets Char,OBC Bullet Char,Saistīto dokumentu saraksts Char,Syle 1 Char"/>
    <w:link w:val="ListParagraph"/>
    <w:uiPriority w:val="34"/>
    <w:locked/>
    <w:rsid w:val="00286064"/>
    <w:rPr>
      <w:rFonts w:ascii="Calibri" w:eastAsia="Calibri" w:hAnsi="Calibri" w:cs="Times New Roman"/>
      <w:sz w:val="20"/>
      <w:szCs w:val="20"/>
    </w:rPr>
  </w:style>
  <w:style w:type="character" w:styleId="Hyperlink">
    <w:name w:val="Hyperlink"/>
    <w:basedOn w:val="DefaultParagraphFont"/>
    <w:uiPriority w:val="99"/>
    <w:unhideWhenUsed/>
    <w:rsid w:val="00286064"/>
    <w:rPr>
      <w:color w:val="0563C1" w:themeColor="hyperlink"/>
      <w:u w:val="single"/>
    </w:rPr>
  </w:style>
  <w:style w:type="character" w:styleId="CommentReference">
    <w:name w:val="annotation reference"/>
    <w:basedOn w:val="DefaultParagraphFont"/>
    <w:uiPriority w:val="99"/>
    <w:semiHidden/>
    <w:unhideWhenUsed/>
    <w:rsid w:val="00F519CE"/>
    <w:rPr>
      <w:sz w:val="16"/>
      <w:szCs w:val="16"/>
    </w:rPr>
  </w:style>
  <w:style w:type="paragraph" w:styleId="CommentText">
    <w:name w:val="annotation text"/>
    <w:basedOn w:val="Normal"/>
    <w:link w:val="CommentTextChar"/>
    <w:uiPriority w:val="99"/>
    <w:unhideWhenUsed/>
    <w:rsid w:val="00F519CE"/>
    <w:pPr>
      <w:spacing w:line="240" w:lineRule="auto"/>
    </w:pPr>
    <w:rPr>
      <w:sz w:val="20"/>
      <w:szCs w:val="20"/>
    </w:rPr>
  </w:style>
  <w:style w:type="character" w:customStyle="1" w:styleId="CommentTextChar">
    <w:name w:val="Comment Text Char"/>
    <w:basedOn w:val="DefaultParagraphFont"/>
    <w:link w:val="CommentText"/>
    <w:uiPriority w:val="99"/>
    <w:rsid w:val="00F51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9CE"/>
    <w:rPr>
      <w:b/>
      <w:bCs/>
    </w:rPr>
  </w:style>
  <w:style w:type="character" w:customStyle="1" w:styleId="CommentSubjectChar">
    <w:name w:val="Comment Subject Char"/>
    <w:basedOn w:val="CommentTextChar"/>
    <w:link w:val="CommentSubject"/>
    <w:uiPriority w:val="99"/>
    <w:semiHidden/>
    <w:rsid w:val="00F51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CE"/>
    <w:rPr>
      <w:rFonts w:ascii="Segoe UI" w:eastAsia="Calibri" w:hAnsi="Segoe UI" w:cs="Segoe UI"/>
      <w:sz w:val="18"/>
      <w:szCs w:val="18"/>
    </w:rPr>
  </w:style>
  <w:style w:type="paragraph" w:styleId="Revision">
    <w:name w:val="Revision"/>
    <w:hidden/>
    <w:uiPriority w:val="99"/>
    <w:semiHidden/>
    <w:rsid w:val="003D3D2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3C3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C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CF6"/>
    <w:rPr>
      <w:vertAlign w:val="superscript"/>
    </w:rPr>
  </w:style>
  <w:style w:type="paragraph" w:styleId="Header">
    <w:name w:val="header"/>
    <w:basedOn w:val="Normal"/>
    <w:link w:val="HeaderChar"/>
    <w:uiPriority w:val="99"/>
    <w:unhideWhenUsed/>
    <w:rsid w:val="00414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834"/>
    <w:rPr>
      <w:rFonts w:ascii="Calibri" w:eastAsia="Calibri" w:hAnsi="Calibri" w:cs="Times New Roman"/>
    </w:rPr>
  </w:style>
  <w:style w:type="paragraph" w:styleId="Footer">
    <w:name w:val="footer"/>
    <w:basedOn w:val="Normal"/>
    <w:link w:val="FooterChar"/>
    <w:uiPriority w:val="99"/>
    <w:unhideWhenUsed/>
    <w:rsid w:val="00414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834"/>
    <w:rPr>
      <w:rFonts w:ascii="Calibri" w:eastAsia="Calibri" w:hAnsi="Calibri" w:cs="Times New Roman"/>
    </w:rPr>
  </w:style>
  <w:style w:type="paragraph" w:styleId="BodyText2">
    <w:name w:val="Body Text 2"/>
    <w:basedOn w:val="Normal"/>
    <w:link w:val="BodyText2Char"/>
    <w:uiPriority w:val="99"/>
    <w:semiHidden/>
    <w:unhideWhenUsed/>
    <w:rsid w:val="004823C7"/>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4823C7"/>
    <w:rPr>
      <w:rFonts w:ascii="Times New Roman" w:eastAsia="Calibri" w:hAnsi="Times New Roman" w:cs="Times New Roman"/>
      <w:sz w:val="20"/>
      <w:szCs w:val="20"/>
      <w:lang w:val="en-AU"/>
    </w:rPr>
  </w:style>
  <w:style w:type="paragraph" w:styleId="NormalWeb">
    <w:name w:val="Normal (Web)"/>
    <w:basedOn w:val="Normal"/>
    <w:uiPriority w:val="99"/>
    <w:unhideWhenUsed/>
    <w:rsid w:val="003A72A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3FB8-2B84-43A5-A63B-35A4BD54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16901</Words>
  <Characters>9635</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160 "Darbības programmas "Izaugsme un nodarbinātība" 4.2.1. specifiskā atbalsta mērķa "Veicināt energoefektivitātes paaugstināšanu valsts un dzīvojamās ē</vt:lpstr>
    </vt:vector>
  </TitlesOfParts>
  <Company>Ekonomikas ministrija</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sākotnējās ietekmes novērtējuma ziņojums (anotācija)</dc:title>
  <dc:subject>Ministru kabineta noteikumu projekta anotācija</dc:subject>
  <dc:creator>Dainis Selickis</dc:creator>
  <dc:description>67013161, Dainis.Selickis@em.gov.lv</dc:description>
  <cp:lastModifiedBy>Līva Immermane</cp:lastModifiedBy>
  <cp:revision>119</cp:revision>
  <dcterms:created xsi:type="dcterms:W3CDTF">2017-12-07T07:56:00Z</dcterms:created>
  <dcterms:modified xsi:type="dcterms:W3CDTF">2018-02-27T14:28:00Z</dcterms:modified>
</cp:coreProperties>
</file>