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03F70" w:rsidP="00803F70" w14:paraId="76A929C9" w14:textId="77777777">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 „Par valsts aģentūras „</w:t>
      </w:r>
      <w:r>
        <w:rPr>
          <w:b/>
          <w:kern w:val="1"/>
          <w:lang w:eastAsia="en-US"/>
        </w:rPr>
        <w:t>Latvijas Nacionālais akreditācijas birojs</w:t>
      </w:r>
      <w:r w:rsidRPr="00803F70">
        <w:rPr>
          <w:b/>
          <w:kern w:val="1"/>
          <w:lang w:eastAsia="en-US"/>
        </w:rPr>
        <w:t>” 201</w:t>
      </w:r>
      <w:r>
        <w:rPr>
          <w:b/>
          <w:kern w:val="1"/>
          <w:lang w:eastAsia="en-US"/>
        </w:rPr>
        <w:t>8</w:t>
      </w:r>
      <w:r w:rsidRPr="00803F70">
        <w:rPr>
          <w:b/>
          <w:kern w:val="1"/>
          <w:lang w:eastAsia="en-US"/>
        </w:rPr>
        <w:t>.gada budžeta apstiprināšanu” sākotnējās ietekmes novērtējuma ziņojums (anotācija)</w:t>
      </w:r>
      <w:bookmarkEnd w:id="0"/>
      <w:bookmarkEnd w:id="1"/>
      <w:bookmarkEnd w:id="2"/>
    </w:p>
    <w:p w:rsidR="00B62035" w:rsidRPr="00803F70" w:rsidP="00803F70" w14:paraId="52B4F1CA" w14:textId="77777777">
      <w:pPr>
        <w:widowControl w:val="0"/>
        <w:suppressAutoHyphens/>
        <w:jc w:val="center"/>
        <w:rPr>
          <w:b/>
          <w:kern w:val="1"/>
          <w:lang w:eastAsia="en-US"/>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35F31165" w14:textId="77777777" w:rsidTr="007C70CE">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B62035" w:rsidRPr="007E673B" w:rsidP="007C70CE" w14:paraId="02ACB046" w14:textId="77777777">
            <w:pPr>
              <w:jc w:val="center"/>
            </w:pPr>
            <w:r w:rsidRPr="00B62035">
              <w:rPr>
                <w:b/>
              </w:rPr>
              <w:t>Tiesību akta projekta anotācijas kopsavilkums</w:t>
            </w:r>
          </w:p>
        </w:tc>
      </w:tr>
      <w:tr w14:paraId="31725B28" w14:textId="77777777" w:rsidTr="008A0BE7">
        <w:tblPrEx>
          <w:tblW w:w="0" w:type="auto"/>
          <w:tblInd w:w="15" w:type="dxa"/>
          <w:tblLayout w:type="fixed"/>
          <w:tblCellMar>
            <w:left w:w="0" w:type="dxa"/>
            <w:right w:w="0" w:type="dxa"/>
          </w:tblCellMar>
          <w:tblLook w:val="0000"/>
        </w:tblPrEx>
        <w:trPr>
          <w:trHeight w:val="439"/>
        </w:trPr>
        <w:tc>
          <w:tcPr>
            <w:tcW w:w="3099" w:type="dxa"/>
          </w:tcPr>
          <w:p w:rsidR="00B62035" w:rsidP="00B62035" w14:paraId="48EF30BA" w14:textId="77777777">
            <w:r w:rsidRPr="00B62035">
              <w:t>Mērķis, risinājums un projekta spēkā stāšanās laiks (500 zīmes bez atstarpēm)</w:t>
            </w:r>
          </w:p>
        </w:tc>
        <w:tc>
          <w:tcPr>
            <w:tcW w:w="5963" w:type="dxa"/>
          </w:tcPr>
          <w:p w:rsidR="00B62035" w:rsidP="00B62035" w14:paraId="1B2D22AB" w14:textId="77777777">
            <w:pPr>
              <w:pStyle w:val="naiskr"/>
              <w:jc w:val="both"/>
            </w:pPr>
            <w:r>
              <w:t xml:space="preserve">Ministru kabineta rīkojuma mērķis ir apstiprināt </w:t>
            </w:r>
            <w:r w:rsidR="000E584F">
              <w:t xml:space="preserve">nacionālās akreditācijas institūcijas - </w:t>
            </w:r>
            <w:r w:rsidRPr="002756C2">
              <w:t>valsts aģentūr</w:t>
            </w:r>
            <w:r>
              <w:t>as</w:t>
            </w:r>
            <w:r w:rsidRPr="002756C2">
              <w:t xml:space="preserve"> "Latvijas Nacionālais akreditācijas birojs"</w:t>
            </w:r>
            <w:r>
              <w:t xml:space="preserve"> budžetu 2018.gadam, ņemot vērā, ka ir noslēgusies sabiedrības ar ierobežotu atbildību “Latvijas Nacionālais akreditācijas birojs” pārveide par valsts aģentūru “Latvijas Nacionālais akreditācijas birojs”.</w:t>
            </w:r>
          </w:p>
          <w:p w:rsidR="00B62035" w:rsidRPr="00A83FB9" w:rsidP="00B62035" w14:paraId="2D97BE75" w14:textId="5616F87E">
            <w:pPr>
              <w:pStyle w:val="naiskr"/>
              <w:jc w:val="both"/>
            </w:pPr>
            <w:r>
              <w:t>Ministru kabineta Rīkojumam</w:t>
            </w:r>
            <w:r w:rsidRPr="00803F70" w:rsidR="00F42ED4">
              <w:rPr>
                <w:b/>
                <w:kern w:val="1"/>
                <w:lang w:eastAsia="en-US"/>
              </w:rPr>
              <w:t xml:space="preserve"> </w:t>
            </w:r>
            <w:r w:rsidR="00392BEA">
              <w:rPr>
                <w:b/>
                <w:kern w:val="1"/>
                <w:lang w:eastAsia="en-US"/>
              </w:rPr>
              <w:t>“</w:t>
            </w:r>
            <w:r w:rsidRPr="001737FA" w:rsidR="00F42ED4">
              <w:t xml:space="preserve">Par valsts aģentūras „Latvijas Nacionālais akreditācijas birojs” 2018.gada budžeta apstiprināšanu” </w:t>
            </w:r>
            <w:r>
              <w:t xml:space="preserve"> jāstājas spēkā 2018.gada 1.</w:t>
            </w:r>
            <w:r w:rsidR="00725D1B">
              <w:t>martā</w:t>
            </w:r>
            <w:r>
              <w:t>.</w:t>
            </w:r>
          </w:p>
        </w:tc>
      </w:tr>
    </w:tbl>
    <w:p w:rsidR="00B62035" w:rsidRPr="007E673B" w:rsidP="00F4368B" w14:paraId="0B1FE068" w14:textId="77777777">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0AFEE1A3"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7E673B" w:rsidP="00F4368B" w14:paraId="60F0A536" w14:textId="77777777">
            <w:pPr>
              <w:jc w:val="center"/>
            </w:pPr>
            <w:r w:rsidRPr="007E673B">
              <w:rPr>
                <w:b/>
              </w:rPr>
              <w:t>I. Tiesību akta projekta izstrādes nepieciešamība</w:t>
            </w:r>
          </w:p>
        </w:tc>
      </w:tr>
      <w:tr w14:paraId="33D01C97"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7E673B" w:rsidP="00F4368B" w14:paraId="6F22D599" w14:textId="77777777">
            <w:r w:rsidRPr="007E673B">
              <w:t> 1.</w:t>
            </w:r>
          </w:p>
        </w:tc>
        <w:tc>
          <w:tcPr>
            <w:tcW w:w="2578" w:type="dxa"/>
          </w:tcPr>
          <w:p w:rsidR="00193E45" w:rsidRPr="007E673B" w:rsidP="00F4368B" w14:paraId="26692EF1" w14:textId="77777777">
            <w:r w:rsidRPr="007E673B">
              <w:t>Pamatojums</w:t>
            </w:r>
          </w:p>
        </w:tc>
        <w:tc>
          <w:tcPr>
            <w:tcW w:w="5963" w:type="dxa"/>
          </w:tcPr>
          <w:p w:rsidR="00ED28F5" w:rsidP="00C45F97" w14:paraId="2C3A9DCE" w14:textId="77777777">
            <w:pPr>
              <w:pStyle w:val="naiskr"/>
              <w:jc w:val="both"/>
            </w:pPr>
            <w:r w:rsidRPr="003D34EF">
              <w:t>Publisko aģen</w:t>
            </w:r>
            <w:r>
              <w:t>tūru likuma 13.panta trešā daļa;</w:t>
            </w:r>
          </w:p>
          <w:p w:rsidR="00803F70" w:rsidP="00C45F97" w14:paraId="5FC4C1E6" w14:textId="77777777">
            <w:pPr>
              <w:pStyle w:val="naiskr"/>
              <w:jc w:val="both"/>
            </w:pPr>
            <w:r w:rsidRPr="003D34EF">
              <w:t xml:space="preserve">Likuma par budžetu un finanšu vadību 41.panta </w:t>
            </w:r>
            <w:r w:rsidRPr="00B652DA">
              <w:rPr>
                <w:color w:val="000000"/>
              </w:rPr>
              <w:t>1.</w:t>
            </w:r>
            <w:r w:rsidRPr="00B652DA">
              <w:rPr>
                <w:vertAlign w:val="superscript"/>
              </w:rPr>
              <w:t>1</w:t>
            </w:r>
            <w:r w:rsidRPr="00B652DA">
              <w:rPr>
                <w:color w:val="000000"/>
              </w:rPr>
              <w:t xml:space="preserve"> </w:t>
            </w:r>
            <w:r>
              <w:t>daļa;</w:t>
            </w:r>
          </w:p>
          <w:p w:rsidR="00A83FB9" w:rsidP="00C45F97" w14:paraId="1A4F7B22" w14:textId="77777777">
            <w:pPr>
              <w:pStyle w:val="naiskr"/>
              <w:jc w:val="both"/>
            </w:pPr>
            <w:r w:rsidRPr="001A78CC">
              <w:t>Ministru kabineta 2017.gada 4.aprīļa sēd</w:t>
            </w:r>
            <w:r>
              <w:t>ē izskatītais</w:t>
            </w:r>
            <w:r w:rsidRPr="001A78CC">
              <w:t xml:space="preserve"> </w:t>
            </w:r>
            <w:r>
              <w:t>informatīvais</w:t>
            </w:r>
            <w:r w:rsidRPr="001A78CC">
              <w:t xml:space="preserve"> ziņojum</w:t>
            </w:r>
            <w:r>
              <w:t>s</w:t>
            </w:r>
            <w:r w:rsidRPr="001A78CC">
              <w:t xml:space="preserve"> “Par priekšlikumu sniegšanu par turpmāko rīcību saistībā ar SIA “Standartizācijas, akreditācijas un metroloģijas centrs” reorganizēšanu” (prot.Nr.18 42.§)</w:t>
            </w:r>
          </w:p>
          <w:p w:rsidR="00804971" w:rsidRPr="00A83FB9" w:rsidP="00C45F97" w14:paraId="76339460" w14:textId="77777777">
            <w:pPr>
              <w:pStyle w:val="naiskr"/>
              <w:jc w:val="both"/>
            </w:pPr>
          </w:p>
        </w:tc>
      </w:tr>
      <w:tr w14:paraId="467CF870"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7E673B" w:rsidP="00F4368B" w14:paraId="51E58E1E" w14:textId="77777777">
            <w:r w:rsidRPr="007E673B">
              <w:t> 2.</w:t>
            </w:r>
          </w:p>
        </w:tc>
        <w:tc>
          <w:tcPr>
            <w:tcW w:w="2578" w:type="dxa"/>
          </w:tcPr>
          <w:p w:rsidR="00681124" w:rsidRPr="007E673B" w:rsidP="00F4368B" w14:paraId="6E89F6C1" w14:textId="77777777">
            <w:r w:rsidRPr="007E673B">
              <w:t>Pašreizējā situācija un problēmas, kuru risināšanai tiesību akta projekts izstrādāts, tiesiskā regulējuma mērķis un būtība</w:t>
            </w:r>
          </w:p>
          <w:p w:rsidR="00681124" w:rsidRPr="007E673B" w:rsidP="00681124" w14:paraId="3DCC2C7F" w14:textId="77777777"/>
          <w:p w:rsidR="00681124" w:rsidRPr="007E673B" w:rsidP="00681124" w14:paraId="5CD3CAA5" w14:textId="77777777"/>
          <w:p w:rsidR="00681124" w:rsidRPr="007E673B" w:rsidP="00681124" w14:paraId="4411F2DC" w14:textId="77777777"/>
          <w:p w:rsidR="00681124" w:rsidRPr="007E673B" w:rsidP="00681124" w14:paraId="7F9EB05E" w14:textId="77777777"/>
          <w:p w:rsidR="00681124" w:rsidRPr="007E673B" w:rsidP="00681124" w14:paraId="05E10D2C" w14:textId="77777777"/>
          <w:p w:rsidR="00681124" w:rsidRPr="007E673B" w:rsidP="00681124" w14:paraId="25C310C0" w14:textId="77777777"/>
          <w:p w:rsidR="00681124" w:rsidRPr="007E673B" w:rsidP="00681124" w14:paraId="47665F54" w14:textId="77777777"/>
          <w:p w:rsidR="00681124" w:rsidRPr="007E673B" w:rsidP="00681124" w14:paraId="3D640197" w14:textId="77777777"/>
          <w:p w:rsidR="00681124" w:rsidRPr="007E673B" w:rsidP="00681124" w14:paraId="409DE329" w14:textId="77777777"/>
          <w:p w:rsidR="00681124" w:rsidRPr="007E673B" w:rsidP="00681124" w14:paraId="0420658E" w14:textId="77777777"/>
          <w:p w:rsidR="00681124" w:rsidRPr="007E673B" w:rsidP="00681124" w14:paraId="69E49AE7" w14:textId="77777777"/>
          <w:p w:rsidR="00681124" w:rsidRPr="007E673B" w:rsidP="00681124" w14:paraId="0217711B" w14:textId="77777777"/>
          <w:p w:rsidR="00681124" w:rsidRPr="007E673B" w:rsidP="00681124" w14:paraId="585ABC79" w14:textId="77777777"/>
          <w:p w:rsidR="00681124" w:rsidRPr="007E673B" w:rsidP="00681124" w14:paraId="2BFD597C" w14:textId="77777777"/>
          <w:p w:rsidR="00681124" w:rsidRPr="007E673B" w:rsidP="00681124" w14:paraId="315EA744" w14:textId="77777777"/>
          <w:p w:rsidR="00681124" w:rsidRPr="007E673B" w:rsidP="00681124" w14:paraId="17439E8B" w14:textId="77777777"/>
          <w:p w:rsidR="00681124" w:rsidRPr="007E673B" w:rsidP="00681124" w14:paraId="1825EEE0" w14:textId="77777777"/>
          <w:p w:rsidR="00681124" w:rsidRPr="007E673B" w:rsidP="00681124" w14:paraId="0249B995" w14:textId="77777777"/>
          <w:p w:rsidR="00681124" w:rsidRPr="007E673B" w:rsidP="00681124" w14:paraId="61613110" w14:textId="77777777"/>
          <w:p w:rsidR="00681124" w:rsidRPr="007E673B" w:rsidP="00681124" w14:paraId="68A42BE6" w14:textId="77777777"/>
          <w:p w:rsidR="00681124" w:rsidRPr="007E673B" w:rsidP="00681124" w14:paraId="7D34F569" w14:textId="77777777"/>
          <w:p w:rsidR="00681124" w:rsidRPr="007E673B" w:rsidP="00681124" w14:paraId="73B7BBB2" w14:textId="77777777"/>
          <w:p w:rsidR="00681124" w:rsidRPr="007E673B" w:rsidP="00681124" w14:paraId="6AA893EC" w14:textId="77777777"/>
          <w:p w:rsidR="00681124" w:rsidRPr="007E673B" w:rsidP="00681124" w14:paraId="603FB31A" w14:textId="77777777"/>
          <w:p w:rsidR="00681124" w:rsidRPr="007E673B" w:rsidP="004E36F6" w14:paraId="06C6DBA5" w14:textId="77777777">
            <w:pPr>
              <w:jc w:val="right"/>
            </w:pPr>
          </w:p>
          <w:p w:rsidR="00681124" w:rsidRPr="007E673B" w:rsidP="00681124" w14:paraId="15E4EB56" w14:textId="77777777"/>
          <w:p w:rsidR="00681124" w:rsidRPr="007E673B" w:rsidP="00681124" w14:paraId="0A250408" w14:textId="77777777"/>
          <w:p w:rsidR="00681124" w:rsidRPr="007E673B" w:rsidP="00681124" w14:paraId="49186CD0" w14:textId="77777777"/>
          <w:p w:rsidR="00681124" w:rsidRPr="007E673B" w:rsidP="00681124" w14:paraId="49135376" w14:textId="77777777"/>
          <w:p w:rsidR="00681124" w:rsidRPr="007E673B" w:rsidP="00681124" w14:paraId="05759EED" w14:textId="77777777"/>
          <w:p w:rsidR="00681124" w:rsidRPr="007E673B" w:rsidP="00681124" w14:paraId="0C5EA166" w14:textId="77777777"/>
          <w:p w:rsidR="00193E45" w:rsidRPr="007E673B" w:rsidP="00B377C2" w14:paraId="25627B7B" w14:textId="77777777"/>
        </w:tc>
        <w:tc>
          <w:tcPr>
            <w:tcW w:w="5963" w:type="dxa"/>
          </w:tcPr>
          <w:p w:rsidR="003A2E8D" w:rsidRPr="002756C2" w:rsidP="003A2E8D" w14:paraId="4E27E4B7" w14:textId="3FAE792A">
            <w:pPr>
              <w:jc w:val="both"/>
            </w:pPr>
            <w:r w:rsidRPr="002756C2">
              <w:t>Ministru kabineta 2017.gada 4.aprīļa sēd</w:t>
            </w:r>
            <w:r w:rsidR="00EF4C28">
              <w:t>ē</w:t>
            </w:r>
            <w:r w:rsidRPr="002756C2">
              <w:t xml:space="preserve"> tika izskatīts Ekonomikas ministrijas sagatavotais informatīvais ziņojums “Par priekšlikumu sniegšanu par turpmāko rīcību saistībā ar SIA "Standartizācijas, akreditācijas un metroloģijas centrs" reorganizēšanu"” (prot. Nr.18 42.§) un atbalstīts tajā piedāvātais risinājums, kas, cita starpā, paredzēja SIA “Latvijas Nacionālais akreditācijas birojs” pārveidošanu par valsts aģentūru, kas turpmāk pildīs nacionālās akreditācijas institūcijas funkcijas un pienākumus, sniedzot arī publiskos pakalpojumus – akreditāciju. Vienlaikus Ekonomikas ministrija, kā pārraugošā institūcija, nodrošinās nacionālās akreditācijas institūcijas </w:t>
            </w:r>
            <w:r w:rsidR="007B3F22">
              <w:t xml:space="preserve">pamata </w:t>
            </w:r>
            <w:r w:rsidRPr="002756C2">
              <w:t>atbalsta un administratīvo funkciju</w:t>
            </w:r>
            <w:r w:rsidR="007B3F22">
              <w:t xml:space="preserve"> (grāmatvedība, </w:t>
            </w:r>
            <w:r w:rsidR="007B3F22">
              <w:t>personāllietas</w:t>
            </w:r>
            <w:r w:rsidR="007B3F22">
              <w:t>, IT)</w:t>
            </w:r>
            <w:r w:rsidRPr="002756C2">
              <w:t xml:space="preserve"> izpildi, tādējādi nepalielinot slogu uz institūciju un dodot tai iespēju visus savus resursus </w:t>
            </w:r>
            <w:r w:rsidR="007B3F22">
              <w:t xml:space="preserve">galvenokārt </w:t>
            </w:r>
            <w:r w:rsidRPr="002756C2">
              <w:t xml:space="preserve">koncentrēt uz tiešo pienākumu veikšanu. Vienlaikus Ekonomikas ministrijai tika uzdots uzdevums sagatavot un iesniegt Ministru kabinetā rīkojumu par jaundibināmās SIA "Latvijas Nacionālais akreditācijas birojs" pārveides par valsts aģentūru "Latvijas Nacionālais akreditācijas birojs" uzsākšanu.  </w:t>
            </w:r>
          </w:p>
          <w:p w:rsidR="003A2E8D" w:rsidRPr="002756C2" w:rsidP="003A2E8D" w14:paraId="6B7E21CF" w14:textId="77777777">
            <w:pPr>
              <w:jc w:val="both"/>
            </w:pPr>
            <w:r w:rsidRPr="002756C2">
              <w:t>Ministru kabineta 2017.gada 24.oktobra sēdē tika atbalstīts Ekonomikas ministrijas sagatavotais rīkojuma projekts “Par valsts sabiedrības ar ierobežoto atbildību "Latvijas Nacionālais akreditācijas birojs" pārveides par valsts aģentūru "Latvijas Nacionālais akreditācijas birojs" uzsākšanu" (prot.Nr.52 1.§).</w:t>
            </w:r>
          </w:p>
          <w:p w:rsidR="003A2E8D" w:rsidRPr="002756C2" w:rsidP="003A2E8D" w14:paraId="60E40087" w14:textId="77777777">
            <w:pPr>
              <w:jc w:val="both"/>
            </w:pPr>
            <w:r w:rsidRPr="002756C2">
              <w:t>2017.ga</w:t>
            </w:r>
            <w:r w:rsidR="00804971">
              <w:t>da 31.oktobrī Latvijas vēstnesī</w:t>
            </w:r>
            <w:r w:rsidRPr="002756C2">
              <w:t xml:space="preserve"> tika publicēts paziņojums, kurā SIA “Latvijas Nacionālais akreditācijas </w:t>
            </w:r>
            <w:r w:rsidRPr="002756C2">
              <w:t>birojs” reģ.Nr.40203084604 paziņoja par sabiedrības pārveides par valsts aģentūru uzsākšanu un aicināja kreditorus pieteikt savus prasījumus 2 (divu) mēnešu laikā no paziņojuma publicēšanas</w:t>
            </w:r>
            <w:r w:rsidR="00E154AD">
              <w:t>.</w:t>
            </w:r>
            <w:r w:rsidRPr="002756C2">
              <w:t xml:space="preserve"> </w:t>
            </w:r>
          </w:p>
          <w:p w:rsidR="003A2E8D" w:rsidRPr="002756C2" w:rsidP="003A2E8D" w14:paraId="25F51E7A" w14:textId="77777777">
            <w:pPr>
              <w:jc w:val="both"/>
            </w:pPr>
            <w:r w:rsidRPr="002756C2">
              <w:t>Ņemot vērā iepriekš minēto, šobrīd ir izpildīti visi priekšnoteikumi, lai pabeigtu SIA “Latvijas Nacionālais akreditācijas birojs” pārveides par valsts aģentūru procesu</w:t>
            </w:r>
            <w:r w:rsidR="0004339D">
              <w:t xml:space="preserve"> un līdz ar to apstiprināt tās budžetu</w:t>
            </w:r>
            <w:r w:rsidRPr="002756C2">
              <w:t>. SIA “Latvijas Nacionālais akreditācijas birojs” pārveides rezultātā tiks izveidota valsts aģentūra “Latvijas Nacionālais akreditācijas birojs, kas atbilstoši Likumam par budžetu un finanšu vadību darbosies kā budžeta nefinansētā iestāde, un atbilstoši Publisko aģentūru likuma 13.panta trešajai daļai un Likuma par budžetu un finan</w:t>
            </w:r>
            <w:r w:rsidR="00511AF4">
              <w:t xml:space="preserve">šu vadību 41.panta </w:t>
            </w:r>
            <w:r w:rsidRPr="002756C2">
              <w:t>1</w:t>
            </w:r>
            <w:r w:rsidR="00511AF4">
              <w:t>.</w:t>
            </w:r>
            <w:r w:rsidRPr="00511AF4">
              <w:rPr>
                <w:vertAlign w:val="superscript"/>
              </w:rPr>
              <w:t>1</w:t>
            </w:r>
            <w:r w:rsidR="00511AF4">
              <w:t xml:space="preserve"> </w:t>
            </w:r>
            <w:r w:rsidRPr="002756C2">
              <w:t xml:space="preserve">daļai tās budžetu apstiprinās Ministru kabinets. Valsts aģentūra “Latvijas Nacionālais akreditācijas birojs” būs Ekonomikas ministra pārraudzībā esoša iestāde, kas pildīs likuma “Par atbilstības novērtēšanu” 14.panta pirmajā daļā noteiktās nacionālās akreditācijas institūcijas funkcijas un tiks finansēta, ievērojot šī panta trešajā daļā noteikto kārtību, proti, no valsts budžeta līdzfinansējuma un pašu ieņēmumiem par sniegtajiem pakalpojumiem.  </w:t>
            </w:r>
          </w:p>
          <w:p w:rsidR="005872D3" w:rsidRPr="008D6911" w:rsidP="00467037" w14:paraId="479EE338" w14:textId="47BA20C7">
            <w:pPr>
              <w:jc w:val="both"/>
            </w:pPr>
            <w:r>
              <w:rPr>
                <w:bCs/>
              </w:rPr>
              <w:t xml:space="preserve">Ministru kabineta </w:t>
            </w:r>
            <w:r w:rsidR="005E29D0">
              <w:rPr>
                <w:bCs/>
              </w:rPr>
              <w:t>r</w:t>
            </w:r>
            <w:r w:rsidRPr="00AC380F" w:rsidR="0031444E">
              <w:rPr>
                <w:bCs/>
              </w:rPr>
              <w:t>īkojuma projekts paredz</w:t>
            </w:r>
            <w:r w:rsidR="0031444E">
              <w:rPr>
                <w:bCs/>
              </w:rPr>
              <w:t>, ka</w:t>
            </w:r>
            <w:r w:rsidRPr="00AC380F" w:rsidR="0031444E">
              <w:rPr>
                <w:bCs/>
              </w:rPr>
              <w:t xml:space="preserve"> s</w:t>
            </w:r>
            <w:r w:rsidRPr="00AC380F" w:rsidR="0031444E">
              <w:t xml:space="preserve">askaņā ar Likuma par budžetu un finanšu </w:t>
            </w:r>
            <w:r w:rsidRPr="007F04F1" w:rsidR="0031444E">
              <w:t>vadību 41.panta 1</w:t>
            </w:r>
            <w:r w:rsidR="0031444E">
              <w:t>.</w:t>
            </w:r>
            <w:r w:rsidRPr="007F04F1" w:rsidR="0031444E">
              <w:rPr>
                <w:vertAlign w:val="superscript"/>
              </w:rPr>
              <w:t>1</w:t>
            </w:r>
            <w:r w:rsidR="0031444E">
              <w:t xml:space="preserve"> </w:t>
            </w:r>
            <w:r w:rsidRPr="007F04F1" w:rsidR="0031444E">
              <w:t xml:space="preserve">daļu jāapstiprina </w:t>
            </w:r>
            <w:r w:rsidRPr="00950499" w:rsidR="0031444E">
              <w:t>Valsts aģentūras “Latvijas Nacionālais akreditācijas birojs”</w:t>
            </w:r>
            <w:r w:rsidRPr="007F04F1" w:rsidR="0031444E">
              <w:t xml:space="preserve"> 201</w:t>
            </w:r>
            <w:r w:rsidR="0031444E">
              <w:t>8</w:t>
            </w:r>
            <w:r w:rsidRPr="007F04F1" w:rsidR="0031444E">
              <w:t>.gada budžeta ieņēmumus</w:t>
            </w:r>
            <w:r w:rsidR="00272572">
              <w:t xml:space="preserve"> par laika periodu </w:t>
            </w:r>
            <w:r w:rsidRPr="007F04F1" w:rsidR="0031444E">
              <w:t xml:space="preserve"> </w:t>
            </w:r>
            <w:r w:rsidR="007B3F22">
              <w:t>no 2018.gada 1.marta</w:t>
            </w:r>
            <w:r w:rsidR="00C45F97">
              <w:t xml:space="preserve"> līdz 2018.gada 31.decembrim </w:t>
            </w:r>
            <w:r w:rsidRPr="00942B9C" w:rsidR="00942B9C">
              <w:t xml:space="preserve">631 772 </w:t>
            </w:r>
            <w:r w:rsidRPr="00896C3E" w:rsidR="0031444E">
              <w:rPr>
                <w:i/>
              </w:rPr>
              <w:t>euro</w:t>
            </w:r>
            <w:r w:rsidRPr="00896C3E" w:rsidR="0031444E">
              <w:rPr>
                <w:sz w:val="28"/>
                <w:szCs w:val="28"/>
              </w:rPr>
              <w:t xml:space="preserve"> </w:t>
            </w:r>
            <w:r w:rsidRPr="00896C3E" w:rsidR="0031444E">
              <w:t xml:space="preserve">apmērā un izdevumus </w:t>
            </w:r>
            <w:r w:rsidRPr="00942B9C" w:rsidR="00942B9C">
              <w:t>775 48</w:t>
            </w:r>
            <w:r w:rsidR="009B11B6">
              <w:t>6</w:t>
            </w:r>
            <w:bookmarkStart w:id="3" w:name="_GoBack"/>
            <w:bookmarkEnd w:id="3"/>
            <w:r w:rsidRPr="00942B9C" w:rsidR="00942B9C">
              <w:t xml:space="preserve"> </w:t>
            </w:r>
            <w:r w:rsidRPr="008D6911" w:rsidR="0031444E">
              <w:rPr>
                <w:i/>
              </w:rPr>
              <w:t>euro</w:t>
            </w:r>
            <w:r w:rsidRPr="008D6911" w:rsidR="0031444E">
              <w:t xml:space="preserve"> apmērā</w:t>
            </w:r>
            <w:r w:rsidRPr="008D6911">
              <w:t xml:space="preserve"> </w:t>
            </w:r>
            <w:r w:rsidRPr="008D6911" w:rsidR="00C45F97">
              <w:t>(tai skaitā izdevumu finansēšanai novirzot maksas pakalpojumu un citu pašu ieņēmumu naudas lī</w:t>
            </w:r>
            <w:r w:rsidR="007B3F22">
              <w:t>dzekļu atlikumu uz 2018.gada 1.martu</w:t>
            </w:r>
            <w:r w:rsidRPr="008D6911" w:rsidR="00C45F97">
              <w:t xml:space="preserve"> </w:t>
            </w:r>
            <w:r w:rsidRPr="00942B9C" w:rsidR="00942B9C">
              <w:t>143</w:t>
            </w:r>
            <w:r w:rsidR="00942B9C">
              <w:t> </w:t>
            </w:r>
            <w:r w:rsidRPr="00942B9C" w:rsidR="00942B9C">
              <w:t>714</w:t>
            </w:r>
            <w:r w:rsidR="00942B9C">
              <w:t xml:space="preserve"> </w:t>
            </w:r>
            <w:r w:rsidRPr="008D6911" w:rsidR="00C45F97">
              <w:rPr>
                <w:i/>
              </w:rPr>
              <w:t>euro</w:t>
            </w:r>
            <w:r w:rsidRPr="008D6911" w:rsidR="00C45F97">
              <w:rPr>
                <w:i/>
              </w:rPr>
              <w:t xml:space="preserve"> </w:t>
            </w:r>
            <w:r w:rsidRPr="008D6911" w:rsidR="00C45F97">
              <w:t>apmērā) atbilstoši pielikumam.</w:t>
            </w:r>
          </w:p>
          <w:p w:rsidR="00F6647D" w:rsidP="00467037" w14:paraId="357FBE53" w14:textId="14535D51">
            <w:pPr>
              <w:jc w:val="both"/>
            </w:pPr>
            <w:r w:rsidRPr="008D6911">
              <w:t>Saskaņā ar 2008.gada 9.jūlija Eiropas Parlamenta un Padomes Regulu Nr.765/2008</w:t>
            </w:r>
            <w:r w:rsidRPr="008D6911" w:rsidR="007D726F">
              <w:t xml:space="preserve"> ar ko nosaka akreditācijas un tirgus uzraudzības prasības attiecībā uz produktu tirdzniecību un atceļ Regulu (EEK) Nr. 339/93 akreditācijas institūcija ieņēmumu pārpalikumus var izmantot </w:t>
            </w:r>
            <w:r w:rsidRPr="008D6911" w:rsidR="002F2D58">
              <w:t xml:space="preserve">tikai tādiem </w:t>
            </w:r>
            <w:r w:rsidRPr="008D6911" w:rsidR="007D726F">
              <w:t xml:space="preserve">ieguldījumiem, </w:t>
            </w:r>
            <w:r w:rsidRPr="008D6911" w:rsidR="002F2D58">
              <w:t>kas</w:t>
            </w:r>
            <w:r w:rsidRPr="008D6911" w:rsidR="007D726F">
              <w:t xml:space="preserve"> tālāk attīstītu valsts akreditācijas struktūru darbību, līdz ar to iepriekš minētais naudas līdzekļu atlikums SIA “Latvijas Nacionālais akre</w:t>
            </w:r>
            <w:r w:rsidR="007B3F22">
              <w:t xml:space="preserve">ditācijas birojs” kontā uz </w:t>
            </w:r>
            <w:r w:rsidRPr="00942B9C" w:rsidR="007B3F22">
              <w:t>28.02.2018</w:t>
            </w:r>
            <w:r w:rsidRPr="00942B9C" w:rsidR="007D726F">
              <w:t>.</w:t>
            </w:r>
            <w:r w:rsidRPr="008D6911" w:rsidR="007D726F">
              <w:t xml:space="preserve"> novirzīts izdevumu finansēšanai.</w:t>
            </w:r>
            <w:r w:rsidR="00AC2F86">
              <w:t xml:space="preserve"> Daļa šo finanšu līdzekļu ir ieņēmumi no Eiropas savienības finansēta </w:t>
            </w:r>
            <w:r w:rsidR="00AC2F86">
              <w:t>Twining</w:t>
            </w:r>
            <w:r w:rsidR="00AC2F86">
              <w:t xml:space="preserve"> projekta Azerbaidžānas nacionālās akreditācijas institūcijas atbalstam (projekta Nr.AZ 13 ENI TR 02 16 (AZ 46)</w:t>
            </w:r>
          </w:p>
          <w:p w:rsidR="00804971" w:rsidRPr="00467037" w:rsidP="00467037" w14:paraId="00B54DF9" w14:textId="77777777">
            <w:pPr>
              <w:jc w:val="both"/>
            </w:pPr>
          </w:p>
        </w:tc>
      </w:tr>
      <w:tr w14:paraId="4DE5C606"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7E673B" w:rsidP="00F4368B" w14:paraId="4353B642" w14:textId="77777777">
            <w:r w:rsidRPr="007E673B">
              <w:t> 3.</w:t>
            </w:r>
          </w:p>
        </w:tc>
        <w:tc>
          <w:tcPr>
            <w:tcW w:w="2578" w:type="dxa"/>
          </w:tcPr>
          <w:p w:rsidR="00193E45" w:rsidRPr="007E673B" w:rsidP="00F4368B" w14:paraId="7D83D18C" w14:textId="77777777">
            <w:r w:rsidRPr="007E673B">
              <w:t>Projekta izstrādē iesaistītās institūcijas</w:t>
            </w:r>
            <w:r w:rsidR="00456AC9">
              <w:t xml:space="preserve"> un publiskas personas kapitālsabiedrības</w:t>
            </w:r>
          </w:p>
        </w:tc>
        <w:tc>
          <w:tcPr>
            <w:tcW w:w="5963" w:type="dxa"/>
          </w:tcPr>
          <w:p w:rsidR="00193E45" w:rsidRPr="007E673B" w:rsidP="00F4368B" w14:paraId="450AE451" w14:textId="77777777">
            <w:pPr>
              <w:jc w:val="both"/>
            </w:pPr>
            <w:r>
              <w:rPr>
                <w:rFonts w:eastAsia="SimSun"/>
                <w:lang w:eastAsia="zh-CN"/>
              </w:rPr>
              <w:t>SIA</w:t>
            </w:r>
            <w:r w:rsidRPr="007E673B" w:rsidR="00BE5105">
              <w:rPr>
                <w:rFonts w:eastAsia="SimSun"/>
                <w:lang w:eastAsia="zh-CN"/>
              </w:rPr>
              <w:t xml:space="preserve">  </w:t>
            </w:r>
            <w:r w:rsidRPr="007E673B" w:rsidR="00AF7E9E">
              <w:rPr>
                <w:rFonts w:eastAsia="SimSun"/>
                <w:lang w:eastAsia="zh-CN"/>
              </w:rPr>
              <w:t>"</w:t>
            </w:r>
            <w:r w:rsidR="00F1622E">
              <w:rPr>
                <w:rFonts w:eastAsia="SimSun"/>
                <w:lang w:eastAsia="zh-CN"/>
              </w:rPr>
              <w:t>Latvijas N</w:t>
            </w:r>
            <w:r w:rsidR="003907CB">
              <w:rPr>
                <w:rFonts w:eastAsia="SimSun"/>
                <w:lang w:eastAsia="zh-CN"/>
              </w:rPr>
              <w:t>acionālais akreditācijas birojs</w:t>
            </w:r>
            <w:r w:rsidRPr="007E673B" w:rsidR="00AF7E9E">
              <w:rPr>
                <w:rFonts w:eastAsia="SimSun"/>
                <w:lang w:eastAsia="zh-CN"/>
              </w:rPr>
              <w:t>"</w:t>
            </w:r>
            <w:r w:rsidR="00F66ADC">
              <w:rPr>
                <w:rFonts w:eastAsia="SimSun"/>
                <w:lang w:eastAsia="zh-CN"/>
              </w:rPr>
              <w:t xml:space="preserve"> un</w:t>
            </w:r>
            <w:r w:rsidR="003C27A7">
              <w:rPr>
                <w:rFonts w:eastAsia="SimSun"/>
                <w:lang w:eastAsia="zh-CN"/>
              </w:rPr>
              <w:t xml:space="preserve"> Ekonomikas ministrija</w:t>
            </w:r>
          </w:p>
        </w:tc>
      </w:tr>
      <w:tr w14:paraId="588BB748" w14:textId="77777777" w:rsidTr="00950499">
        <w:tblPrEx>
          <w:tblW w:w="0" w:type="auto"/>
          <w:tblInd w:w="15" w:type="dxa"/>
          <w:tblLayout w:type="fixed"/>
          <w:tblCellMar>
            <w:left w:w="0" w:type="dxa"/>
            <w:right w:w="0" w:type="dxa"/>
          </w:tblCellMar>
          <w:tblLook w:val="0000"/>
        </w:tblPrEx>
        <w:trPr>
          <w:trHeight w:val="841"/>
        </w:trPr>
        <w:tc>
          <w:tcPr>
            <w:tcW w:w="521" w:type="dxa"/>
          </w:tcPr>
          <w:p w:rsidR="00193E45" w:rsidRPr="007E673B" w:rsidP="00F4368B" w14:paraId="02EAC2C7" w14:textId="77777777">
            <w:r w:rsidRPr="007E673B">
              <w:t> 4.</w:t>
            </w:r>
          </w:p>
        </w:tc>
        <w:tc>
          <w:tcPr>
            <w:tcW w:w="2578" w:type="dxa"/>
          </w:tcPr>
          <w:p w:rsidR="00193E45" w:rsidRPr="007E673B" w:rsidP="00F4368B" w14:paraId="033F03AB" w14:textId="77777777">
            <w:r w:rsidRPr="007E673B">
              <w:t>Cita informācija</w:t>
            </w:r>
          </w:p>
        </w:tc>
        <w:tc>
          <w:tcPr>
            <w:tcW w:w="5963" w:type="dxa"/>
          </w:tcPr>
          <w:p w:rsidR="00F6647D" w:rsidRPr="008D6911" w:rsidP="00314D68" w14:paraId="237C7385" w14:textId="4FD575F9">
            <w:pPr>
              <w:pStyle w:val="naiskr"/>
              <w:spacing w:before="0" w:after="0"/>
              <w:jc w:val="both"/>
            </w:pPr>
            <w:r w:rsidRPr="008D6911">
              <w:t xml:space="preserve">Tā kā SIA “Latvijas Nacionālais akreditācijas birojs” kreditoru pieteikšanās periods noslēdzās 2017.gada 31.decembrī un Rīkojuma projektu nebija iespējams virzīt ātrākā laika periodā, tad Ministru kabineta Rīkojums paredz apstiprināt Valsts aģentūras “Latvijas Nacionālais akreditācijas birojs” budžetu </w:t>
            </w:r>
            <w:r w:rsidRPr="008D6911" w:rsidR="006E34AC">
              <w:t xml:space="preserve">par laika periodu </w:t>
            </w:r>
            <w:r w:rsidRPr="008D6911">
              <w:t>no 2018.gada 1.</w:t>
            </w:r>
            <w:r w:rsidR="007B3F22">
              <w:t>marta</w:t>
            </w:r>
            <w:r w:rsidRPr="008D6911">
              <w:t xml:space="preserve"> līdz 2018.gada 31.decembrim.</w:t>
            </w:r>
          </w:p>
          <w:p w:rsidR="00804971" w:rsidRPr="008D6911" w:rsidP="00314D68" w14:paraId="786868DC" w14:textId="77777777">
            <w:pPr>
              <w:pStyle w:val="naiskr"/>
              <w:spacing w:before="0" w:after="0"/>
              <w:jc w:val="both"/>
            </w:pPr>
          </w:p>
        </w:tc>
      </w:tr>
    </w:tbl>
    <w:p w:rsidR="00FE64BC" w:rsidP="00F4368B" w14:paraId="03032CA3" w14:textId="77777777">
      <w:pPr>
        <w:rPr>
          <w:color w:val="FF000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80"/>
        <w:gridCol w:w="2764"/>
        <w:gridCol w:w="5723"/>
      </w:tblGrid>
      <w:tr w14:paraId="027A6E32" w14:textId="77777777" w:rsidTr="0004339D">
        <w:tblPrEx>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FE64BC" w:rsidRPr="002756C2" w:rsidP="00E24F7A" w14:paraId="2BD416C6" w14:textId="77777777">
            <w:pPr>
              <w:jc w:val="center"/>
              <w:rPr>
                <w:b/>
                <w:bCs/>
              </w:rPr>
            </w:pPr>
            <w:r w:rsidRPr="002756C2">
              <w:rPr>
                <w:b/>
                <w:bCs/>
              </w:rPr>
              <w:t>II. Tiesību akta projekta ietekme uz sabiedrību, tautsaimniecības attīstību un administratīvo slogu</w:t>
            </w:r>
          </w:p>
        </w:tc>
      </w:tr>
      <w:tr w14:paraId="74BA9C1E" w14:textId="77777777" w:rsidTr="0004339D">
        <w:tblPrEx>
          <w:tblW w:w="4852" w:type="pct"/>
          <w:tblCellMar>
            <w:top w:w="30" w:type="dxa"/>
            <w:left w:w="30" w:type="dxa"/>
            <w:bottom w:w="30" w:type="dxa"/>
            <w:right w:w="30" w:type="dxa"/>
          </w:tblCellMar>
          <w:tblLook w:val="04A0"/>
        </w:tblPrEx>
        <w:trPr>
          <w:cantSplit/>
        </w:trPr>
        <w:tc>
          <w:tcPr>
            <w:tcW w:w="320" w:type="pct"/>
            <w:hideMark/>
          </w:tcPr>
          <w:p w:rsidR="00FE64BC" w:rsidRPr="002756C2" w:rsidP="00E24F7A" w14:paraId="2DE22A7D" w14:textId="77777777">
            <w:pPr>
              <w:jc w:val="center"/>
            </w:pPr>
            <w:r w:rsidRPr="002756C2">
              <w:t>1.</w:t>
            </w:r>
          </w:p>
        </w:tc>
        <w:tc>
          <w:tcPr>
            <w:tcW w:w="1524" w:type="pct"/>
            <w:hideMark/>
          </w:tcPr>
          <w:p w:rsidR="00FE64BC" w:rsidRPr="002756C2" w:rsidP="00E24F7A" w14:paraId="5884CB56" w14:textId="77777777">
            <w:r w:rsidRPr="002756C2">
              <w:t xml:space="preserve">Sabiedrības </w:t>
            </w:r>
            <w:r w:rsidRPr="002756C2">
              <w:t>mērķgrupas</w:t>
            </w:r>
            <w:r w:rsidRPr="002756C2">
              <w:t>, kuras tiesiskais regulējums ietekmē vai varētu ietekmēt</w:t>
            </w:r>
          </w:p>
        </w:tc>
        <w:tc>
          <w:tcPr>
            <w:tcW w:w="3155" w:type="pct"/>
            <w:hideMark/>
          </w:tcPr>
          <w:p w:rsidR="00FE64BC" w:rsidP="00E24F7A" w14:paraId="79798F7C" w14:textId="77777777">
            <w:pPr>
              <w:jc w:val="both"/>
            </w:pPr>
            <w:r w:rsidRPr="002756C2">
              <w:t>SIA  „Latvijas Nacionālais akreditācijas birojs” darbinieki, kuru darba līgumos tiks veikti grozījumi, ievērojot Valsts un pašvaldību institūciju amatpersonu un darbinieku atlīdzības likumā noteikto un valdes loceklis, kura pilnvaras izbeigsies līdz ar kapitālsabiedrības izslēgšanu no komercreģistra, kā arī sabiedrības darījumu partneri, tajā skaitā atbilstības novērtēšanas institūcijas.</w:t>
            </w:r>
          </w:p>
          <w:p w:rsidR="00804971" w:rsidRPr="002756C2" w:rsidP="00E24F7A" w14:paraId="478281CE" w14:textId="77777777">
            <w:pPr>
              <w:jc w:val="both"/>
            </w:pPr>
          </w:p>
        </w:tc>
      </w:tr>
      <w:tr w14:paraId="7D0975AB" w14:textId="77777777" w:rsidTr="0004339D">
        <w:tblPrEx>
          <w:tblW w:w="4852" w:type="pct"/>
          <w:tblCellMar>
            <w:top w:w="30" w:type="dxa"/>
            <w:left w:w="30" w:type="dxa"/>
            <w:bottom w:w="30" w:type="dxa"/>
            <w:right w:w="30" w:type="dxa"/>
          </w:tblCellMar>
          <w:tblLook w:val="04A0"/>
        </w:tblPrEx>
        <w:trPr>
          <w:cantSplit/>
        </w:trPr>
        <w:tc>
          <w:tcPr>
            <w:tcW w:w="320" w:type="pct"/>
            <w:hideMark/>
          </w:tcPr>
          <w:p w:rsidR="00FE64BC" w:rsidRPr="002756C2" w:rsidP="00E24F7A" w14:paraId="36041466" w14:textId="77777777">
            <w:pPr>
              <w:jc w:val="center"/>
            </w:pPr>
            <w:r w:rsidRPr="002756C2">
              <w:t>2.</w:t>
            </w:r>
          </w:p>
        </w:tc>
        <w:tc>
          <w:tcPr>
            <w:tcW w:w="1524" w:type="pct"/>
            <w:hideMark/>
          </w:tcPr>
          <w:p w:rsidR="00FE64BC" w:rsidRPr="002756C2" w:rsidP="00E24F7A" w14:paraId="558F5D4D" w14:textId="77777777">
            <w:r w:rsidRPr="002756C2">
              <w:t>Tiesiskā regulējuma ietekme uz tautsaimniecību un administratīvo slogu</w:t>
            </w:r>
          </w:p>
        </w:tc>
        <w:tc>
          <w:tcPr>
            <w:tcW w:w="3155" w:type="pct"/>
            <w:hideMark/>
          </w:tcPr>
          <w:p w:rsidR="00FE64BC" w:rsidRPr="002756C2" w:rsidP="00E24F7A" w14:paraId="77FB416A" w14:textId="77777777">
            <w:pPr>
              <w:jc w:val="both"/>
            </w:pPr>
            <w:r w:rsidRPr="002756C2">
              <w:t>Ar projektu tiek mainīts SIA “Latvijas Nacionālais akreditācijas birojs” juridiskais statuss uz valsts aģentūru, taču tā joprojām turpinās pildīt nacionālās akreditācijas funkcijas un uzdevumus, kurus līdz šim pildīja SIA “Latvijas Nacionālais akreditācijas birojs”. Juridiskā statusa maiņas ietekme uz tautsaimniecību būs neitrāla un kopumā tā nemainīs arī administratīvo slogu.</w:t>
            </w:r>
          </w:p>
        </w:tc>
      </w:tr>
      <w:tr w14:paraId="629CAACD" w14:textId="77777777" w:rsidTr="0004339D">
        <w:tblPrEx>
          <w:tblW w:w="4852" w:type="pct"/>
          <w:tblCellMar>
            <w:top w:w="30" w:type="dxa"/>
            <w:left w:w="30" w:type="dxa"/>
            <w:bottom w:w="30" w:type="dxa"/>
            <w:right w:w="30" w:type="dxa"/>
          </w:tblCellMar>
          <w:tblLook w:val="04A0"/>
        </w:tblPrEx>
        <w:trPr>
          <w:cantSplit/>
        </w:trPr>
        <w:tc>
          <w:tcPr>
            <w:tcW w:w="320" w:type="pct"/>
            <w:hideMark/>
          </w:tcPr>
          <w:p w:rsidR="00FE64BC" w:rsidRPr="002756C2" w:rsidP="00E24F7A" w14:paraId="6EF40C31" w14:textId="77777777">
            <w:pPr>
              <w:jc w:val="center"/>
            </w:pPr>
            <w:r w:rsidRPr="002756C2">
              <w:t>3.</w:t>
            </w:r>
          </w:p>
        </w:tc>
        <w:tc>
          <w:tcPr>
            <w:tcW w:w="1524" w:type="pct"/>
            <w:hideMark/>
          </w:tcPr>
          <w:p w:rsidR="00FE64BC" w:rsidRPr="002756C2" w:rsidP="00E24F7A" w14:paraId="2384A35F" w14:textId="77777777">
            <w:r w:rsidRPr="002756C2">
              <w:t>Administratīvo izmaksu monetārs novērtējums</w:t>
            </w:r>
          </w:p>
        </w:tc>
        <w:tc>
          <w:tcPr>
            <w:tcW w:w="3155" w:type="pct"/>
            <w:hideMark/>
          </w:tcPr>
          <w:p w:rsidR="00FE64BC" w:rsidRPr="002756C2" w:rsidP="00E24F7A" w14:paraId="327C38D2" w14:textId="77777777">
            <w:r w:rsidRPr="002756C2">
              <w:t>Projekts šo jomu neskar</w:t>
            </w:r>
          </w:p>
        </w:tc>
      </w:tr>
      <w:tr w14:paraId="52F60CF6" w14:textId="77777777" w:rsidTr="0004339D">
        <w:tblPrEx>
          <w:tblW w:w="4852" w:type="pct"/>
          <w:tblCellMar>
            <w:top w:w="30" w:type="dxa"/>
            <w:left w:w="30" w:type="dxa"/>
            <w:bottom w:w="30" w:type="dxa"/>
            <w:right w:w="30" w:type="dxa"/>
          </w:tblCellMar>
          <w:tblLook w:val="04A0"/>
        </w:tblPrEx>
        <w:trPr>
          <w:cantSplit/>
        </w:trPr>
        <w:tc>
          <w:tcPr>
            <w:tcW w:w="320" w:type="pct"/>
            <w:hideMark/>
          </w:tcPr>
          <w:p w:rsidR="00FE64BC" w:rsidRPr="002756C2" w:rsidP="00E24F7A" w14:paraId="2F51647F" w14:textId="77777777">
            <w:pPr>
              <w:jc w:val="center"/>
            </w:pPr>
            <w:r w:rsidRPr="002756C2">
              <w:t>4.</w:t>
            </w:r>
          </w:p>
        </w:tc>
        <w:tc>
          <w:tcPr>
            <w:tcW w:w="1524" w:type="pct"/>
            <w:hideMark/>
          </w:tcPr>
          <w:p w:rsidR="00FE64BC" w:rsidRPr="002756C2" w:rsidP="00E24F7A" w14:paraId="608936CC" w14:textId="77777777">
            <w:r w:rsidRPr="002756C2">
              <w:t>Atbilstības izmaksu monetārs novērtējums</w:t>
            </w:r>
          </w:p>
        </w:tc>
        <w:tc>
          <w:tcPr>
            <w:tcW w:w="3155" w:type="pct"/>
            <w:hideMark/>
          </w:tcPr>
          <w:p w:rsidR="00FE64BC" w:rsidRPr="002756C2" w:rsidP="00E24F7A" w14:paraId="0B082813" w14:textId="77777777">
            <w:r w:rsidRPr="002756C2">
              <w:t>Projekts šo jomu neskar</w:t>
            </w:r>
          </w:p>
        </w:tc>
      </w:tr>
      <w:tr w14:paraId="21DAAF5C" w14:textId="77777777" w:rsidTr="0004339D">
        <w:tblPrEx>
          <w:tblW w:w="4852" w:type="pct"/>
          <w:tblCellMar>
            <w:top w:w="30" w:type="dxa"/>
            <w:left w:w="30" w:type="dxa"/>
            <w:bottom w:w="30" w:type="dxa"/>
            <w:right w:w="30" w:type="dxa"/>
          </w:tblCellMar>
          <w:tblLook w:val="04A0"/>
        </w:tblPrEx>
        <w:trPr>
          <w:cantSplit/>
        </w:trPr>
        <w:tc>
          <w:tcPr>
            <w:tcW w:w="320" w:type="pct"/>
            <w:hideMark/>
          </w:tcPr>
          <w:p w:rsidR="00FE64BC" w:rsidRPr="002756C2" w:rsidP="00E24F7A" w14:paraId="445C0BB7" w14:textId="77777777">
            <w:pPr>
              <w:jc w:val="center"/>
            </w:pPr>
            <w:r w:rsidRPr="002756C2">
              <w:t>5.</w:t>
            </w:r>
          </w:p>
        </w:tc>
        <w:tc>
          <w:tcPr>
            <w:tcW w:w="1524" w:type="pct"/>
            <w:hideMark/>
          </w:tcPr>
          <w:p w:rsidR="00FE64BC" w:rsidRPr="002756C2" w:rsidP="00E24F7A" w14:paraId="1A3A36DC" w14:textId="77777777">
            <w:r w:rsidRPr="002756C2">
              <w:t>Cita informācija</w:t>
            </w:r>
          </w:p>
        </w:tc>
        <w:tc>
          <w:tcPr>
            <w:tcW w:w="3155" w:type="pct"/>
            <w:hideMark/>
          </w:tcPr>
          <w:p w:rsidR="00FE64BC" w:rsidRPr="002756C2" w:rsidP="00E24F7A" w14:paraId="4657656C" w14:textId="77777777">
            <w:r w:rsidRPr="002756C2">
              <w:t>Nav</w:t>
            </w:r>
          </w:p>
        </w:tc>
      </w:tr>
    </w:tbl>
    <w:p w:rsidR="00FE64BC" w:rsidRPr="007E673B" w:rsidP="00F4368B" w14:paraId="5D862F11" w14:textId="77777777">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589"/>
        <w:gridCol w:w="1643"/>
        <w:gridCol w:w="1026"/>
        <w:gridCol w:w="1187"/>
        <w:gridCol w:w="970"/>
        <w:gridCol w:w="1103"/>
        <w:gridCol w:w="835"/>
        <w:gridCol w:w="1008"/>
        <w:gridCol w:w="708"/>
      </w:tblGrid>
      <w:tr w14:paraId="4AD9E8FA" w14:textId="77777777" w:rsidTr="0004339D">
        <w:tblPrEx>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9" w:type="dxa"/>
            <w:gridSpan w:val="9"/>
            <w:shd w:val="clear" w:color="auto" w:fill="auto"/>
            <w:vAlign w:val="center"/>
            <w:hideMark/>
          </w:tcPr>
          <w:p w:rsidR="00FE64BC" w:rsidRPr="002756C2" w:rsidP="00E24F7A" w14:paraId="7FC8866C" w14:textId="77777777">
            <w:pPr>
              <w:jc w:val="center"/>
              <w:rPr>
                <w:b/>
                <w:bCs/>
                <w:lang w:eastAsia="en-US"/>
              </w:rPr>
            </w:pPr>
            <w:r w:rsidRPr="002756C2">
              <w:rPr>
                <w:b/>
                <w:bCs/>
                <w:lang w:eastAsia="en-US"/>
              </w:rPr>
              <w:t>III. Tiesību akta projekta ietekme uz valsts budžetu un pašvaldību budžetiem</w:t>
            </w:r>
          </w:p>
        </w:tc>
      </w:tr>
      <w:tr w14:paraId="4A58062A"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vMerge w:val="restart"/>
            <w:shd w:val="clear" w:color="auto" w:fill="FFFFFF"/>
            <w:vAlign w:val="center"/>
          </w:tcPr>
          <w:p w:rsidR="00FE64BC" w:rsidRPr="002756C2" w:rsidP="00E24F7A" w14:paraId="24CB8F85" w14:textId="77777777">
            <w:pPr>
              <w:jc w:val="center"/>
              <w:rPr>
                <w:bCs/>
                <w:lang w:eastAsia="en-US"/>
              </w:rPr>
            </w:pPr>
            <w:r w:rsidRPr="002756C2">
              <w:rPr>
                <w:bCs/>
                <w:lang w:eastAsia="en-US"/>
              </w:rPr>
              <w:t>Rādītāji</w:t>
            </w:r>
          </w:p>
        </w:tc>
        <w:tc>
          <w:tcPr>
            <w:tcW w:w="2213" w:type="dxa"/>
            <w:gridSpan w:val="2"/>
            <w:vMerge w:val="restart"/>
            <w:shd w:val="clear" w:color="auto" w:fill="FFFFFF"/>
            <w:vAlign w:val="center"/>
            <w:hideMark/>
          </w:tcPr>
          <w:p w:rsidR="00FE64BC" w:rsidRPr="002756C2" w:rsidP="00E24F7A" w14:paraId="304DACD8" w14:textId="77777777">
            <w:pPr>
              <w:jc w:val="center"/>
              <w:rPr>
                <w:bCs/>
                <w:lang w:eastAsia="en-US"/>
              </w:rPr>
            </w:pPr>
            <w:r w:rsidRPr="002756C2">
              <w:rPr>
                <w:bCs/>
                <w:lang w:eastAsia="en-US"/>
              </w:rPr>
              <w:t>2018.gads</w:t>
            </w:r>
          </w:p>
        </w:tc>
        <w:tc>
          <w:tcPr>
            <w:tcW w:w="4624" w:type="dxa"/>
            <w:gridSpan w:val="5"/>
            <w:shd w:val="clear" w:color="auto" w:fill="FFFFFF"/>
            <w:vAlign w:val="center"/>
            <w:hideMark/>
          </w:tcPr>
          <w:p w:rsidR="00FE64BC" w:rsidRPr="002756C2" w:rsidP="00E24F7A" w14:paraId="2EECB7E8" w14:textId="77777777">
            <w:pPr>
              <w:jc w:val="center"/>
              <w:rPr>
                <w:lang w:eastAsia="en-US"/>
              </w:rPr>
            </w:pPr>
            <w:r w:rsidRPr="002756C2">
              <w:rPr>
                <w:lang w:eastAsia="en-US"/>
              </w:rPr>
              <w:t>Turpmākie trīs gadi (</w:t>
            </w:r>
            <w:r w:rsidRPr="002756C2">
              <w:rPr>
                <w:i/>
                <w:iCs/>
                <w:lang w:eastAsia="en-US"/>
              </w:rPr>
              <w:t>euro</w:t>
            </w:r>
            <w:r w:rsidRPr="002756C2">
              <w:rPr>
                <w:lang w:eastAsia="en-US"/>
              </w:rPr>
              <w:t>)</w:t>
            </w:r>
          </w:p>
        </w:tc>
      </w:tr>
      <w:tr w14:paraId="206FC533"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vMerge/>
            <w:shd w:val="clear" w:color="auto" w:fill="auto"/>
            <w:vAlign w:val="center"/>
            <w:hideMark/>
          </w:tcPr>
          <w:p w:rsidR="00FE64BC" w:rsidRPr="002756C2" w:rsidP="00E24F7A" w14:paraId="2DF14CA8" w14:textId="77777777">
            <w:pPr>
              <w:jc w:val="center"/>
              <w:rPr>
                <w:bCs/>
                <w:lang w:eastAsia="en-US"/>
              </w:rPr>
            </w:pPr>
          </w:p>
        </w:tc>
        <w:tc>
          <w:tcPr>
            <w:tcW w:w="2213" w:type="dxa"/>
            <w:gridSpan w:val="2"/>
            <w:vMerge/>
            <w:shd w:val="clear" w:color="auto" w:fill="auto"/>
            <w:vAlign w:val="center"/>
            <w:hideMark/>
          </w:tcPr>
          <w:p w:rsidR="00FE64BC" w:rsidRPr="002756C2" w:rsidP="00E24F7A" w14:paraId="1D1682E1" w14:textId="77777777">
            <w:pPr>
              <w:jc w:val="center"/>
              <w:rPr>
                <w:bCs/>
                <w:lang w:eastAsia="en-US"/>
              </w:rPr>
            </w:pPr>
          </w:p>
        </w:tc>
        <w:tc>
          <w:tcPr>
            <w:tcW w:w="2073" w:type="dxa"/>
            <w:gridSpan w:val="2"/>
            <w:shd w:val="clear" w:color="auto" w:fill="FFFFFF"/>
            <w:vAlign w:val="center"/>
            <w:hideMark/>
          </w:tcPr>
          <w:p w:rsidR="00FE64BC" w:rsidRPr="002756C2" w:rsidP="00E24F7A" w14:paraId="03A7ADE9" w14:textId="77777777">
            <w:pPr>
              <w:jc w:val="center"/>
              <w:rPr>
                <w:bCs/>
                <w:lang w:eastAsia="en-US"/>
              </w:rPr>
            </w:pPr>
            <w:r w:rsidRPr="002756C2">
              <w:rPr>
                <w:bCs/>
                <w:lang w:eastAsia="en-US"/>
              </w:rPr>
              <w:t>2019.</w:t>
            </w:r>
          </w:p>
        </w:tc>
        <w:tc>
          <w:tcPr>
            <w:tcW w:w="1843" w:type="dxa"/>
            <w:gridSpan w:val="2"/>
            <w:shd w:val="clear" w:color="auto" w:fill="FFFFFF"/>
            <w:vAlign w:val="center"/>
            <w:hideMark/>
          </w:tcPr>
          <w:p w:rsidR="00FE64BC" w:rsidRPr="002756C2" w:rsidP="00E24F7A" w14:paraId="52C771A6" w14:textId="77777777">
            <w:pPr>
              <w:jc w:val="center"/>
              <w:rPr>
                <w:bCs/>
                <w:lang w:eastAsia="en-US"/>
              </w:rPr>
            </w:pPr>
            <w:r w:rsidRPr="002756C2">
              <w:rPr>
                <w:bCs/>
                <w:lang w:eastAsia="en-US"/>
              </w:rPr>
              <w:t>2020.</w:t>
            </w:r>
          </w:p>
        </w:tc>
        <w:tc>
          <w:tcPr>
            <w:tcW w:w="708" w:type="dxa"/>
            <w:shd w:val="clear" w:color="auto" w:fill="FFFFFF"/>
            <w:vAlign w:val="center"/>
            <w:hideMark/>
          </w:tcPr>
          <w:p w:rsidR="00FE64BC" w:rsidRPr="002756C2" w:rsidP="00E24F7A" w14:paraId="485FDB60" w14:textId="77777777">
            <w:pPr>
              <w:jc w:val="center"/>
              <w:rPr>
                <w:bCs/>
                <w:lang w:eastAsia="en-US"/>
              </w:rPr>
            </w:pPr>
            <w:r w:rsidRPr="002756C2">
              <w:rPr>
                <w:bCs/>
                <w:lang w:eastAsia="en-US"/>
              </w:rPr>
              <w:t>2021.</w:t>
            </w:r>
          </w:p>
        </w:tc>
      </w:tr>
      <w:tr w14:paraId="3DA3BAE3"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vMerge/>
            <w:shd w:val="clear" w:color="auto" w:fill="auto"/>
            <w:vAlign w:val="center"/>
            <w:hideMark/>
          </w:tcPr>
          <w:p w:rsidR="00FE64BC" w:rsidRPr="002756C2" w:rsidP="00E24F7A" w14:paraId="7AECE866" w14:textId="77777777">
            <w:pPr>
              <w:jc w:val="center"/>
              <w:rPr>
                <w:b/>
                <w:bCs/>
                <w:lang w:eastAsia="en-US"/>
              </w:rPr>
            </w:pPr>
          </w:p>
        </w:tc>
        <w:tc>
          <w:tcPr>
            <w:tcW w:w="1026" w:type="dxa"/>
            <w:shd w:val="clear" w:color="auto" w:fill="FFFFFF"/>
            <w:vAlign w:val="center"/>
            <w:hideMark/>
          </w:tcPr>
          <w:p w:rsidR="00FE64BC" w:rsidRPr="002756C2" w:rsidP="00E24F7A" w14:paraId="6D9C9E11" w14:textId="77777777">
            <w:pPr>
              <w:jc w:val="center"/>
              <w:rPr>
                <w:lang w:eastAsia="en-US"/>
              </w:rPr>
            </w:pPr>
            <w:r w:rsidRPr="002756C2">
              <w:rPr>
                <w:lang w:eastAsia="en-US"/>
              </w:rPr>
              <w:t>saskaņā ar valsts budžetu kārtējam gadam</w:t>
            </w:r>
          </w:p>
        </w:tc>
        <w:tc>
          <w:tcPr>
            <w:tcW w:w="1187" w:type="dxa"/>
            <w:shd w:val="clear" w:color="auto" w:fill="FFFFFF"/>
            <w:vAlign w:val="center"/>
            <w:hideMark/>
          </w:tcPr>
          <w:p w:rsidR="00FE64BC" w:rsidRPr="002756C2" w:rsidP="00E24F7A" w14:paraId="2C68ECAF" w14:textId="77777777">
            <w:pPr>
              <w:jc w:val="center"/>
              <w:rPr>
                <w:lang w:eastAsia="en-US"/>
              </w:rPr>
            </w:pPr>
            <w:r w:rsidRPr="002756C2">
              <w:rPr>
                <w:lang w:eastAsia="en-US"/>
              </w:rPr>
              <w:t>izmaiņas kārtējā gadā, salīdzinot ar valsts budžetu kārtējam gadam</w:t>
            </w:r>
          </w:p>
        </w:tc>
        <w:tc>
          <w:tcPr>
            <w:tcW w:w="970" w:type="dxa"/>
            <w:shd w:val="clear" w:color="auto" w:fill="FFFFFF"/>
            <w:vAlign w:val="center"/>
            <w:hideMark/>
          </w:tcPr>
          <w:p w:rsidR="00FE64BC" w:rsidRPr="002756C2" w:rsidP="00E24F7A" w14:paraId="504CCED0" w14:textId="77777777">
            <w:pPr>
              <w:jc w:val="center"/>
              <w:rPr>
                <w:lang w:eastAsia="en-US"/>
              </w:rPr>
            </w:pPr>
            <w:r w:rsidRPr="002756C2">
              <w:rPr>
                <w:lang w:eastAsia="en-US"/>
              </w:rPr>
              <w:t>saskaņā ar vidēja termiņa budžeta ietvaru</w:t>
            </w:r>
          </w:p>
        </w:tc>
        <w:tc>
          <w:tcPr>
            <w:tcW w:w="1103" w:type="dxa"/>
            <w:shd w:val="clear" w:color="auto" w:fill="FFFFFF"/>
            <w:vAlign w:val="center"/>
            <w:hideMark/>
          </w:tcPr>
          <w:p w:rsidR="00FE64BC" w:rsidRPr="002756C2" w:rsidP="00E24F7A" w14:paraId="2DA6E837" w14:textId="1F070409">
            <w:pPr>
              <w:jc w:val="center"/>
              <w:rPr>
                <w:lang w:eastAsia="en-US"/>
              </w:rPr>
            </w:pPr>
            <w:r w:rsidRPr="002756C2">
              <w:rPr>
                <w:lang w:eastAsia="en-US"/>
              </w:rPr>
              <w:t xml:space="preserve">izmaiņas, salīdzinot ar vidēja termiņa budžeta ietvaru </w:t>
            </w:r>
            <w:r w:rsidR="009177D4">
              <w:rPr>
                <w:lang w:eastAsia="en-US"/>
              </w:rPr>
              <w:t>2019</w:t>
            </w:r>
            <w:r w:rsidRPr="002756C2">
              <w:rPr>
                <w:lang w:eastAsia="en-US"/>
              </w:rPr>
              <w:t xml:space="preserve"> gadam</w:t>
            </w:r>
          </w:p>
        </w:tc>
        <w:tc>
          <w:tcPr>
            <w:tcW w:w="835" w:type="dxa"/>
            <w:shd w:val="clear" w:color="auto" w:fill="FFFFFF"/>
            <w:vAlign w:val="center"/>
            <w:hideMark/>
          </w:tcPr>
          <w:p w:rsidR="00FE64BC" w:rsidRPr="002756C2" w:rsidP="00E24F7A" w14:paraId="772759F9" w14:textId="77777777">
            <w:pPr>
              <w:jc w:val="center"/>
              <w:rPr>
                <w:lang w:eastAsia="en-US"/>
              </w:rPr>
            </w:pPr>
            <w:r w:rsidRPr="002756C2">
              <w:rPr>
                <w:lang w:eastAsia="en-US"/>
              </w:rPr>
              <w:t>saskaņā ar vidēja termiņa budžeta ietvaru</w:t>
            </w:r>
          </w:p>
        </w:tc>
        <w:tc>
          <w:tcPr>
            <w:tcW w:w="1008" w:type="dxa"/>
            <w:shd w:val="clear" w:color="auto" w:fill="FFFFFF"/>
            <w:vAlign w:val="center"/>
            <w:hideMark/>
          </w:tcPr>
          <w:p w:rsidR="00FE64BC" w:rsidRPr="002756C2" w:rsidP="00E24F7A" w14:paraId="3BB3970D" w14:textId="4F3D4D5B">
            <w:pPr>
              <w:jc w:val="center"/>
              <w:rPr>
                <w:lang w:eastAsia="en-US"/>
              </w:rPr>
            </w:pPr>
            <w:r w:rsidRPr="002756C2">
              <w:rPr>
                <w:lang w:eastAsia="en-US"/>
              </w:rPr>
              <w:t xml:space="preserve">izmaiņas, salīdzinot ar vidēja termiņa budžeta ietvaru </w:t>
            </w:r>
            <w:r w:rsidR="009177D4">
              <w:rPr>
                <w:lang w:eastAsia="en-US"/>
              </w:rPr>
              <w:t>2020</w:t>
            </w:r>
            <w:r w:rsidRPr="002756C2">
              <w:rPr>
                <w:lang w:eastAsia="en-US"/>
              </w:rPr>
              <w:t xml:space="preserve"> gadam</w:t>
            </w:r>
          </w:p>
        </w:tc>
        <w:tc>
          <w:tcPr>
            <w:tcW w:w="708" w:type="dxa"/>
            <w:shd w:val="clear" w:color="auto" w:fill="FFFFFF"/>
            <w:vAlign w:val="center"/>
            <w:hideMark/>
          </w:tcPr>
          <w:p w:rsidR="00FE64BC" w:rsidRPr="002756C2" w:rsidP="00E24F7A" w14:paraId="73B68F48" w14:textId="504B0CC1">
            <w:pPr>
              <w:jc w:val="center"/>
              <w:rPr>
                <w:lang w:eastAsia="en-US"/>
              </w:rPr>
            </w:pPr>
            <w:r w:rsidRPr="002756C2">
              <w:rPr>
                <w:lang w:eastAsia="en-US"/>
              </w:rPr>
              <w:t xml:space="preserve">izmaiņas, salīdzinot ar vidēja termiņa budžeta ietvaru </w:t>
            </w:r>
            <w:r w:rsidRPr="002756C2">
              <w:rPr>
                <w:lang w:eastAsia="en-US"/>
              </w:rPr>
              <w:br/>
            </w:r>
            <w:r w:rsidR="009177D4">
              <w:rPr>
                <w:lang w:eastAsia="en-US"/>
              </w:rPr>
              <w:t>2020</w:t>
            </w:r>
            <w:r w:rsidRPr="002756C2">
              <w:rPr>
                <w:lang w:eastAsia="en-US"/>
              </w:rPr>
              <w:t xml:space="preserve"> gadam</w:t>
            </w:r>
          </w:p>
        </w:tc>
      </w:tr>
      <w:tr w14:paraId="6B85874D"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FFFFFF"/>
            <w:vAlign w:val="center"/>
            <w:hideMark/>
          </w:tcPr>
          <w:p w:rsidR="00FE64BC" w:rsidRPr="002756C2" w:rsidP="00E24F7A" w14:paraId="4D456883" w14:textId="77777777">
            <w:pPr>
              <w:jc w:val="center"/>
              <w:rPr>
                <w:lang w:eastAsia="en-US"/>
              </w:rPr>
            </w:pPr>
            <w:r w:rsidRPr="002756C2">
              <w:rPr>
                <w:lang w:eastAsia="en-US"/>
              </w:rPr>
              <w:t>1</w:t>
            </w:r>
          </w:p>
        </w:tc>
        <w:tc>
          <w:tcPr>
            <w:tcW w:w="1026" w:type="dxa"/>
            <w:shd w:val="clear" w:color="auto" w:fill="FFFFFF"/>
            <w:vAlign w:val="center"/>
            <w:hideMark/>
          </w:tcPr>
          <w:p w:rsidR="00FE64BC" w:rsidRPr="002756C2" w:rsidP="00E24F7A" w14:paraId="7AC73F74" w14:textId="77777777">
            <w:pPr>
              <w:jc w:val="center"/>
              <w:rPr>
                <w:lang w:eastAsia="en-US"/>
              </w:rPr>
            </w:pPr>
            <w:r w:rsidRPr="002756C2">
              <w:rPr>
                <w:lang w:eastAsia="en-US"/>
              </w:rPr>
              <w:t>2</w:t>
            </w:r>
          </w:p>
        </w:tc>
        <w:tc>
          <w:tcPr>
            <w:tcW w:w="1187" w:type="dxa"/>
            <w:shd w:val="clear" w:color="auto" w:fill="FFFFFF"/>
            <w:vAlign w:val="center"/>
            <w:hideMark/>
          </w:tcPr>
          <w:p w:rsidR="00FE64BC" w:rsidRPr="002756C2" w:rsidP="00E24F7A" w14:paraId="48DA4B7D" w14:textId="77777777">
            <w:pPr>
              <w:jc w:val="center"/>
              <w:rPr>
                <w:lang w:eastAsia="en-US"/>
              </w:rPr>
            </w:pPr>
            <w:r w:rsidRPr="002756C2">
              <w:rPr>
                <w:lang w:eastAsia="en-US"/>
              </w:rPr>
              <w:t>3</w:t>
            </w:r>
          </w:p>
        </w:tc>
        <w:tc>
          <w:tcPr>
            <w:tcW w:w="970" w:type="dxa"/>
            <w:shd w:val="clear" w:color="auto" w:fill="FFFFFF"/>
            <w:vAlign w:val="center"/>
            <w:hideMark/>
          </w:tcPr>
          <w:p w:rsidR="00FE64BC" w:rsidRPr="002756C2" w:rsidP="00E24F7A" w14:paraId="798EC81C" w14:textId="77777777">
            <w:pPr>
              <w:jc w:val="center"/>
              <w:rPr>
                <w:lang w:eastAsia="en-US"/>
              </w:rPr>
            </w:pPr>
            <w:r w:rsidRPr="002756C2">
              <w:rPr>
                <w:lang w:eastAsia="en-US"/>
              </w:rPr>
              <w:t>4</w:t>
            </w:r>
          </w:p>
        </w:tc>
        <w:tc>
          <w:tcPr>
            <w:tcW w:w="1103" w:type="dxa"/>
            <w:shd w:val="clear" w:color="auto" w:fill="FFFFFF"/>
            <w:vAlign w:val="center"/>
            <w:hideMark/>
          </w:tcPr>
          <w:p w:rsidR="00FE64BC" w:rsidRPr="002756C2" w:rsidP="00E24F7A" w14:paraId="759FC1DF" w14:textId="77777777">
            <w:pPr>
              <w:jc w:val="center"/>
              <w:rPr>
                <w:lang w:eastAsia="en-US"/>
              </w:rPr>
            </w:pPr>
            <w:r w:rsidRPr="002756C2">
              <w:rPr>
                <w:lang w:eastAsia="en-US"/>
              </w:rPr>
              <w:t>5</w:t>
            </w:r>
          </w:p>
        </w:tc>
        <w:tc>
          <w:tcPr>
            <w:tcW w:w="835" w:type="dxa"/>
            <w:shd w:val="clear" w:color="auto" w:fill="FFFFFF"/>
            <w:vAlign w:val="center"/>
            <w:hideMark/>
          </w:tcPr>
          <w:p w:rsidR="00FE64BC" w:rsidRPr="002756C2" w:rsidP="00E24F7A" w14:paraId="0CDD70D7" w14:textId="77777777">
            <w:pPr>
              <w:jc w:val="center"/>
              <w:rPr>
                <w:lang w:eastAsia="en-US"/>
              </w:rPr>
            </w:pPr>
            <w:r w:rsidRPr="002756C2">
              <w:rPr>
                <w:lang w:eastAsia="en-US"/>
              </w:rPr>
              <w:t>6</w:t>
            </w:r>
          </w:p>
        </w:tc>
        <w:tc>
          <w:tcPr>
            <w:tcW w:w="1008" w:type="dxa"/>
            <w:shd w:val="clear" w:color="auto" w:fill="FFFFFF"/>
            <w:vAlign w:val="center"/>
            <w:hideMark/>
          </w:tcPr>
          <w:p w:rsidR="00FE64BC" w:rsidRPr="002756C2" w:rsidP="00E24F7A" w14:paraId="263EA014" w14:textId="77777777">
            <w:pPr>
              <w:jc w:val="center"/>
              <w:rPr>
                <w:lang w:eastAsia="en-US"/>
              </w:rPr>
            </w:pPr>
            <w:r w:rsidRPr="002756C2">
              <w:rPr>
                <w:lang w:eastAsia="en-US"/>
              </w:rPr>
              <w:t>7</w:t>
            </w:r>
          </w:p>
        </w:tc>
        <w:tc>
          <w:tcPr>
            <w:tcW w:w="708" w:type="dxa"/>
            <w:shd w:val="clear" w:color="auto" w:fill="FFFFFF"/>
            <w:vAlign w:val="center"/>
            <w:hideMark/>
          </w:tcPr>
          <w:p w:rsidR="00FE64BC" w:rsidRPr="002756C2" w:rsidP="00E24F7A" w14:paraId="4B8FED0A" w14:textId="77777777">
            <w:pPr>
              <w:jc w:val="center"/>
              <w:rPr>
                <w:lang w:eastAsia="en-US"/>
              </w:rPr>
            </w:pPr>
            <w:r w:rsidRPr="002756C2">
              <w:rPr>
                <w:lang w:eastAsia="en-US"/>
              </w:rPr>
              <w:t>8</w:t>
            </w:r>
          </w:p>
        </w:tc>
      </w:tr>
      <w:tr w14:paraId="0CF6DE15"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FFFFFF"/>
            <w:hideMark/>
          </w:tcPr>
          <w:p w:rsidR="00FE64BC" w:rsidRPr="002756C2" w:rsidP="00E24F7A" w14:paraId="7CA479AC" w14:textId="77777777">
            <w:pPr>
              <w:rPr>
                <w:lang w:eastAsia="en-US"/>
              </w:rPr>
            </w:pPr>
            <w:r w:rsidRPr="002756C2">
              <w:rPr>
                <w:lang w:eastAsia="en-US"/>
              </w:rPr>
              <w:t>1. Budžeta ieņēmumi</w:t>
            </w:r>
          </w:p>
        </w:tc>
        <w:tc>
          <w:tcPr>
            <w:tcW w:w="1026" w:type="dxa"/>
            <w:shd w:val="clear" w:color="auto" w:fill="FFFFFF"/>
            <w:vAlign w:val="center"/>
            <w:hideMark/>
          </w:tcPr>
          <w:p w:rsidR="00FE64BC" w:rsidRPr="002756C2" w:rsidP="00E24F7A" w14:paraId="4CDCC07B" w14:textId="77777777">
            <w:pPr>
              <w:jc w:val="center"/>
              <w:rPr>
                <w:lang w:eastAsia="en-US"/>
              </w:rPr>
            </w:pPr>
          </w:p>
        </w:tc>
        <w:tc>
          <w:tcPr>
            <w:tcW w:w="1187" w:type="dxa"/>
            <w:shd w:val="clear" w:color="auto" w:fill="FFFFFF"/>
            <w:vAlign w:val="center"/>
            <w:hideMark/>
          </w:tcPr>
          <w:p w:rsidR="00FE64BC" w:rsidRPr="002756C2" w:rsidP="00E24F7A" w14:paraId="4BD11868" w14:textId="77777777">
            <w:pPr>
              <w:jc w:val="center"/>
              <w:rPr>
                <w:lang w:eastAsia="en-US"/>
              </w:rPr>
            </w:pPr>
          </w:p>
        </w:tc>
        <w:tc>
          <w:tcPr>
            <w:tcW w:w="970" w:type="dxa"/>
            <w:shd w:val="clear" w:color="auto" w:fill="FFFFFF"/>
            <w:vAlign w:val="center"/>
            <w:hideMark/>
          </w:tcPr>
          <w:p w:rsidR="00FE64BC" w:rsidRPr="002756C2" w:rsidP="00E24F7A" w14:paraId="2FA232F0" w14:textId="77777777">
            <w:pPr>
              <w:jc w:val="center"/>
              <w:rPr>
                <w:lang w:eastAsia="en-US"/>
              </w:rPr>
            </w:pPr>
          </w:p>
        </w:tc>
        <w:tc>
          <w:tcPr>
            <w:tcW w:w="1103" w:type="dxa"/>
            <w:shd w:val="clear" w:color="auto" w:fill="FFFFFF"/>
            <w:vAlign w:val="center"/>
            <w:hideMark/>
          </w:tcPr>
          <w:p w:rsidR="00FE64BC" w:rsidRPr="002756C2" w:rsidP="00E24F7A" w14:paraId="7C88DCE7" w14:textId="77777777">
            <w:pPr>
              <w:jc w:val="center"/>
              <w:rPr>
                <w:lang w:eastAsia="en-US"/>
              </w:rPr>
            </w:pPr>
          </w:p>
        </w:tc>
        <w:tc>
          <w:tcPr>
            <w:tcW w:w="835" w:type="dxa"/>
            <w:shd w:val="clear" w:color="auto" w:fill="FFFFFF"/>
            <w:vAlign w:val="center"/>
            <w:hideMark/>
          </w:tcPr>
          <w:p w:rsidR="00FE64BC" w:rsidRPr="002756C2" w:rsidP="00E24F7A" w14:paraId="298F8135" w14:textId="77777777">
            <w:pPr>
              <w:jc w:val="center"/>
              <w:rPr>
                <w:lang w:eastAsia="en-US"/>
              </w:rPr>
            </w:pPr>
          </w:p>
        </w:tc>
        <w:tc>
          <w:tcPr>
            <w:tcW w:w="1008" w:type="dxa"/>
            <w:shd w:val="clear" w:color="auto" w:fill="FFFFFF"/>
            <w:vAlign w:val="center"/>
            <w:hideMark/>
          </w:tcPr>
          <w:p w:rsidR="00FE64BC" w:rsidRPr="002756C2" w:rsidP="00E24F7A" w14:paraId="015C8854" w14:textId="77777777">
            <w:pPr>
              <w:jc w:val="center"/>
              <w:rPr>
                <w:lang w:eastAsia="en-US"/>
              </w:rPr>
            </w:pPr>
          </w:p>
        </w:tc>
        <w:tc>
          <w:tcPr>
            <w:tcW w:w="708" w:type="dxa"/>
            <w:shd w:val="clear" w:color="auto" w:fill="FFFFFF"/>
            <w:vAlign w:val="center"/>
            <w:hideMark/>
          </w:tcPr>
          <w:p w:rsidR="00FE64BC" w:rsidRPr="002756C2" w:rsidP="00E24F7A" w14:paraId="55E6A939" w14:textId="77777777">
            <w:pPr>
              <w:jc w:val="center"/>
              <w:rPr>
                <w:lang w:eastAsia="en-US"/>
              </w:rPr>
            </w:pPr>
          </w:p>
        </w:tc>
      </w:tr>
      <w:tr w14:paraId="6D983D9D"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75B2798F" w14:textId="77777777">
            <w:pPr>
              <w:rPr>
                <w:lang w:eastAsia="en-US"/>
              </w:rPr>
            </w:pPr>
            <w:r w:rsidRPr="002756C2">
              <w:rPr>
                <w:lang w:eastAsia="en-US"/>
              </w:rPr>
              <w:t>1.1. valsts pamatbudžets, tai skaitā ieņēmumi no maksas pakalpojumiem un citi pašu ieņēmumi</w:t>
            </w:r>
          </w:p>
        </w:tc>
        <w:tc>
          <w:tcPr>
            <w:tcW w:w="1026" w:type="dxa"/>
            <w:shd w:val="clear" w:color="auto" w:fill="auto"/>
            <w:vAlign w:val="center"/>
            <w:hideMark/>
          </w:tcPr>
          <w:p w:rsidR="00FE64BC" w:rsidRPr="002756C2" w:rsidP="00E24F7A" w14:paraId="5AEE4A0D"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029BAC2B"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2928A020"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1693AF71"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3ABE34EE"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2E014EC0"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0336EFC0" w14:textId="77777777">
            <w:pPr>
              <w:jc w:val="center"/>
              <w:rPr>
                <w:lang w:eastAsia="en-US"/>
              </w:rPr>
            </w:pPr>
            <w:r w:rsidRPr="002756C2">
              <w:rPr>
                <w:lang w:eastAsia="en-US"/>
              </w:rPr>
              <w:t>0</w:t>
            </w:r>
          </w:p>
        </w:tc>
      </w:tr>
      <w:tr w14:paraId="229FC9EF"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048097F8" w14:textId="77777777">
            <w:pPr>
              <w:rPr>
                <w:lang w:eastAsia="en-US"/>
              </w:rPr>
            </w:pPr>
            <w:r w:rsidRPr="002756C2">
              <w:rPr>
                <w:lang w:eastAsia="en-US"/>
              </w:rPr>
              <w:t>1.2. valsts speciālais budžets</w:t>
            </w:r>
          </w:p>
        </w:tc>
        <w:tc>
          <w:tcPr>
            <w:tcW w:w="1026" w:type="dxa"/>
            <w:shd w:val="clear" w:color="auto" w:fill="auto"/>
            <w:vAlign w:val="center"/>
            <w:hideMark/>
          </w:tcPr>
          <w:p w:rsidR="00FE64BC" w:rsidRPr="002756C2" w:rsidP="00E24F7A" w14:paraId="5452A6BC"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01D3697F"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2682CF88"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03605633"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21D79914"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671850BB"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2ADE062E" w14:textId="77777777">
            <w:pPr>
              <w:jc w:val="center"/>
              <w:rPr>
                <w:lang w:eastAsia="en-US"/>
              </w:rPr>
            </w:pPr>
            <w:r w:rsidRPr="002756C2">
              <w:rPr>
                <w:lang w:eastAsia="en-US"/>
              </w:rPr>
              <w:t>0</w:t>
            </w:r>
          </w:p>
        </w:tc>
      </w:tr>
      <w:tr w14:paraId="4CCC89F5"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6712AAA4" w14:textId="77777777">
            <w:pPr>
              <w:rPr>
                <w:lang w:eastAsia="en-US"/>
              </w:rPr>
            </w:pPr>
            <w:r w:rsidRPr="002756C2">
              <w:rPr>
                <w:lang w:eastAsia="en-US"/>
              </w:rPr>
              <w:t>1.3. pašvaldību budžets</w:t>
            </w:r>
          </w:p>
        </w:tc>
        <w:tc>
          <w:tcPr>
            <w:tcW w:w="1026" w:type="dxa"/>
            <w:shd w:val="clear" w:color="auto" w:fill="auto"/>
            <w:vAlign w:val="center"/>
            <w:hideMark/>
          </w:tcPr>
          <w:p w:rsidR="00FE64BC" w:rsidRPr="002756C2" w:rsidP="00E24F7A" w14:paraId="52294718"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149944AE"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56EC7C56"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496AC0C4"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1F71EAA9"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7044057F"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7C93CA80" w14:textId="77777777">
            <w:pPr>
              <w:jc w:val="center"/>
              <w:rPr>
                <w:lang w:eastAsia="en-US"/>
              </w:rPr>
            </w:pPr>
            <w:r w:rsidRPr="002756C2">
              <w:rPr>
                <w:lang w:eastAsia="en-US"/>
              </w:rPr>
              <w:t>0</w:t>
            </w:r>
          </w:p>
        </w:tc>
      </w:tr>
      <w:tr w14:paraId="73BEF691"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5DD566C6" w14:textId="77777777">
            <w:pPr>
              <w:rPr>
                <w:lang w:eastAsia="en-US"/>
              </w:rPr>
            </w:pPr>
            <w:r w:rsidRPr="002756C2">
              <w:rPr>
                <w:lang w:eastAsia="en-US"/>
              </w:rPr>
              <w:t>2. Budžeta izdevumi</w:t>
            </w:r>
          </w:p>
        </w:tc>
        <w:tc>
          <w:tcPr>
            <w:tcW w:w="1026" w:type="dxa"/>
            <w:shd w:val="clear" w:color="auto" w:fill="auto"/>
            <w:vAlign w:val="center"/>
            <w:hideMark/>
          </w:tcPr>
          <w:p w:rsidR="00FE64BC" w:rsidRPr="002756C2" w:rsidP="00E24F7A" w14:paraId="5ED4B3E9" w14:textId="77777777">
            <w:pPr>
              <w:jc w:val="center"/>
              <w:rPr>
                <w:lang w:eastAsia="en-US"/>
              </w:rPr>
            </w:pPr>
          </w:p>
        </w:tc>
        <w:tc>
          <w:tcPr>
            <w:tcW w:w="1187" w:type="dxa"/>
            <w:shd w:val="clear" w:color="auto" w:fill="auto"/>
            <w:vAlign w:val="center"/>
            <w:hideMark/>
          </w:tcPr>
          <w:p w:rsidR="00FE64BC" w:rsidRPr="002756C2" w:rsidP="00E24F7A" w14:paraId="2106E6C2" w14:textId="77777777">
            <w:pPr>
              <w:jc w:val="center"/>
              <w:rPr>
                <w:lang w:eastAsia="en-US"/>
              </w:rPr>
            </w:pPr>
          </w:p>
        </w:tc>
        <w:tc>
          <w:tcPr>
            <w:tcW w:w="970" w:type="dxa"/>
            <w:shd w:val="clear" w:color="auto" w:fill="auto"/>
            <w:vAlign w:val="center"/>
            <w:hideMark/>
          </w:tcPr>
          <w:p w:rsidR="00FE64BC" w:rsidRPr="002756C2" w:rsidP="00E24F7A" w14:paraId="20CF76A5" w14:textId="77777777">
            <w:pPr>
              <w:jc w:val="center"/>
              <w:rPr>
                <w:lang w:eastAsia="en-US"/>
              </w:rPr>
            </w:pPr>
          </w:p>
        </w:tc>
        <w:tc>
          <w:tcPr>
            <w:tcW w:w="1103" w:type="dxa"/>
            <w:shd w:val="clear" w:color="auto" w:fill="auto"/>
            <w:vAlign w:val="center"/>
            <w:hideMark/>
          </w:tcPr>
          <w:p w:rsidR="00FE64BC" w:rsidRPr="002756C2" w:rsidP="00E24F7A" w14:paraId="52076D6F" w14:textId="77777777">
            <w:pPr>
              <w:jc w:val="center"/>
              <w:rPr>
                <w:lang w:eastAsia="en-US"/>
              </w:rPr>
            </w:pPr>
          </w:p>
        </w:tc>
        <w:tc>
          <w:tcPr>
            <w:tcW w:w="835" w:type="dxa"/>
            <w:shd w:val="clear" w:color="auto" w:fill="auto"/>
            <w:vAlign w:val="center"/>
            <w:hideMark/>
          </w:tcPr>
          <w:p w:rsidR="00FE64BC" w:rsidRPr="002756C2" w:rsidP="00E24F7A" w14:paraId="01FE1ED5" w14:textId="77777777">
            <w:pPr>
              <w:jc w:val="center"/>
              <w:rPr>
                <w:lang w:eastAsia="en-US"/>
              </w:rPr>
            </w:pPr>
          </w:p>
        </w:tc>
        <w:tc>
          <w:tcPr>
            <w:tcW w:w="1008" w:type="dxa"/>
            <w:shd w:val="clear" w:color="auto" w:fill="auto"/>
            <w:vAlign w:val="center"/>
            <w:hideMark/>
          </w:tcPr>
          <w:p w:rsidR="00FE64BC" w:rsidRPr="002756C2" w:rsidP="00E24F7A" w14:paraId="0CF18D40" w14:textId="77777777">
            <w:pPr>
              <w:jc w:val="center"/>
              <w:rPr>
                <w:lang w:eastAsia="en-US"/>
              </w:rPr>
            </w:pPr>
          </w:p>
        </w:tc>
        <w:tc>
          <w:tcPr>
            <w:tcW w:w="708" w:type="dxa"/>
            <w:shd w:val="clear" w:color="auto" w:fill="auto"/>
            <w:vAlign w:val="center"/>
            <w:hideMark/>
          </w:tcPr>
          <w:p w:rsidR="00FE64BC" w:rsidRPr="002756C2" w:rsidP="00E24F7A" w14:paraId="29C488C0" w14:textId="77777777">
            <w:pPr>
              <w:jc w:val="center"/>
              <w:rPr>
                <w:lang w:eastAsia="en-US"/>
              </w:rPr>
            </w:pPr>
          </w:p>
        </w:tc>
      </w:tr>
      <w:tr w14:paraId="213BF5DD"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00061EEA" w14:textId="77777777">
            <w:pPr>
              <w:rPr>
                <w:lang w:eastAsia="en-US"/>
              </w:rPr>
            </w:pPr>
            <w:r w:rsidRPr="002756C2">
              <w:rPr>
                <w:lang w:eastAsia="en-US"/>
              </w:rPr>
              <w:t>2.1. valsts pamatbudžets</w:t>
            </w:r>
          </w:p>
        </w:tc>
        <w:tc>
          <w:tcPr>
            <w:tcW w:w="1026" w:type="dxa"/>
            <w:shd w:val="clear" w:color="auto" w:fill="auto"/>
            <w:vAlign w:val="center"/>
            <w:hideMark/>
          </w:tcPr>
          <w:p w:rsidR="00FE64BC" w:rsidRPr="002756C2" w:rsidP="00E24F7A" w14:paraId="05DCA70A"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7D00EEAA"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27D0FAEC"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1736E742"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3052994F"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6BD0265E"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2B5CC69B" w14:textId="77777777">
            <w:pPr>
              <w:jc w:val="center"/>
              <w:rPr>
                <w:lang w:eastAsia="en-US"/>
              </w:rPr>
            </w:pPr>
            <w:r w:rsidRPr="002756C2">
              <w:rPr>
                <w:lang w:eastAsia="en-US"/>
              </w:rPr>
              <w:t>0</w:t>
            </w:r>
          </w:p>
        </w:tc>
      </w:tr>
      <w:tr w14:paraId="294B5D28"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1453D2B0" w14:textId="77777777">
            <w:pPr>
              <w:rPr>
                <w:lang w:eastAsia="en-US"/>
              </w:rPr>
            </w:pPr>
            <w:r w:rsidRPr="002756C2">
              <w:rPr>
                <w:lang w:eastAsia="en-US"/>
              </w:rPr>
              <w:t>2.2. valsts speciālais budžets</w:t>
            </w:r>
          </w:p>
        </w:tc>
        <w:tc>
          <w:tcPr>
            <w:tcW w:w="1026" w:type="dxa"/>
            <w:shd w:val="clear" w:color="auto" w:fill="auto"/>
            <w:vAlign w:val="center"/>
            <w:hideMark/>
          </w:tcPr>
          <w:p w:rsidR="00FE64BC" w:rsidRPr="002756C2" w:rsidP="00E24F7A" w14:paraId="6EC674A3"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4E759517"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0FE56136"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6DCEFD87"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38E104A0"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2B7B4D36"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344DD75A" w14:textId="77777777">
            <w:pPr>
              <w:jc w:val="center"/>
              <w:rPr>
                <w:lang w:eastAsia="en-US"/>
              </w:rPr>
            </w:pPr>
            <w:r w:rsidRPr="002756C2">
              <w:rPr>
                <w:lang w:eastAsia="en-US"/>
              </w:rPr>
              <w:t>0</w:t>
            </w:r>
          </w:p>
        </w:tc>
      </w:tr>
      <w:tr w14:paraId="19107BBE"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4B41899E" w14:textId="77777777">
            <w:pPr>
              <w:rPr>
                <w:lang w:eastAsia="en-US"/>
              </w:rPr>
            </w:pPr>
            <w:r w:rsidRPr="002756C2">
              <w:rPr>
                <w:lang w:eastAsia="en-US"/>
              </w:rPr>
              <w:t>2.3. pašvaldību budžets</w:t>
            </w:r>
          </w:p>
        </w:tc>
        <w:tc>
          <w:tcPr>
            <w:tcW w:w="1026" w:type="dxa"/>
            <w:shd w:val="clear" w:color="auto" w:fill="auto"/>
            <w:vAlign w:val="center"/>
            <w:hideMark/>
          </w:tcPr>
          <w:p w:rsidR="00FE64BC" w:rsidRPr="002756C2" w:rsidP="00E24F7A" w14:paraId="2C49542E"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142F4420"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74554A2D"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070B964A"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629144C3"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7A07C94C"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17C26E5C" w14:textId="77777777">
            <w:pPr>
              <w:jc w:val="center"/>
              <w:rPr>
                <w:lang w:eastAsia="en-US"/>
              </w:rPr>
            </w:pPr>
            <w:r w:rsidRPr="002756C2">
              <w:rPr>
                <w:lang w:eastAsia="en-US"/>
              </w:rPr>
              <w:t>0</w:t>
            </w:r>
          </w:p>
        </w:tc>
      </w:tr>
      <w:tr w14:paraId="09113F15"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2867E3F8" w14:textId="77777777">
            <w:pPr>
              <w:rPr>
                <w:lang w:eastAsia="en-US"/>
              </w:rPr>
            </w:pPr>
            <w:r w:rsidRPr="002756C2">
              <w:rPr>
                <w:lang w:eastAsia="en-US"/>
              </w:rPr>
              <w:t>3. Finansiālā ietekme</w:t>
            </w:r>
          </w:p>
        </w:tc>
        <w:tc>
          <w:tcPr>
            <w:tcW w:w="1026" w:type="dxa"/>
            <w:shd w:val="clear" w:color="auto" w:fill="auto"/>
            <w:vAlign w:val="center"/>
            <w:hideMark/>
          </w:tcPr>
          <w:p w:rsidR="00FE64BC" w:rsidRPr="002756C2" w:rsidP="00E24F7A" w14:paraId="34A1608F" w14:textId="77777777">
            <w:pPr>
              <w:jc w:val="center"/>
              <w:rPr>
                <w:lang w:eastAsia="en-US"/>
              </w:rPr>
            </w:pPr>
          </w:p>
        </w:tc>
        <w:tc>
          <w:tcPr>
            <w:tcW w:w="1187" w:type="dxa"/>
            <w:shd w:val="clear" w:color="auto" w:fill="auto"/>
            <w:vAlign w:val="center"/>
            <w:hideMark/>
          </w:tcPr>
          <w:p w:rsidR="00FE64BC" w:rsidRPr="002756C2" w:rsidP="00E24F7A" w14:paraId="2E022205" w14:textId="77777777">
            <w:pPr>
              <w:jc w:val="center"/>
              <w:rPr>
                <w:lang w:eastAsia="en-US"/>
              </w:rPr>
            </w:pPr>
          </w:p>
        </w:tc>
        <w:tc>
          <w:tcPr>
            <w:tcW w:w="970" w:type="dxa"/>
            <w:shd w:val="clear" w:color="auto" w:fill="auto"/>
            <w:vAlign w:val="center"/>
            <w:hideMark/>
          </w:tcPr>
          <w:p w:rsidR="00FE64BC" w:rsidRPr="002756C2" w:rsidP="00E24F7A" w14:paraId="22DFEC04" w14:textId="77777777">
            <w:pPr>
              <w:jc w:val="center"/>
              <w:rPr>
                <w:lang w:eastAsia="en-US"/>
              </w:rPr>
            </w:pPr>
          </w:p>
        </w:tc>
        <w:tc>
          <w:tcPr>
            <w:tcW w:w="1103" w:type="dxa"/>
            <w:shd w:val="clear" w:color="auto" w:fill="auto"/>
            <w:vAlign w:val="center"/>
            <w:hideMark/>
          </w:tcPr>
          <w:p w:rsidR="00FE64BC" w:rsidRPr="002756C2" w:rsidP="00E24F7A" w14:paraId="036E12E6" w14:textId="77777777">
            <w:pPr>
              <w:jc w:val="center"/>
              <w:rPr>
                <w:lang w:eastAsia="en-US"/>
              </w:rPr>
            </w:pPr>
          </w:p>
        </w:tc>
        <w:tc>
          <w:tcPr>
            <w:tcW w:w="835" w:type="dxa"/>
            <w:shd w:val="clear" w:color="auto" w:fill="auto"/>
            <w:vAlign w:val="center"/>
            <w:hideMark/>
          </w:tcPr>
          <w:p w:rsidR="00FE64BC" w:rsidRPr="002756C2" w:rsidP="00E24F7A" w14:paraId="30D7B2EF" w14:textId="77777777">
            <w:pPr>
              <w:jc w:val="center"/>
              <w:rPr>
                <w:lang w:eastAsia="en-US"/>
              </w:rPr>
            </w:pPr>
          </w:p>
        </w:tc>
        <w:tc>
          <w:tcPr>
            <w:tcW w:w="1008" w:type="dxa"/>
            <w:shd w:val="clear" w:color="auto" w:fill="auto"/>
            <w:vAlign w:val="center"/>
            <w:hideMark/>
          </w:tcPr>
          <w:p w:rsidR="00FE64BC" w:rsidRPr="002756C2" w:rsidP="00E24F7A" w14:paraId="5DF84933" w14:textId="77777777">
            <w:pPr>
              <w:jc w:val="center"/>
              <w:rPr>
                <w:lang w:eastAsia="en-US"/>
              </w:rPr>
            </w:pPr>
          </w:p>
        </w:tc>
        <w:tc>
          <w:tcPr>
            <w:tcW w:w="708" w:type="dxa"/>
            <w:shd w:val="clear" w:color="auto" w:fill="auto"/>
            <w:vAlign w:val="center"/>
            <w:hideMark/>
          </w:tcPr>
          <w:p w:rsidR="00FE64BC" w:rsidRPr="002756C2" w:rsidP="00E24F7A" w14:paraId="191D0338" w14:textId="77777777">
            <w:pPr>
              <w:jc w:val="center"/>
              <w:rPr>
                <w:lang w:eastAsia="en-US"/>
              </w:rPr>
            </w:pPr>
          </w:p>
        </w:tc>
      </w:tr>
      <w:tr w14:paraId="4BBFB11F"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75ADC3E5" w14:textId="77777777">
            <w:pPr>
              <w:rPr>
                <w:lang w:eastAsia="en-US"/>
              </w:rPr>
            </w:pPr>
            <w:r w:rsidRPr="002756C2">
              <w:rPr>
                <w:lang w:eastAsia="en-US"/>
              </w:rPr>
              <w:t>3.1. valsts pamatbudžets</w:t>
            </w:r>
          </w:p>
        </w:tc>
        <w:tc>
          <w:tcPr>
            <w:tcW w:w="1026" w:type="dxa"/>
            <w:shd w:val="clear" w:color="auto" w:fill="auto"/>
            <w:vAlign w:val="center"/>
            <w:hideMark/>
          </w:tcPr>
          <w:p w:rsidR="00FE64BC" w:rsidRPr="002756C2" w:rsidP="00E24F7A" w14:paraId="26411C08"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2ADD31DA"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02CE54F6"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409E0FE6"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0AD4BCAF"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1E572CB0"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115A2EBD" w14:textId="77777777">
            <w:pPr>
              <w:jc w:val="center"/>
              <w:rPr>
                <w:lang w:eastAsia="en-US"/>
              </w:rPr>
            </w:pPr>
            <w:r w:rsidRPr="002756C2">
              <w:rPr>
                <w:lang w:eastAsia="en-US"/>
              </w:rPr>
              <w:t>0</w:t>
            </w:r>
          </w:p>
        </w:tc>
      </w:tr>
      <w:tr w14:paraId="428963A9"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13FACF67" w14:textId="77777777">
            <w:pPr>
              <w:rPr>
                <w:lang w:eastAsia="en-US"/>
              </w:rPr>
            </w:pPr>
            <w:r w:rsidRPr="002756C2">
              <w:rPr>
                <w:lang w:eastAsia="en-US"/>
              </w:rPr>
              <w:t>3.2. speciālais budžets</w:t>
            </w:r>
          </w:p>
        </w:tc>
        <w:tc>
          <w:tcPr>
            <w:tcW w:w="1026" w:type="dxa"/>
            <w:shd w:val="clear" w:color="auto" w:fill="auto"/>
            <w:vAlign w:val="center"/>
            <w:hideMark/>
          </w:tcPr>
          <w:p w:rsidR="00FE64BC" w:rsidRPr="002756C2" w:rsidP="00E24F7A" w14:paraId="17F34D6E"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6BEE327A"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2C135108"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7C186A28"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4FAD80F5"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4E391DBB"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003669E7" w14:textId="77777777">
            <w:pPr>
              <w:jc w:val="center"/>
              <w:rPr>
                <w:lang w:eastAsia="en-US"/>
              </w:rPr>
            </w:pPr>
            <w:r w:rsidRPr="002756C2">
              <w:rPr>
                <w:lang w:eastAsia="en-US"/>
              </w:rPr>
              <w:t>0</w:t>
            </w:r>
          </w:p>
        </w:tc>
      </w:tr>
      <w:tr w14:paraId="6FBC1E5F"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2BC132B3" w14:textId="77777777">
            <w:pPr>
              <w:rPr>
                <w:lang w:eastAsia="en-US"/>
              </w:rPr>
            </w:pPr>
            <w:r w:rsidRPr="002756C2">
              <w:rPr>
                <w:lang w:eastAsia="en-US"/>
              </w:rPr>
              <w:t>3.3. pašvaldību budžets</w:t>
            </w:r>
          </w:p>
        </w:tc>
        <w:tc>
          <w:tcPr>
            <w:tcW w:w="1026" w:type="dxa"/>
            <w:shd w:val="clear" w:color="auto" w:fill="auto"/>
            <w:vAlign w:val="center"/>
            <w:hideMark/>
          </w:tcPr>
          <w:p w:rsidR="00FE64BC" w:rsidRPr="002756C2" w:rsidP="00E24F7A" w14:paraId="2DC2B8E6" w14:textId="77777777">
            <w:pPr>
              <w:jc w:val="center"/>
              <w:rPr>
                <w:lang w:eastAsia="en-US"/>
              </w:rPr>
            </w:pPr>
            <w:r w:rsidRPr="002756C2">
              <w:rPr>
                <w:lang w:eastAsia="en-US"/>
              </w:rPr>
              <w:t>0</w:t>
            </w:r>
          </w:p>
        </w:tc>
        <w:tc>
          <w:tcPr>
            <w:tcW w:w="1187" w:type="dxa"/>
            <w:shd w:val="clear" w:color="auto" w:fill="auto"/>
            <w:vAlign w:val="center"/>
            <w:hideMark/>
          </w:tcPr>
          <w:p w:rsidR="00FE64BC" w:rsidRPr="002756C2" w:rsidP="00E24F7A" w14:paraId="223C080E"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740DB2E9" w14:textId="77777777">
            <w:pPr>
              <w:jc w:val="center"/>
              <w:rPr>
                <w:lang w:eastAsia="en-US"/>
              </w:rPr>
            </w:pPr>
            <w:r w:rsidRPr="002756C2">
              <w:rPr>
                <w:lang w:eastAsia="en-US"/>
              </w:rPr>
              <w:t>0</w:t>
            </w:r>
          </w:p>
        </w:tc>
        <w:tc>
          <w:tcPr>
            <w:tcW w:w="1103" w:type="dxa"/>
            <w:shd w:val="clear" w:color="auto" w:fill="auto"/>
            <w:vAlign w:val="center"/>
            <w:hideMark/>
          </w:tcPr>
          <w:p w:rsidR="00FE64BC" w:rsidRPr="002756C2" w:rsidP="00E24F7A" w14:paraId="4C958CD4"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20488858" w14:textId="77777777">
            <w:pPr>
              <w:jc w:val="center"/>
              <w:rPr>
                <w:lang w:eastAsia="en-US"/>
              </w:rPr>
            </w:pPr>
            <w:r w:rsidRPr="002756C2">
              <w:rPr>
                <w:lang w:eastAsia="en-US"/>
              </w:rPr>
              <w:t>0</w:t>
            </w:r>
          </w:p>
        </w:tc>
        <w:tc>
          <w:tcPr>
            <w:tcW w:w="1008" w:type="dxa"/>
            <w:shd w:val="clear" w:color="auto" w:fill="auto"/>
            <w:vAlign w:val="center"/>
            <w:hideMark/>
          </w:tcPr>
          <w:p w:rsidR="00FE64BC" w:rsidRPr="002756C2" w:rsidP="00E24F7A" w14:paraId="19A35DF4"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2B582625" w14:textId="77777777">
            <w:pPr>
              <w:jc w:val="center"/>
              <w:rPr>
                <w:lang w:eastAsia="en-US"/>
              </w:rPr>
            </w:pPr>
            <w:r w:rsidRPr="002756C2">
              <w:rPr>
                <w:lang w:eastAsia="en-US"/>
              </w:rPr>
              <w:t>0</w:t>
            </w:r>
          </w:p>
        </w:tc>
      </w:tr>
      <w:tr w14:paraId="74DE78ED"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1EE626EA" w14:textId="77777777">
            <w:pPr>
              <w:rPr>
                <w:lang w:eastAsia="en-US"/>
              </w:rPr>
            </w:pPr>
            <w:r w:rsidRPr="002756C2">
              <w:rPr>
                <w:lang w:eastAsia="en-US"/>
              </w:rPr>
              <w:t>4. Finanšu līdzekļi papildu izdevumu finansēšanai (kompensējošu izdevumu samazinājumu norāda ar "+" zīmi)</w:t>
            </w:r>
          </w:p>
        </w:tc>
        <w:tc>
          <w:tcPr>
            <w:tcW w:w="1026" w:type="dxa"/>
            <w:shd w:val="clear" w:color="auto" w:fill="auto"/>
            <w:vAlign w:val="center"/>
            <w:hideMark/>
          </w:tcPr>
          <w:p w:rsidR="00FE64BC" w:rsidRPr="002756C2" w:rsidP="00E24F7A" w14:paraId="7E6F90FB" w14:textId="77777777">
            <w:pPr>
              <w:jc w:val="center"/>
              <w:rPr>
                <w:lang w:eastAsia="en-US"/>
              </w:rPr>
            </w:pPr>
            <w:r w:rsidRPr="002756C2">
              <w:rPr>
                <w:lang w:eastAsia="en-US"/>
              </w:rPr>
              <w:t>X</w:t>
            </w:r>
          </w:p>
        </w:tc>
        <w:tc>
          <w:tcPr>
            <w:tcW w:w="1187" w:type="dxa"/>
            <w:shd w:val="clear" w:color="auto" w:fill="auto"/>
            <w:vAlign w:val="center"/>
            <w:hideMark/>
          </w:tcPr>
          <w:p w:rsidR="00FE64BC" w:rsidRPr="002756C2" w:rsidP="00E24F7A" w14:paraId="1919F34F" w14:textId="77777777">
            <w:pPr>
              <w:jc w:val="center"/>
              <w:rPr>
                <w:lang w:eastAsia="en-US"/>
              </w:rPr>
            </w:pPr>
            <w:r w:rsidRPr="002756C2">
              <w:rPr>
                <w:lang w:eastAsia="en-US"/>
              </w:rPr>
              <w:t>0</w:t>
            </w:r>
          </w:p>
        </w:tc>
        <w:tc>
          <w:tcPr>
            <w:tcW w:w="970" w:type="dxa"/>
            <w:shd w:val="clear" w:color="auto" w:fill="auto"/>
            <w:vAlign w:val="center"/>
            <w:hideMark/>
          </w:tcPr>
          <w:p w:rsidR="00FE64BC" w:rsidRPr="002756C2" w:rsidP="00E24F7A" w14:paraId="1397D693" w14:textId="77777777">
            <w:pPr>
              <w:jc w:val="center"/>
              <w:rPr>
                <w:lang w:eastAsia="en-US"/>
              </w:rPr>
            </w:pPr>
            <w:r w:rsidRPr="002756C2">
              <w:rPr>
                <w:lang w:eastAsia="en-US"/>
              </w:rPr>
              <w:t>X</w:t>
            </w:r>
          </w:p>
        </w:tc>
        <w:tc>
          <w:tcPr>
            <w:tcW w:w="1103" w:type="dxa"/>
            <w:shd w:val="clear" w:color="auto" w:fill="auto"/>
            <w:vAlign w:val="center"/>
            <w:hideMark/>
          </w:tcPr>
          <w:p w:rsidR="00FE64BC" w:rsidRPr="002756C2" w:rsidP="00E24F7A" w14:paraId="430F73B5" w14:textId="77777777">
            <w:pPr>
              <w:jc w:val="center"/>
              <w:rPr>
                <w:lang w:eastAsia="en-US"/>
              </w:rPr>
            </w:pPr>
            <w:r w:rsidRPr="002756C2">
              <w:rPr>
                <w:lang w:eastAsia="en-US"/>
              </w:rPr>
              <w:t>0</w:t>
            </w:r>
          </w:p>
        </w:tc>
        <w:tc>
          <w:tcPr>
            <w:tcW w:w="835" w:type="dxa"/>
            <w:shd w:val="clear" w:color="auto" w:fill="auto"/>
            <w:vAlign w:val="center"/>
            <w:hideMark/>
          </w:tcPr>
          <w:p w:rsidR="00FE64BC" w:rsidRPr="002756C2" w:rsidP="00E24F7A" w14:paraId="42D6CA55" w14:textId="77777777">
            <w:pPr>
              <w:jc w:val="center"/>
              <w:rPr>
                <w:lang w:eastAsia="en-US"/>
              </w:rPr>
            </w:pPr>
            <w:r w:rsidRPr="002756C2">
              <w:rPr>
                <w:lang w:eastAsia="en-US"/>
              </w:rPr>
              <w:t>X</w:t>
            </w:r>
          </w:p>
        </w:tc>
        <w:tc>
          <w:tcPr>
            <w:tcW w:w="1008" w:type="dxa"/>
            <w:shd w:val="clear" w:color="auto" w:fill="auto"/>
            <w:vAlign w:val="center"/>
            <w:hideMark/>
          </w:tcPr>
          <w:p w:rsidR="00FE64BC" w:rsidRPr="002756C2" w:rsidP="00E24F7A" w14:paraId="451D0814"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05CBC202" w14:textId="77777777">
            <w:pPr>
              <w:jc w:val="center"/>
              <w:rPr>
                <w:lang w:eastAsia="en-US"/>
              </w:rPr>
            </w:pPr>
            <w:r w:rsidRPr="002756C2">
              <w:rPr>
                <w:lang w:eastAsia="en-US"/>
              </w:rPr>
              <w:t>0</w:t>
            </w:r>
          </w:p>
        </w:tc>
      </w:tr>
      <w:tr w14:paraId="3C01F8E8"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15D210C4" w14:textId="77777777">
            <w:pPr>
              <w:rPr>
                <w:lang w:eastAsia="en-US"/>
              </w:rPr>
            </w:pPr>
            <w:r w:rsidRPr="002756C2">
              <w:rPr>
                <w:lang w:eastAsia="en-US"/>
              </w:rPr>
              <w:t>5. Precizēta finansiālā ietekme</w:t>
            </w:r>
          </w:p>
        </w:tc>
        <w:tc>
          <w:tcPr>
            <w:tcW w:w="1026" w:type="dxa"/>
            <w:vMerge w:val="restart"/>
            <w:shd w:val="clear" w:color="auto" w:fill="auto"/>
            <w:vAlign w:val="center"/>
            <w:hideMark/>
          </w:tcPr>
          <w:p w:rsidR="00FE64BC" w:rsidRPr="002756C2" w:rsidP="00E24F7A" w14:paraId="36D9DBA3" w14:textId="77777777">
            <w:pPr>
              <w:jc w:val="center"/>
              <w:rPr>
                <w:lang w:eastAsia="en-US"/>
              </w:rPr>
            </w:pPr>
            <w:r w:rsidRPr="002756C2">
              <w:rPr>
                <w:lang w:eastAsia="en-US"/>
              </w:rPr>
              <w:t>X</w:t>
            </w:r>
          </w:p>
        </w:tc>
        <w:tc>
          <w:tcPr>
            <w:tcW w:w="1187" w:type="dxa"/>
            <w:shd w:val="clear" w:color="auto" w:fill="auto"/>
            <w:vAlign w:val="center"/>
            <w:hideMark/>
          </w:tcPr>
          <w:p w:rsidR="00FE64BC" w:rsidRPr="002756C2" w:rsidP="00E24F7A" w14:paraId="5ECBCB0A" w14:textId="77777777">
            <w:pPr>
              <w:jc w:val="center"/>
              <w:rPr>
                <w:lang w:eastAsia="en-US"/>
              </w:rPr>
            </w:pPr>
            <w:r w:rsidRPr="002756C2">
              <w:rPr>
                <w:lang w:eastAsia="en-US"/>
              </w:rPr>
              <w:t>0</w:t>
            </w:r>
          </w:p>
        </w:tc>
        <w:tc>
          <w:tcPr>
            <w:tcW w:w="970" w:type="dxa"/>
            <w:vMerge w:val="restart"/>
            <w:shd w:val="clear" w:color="auto" w:fill="auto"/>
            <w:vAlign w:val="center"/>
            <w:hideMark/>
          </w:tcPr>
          <w:p w:rsidR="00FE64BC" w:rsidRPr="002756C2" w:rsidP="00E24F7A" w14:paraId="4B391BC5" w14:textId="77777777">
            <w:pPr>
              <w:jc w:val="center"/>
              <w:rPr>
                <w:lang w:eastAsia="en-US"/>
              </w:rPr>
            </w:pPr>
            <w:r w:rsidRPr="002756C2">
              <w:rPr>
                <w:lang w:eastAsia="en-US"/>
              </w:rPr>
              <w:t>X</w:t>
            </w:r>
          </w:p>
        </w:tc>
        <w:tc>
          <w:tcPr>
            <w:tcW w:w="1103" w:type="dxa"/>
            <w:shd w:val="clear" w:color="auto" w:fill="auto"/>
            <w:vAlign w:val="center"/>
            <w:hideMark/>
          </w:tcPr>
          <w:p w:rsidR="00FE64BC" w:rsidRPr="002756C2" w:rsidP="00E24F7A" w14:paraId="68EB25F0" w14:textId="77777777">
            <w:pPr>
              <w:jc w:val="center"/>
              <w:rPr>
                <w:lang w:eastAsia="en-US"/>
              </w:rPr>
            </w:pPr>
            <w:r w:rsidRPr="002756C2">
              <w:rPr>
                <w:lang w:eastAsia="en-US"/>
              </w:rPr>
              <w:t>0</w:t>
            </w:r>
          </w:p>
        </w:tc>
        <w:tc>
          <w:tcPr>
            <w:tcW w:w="835" w:type="dxa"/>
            <w:vMerge w:val="restart"/>
            <w:shd w:val="clear" w:color="auto" w:fill="auto"/>
            <w:vAlign w:val="center"/>
            <w:hideMark/>
          </w:tcPr>
          <w:p w:rsidR="00FE64BC" w:rsidRPr="002756C2" w:rsidP="00E24F7A" w14:paraId="201B4C12" w14:textId="77777777">
            <w:pPr>
              <w:jc w:val="center"/>
              <w:rPr>
                <w:lang w:eastAsia="en-US"/>
              </w:rPr>
            </w:pPr>
            <w:r w:rsidRPr="002756C2">
              <w:rPr>
                <w:lang w:eastAsia="en-US"/>
              </w:rPr>
              <w:t>X</w:t>
            </w:r>
          </w:p>
        </w:tc>
        <w:tc>
          <w:tcPr>
            <w:tcW w:w="1008" w:type="dxa"/>
            <w:shd w:val="clear" w:color="auto" w:fill="auto"/>
            <w:vAlign w:val="center"/>
            <w:hideMark/>
          </w:tcPr>
          <w:p w:rsidR="00FE64BC" w:rsidRPr="002756C2" w:rsidP="00E24F7A" w14:paraId="524206E2"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4A0EFCB8" w14:textId="77777777">
            <w:pPr>
              <w:jc w:val="center"/>
              <w:rPr>
                <w:lang w:eastAsia="en-US"/>
              </w:rPr>
            </w:pPr>
            <w:r w:rsidRPr="002756C2">
              <w:rPr>
                <w:lang w:eastAsia="en-US"/>
              </w:rPr>
              <w:t>0</w:t>
            </w:r>
          </w:p>
        </w:tc>
      </w:tr>
      <w:tr w14:paraId="3C150F8D"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32B6C2DC" w14:textId="77777777">
            <w:pPr>
              <w:rPr>
                <w:lang w:eastAsia="en-US"/>
              </w:rPr>
            </w:pPr>
            <w:r w:rsidRPr="002756C2">
              <w:rPr>
                <w:lang w:eastAsia="en-US"/>
              </w:rPr>
              <w:t>5.1. valsts pamatbudžets</w:t>
            </w:r>
          </w:p>
        </w:tc>
        <w:tc>
          <w:tcPr>
            <w:tcW w:w="1026" w:type="dxa"/>
            <w:vMerge/>
            <w:shd w:val="clear" w:color="auto" w:fill="auto"/>
            <w:vAlign w:val="center"/>
            <w:hideMark/>
          </w:tcPr>
          <w:p w:rsidR="00FE64BC" w:rsidRPr="002756C2" w:rsidP="00E24F7A" w14:paraId="285E3EF3" w14:textId="77777777">
            <w:pPr>
              <w:jc w:val="center"/>
              <w:rPr>
                <w:lang w:eastAsia="en-US"/>
              </w:rPr>
            </w:pPr>
          </w:p>
        </w:tc>
        <w:tc>
          <w:tcPr>
            <w:tcW w:w="1187" w:type="dxa"/>
            <w:shd w:val="clear" w:color="auto" w:fill="auto"/>
            <w:vAlign w:val="center"/>
            <w:hideMark/>
          </w:tcPr>
          <w:p w:rsidR="00FE64BC" w:rsidRPr="002756C2" w:rsidP="00E24F7A" w14:paraId="42A1BFA0" w14:textId="77777777">
            <w:pPr>
              <w:jc w:val="center"/>
              <w:rPr>
                <w:lang w:eastAsia="en-US"/>
              </w:rPr>
            </w:pPr>
            <w:r w:rsidRPr="002756C2">
              <w:rPr>
                <w:lang w:eastAsia="en-US"/>
              </w:rPr>
              <w:t>0</w:t>
            </w:r>
          </w:p>
        </w:tc>
        <w:tc>
          <w:tcPr>
            <w:tcW w:w="970" w:type="dxa"/>
            <w:vMerge/>
            <w:shd w:val="clear" w:color="auto" w:fill="auto"/>
            <w:vAlign w:val="center"/>
            <w:hideMark/>
          </w:tcPr>
          <w:p w:rsidR="00FE64BC" w:rsidRPr="002756C2" w:rsidP="00E24F7A" w14:paraId="524144AD" w14:textId="77777777">
            <w:pPr>
              <w:jc w:val="center"/>
              <w:rPr>
                <w:lang w:eastAsia="en-US"/>
              </w:rPr>
            </w:pPr>
          </w:p>
        </w:tc>
        <w:tc>
          <w:tcPr>
            <w:tcW w:w="1103" w:type="dxa"/>
            <w:shd w:val="clear" w:color="auto" w:fill="auto"/>
            <w:vAlign w:val="center"/>
            <w:hideMark/>
          </w:tcPr>
          <w:p w:rsidR="00FE64BC" w:rsidRPr="002756C2" w:rsidP="00E24F7A" w14:paraId="2CF47BBD" w14:textId="77777777">
            <w:pPr>
              <w:jc w:val="center"/>
              <w:rPr>
                <w:lang w:eastAsia="en-US"/>
              </w:rPr>
            </w:pPr>
            <w:r w:rsidRPr="002756C2">
              <w:rPr>
                <w:lang w:eastAsia="en-US"/>
              </w:rPr>
              <w:t>0</w:t>
            </w:r>
          </w:p>
        </w:tc>
        <w:tc>
          <w:tcPr>
            <w:tcW w:w="835" w:type="dxa"/>
            <w:vMerge/>
            <w:shd w:val="clear" w:color="auto" w:fill="auto"/>
            <w:vAlign w:val="center"/>
            <w:hideMark/>
          </w:tcPr>
          <w:p w:rsidR="00FE64BC" w:rsidRPr="002756C2" w:rsidP="00E24F7A" w14:paraId="3A3BC1CD" w14:textId="77777777">
            <w:pPr>
              <w:jc w:val="center"/>
              <w:rPr>
                <w:lang w:eastAsia="en-US"/>
              </w:rPr>
            </w:pPr>
          </w:p>
        </w:tc>
        <w:tc>
          <w:tcPr>
            <w:tcW w:w="1008" w:type="dxa"/>
            <w:shd w:val="clear" w:color="auto" w:fill="auto"/>
            <w:vAlign w:val="center"/>
            <w:hideMark/>
          </w:tcPr>
          <w:p w:rsidR="00FE64BC" w:rsidRPr="002756C2" w:rsidP="00E24F7A" w14:paraId="21869B88"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440983E0" w14:textId="77777777">
            <w:pPr>
              <w:jc w:val="center"/>
              <w:rPr>
                <w:lang w:eastAsia="en-US"/>
              </w:rPr>
            </w:pPr>
            <w:r w:rsidRPr="002756C2">
              <w:rPr>
                <w:lang w:eastAsia="en-US"/>
              </w:rPr>
              <w:t>0</w:t>
            </w:r>
          </w:p>
        </w:tc>
      </w:tr>
      <w:tr w14:paraId="7DEEC3F7"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0F0272A3" w14:textId="77777777">
            <w:pPr>
              <w:rPr>
                <w:lang w:eastAsia="en-US"/>
              </w:rPr>
            </w:pPr>
            <w:r w:rsidRPr="002756C2">
              <w:rPr>
                <w:lang w:eastAsia="en-US"/>
              </w:rPr>
              <w:t>5.2. speciālais budžets</w:t>
            </w:r>
          </w:p>
        </w:tc>
        <w:tc>
          <w:tcPr>
            <w:tcW w:w="1026" w:type="dxa"/>
            <w:vMerge/>
            <w:shd w:val="clear" w:color="auto" w:fill="auto"/>
            <w:vAlign w:val="center"/>
            <w:hideMark/>
          </w:tcPr>
          <w:p w:rsidR="00FE64BC" w:rsidRPr="002756C2" w:rsidP="00E24F7A" w14:paraId="6BF48598" w14:textId="77777777">
            <w:pPr>
              <w:jc w:val="center"/>
              <w:rPr>
                <w:lang w:eastAsia="en-US"/>
              </w:rPr>
            </w:pPr>
          </w:p>
        </w:tc>
        <w:tc>
          <w:tcPr>
            <w:tcW w:w="1187" w:type="dxa"/>
            <w:shd w:val="clear" w:color="auto" w:fill="auto"/>
            <w:vAlign w:val="center"/>
            <w:hideMark/>
          </w:tcPr>
          <w:p w:rsidR="00FE64BC" w:rsidRPr="002756C2" w:rsidP="00E24F7A" w14:paraId="1EB602C5" w14:textId="77777777">
            <w:pPr>
              <w:jc w:val="center"/>
              <w:rPr>
                <w:lang w:eastAsia="en-US"/>
              </w:rPr>
            </w:pPr>
            <w:r w:rsidRPr="002756C2">
              <w:rPr>
                <w:lang w:eastAsia="en-US"/>
              </w:rPr>
              <w:t>0</w:t>
            </w:r>
          </w:p>
        </w:tc>
        <w:tc>
          <w:tcPr>
            <w:tcW w:w="970" w:type="dxa"/>
            <w:vMerge/>
            <w:shd w:val="clear" w:color="auto" w:fill="auto"/>
            <w:vAlign w:val="center"/>
            <w:hideMark/>
          </w:tcPr>
          <w:p w:rsidR="00FE64BC" w:rsidRPr="002756C2" w:rsidP="00E24F7A" w14:paraId="4794FE6E" w14:textId="77777777">
            <w:pPr>
              <w:jc w:val="center"/>
              <w:rPr>
                <w:lang w:eastAsia="en-US"/>
              </w:rPr>
            </w:pPr>
          </w:p>
        </w:tc>
        <w:tc>
          <w:tcPr>
            <w:tcW w:w="1103" w:type="dxa"/>
            <w:shd w:val="clear" w:color="auto" w:fill="auto"/>
            <w:vAlign w:val="center"/>
            <w:hideMark/>
          </w:tcPr>
          <w:p w:rsidR="00FE64BC" w:rsidRPr="002756C2" w:rsidP="00E24F7A" w14:paraId="39F1AB03" w14:textId="77777777">
            <w:pPr>
              <w:jc w:val="center"/>
              <w:rPr>
                <w:lang w:eastAsia="en-US"/>
              </w:rPr>
            </w:pPr>
            <w:r w:rsidRPr="002756C2">
              <w:rPr>
                <w:lang w:eastAsia="en-US"/>
              </w:rPr>
              <w:t>0</w:t>
            </w:r>
          </w:p>
        </w:tc>
        <w:tc>
          <w:tcPr>
            <w:tcW w:w="835" w:type="dxa"/>
            <w:vMerge/>
            <w:shd w:val="clear" w:color="auto" w:fill="auto"/>
            <w:vAlign w:val="center"/>
            <w:hideMark/>
          </w:tcPr>
          <w:p w:rsidR="00FE64BC" w:rsidRPr="002756C2" w:rsidP="00E24F7A" w14:paraId="073A5EE5" w14:textId="77777777">
            <w:pPr>
              <w:jc w:val="center"/>
              <w:rPr>
                <w:lang w:eastAsia="en-US"/>
              </w:rPr>
            </w:pPr>
          </w:p>
        </w:tc>
        <w:tc>
          <w:tcPr>
            <w:tcW w:w="1008" w:type="dxa"/>
            <w:shd w:val="clear" w:color="auto" w:fill="auto"/>
            <w:vAlign w:val="center"/>
            <w:hideMark/>
          </w:tcPr>
          <w:p w:rsidR="00FE64BC" w:rsidRPr="002756C2" w:rsidP="00E24F7A" w14:paraId="655731A2"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5D1807C4" w14:textId="77777777">
            <w:pPr>
              <w:jc w:val="center"/>
              <w:rPr>
                <w:lang w:eastAsia="en-US"/>
              </w:rPr>
            </w:pPr>
            <w:r w:rsidRPr="002756C2">
              <w:rPr>
                <w:lang w:eastAsia="en-US"/>
              </w:rPr>
              <w:t>0</w:t>
            </w:r>
          </w:p>
        </w:tc>
      </w:tr>
      <w:tr w14:paraId="08F49E12"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4BE0CBCC" w14:textId="77777777">
            <w:pPr>
              <w:rPr>
                <w:lang w:eastAsia="en-US"/>
              </w:rPr>
            </w:pPr>
            <w:r w:rsidRPr="002756C2">
              <w:rPr>
                <w:lang w:eastAsia="en-US"/>
              </w:rPr>
              <w:t>5.3. pašvaldību budžets</w:t>
            </w:r>
          </w:p>
        </w:tc>
        <w:tc>
          <w:tcPr>
            <w:tcW w:w="1026" w:type="dxa"/>
            <w:vMerge/>
            <w:shd w:val="clear" w:color="auto" w:fill="auto"/>
            <w:vAlign w:val="center"/>
            <w:hideMark/>
          </w:tcPr>
          <w:p w:rsidR="00FE64BC" w:rsidRPr="002756C2" w:rsidP="00E24F7A" w14:paraId="09F72EB3" w14:textId="77777777">
            <w:pPr>
              <w:jc w:val="center"/>
              <w:rPr>
                <w:lang w:eastAsia="en-US"/>
              </w:rPr>
            </w:pPr>
          </w:p>
        </w:tc>
        <w:tc>
          <w:tcPr>
            <w:tcW w:w="1187" w:type="dxa"/>
            <w:shd w:val="clear" w:color="auto" w:fill="auto"/>
            <w:vAlign w:val="center"/>
            <w:hideMark/>
          </w:tcPr>
          <w:p w:rsidR="00FE64BC" w:rsidRPr="002756C2" w:rsidP="00E24F7A" w14:paraId="6AC7377B" w14:textId="77777777">
            <w:pPr>
              <w:jc w:val="center"/>
              <w:rPr>
                <w:lang w:eastAsia="en-US"/>
              </w:rPr>
            </w:pPr>
            <w:r w:rsidRPr="002756C2">
              <w:rPr>
                <w:lang w:eastAsia="en-US"/>
              </w:rPr>
              <w:t>0</w:t>
            </w:r>
          </w:p>
        </w:tc>
        <w:tc>
          <w:tcPr>
            <w:tcW w:w="970" w:type="dxa"/>
            <w:vMerge/>
            <w:shd w:val="clear" w:color="auto" w:fill="auto"/>
            <w:vAlign w:val="center"/>
            <w:hideMark/>
          </w:tcPr>
          <w:p w:rsidR="00FE64BC" w:rsidRPr="002756C2" w:rsidP="00E24F7A" w14:paraId="77A85B32" w14:textId="77777777">
            <w:pPr>
              <w:jc w:val="center"/>
              <w:rPr>
                <w:lang w:eastAsia="en-US"/>
              </w:rPr>
            </w:pPr>
          </w:p>
        </w:tc>
        <w:tc>
          <w:tcPr>
            <w:tcW w:w="1103" w:type="dxa"/>
            <w:shd w:val="clear" w:color="auto" w:fill="auto"/>
            <w:vAlign w:val="center"/>
            <w:hideMark/>
          </w:tcPr>
          <w:p w:rsidR="00FE64BC" w:rsidRPr="002756C2" w:rsidP="00E24F7A" w14:paraId="10BF9490" w14:textId="77777777">
            <w:pPr>
              <w:jc w:val="center"/>
              <w:rPr>
                <w:lang w:eastAsia="en-US"/>
              </w:rPr>
            </w:pPr>
            <w:r w:rsidRPr="002756C2">
              <w:rPr>
                <w:lang w:eastAsia="en-US"/>
              </w:rPr>
              <w:t>0</w:t>
            </w:r>
          </w:p>
        </w:tc>
        <w:tc>
          <w:tcPr>
            <w:tcW w:w="835" w:type="dxa"/>
            <w:vMerge/>
            <w:shd w:val="clear" w:color="auto" w:fill="auto"/>
            <w:vAlign w:val="center"/>
            <w:hideMark/>
          </w:tcPr>
          <w:p w:rsidR="00FE64BC" w:rsidRPr="002756C2" w:rsidP="00E24F7A" w14:paraId="20B3147B" w14:textId="77777777">
            <w:pPr>
              <w:jc w:val="center"/>
              <w:rPr>
                <w:lang w:eastAsia="en-US"/>
              </w:rPr>
            </w:pPr>
          </w:p>
        </w:tc>
        <w:tc>
          <w:tcPr>
            <w:tcW w:w="1008" w:type="dxa"/>
            <w:shd w:val="clear" w:color="auto" w:fill="auto"/>
            <w:vAlign w:val="center"/>
            <w:hideMark/>
          </w:tcPr>
          <w:p w:rsidR="00FE64BC" w:rsidRPr="002756C2" w:rsidP="00E24F7A" w14:paraId="1125870E" w14:textId="77777777">
            <w:pPr>
              <w:jc w:val="center"/>
              <w:rPr>
                <w:lang w:eastAsia="en-US"/>
              </w:rPr>
            </w:pPr>
            <w:r w:rsidRPr="002756C2">
              <w:rPr>
                <w:lang w:eastAsia="en-US"/>
              </w:rPr>
              <w:t>0</w:t>
            </w:r>
          </w:p>
        </w:tc>
        <w:tc>
          <w:tcPr>
            <w:tcW w:w="708" w:type="dxa"/>
            <w:shd w:val="clear" w:color="auto" w:fill="auto"/>
            <w:vAlign w:val="center"/>
            <w:hideMark/>
          </w:tcPr>
          <w:p w:rsidR="00FE64BC" w:rsidRPr="002756C2" w:rsidP="00E24F7A" w14:paraId="67BAEBCA" w14:textId="77777777">
            <w:pPr>
              <w:jc w:val="center"/>
              <w:rPr>
                <w:lang w:eastAsia="en-US"/>
              </w:rPr>
            </w:pPr>
            <w:r w:rsidRPr="002756C2">
              <w:rPr>
                <w:lang w:eastAsia="en-US"/>
              </w:rPr>
              <w:t>0</w:t>
            </w:r>
          </w:p>
        </w:tc>
      </w:tr>
      <w:tr w14:paraId="343C60E4"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2B60CB6B" w14:textId="77777777">
            <w:pPr>
              <w:rPr>
                <w:lang w:eastAsia="en-US"/>
              </w:rPr>
            </w:pPr>
            <w:r w:rsidRPr="002756C2">
              <w:rPr>
                <w:lang w:eastAsia="en-US"/>
              </w:rPr>
              <w:t>6. Detalizēts ieņēmumu un izdevumu aprēķins (ja nepieciešams, detalizētu ieņēmumu un izdevumu aprēķinu var pievienot anotācijas pielikumā)</w:t>
            </w:r>
          </w:p>
        </w:tc>
        <w:tc>
          <w:tcPr>
            <w:tcW w:w="6837" w:type="dxa"/>
            <w:gridSpan w:val="7"/>
            <w:vMerge w:val="restart"/>
            <w:shd w:val="clear" w:color="auto" w:fill="auto"/>
            <w:vAlign w:val="center"/>
            <w:hideMark/>
          </w:tcPr>
          <w:p w:rsidR="00FE64BC" w:rsidRPr="002756C2" w:rsidP="00E24F7A" w14:paraId="3B688829" w14:textId="77777777">
            <w:pPr>
              <w:jc w:val="center"/>
              <w:rPr>
                <w:lang w:eastAsia="en-US"/>
              </w:rPr>
            </w:pPr>
          </w:p>
        </w:tc>
      </w:tr>
      <w:tr w14:paraId="0751AD76"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0B5DD60F" w14:textId="77777777">
            <w:pPr>
              <w:rPr>
                <w:lang w:eastAsia="en-US"/>
              </w:rPr>
            </w:pPr>
            <w:r w:rsidRPr="002756C2">
              <w:rPr>
                <w:lang w:eastAsia="en-US"/>
              </w:rPr>
              <w:t>6.1. detalizēts ieņēmumu aprēķins</w:t>
            </w:r>
          </w:p>
        </w:tc>
        <w:tc>
          <w:tcPr>
            <w:tcW w:w="6837" w:type="dxa"/>
            <w:gridSpan w:val="7"/>
            <w:vMerge/>
            <w:shd w:val="clear" w:color="auto" w:fill="auto"/>
            <w:vAlign w:val="center"/>
            <w:hideMark/>
          </w:tcPr>
          <w:p w:rsidR="00FE64BC" w:rsidRPr="002756C2" w:rsidP="00E24F7A" w14:paraId="29E9BF03" w14:textId="77777777">
            <w:pPr>
              <w:jc w:val="center"/>
              <w:rPr>
                <w:lang w:eastAsia="en-US"/>
              </w:rPr>
            </w:pPr>
          </w:p>
        </w:tc>
      </w:tr>
      <w:tr w14:paraId="088B4490"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63783366" w14:textId="77777777">
            <w:pPr>
              <w:rPr>
                <w:lang w:eastAsia="en-US"/>
              </w:rPr>
            </w:pPr>
            <w:r w:rsidRPr="002756C2">
              <w:rPr>
                <w:lang w:eastAsia="en-US"/>
              </w:rPr>
              <w:t>6.2. detalizēts izdevumu aprēķins</w:t>
            </w:r>
          </w:p>
        </w:tc>
        <w:tc>
          <w:tcPr>
            <w:tcW w:w="6837" w:type="dxa"/>
            <w:gridSpan w:val="7"/>
            <w:vMerge/>
            <w:shd w:val="clear" w:color="auto" w:fill="auto"/>
            <w:vAlign w:val="center"/>
            <w:hideMark/>
          </w:tcPr>
          <w:p w:rsidR="00FE64BC" w:rsidRPr="002756C2" w:rsidP="00E24F7A" w14:paraId="1558BE5A" w14:textId="77777777">
            <w:pPr>
              <w:jc w:val="center"/>
              <w:rPr>
                <w:lang w:eastAsia="en-US"/>
              </w:rPr>
            </w:pPr>
          </w:p>
        </w:tc>
      </w:tr>
      <w:tr w14:paraId="72B7D163"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2232" w:type="dxa"/>
            <w:gridSpan w:val="2"/>
            <w:shd w:val="clear" w:color="auto" w:fill="auto"/>
            <w:hideMark/>
          </w:tcPr>
          <w:p w:rsidR="00FE64BC" w:rsidRPr="002756C2" w:rsidP="00E24F7A" w14:paraId="61D1EED3" w14:textId="77777777">
            <w:pPr>
              <w:rPr>
                <w:lang w:eastAsia="en-US"/>
              </w:rPr>
            </w:pPr>
            <w:r w:rsidRPr="002756C2">
              <w:rPr>
                <w:lang w:eastAsia="en-US"/>
              </w:rPr>
              <w:t>7. Amata vietu skaita izmaiņas</w:t>
            </w:r>
          </w:p>
        </w:tc>
        <w:tc>
          <w:tcPr>
            <w:tcW w:w="6837" w:type="dxa"/>
            <w:gridSpan w:val="7"/>
            <w:shd w:val="clear" w:color="auto" w:fill="auto"/>
            <w:hideMark/>
          </w:tcPr>
          <w:p w:rsidR="00FE64BC" w:rsidRPr="002756C2" w:rsidP="00E24F7A" w14:paraId="4DC3FC6D" w14:textId="025AC1EA">
            <w:pPr>
              <w:jc w:val="both"/>
              <w:rPr>
                <w:lang w:eastAsia="en-US"/>
              </w:rPr>
            </w:pPr>
            <w:r w:rsidRPr="002756C2">
              <w:rPr>
                <w:lang w:eastAsia="en-US"/>
              </w:rPr>
              <w:t>Amata vietu skaita vietu izmaiņas nav plānotas. Kopumā nacionālās akreditācijas institūcijas funkciju izpildi plānots nodrošināt ar 25 amata vietām. No tām 20 amata vietas tiks izveidotas valsts aģentūrā “Latvijas Nacionālais akreditācijas birojs”</w:t>
            </w:r>
            <w:r>
              <w:rPr>
                <w:lang w:eastAsia="en-US"/>
              </w:rPr>
              <w:t xml:space="preserve">. Tās būs saistītas ar </w:t>
            </w:r>
            <w:r w:rsidRPr="002756C2">
              <w:rPr>
                <w:lang w:eastAsia="en-US"/>
              </w:rPr>
              <w:t>tiešo akreditācijas funkciju</w:t>
            </w:r>
            <w:r>
              <w:rPr>
                <w:lang w:eastAsia="en-US"/>
              </w:rPr>
              <w:t xml:space="preserve"> izpildi un pārējo atbalsta funkciju – dokumentu vadība, juridiskais atbalsts, kvalitātes vadība, iestādes vadība un citu nepieciešamo funkciju izpildi, kuru neveiks Ekonomikas ministrija. </w:t>
            </w:r>
            <w:r w:rsidRPr="002756C2">
              <w:rPr>
                <w:lang w:eastAsia="en-US"/>
              </w:rPr>
              <w:t xml:space="preserve">Savukārt atlikušās 5 amata vietas būs saistītas ar </w:t>
            </w:r>
            <w:r>
              <w:rPr>
                <w:lang w:eastAsia="en-US"/>
              </w:rPr>
              <w:t xml:space="preserve">pamata </w:t>
            </w:r>
            <w:r w:rsidRPr="002756C2">
              <w:rPr>
                <w:lang w:eastAsia="en-US"/>
              </w:rPr>
              <w:t>atbalsta un administratīvo funkciju</w:t>
            </w:r>
            <w:r>
              <w:rPr>
                <w:lang w:eastAsia="en-US"/>
              </w:rPr>
              <w:t xml:space="preserve"> (grāmatvedība, </w:t>
            </w:r>
            <w:r>
              <w:rPr>
                <w:lang w:eastAsia="en-US"/>
              </w:rPr>
              <w:t>personāllietas</w:t>
            </w:r>
            <w:r>
              <w:rPr>
                <w:lang w:eastAsia="en-US"/>
              </w:rPr>
              <w:t>, IT)</w:t>
            </w:r>
            <w:r w:rsidRPr="002756C2">
              <w:rPr>
                <w:lang w:eastAsia="en-US"/>
              </w:rPr>
              <w:t xml:space="preserve"> izpildes nodrošināšanu, ko veiks Ekonomikas ministrija</w:t>
            </w:r>
            <w:r>
              <w:rPr>
                <w:lang w:eastAsia="en-US"/>
              </w:rPr>
              <w:t xml:space="preserve"> jau esošo darba spēka resursu ietvaros</w:t>
            </w:r>
            <w:r w:rsidRPr="002756C2">
              <w:rPr>
                <w:lang w:eastAsia="en-US"/>
              </w:rPr>
              <w:t>.</w:t>
            </w:r>
          </w:p>
        </w:tc>
      </w:tr>
      <w:tr w14:paraId="3115E8C8" w14:textId="77777777" w:rsidTr="0004339D">
        <w:tblPrEx>
          <w:tblW w:w="4853" w:type="pct"/>
          <w:tblInd w:w="-2" w:type="dxa"/>
          <w:tblLayout w:type="fixed"/>
          <w:tblCellMar>
            <w:top w:w="28" w:type="dxa"/>
            <w:left w:w="28" w:type="dxa"/>
            <w:bottom w:w="28" w:type="dxa"/>
            <w:right w:w="28" w:type="dxa"/>
          </w:tblCellMar>
          <w:tblLook w:val="04A0"/>
        </w:tblPrEx>
        <w:tc>
          <w:tcPr>
            <w:tcW w:w="2232" w:type="dxa"/>
            <w:gridSpan w:val="2"/>
            <w:shd w:val="clear" w:color="auto" w:fill="auto"/>
            <w:hideMark/>
          </w:tcPr>
          <w:p w:rsidR="00FE64BC" w:rsidRPr="002756C2" w:rsidP="00E24F7A" w14:paraId="10E8C378" w14:textId="77777777">
            <w:pPr>
              <w:rPr>
                <w:lang w:eastAsia="en-US"/>
              </w:rPr>
            </w:pPr>
            <w:r w:rsidRPr="002756C2">
              <w:rPr>
                <w:lang w:eastAsia="en-US"/>
              </w:rPr>
              <w:t>8. Cita informācija</w:t>
            </w:r>
          </w:p>
        </w:tc>
        <w:tc>
          <w:tcPr>
            <w:tcW w:w="6837" w:type="dxa"/>
            <w:gridSpan w:val="7"/>
            <w:shd w:val="clear" w:color="auto" w:fill="auto"/>
            <w:hideMark/>
          </w:tcPr>
          <w:p w:rsidR="00FE64BC" w:rsidRPr="002756C2" w:rsidP="00E24F7A" w14:paraId="4C9F99DA" w14:textId="77777777">
            <w:pPr>
              <w:jc w:val="both"/>
              <w:rPr>
                <w:lang w:eastAsia="en-US"/>
              </w:rPr>
            </w:pPr>
            <w:r w:rsidRPr="002756C2">
              <w:rPr>
                <w:lang w:eastAsia="en-US"/>
              </w:rPr>
              <w:t>Rīkojuma projekts neietekmēs valsts budžeta izdevumus, jo valsts aģentūras finansēšanai nepieciešamie līdzekļi tiks iegūti sniedzot maksas publiskos pakalpojumus kā noteikts likumā “Par atbilstības novērtēšanu”.</w:t>
            </w:r>
          </w:p>
          <w:p w:rsidR="00F6647D" w:rsidRPr="00896C3E" w:rsidP="00E24F7A" w14:paraId="21DE1012" w14:textId="5F196D99">
            <w:pPr>
              <w:jc w:val="both"/>
              <w:rPr>
                <w:lang w:eastAsia="en-US"/>
              </w:rPr>
            </w:pPr>
            <w:r w:rsidRPr="002756C2">
              <w:rPr>
                <w:lang w:eastAsia="en-US"/>
              </w:rPr>
              <w:t>Ekonomikas ministrijas budžeta apakšprogrammā 26.04.00 “Atbilstības novērtēšana un kvalitātes nodrošināšana” piešķirtā finansējuma ietvaros atbilstoši likuma “Par atbilstības novērtēšanu” 14.panta trešās daļas pirmajam punktam, kas paredz valsts līdzfinansējumu noteiktu nacionālās akreditācijas institūcijas funkciju izpildei,  tiks nodalīts finansējums</w:t>
            </w:r>
            <w:r w:rsidR="00445DAB">
              <w:rPr>
                <w:lang w:eastAsia="en-US"/>
              </w:rPr>
              <w:t xml:space="preserve"> </w:t>
            </w:r>
            <w:r w:rsidRPr="00942B9C" w:rsidR="007B3F22">
              <w:rPr>
                <w:lang w:eastAsia="en-US"/>
              </w:rPr>
              <w:t>34</w:t>
            </w:r>
            <w:r w:rsidRPr="00942B9C" w:rsidR="00FB2D38">
              <w:rPr>
                <w:lang w:eastAsia="en-US"/>
              </w:rPr>
              <w:t> </w:t>
            </w:r>
            <w:r w:rsidRPr="00942B9C" w:rsidR="007B3F22">
              <w:rPr>
                <w:lang w:eastAsia="en-US"/>
              </w:rPr>
              <w:t>612</w:t>
            </w:r>
            <w:r w:rsidRPr="00896C3E" w:rsidR="00FB2D38">
              <w:rPr>
                <w:lang w:eastAsia="en-US"/>
              </w:rPr>
              <w:t xml:space="preserve"> </w:t>
            </w:r>
            <w:r w:rsidRPr="00896C3E" w:rsidR="00445DAB">
              <w:rPr>
                <w:i/>
                <w:lang w:eastAsia="en-US"/>
              </w:rPr>
              <w:t>euro</w:t>
            </w:r>
            <w:r w:rsidRPr="00896C3E" w:rsidR="00445DAB">
              <w:rPr>
                <w:lang w:eastAsia="en-US"/>
              </w:rPr>
              <w:t xml:space="preserve"> apmērā</w:t>
            </w:r>
            <w:r w:rsidRPr="00896C3E">
              <w:rPr>
                <w:lang w:eastAsia="en-US"/>
              </w:rPr>
              <w:t>, kurš uz valsts aģentūru</w:t>
            </w:r>
            <w:r w:rsidRPr="00896C3E" w:rsidR="00445DAB">
              <w:rPr>
                <w:lang w:eastAsia="en-US"/>
              </w:rPr>
              <w:t xml:space="preserve"> tiks pārskaitīts kā </w:t>
            </w:r>
            <w:r w:rsidRPr="00896C3E" w:rsidR="00445DAB">
              <w:rPr>
                <w:lang w:eastAsia="en-US"/>
              </w:rPr>
              <w:t>transferts</w:t>
            </w:r>
            <w:r w:rsidRPr="00896C3E" w:rsidR="002F0133">
              <w:rPr>
                <w:lang w:eastAsia="en-US"/>
              </w:rPr>
              <w:t xml:space="preserve"> komandējumu izdevumu</w:t>
            </w:r>
            <w:r w:rsidRPr="00896C3E" w:rsidR="00E374EF">
              <w:rPr>
                <w:lang w:eastAsia="en-US"/>
              </w:rPr>
              <w:t xml:space="preserve"> segšanai</w:t>
            </w:r>
            <w:r w:rsidRPr="00896C3E" w:rsidR="00F0758A">
              <w:rPr>
                <w:lang w:eastAsia="en-US"/>
              </w:rPr>
              <w:t>, k</w:t>
            </w:r>
            <w:r w:rsidRPr="00896C3E" w:rsidR="00E077F2">
              <w:rPr>
                <w:lang w:eastAsia="en-US"/>
              </w:rPr>
              <w:t>as nepieciešami, lai izpildītu l</w:t>
            </w:r>
            <w:r w:rsidRPr="00896C3E" w:rsidR="00F0758A">
              <w:rPr>
                <w:lang w:eastAsia="en-US"/>
              </w:rPr>
              <w:t xml:space="preserve">ikuma </w:t>
            </w:r>
            <w:r w:rsidRPr="00896C3E" w:rsidR="00E077F2">
              <w:rPr>
                <w:lang w:eastAsia="en-US"/>
              </w:rPr>
              <w:t>“</w:t>
            </w:r>
            <w:r w:rsidRPr="00896C3E" w:rsidR="00F0758A">
              <w:rPr>
                <w:lang w:eastAsia="en-US"/>
              </w:rPr>
              <w:t>Par atbilstības n</w:t>
            </w:r>
            <w:r w:rsidRPr="00896C3E" w:rsidR="007819D0">
              <w:rPr>
                <w:lang w:eastAsia="en-US"/>
              </w:rPr>
              <w:t>ovērtēšanu</w:t>
            </w:r>
            <w:r w:rsidRPr="00896C3E" w:rsidR="00E077F2">
              <w:rPr>
                <w:lang w:eastAsia="en-US"/>
              </w:rPr>
              <w:t>”</w:t>
            </w:r>
            <w:r w:rsidRPr="00896C3E" w:rsidR="007819D0">
              <w:rPr>
                <w:lang w:eastAsia="en-US"/>
              </w:rPr>
              <w:t xml:space="preserve"> 14.panta </w:t>
            </w:r>
            <w:r w:rsidRPr="00896C3E" w:rsidR="002507A7">
              <w:rPr>
                <w:lang w:eastAsia="en-US"/>
              </w:rPr>
              <w:t xml:space="preserve">1.punkta </w:t>
            </w:r>
            <w:r w:rsidRPr="00896C3E" w:rsidR="002F0133">
              <w:rPr>
                <w:lang w:eastAsia="en-US"/>
              </w:rPr>
              <w:t>ceturtajā un piektajā</w:t>
            </w:r>
            <w:r w:rsidRPr="00896C3E" w:rsidR="007819D0">
              <w:rPr>
                <w:lang w:eastAsia="en-US"/>
              </w:rPr>
              <w:t xml:space="preserve"> apakšpunktā minētās funkcijas.</w:t>
            </w:r>
          </w:p>
          <w:p w:rsidR="00804971" w:rsidRPr="00896C3E" w:rsidP="00E24F7A" w14:paraId="5F1B4E24" w14:textId="77777777">
            <w:pPr>
              <w:jc w:val="both"/>
              <w:rPr>
                <w:lang w:eastAsia="en-US"/>
              </w:rPr>
            </w:pPr>
          </w:p>
          <w:p w:rsidR="00804971" w:rsidP="00E24F7A" w14:paraId="35919F7C" w14:textId="77777777">
            <w:pPr>
              <w:jc w:val="both"/>
              <w:rPr>
                <w:lang w:eastAsia="en-US"/>
              </w:rPr>
            </w:pPr>
          </w:p>
          <w:p w:rsidR="00804971" w:rsidP="00E24F7A" w14:paraId="2EA01ACF" w14:textId="77777777">
            <w:pPr>
              <w:jc w:val="both"/>
              <w:rPr>
                <w:lang w:eastAsia="en-US"/>
              </w:rPr>
            </w:pPr>
          </w:p>
          <w:p w:rsidR="00804971" w:rsidRPr="002756C2" w:rsidP="00E24F7A" w14:paraId="4F314AF8" w14:textId="77777777">
            <w:pPr>
              <w:jc w:val="both"/>
              <w:rPr>
                <w:lang w:eastAsia="en-US"/>
              </w:rPr>
            </w:pPr>
          </w:p>
        </w:tc>
      </w:tr>
      <w:tr w14:paraId="218C4060" w14:textId="77777777" w:rsidTr="0004339D">
        <w:tblPrEx>
          <w:tblW w:w="4853" w:type="pct"/>
          <w:tblInd w:w="-2" w:type="dxa"/>
          <w:tblLayout w:type="fixed"/>
          <w:tblCellMar>
            <w:top w:w="30" w:type="dxa"/>
            <w:left w:w="30" w:type="dxa"/>
            <w:bottom w:w="30" w:type="dxa"/>
            <w:right w:w="30" w:type="dxa"/>
          </w:tblCellMar>
          <w:tblLook w:val="04A0"/>
        </w:tblPrEx>
        <w:trPr>
          <w:cantSplit/>
        </w:trPr>
        <w:tc>
          <w:tcPr>
            <w:tcW w:w="9069" w:type="dxa"/>
            <w:gridSpan w:val="9"/>
            <w:vAlign w:val="center"/>
            <w:hideMark/>
          </w:tcPr>
          <w:p w:rsidR="00FE64BC" w:rsidRPr="002756C2" w:rsidP="00E24F7A" w14:paraId="30900E95" w14:textId="77777777">
            <w:pPr>
              <w:jc w:val="center"/>
              <w:rPr>
                <w:b/>
                <w:bCs/>
              </w:rPr>
            </w:pPr>
            <w:r w:rsidRPr="002756C2">
              <w:rPr>
                <w:b/>
                <w:bCs/>
              </w:rPr>
              <w:t>IV. Tiesību akta projekta ietekme uz spēkā esošo tiesību normu sistēmu</w:t>
            </w:r>
          </w:p>
        </w:tc>
      </w:tr>
      <w:tr w14:paraId="04809C30" w14:textId="77777777" w:rsidTr="0004339D">
        <w:tblPrEx>
          <w:tblW w:w="4853" w:type="pct"/>
          <w:tblInd w:w="-2" w:type="dxa"/>
          <w:tblLayout w:type="fixed"/>
          <w:tblCellMar>
            <w:top w:w="30" w:type="dxa"/>
            <w:left w:w="30" w:type="dxa"/>
            <w:bottom w:w="30" w:type="dxa"/>
            <w:right w:w="30" w:type="dxa"/>
          </w:tblCellMar>
          <w:tblLook w:val="04A0"/>
        </w:tblPrEx>
        <w:trPr>
          <w:cantSplit/>
        </w:trPr>
        <w:tc>
          <w:tcPr>
            <w:tcW w:w="589" w:type="dxa"/>
            <w:hideMark/>
          </w:tcPr>
          <w:p w:rsidR="00FE64BC" w:rsidRPr="002756C2" w:rsidP="00E24F7A" w14:paraId="1C8E58FA" w14:textId="77777777">
            <w:pPr>
              <w:jc w:val="center"/>
            </w:pPr>
            <w:r w:rsidRPr="002756C2">
              <w:t>1.</w:t>
            </w:r>
          </w:p>
        </w:tc>
        <w:tc>
          <w:tcPr>
            <w:tcW w:w="2669" w:type="dxa"/>
            <w:gridSpan w:val="2"/>
            <w:hideMark/>
          </w:tcPr>
          <w:p w:rsidR="00FE64BC" w:rsidRPr="002756C2" w:rsidP="00E24F7A" w14:paraId="1BF827D8" w14:textId="77777777">
            <w:r w:rsidRPr="002756C2">
              <w:t>Saistītie tiesību aktu projekti</w:t>
            </w:r>
          </w:p>
        </w:tc>
        <w:tc>
          <w:tcPr>
            <w:tcW w:w="5811" w:type="dxa"/>
            <w:gridSpan w:val="6"/>
            <w:hideMark/>
          </w:tcPr>
          <w:p w:rsidR="00FE64BC" w:rsidRPr="002756C2" w:rsidP="00E24F7A" w14:paraId="1A1D45B7" w14:textId="77777777">
            <w:pPr>
              <w:jc w:val="both"/>
            </w:pPr>
            <w:r w:rsidRPr="002756C2">
              <w:t>Ministru kabineta noteikumu projekts “Valsts aģentūras “Latvijas Nacionālais akreditācijas centrs” nolikums (izsludināti VSS 19.10.2017. prot.Nr.41 5.§), kas atcels Ministru kabineta 2010.gada 18.aprīļa noteikumus Nr.445 “Noteikumi par nacionālo akreditācijas institūciju”;</w:t>
            </w:r>
          </w:p>
          <w:p w:rsidR="00FE64BC" w:rsidRPr="002756C2" w:rsidP="00E24F7A" w14:paraId="70083274" w14:textId="77777777">
            <w:pPr>
              <w:jc w:val="both"/>
            </w:pPr>
            <w:r w:rsidRPr="002756C2">
              <w:t>Ministru kabineta noteikumu projekts “Noteikumi par valsts aģentūras “Latvijas Nacionālais akreditācijas centrs” sniegto publisko maksas pakalpojumu cenrādi (izsludināti VSS 30.11.2017. prot.Nr.47 4.§);</w:t>
            </w:r>
          </w:p>
          <w:p w:rsidR="00FE64BC" w:rsidP="00E24F7A" w14:paraId="05847618" w14:textId="77777777">
            <w:pPr>
              <w:jc w:val="both"/>
            </w:pPr>
            <w:r w:rsidRPr="002756C2">
              <w:t xml:space="preserve">Ministru kabineta rīkojuma projekts “Par </w:t>
            </w:r>
            <w:r>
              <w:t>sabiedrības ar ierobežotu atbildību “Latvijas Nacionālais akreditācijas birojs” pārveides par valsts aģentūru “Latvijas Nacionālais akreditācijas birojs” pabeigšanu</w:t>
            </w:r>
            <w:r w:rsidRPr="002756C2">
              <w:t>” (netiks izsludināts VSS,</w:t>
            </w:r>
            <w:r w:rsidR="000E04E5">
              <w:t xml:space="preserve"> bet tiks virzīts kā MK lieta);</w:t>
            </w:r>
          </w:p>
          <w:p w:rsidR="00272572" w:rsidRPr="002756C2" w:rsidP="00E24F7A" w14:paraId="45B32433" w14:textId="77777777">
            <w:pPr>
              <w:jc w:val="both"/>
            </w:pPr>
            <w:r>
              <w:t>“Valsts aģentūras ”Latvijas Nacionālais akreditācijas birojs” darbības stratēģija Ministru kabinetā tiks iesniegta 6 mēnešus pēc iestādes vadītāja iecelšanas amatā</w:t>
            </w:r>
          </w:p>
        </w:tc>
      </w:tr>
      <w:tr w14:paraId="373DD4C8" w14:textId="77777777" w:rsidTr="0004339D">
        <w:tblPrEx>
          <w:tblW w:w="4853" w:type="pct"/>
          <w:tblInd w:w="-2" w:type="dxa"/>
          <w:tblLayout w:type="fixed"/>
          <w:tblCellMar>
            <w:top w:w="30" w:type="dxa"/>
            <w:left w:w="30" w:type="dxa"/>
            <w:bottom w:w="30" w:type="dxa"/>
            <w:right w:w="30" w:type="dxa"/>
          </w:tblCellMar>
          <w:tblLook w:val="04A0"/>
        </w:tblPrEx>
        <w:trPr>
          <w:cantSplit/>
        </w:trPr>
        <w:tc>
          <w:tcPr>
            <w:tcW w:w="589" w:type="dxa"/>
            <w:hideMark/>
          </w:tcPr>
          <w:p w:rsidR="00FE64BC" w:rsidRPr="002756C2" w:rsidP="00E24F7A" w14:paraId="54F480E1" w14:textId="77777777">
            <w:pPr>
              <w:jc w:val="center"/>
            </w:pPr>
            <w:r w:rsidRPr="002756C2">
              <w:t>2.</w:t>
            </w:r>
          </w:p>
        </w:tc>
        <w:tc>
          <w:tcPr>
            <w:tcW w:w="2669" w:type="dxa"/>
            <w:gridSpan w:val="2"/>
            <w:hideMark/>
          </w:tcPr>
          <w:p w:rsidR="00FE64BC" w:rsidRPr="002756C2" w:rsidP="00E24F7A" w14:paraId="43010E5B" w14:textId="77777777">
            <w:r w:rsidRPr="002756C2">
              <w:t>Atbildīgā institūcija</w:t>
            </w:r>
          </w:p>
        </w:tc>
        <w:tc>
          <w:tcPr>
            <w:tcW w:w="5811" w:type="dxa"/>
            <w:gridSpan w:val="6"/>
            <w:hideMark/>
          </w:tcPr>
          <w:p w:rsidR="00FE64BC" w:rsidRPr="002756C2" w:rsidP="00E24F7A" w14:paraId="1A909200" w14:textId="77777777">
            <w:r w:rsidRPr="002756C2">
              <w:t xml:space="preserve">Ekonomikas ministrija </w:t>
            </w:r>
          </w:p>
        </w:tc>
      </w:tr>
      <w:tr w14:paraId="7A9DB90E" w14:textId="77777777" w:rsidTr="0004339D">
        <w:tblPrEx>
          <w:tblW w:w="4853" w:type="pct"/>
          <w:tblInd w:w="-2" w:type="dxa"/>
          <w:tblLayout w:type="fixed"/>
          <w:tblCellMar>
            <w:top w:w="30" w:type="dxa"/>
            <w:left w:w="30" w:type="dxa"/>
            <w:bottom w:w="30" w:type="dxa"/>
            <w:right w:w="30" w:type="dxa"/>
          </w:tblCellMar>
          <w:tblLook w:val="04A0"/>
        </w:tblPrEx>
        <w:trPr>
          <w:cantSplit/>
        </w:trPr>
        <w:tc>
          <w:tcPr>
            <w:tcW w:w="589" w:type="dxa"/>
            <w:hideMark/>
          </w:tcPr>
          <w:p w:rsidR="00FE64BC" w:rsidRPr="002756C2" w:rsidP="00E24F7A" w14:paraId="5A18BAC5" w14:textId="77777777">
            <w:pPr>
              <w:jc w:val="center"/>
            </w:pPr>
            <w:r w:rsidRPr="002756C2">
              <w:t>3.</w:t>
            </w:r>
          </w:p>
        </w:tc>
        <w:tc>
          <w:tcPr>
            <w:tcW w:w="2669" w:type="dxa"/>
            <w:gridSpan w:val="2"/>
            <w:hideMark/>
          </w:tcPr>
          <w:p w:rsidR="00FE64BC" w:rsidRPr="002756C2" w:rsidP="00E24F7A" w14:paraId="01C207AA" w14:textId="77777777">
            <w:r w:rsidRPr="002756C2">
              <w:t>Cita informācija</w:t>
            </w:r>
          </w:p>
        </w:tc>
        <w:tc>
          <w:tcPr>
            <w:tcW w:w="5811" w:type="dxa"/>
            <w:gridSpan w:val="6"/>
            <w:hideMark/>
          </w:tcPr>
          <w:p w:rsidR="00FE64BC" w:rsidRPr="002756C2" w:rsidP="00E24F7A" w14:paraId="0BACAE0C" w14:textId="77777777">
            <w:r w:rsidRPr="002756C2">
              <w:t>Nav</w:t>
            </w:r>
          </w:p>
        </w:tc>
      </w:tr>
    </w:tbl>
    <w:p w:rsidR="00134653" w:rsidP="00ED1B19" w14:paraId="0FD155DA" w14:textId="77777777">
      <w:pPr>
        <w:rPr>
          <w:bCs/>
        </w:rPr>
      </w:pPr>
    </w:p>
    <w:p w:rsidR="00804971" w:rsidP="00ED1B19" w14:paraId="6CD735A1" w14:textId="5FB5B126">
      <w:pPr>
        <w:rPr>
          <w:bCs/>
        </w:rPr>
      </w:pPr>
    </w:p>
    <w:p w:rsidR="00907F60" w:rsidP="00ED1B19" w14:paraId="5859ECCC" w14:textId="4D35A579">
      <w:pPr>
        <w:rPr>
          <w:bCs/>
        </w:rPr>
      </w:pPr>
    </w:p>
    <w:p w:rsidR="00907F60" w:rsidP="00ED1B19" w14:paraId="1E19F27E" w14:textId="0B09AFDB">
      <w:pPr>
        <w:rPr>
          <w:bCs/>
        </w:rPr>
      </w:pPr>
    </w:p>
    <w:p w:rsidR="00907F60" w:rsidP="00ED1B19" w14:paraId="0DAC1F02" w14:textId="77777777">
      <w:pPr>
        <w:rPr>
          <w:bCs/>
        </w:rPr>
      </w:pPr>
    </w:p>
    <w:tbl>
      <w:tblPr>
        <w:tblW w:w="8789"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67"/>
        <w:gridCol w:w="2624"/>
        <w:gridCol w:w="5598"/>
      </w:tblGrid>
      <w:tr w14:paraId="34993221" w14:textId="77777777" w:rsidTr="00152868">
        <w:tblPrEx>
          <w:tblW w:w="8789"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88"/>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7F60" w:rsidRPr="00681701" w:rsidP="00152868" w14:paraId="44A622FE" w14:textId="77777777">
            <w:pPr>
              <w:rPr>
                <w:b/>
                <w:bCs/>
              </w:rPr>
            </w:pPr>
            <w:r w:rsidRPr="00681701">
              <w:rPr>
                <w:b/>
                <w:bCs/>
              </w:rPr>
              <w:t>V. Tiesību akta projekta atbilstība Latvijas Republikas starptautiskajām saistībām</w:t>
            </w:r>
          </w:p>
        </w:tc>
      </w:tr>
      <w:tr w14:paraId="4F358CAF" w14:textId="77777777" w:rsidTr="00152868">
        <w:tblPrEx>
          <w:tblW w:w="8789" w:type="dxa"/>
          <w:tblInd w:w="134" w:type="dxa"/>
          <w:shd w:val="clear" w:color="auto" w:fill="FFFFFF"/>
          <w:tblLayout w:type="fixed"/>
          <w:tblCellMar>
            <w:top w:w="30" w:type="dxa"/>
            <w:left w:w="30" w:type="dxa"/>
            <w:bottom w:w="30" w:type="dxa"/>
            <w:right w:w="30" w:type="dxa"/>
          </w:tblCellMar>
          <w:tblLook w:val="04A0"/>
        </w:tblPrEx>
        <w:trPr>
          <w:trHeight w:val="546"/>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152868" w14:paraId="7424FD3E" w14:textId="7D211CDC">
            <w:pPr>
              <w:rPr>
                <w:bCs/>
              </w:rPr>
            </w:pPr>
            <w:r>
              <w:rPr>
                <w:bCs/>
              </w:rPr>
              <w:t xml:space="preserve"> </w:t>
            </w:r>
            <w:r w:rsidR="008851DC">
              <w:rPr>
                <w:bCs/>
              </w:rPr>
              <w:t>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152868" w14:paraId="4A142AE2" w14:textId="77777777">
            <w:pPr>
              <w:rPr>
                <w:bCs/>
              </w:rPr>
            </w:pPr>
            <w:r w:rsidRPr="00681701">
              <w:rPr>
                <w:bCs/>
              </w:rPr>
              <w:t>Saistības pret Eiropas Savienību</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DC367C" w:rsidP="00152868" w14:paraId="02BE0795" w14:textId="7C0EDCF3">
            <w:pPr>
              <w:jc w:val="both"/>
              <w:rPr>
                <w:bCs/>
              </w:rPr>
            </w:pPr>
            <w:r w:rsidRPr="00896C3E">
              <w:t>Eiropas Parlamenta un Pa</w:t>
            </w:r>
            <w:r w:rsidRPr="00896C3E" w:rsidR="00E77904">
              <w:t xml:space="preserve">domes 2008.gada 9.jūlija Regulas </w:t>
            </w:r>
            <w:r w:rsidRPr="00896C3E">
              <w:t xml:space="preserve">Nr.765/2008 ar ko nosaka akreditācijas un tirgus uzraudzības prasības attiecībā uz produktu tirdzniecību </w:t>
            </w:r>
            <w:r w:rsidRPr="00896C3E" w:rsidR="00E77904">
              <w:t>un atceļ Regulu (EEK) Nr.339/93</w:t>
            </w:r>
            <w:r w:rsidRPr="00896C3E">
              <w:t xml:space="preserve"> </w:t>
            </w:r>
            <w:r w:rsidRPr="00896C3E" w:rsidR="00E77904">
              <w:t>preambulas 14.punkts</w:t>
            </w:r>
            <w:r w:rsidRPr="00896C3E">
              <w:t xml:space="preserve"> paredz, ka akreditācijas institūcija ieņēmumu pārpalikumus var izmantot tikai  tādiem ieguldījumiem, kas tālāk attīstītu valsts akreditācijas struktūru darbību.</w:t>
            </w:r>
          </w:p>
        </w:tc>
      </w:tr>
      <w:tr w14:paraId="26EE0B25" w14:textId="77777777" w:rsidTr="00152868">
        <w:tblPrEx>
          <w:tblW w:w="8789" w:type="dxa"/>
          <w:tblInd w:w="134" w:type="dxa"/>
          <w:shd w:val="clear" w:color="auto" w:fill="FFFFFF"/>
          <w:tblLayout w:type="fixed"/>
          <w:tblCellMar>
            <w:top w:w="30" w:type="dxa"/>
            <w:left w:w="30" w:type="dxa"/>
            <w:bottom w:w="30" w:type="dxa"/>
            <w:right w:w="30" w:type="dxa"/>
          </w:tblCellMar>
          <w:tblLook w:val="04A0"/>
        </w:tblPrEx>
        <w:trPr>
          <w:trHeight w:val="561"/>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152868" w14:paraId="54630033" w14:textId="77777777">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152868" w14:paraId="750B8136" w14:textId="77777777">
            <w:pPr>
              <w:rPr>
                <w:bCs/>
              </w:rPr>
            </w:pPr>
            <w:r w:rsidRPr="00681701">
              <w:rPr>
                <w:bCs/>
              </w:rPr>
              <w:t>Citas starptautiskās saistības</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DC367C" w:rsidP="00152868" w14:paraId="34BBE286" w14:textId="111161FB">
            <w:pPr>
              <w:jc w:val="both"/>
              <w:rPr>
                <w:bCs/>
              </w:rPr>
            </w:pPr>
            <w:r>
              <w:rPr>
                <w:bCs/>
              </w:rPr>
              <w:t>Nav attiecināms</w:t>
            </w:r>
          </w:p>
        </w:tc>
      </w:tr>
      <w:tr w14:paraId="61343831" w14:textId="77777777" w:rsidTr="00152868">
        <w:tblPrEx>
          <w:tblW w:w="8789" w:type="dxa"/>
          <w:tblInd w:w="134" w:type="dxa"/>
          <w:shd w:val="clear" w:color="auto" w:fill="FFFFFF"/>
          <w:tblLayout w:type="fixed"/>
          <w:tblCellMar>
            <w:top w:w="30" w:type="dxa"/>
            <w:left w:w="30" w:type="dxa"/>
            <w:bottom w:w="30" w:type="dxa"/>
            <w:right w:w="30" w:type="dxa"/>
          </w:tblCellMar>
          <w:tblLook w:val="04A0"/>
        </w:tblPrEx>
        <w:trPr>
          <w:trHeight w:val="1123"/>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441635" w14:paraId="152E4377" w14:textId="77777777">
            <w:pP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441635" w14:paraId="2ADEE879" w14:textId="77777777">
            <w:pPr>
              <w:rPr>
                <w:bCs/>
              </w:rPr>
            </w:pPr>
            <w:r w:rsidRPr="00681701">
              <w:rPr>
                <w:bCs/>
              </w:rPr>
              <w:t>Cita informācija</w:t>
            </w:r>
          </w:p>
        </w:tc>
        <w:tc>
          <w:tcPr>
            <w:tcW w:w="5598" w:type="dxa"/>
            <w:tcBorders>
              <w:top w:val="outset" w:sz="6" w:space="0" w:color="414142"/>
              <w:left w:val="outset" w:sz="6" w:space="0" w:color="414142"/>
              <w:bottom w:val="outset" w:sz="6" w:space="0" w:color="414142"/>
              <w:right w:val="outset" w:sz="6" w:space="0" w:color="414142"/>
            </w:tcBorders>
            <w:shd w:val="clear" w:color="auto" w:fill="FFFFFF"/>
            <w:hideMark/>
          </w:tcPr>
          <w:p w:rsidR="00907F60" w:rsidRPr="00681701" w:rsidP="00152868" w14:paraId="4489454B" w14:textId="77777777">
            <w:pPr>
              <w:rPr>
                <w:bCs/>
              </w:rPr>
            </w:pPr>
            <w:r w:rsidRPr="00681701">
              <w:rPr>
                <w:bCs/>
              </w:rPr>
              <w:t>Nav</w:t>
            </w:r>
          </w:p>
        </w:tc>
      </w:tr>
    </w:tbl>
    <w:p w:rsidR="00134653" w:rsidP="00ED1B19" w14:paraId="40C531DA" w14:textId="77777777">
      <w:pPr>
        <w:rPr>
          <w:bCs/>
        </w:rPr>
      </w:pPr>
    </w:p>
    <w:p w:rsidR="00804971" w:rsidP="00ED1B19" w14:paraId="68164B37" w14:textId="77777777">
      <w:pPr>
        <w:rPr>
          <w:bC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9219"/>
      </w:tblGrid>
      <w:tr w14:paraId="389AF6E4" w14:textId="77777777" w:rsidTr="00804971">
        <w:tblPrEx>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219" w:type="dxa"/>
            <w:vAlign w:val="center"/>
            <w:hideMark/>
          </w:tcPr>
          <w:p w:rsidR="00134653" w:rsidRPr="00315787" w:rsidP="001B7935" w14:paraId="3A5060B6" w14:textId="77777777">
            <w:pPr>
              <w:jc w:val="center"/>
              <w:rPr>
                <w:b/>
                <w:bCs/>
              </w:rPr>
            </w:pPr>
            <w:r>
              <w:rPr>
                <w:b/>
                <w:bCs/>
              </w:rPr>
              <w:t>VI</w:t>
            </w:r>
            <w:r w:rsidRPr="00315787">
              <w:rPr>
                <w:b/>
                <w:bCs/>
              </w:rPr>
              <w:t>. </w:t>
            </w:r>
            <w:r>
              <w:rPr>
                <w:b/>
                <w:bCs/>
              </w:rPr>
              <w:t>Sabiedrības līdzdalība un komunikāciju aktivitātes</w:t>
            </w:r>
          </w:p>
        </w:tc>
      </w:tr>
      <w:tr w14:paraId="58025877" w14:textId="77777777" w:rsidTr="00804971">
        <w:tblPrEx>
          <w:tblW w:w="9219" w:type="dxa"/>
          <w:jc w:val="center"/>
          <w:tblLayout w:type="fixed"/>
          <w:tblCellMar>
            <w:top w:w="24" w:type="dxa"/>
            <w:left w:w="24" w:type="dxa"/>
            <w:bottom w:w="24" w:type="dxa"/>
            <w:right w:w="24" w:type="dxa"/>
          </w:tblCellMar>
          <w:tblLook w:val="04A0"/>
        </w:tblPrEx>
        <w:trPr>
          <w:trHeight w:val="288"/>
          <w:jc w:val="center"/>
        </w:trPr>
        <w:tc>
          <w:tcPr>
            <w:tcW w:w="9219" w:type="dxa"/>
            <w:vAlign w:val="center"/>
          </w:tcPr>
          <w:p w:rsidR="00134653" w:rsidRPr="008D2775" w:rsidP="001B7935" w14:paraId="2BFE5B53" w14:textId="77777777">
            <w:pPr>
              <w:jc w:val="center"/>
              <w:rPr>
                <w:bCs/>
              </w:rPr>
            </w:pPr>
            <w:r w:rsidRPr="008D2775">
              <w:rPr>
                <w:bCs/>
              </w:rPr>
              <w:t>Projekts šo jomu neskar</w:t>
            </w:r>
          </w:p>
        </w:tc>
      </w:tr>
    </w:tbl>
    <w:p w:rsidR="00134653" w:rsidP="00ED1B19" w14:paraId="6D08BAD9" w14:textId="77777777">
      <w:pPr>
        <w:rPr>
          <w:bCs/>
        </w:rPr>
      </w:pPr>
    </w:p>
    <w:p w:rsidR="00804971" w:rsidRPr="00D06811" w:rsidP="00ED1B19" w14:paraId="02F50D13" w14:textId="77777777">
      <w:pPr>
        <w:rPr>
          <w:bCs/>
        </w:rPr>
      </w:pPr>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7"/>
        <w:gridCol w:w="2693"/>
        <w:gridCol w:w="5954"/>
      </w:tblGrid>
      <w:tr w14:paraId="2C6D043A" w14:textId="77777777" w:rsidTr="00804971">
        <w:tblPrEx>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214" w:type="dxa"/>
            <w:gridSpan w:val="3"/>
          </w:tcPr>
          <w:p w:rsidR="00D42886" w:rsidRPr="007E673B" w:rsidP="00B61B0D" w14:paraId="0E03374C" w14:textId="77777777">
            <w:pPr>
              <w:jc w:val="center"/>
            </w:pPr>
            <w:r w:rsidRPr="007E673B">
              <w:rPr>
                <w:b/>
              </w:rPr>
              <w:t>VII. Tiesību akta projekta izpildes nodrošināšana un tās ietekme uz institūcijām</w:t>
            </w:r>
          </w:p>
        </w:tc>
      </w:tr>
      <w:tr w14:paraId="07D711BA" w14:textId="77777777" w:rsidTr="00804971">
        <w:tblPrEx>
          <w:tblW w:w="9214" w:type="dxa"/>
          <w:tblInd w:w="134" w:type="dxa"/>
          <w:tblLayout w:type="fixed"/>
          <w:tblCellMar>
            <w:left w:w="0" w:type="dxa"/>
            <w:right w:w="0" w:type="dxa"/>
          </w:tblCellMar>
          <w:tblLook w:val="0000"/>
        </w:tblPrEx>
        <w:trPr>
          <w:trHeight w:val="427"/>
        </w:trPr>
        <w:tc>
          <w:tcPr>
            <w:tcW w:w="567" w:type="dxa"/>
          </w:tcPr>
          <w:p w:rsidR="00D42886" w:rsidRPr="007E673B" w:rsidP="00B61B0D" w14:paraId="6D47F697" w14:textId="77777777">
            <w:r w:rsidRPr="007E673B">
              <w:t> 1.</w:t>
            </w:r>
          </w:p>
        </w:tc>
        <w:tc>
          <w:tcPr>
            <w:tcW w:w="2693" w:type="dxa"/>
          </w:tcPr>
          <w:p w:rsidR="00D42886" w:rsidRPr="007E673B" w:rsidP="00B61B0D" w14:paraId="7CCBF0AB" w14:textId="77777777">
            <w:r w:rsidRPr="007E673B">
              <w:t>Projekta izpildē iesaistītās institūcijas</w:t>
            </w:r>
          </w:p>
        </w:tc>
        <w:tc>
          <w:tcPr>
            <w:tcW w:w="5954" w:type="dxa"/>
          </w:tcPr>
          <w:p w:rsidR="00D42886" w:rsidP="00B61B0D" w14:paraId="36DCCD07" w14:textId="77777777">
            <w:pPr>
              <w:pStyle w:val="naisnod"/>
              <w:spacing w:before="0" w:after="0"/>
              <w:jc w:val="both"/>
              <w:rPr>
                <w:b w:val="0"/>
              </w:rPr>
            </w:pPr>
            <w:r w:rsidRPr="00DC367C">
              <w:rPr>
                <w:b w:val="0"/>
              </w:rPr>
              <w:t xml:space="preserve">Ekonomikas ministrija un </w:t>
            </w:r>
            <w:r w:rsidR="008E3469">
              <w:rPr>
                <w:b w:val="0"/>
              </w:rPr>
              <w:t>SIA</w:t>
            </w:r>
            <w:r w:rsidRPr="00DC367C">
              <w:rPr>
                <w:b w:val="0"/>
              </w:rPr>
              <w:t xml:space="preserve">  “Latvijas Nacionālais akreditācijas birojs”</w:t>
            </w:r>
          </w:p>
          <w:p w:rsidR="00804971" w:rsidRPr="00D42886" w:rsidP="00B61B0D" w14:paraId="4FB25797" w14:textId="77777777">
            <w:pPr>
              <w:pStyle w:val="naisnod"/>
              <w:spacing w:before="0" w:after="0"/>
              <w:jc w:val="both"/>
              <w:rPr>
                <w:b w:val="0"/>
                <w:color w:val="FF0000"/>
              </w:rPr>
            </w:pPr>
          </w:p>
        </w:tc>
      </w:tr>
      <w:tr w14:paraId="0739E8C2" w14:textId="77777777" w:rsidTr="00804971">
        <w:tblPrEx>
          <w:tblW w:w="9214" w:type="dxa"/>
          <w:tblInd w:w="134" w:type="dxa"/>
          <w:tblLayout w:type="fixed"/>
          <w:tblCellMar>
            <w:left w:w="0" w:type="dxa"/>
            <w:right w:w="0" w:type="dxa"/>
          </w:tblCellMar>
          <w:tblLook w:val="0000"/>
        </w:tblPrEx>
        <w:trPr>
          <w:trHeight w:val="463"/>
        </w:trPr>
        <w:tc>
          <w:tcPr>
            <w:tcW w:w="567" w:type="dxa"/>
          </w:tcPr>
          <w:p w:rsidR="00D42886" w:rsidRPr="007E673B" w:rsidP="00B61B0D" w14:paraId="60CFC630" w14:textId="77777777">
            <w:r w:rsidRPr="007E673B">
              <w:t> 2.</w:t>
            </w:r>
          </w:p>
        </w:tc>
        <w:tc>
          <w:tcPr>
            <w:tcW w:w="2693" w:type="dxa"/>
          </w:tcPr>
          <w:p w:rsidR="00D42886" w:rsidRPr="007E673B" w:rsidP="00B61B0D" w14:paraId="1DF3136E" w14:textId="77777777">
            <w:r w:rsidRPr="007E673B">
              <w:t> Projekta izpildes ietekme uz pārvaldes funkcijām un institucionālo struktūru. Jaunu institūciju izveide, esošu institūciju likvidācija vai reorganizācija, to ietekme uz institūcijas cilvēkresursiem</w:t>
            </w:r>
          </w:p>
        </w:tc>
        <w:tc>
          <w:tcPr>
            <w:tcW w:w="5954" w:type="dxa"/>
          </w:tcPr>
          <w:p w:rsidR="00D42886" w:rsidP="006A63B6" w14:paraId="113D1D55" w14:textId="77777777">
            <w:pPr>
              <w:pStyle w:val="naisnod"/>
              <w:spacing w:before="0" w:after="0"/>
              <w:jc w:val="both"/>
              <w:rPr>
                <w:b w:val="0"/>
                <w:bCs w:val="0"/>
              </w:rPr>
            </w:pPr>
            <w:r w:rsidRPr="00FE64BC">
              <w:rPr>
                <w:b w:val="0"/>
                <w:bCs w:val="0"/>
              </w:rPr>
              <w:t>SIA “Latvijas Nacionālais akreditācijas birojs” tiks pārveidots par ekonomikas ministra pārraudzībā esošu valsts aģentūru, kas pildīs likuma “Par atbilstības novērtēšanu” 14.panta pirmajā daļā noteiktās nacionālās akreditācijas institūcijas funkcijas un uzdevumus. Projekts neietekmē nacionālās akreditācijas institūcijas funkciju un uzdevumu apjomu. Pārveidošanas ietvaros nav plānota amata vietu samazināšana. SIA “Latvijas Nacionālais akreditācijas birojs” valdes locekļa pilnvaras beigsies līdz ar komercsabiedrības izslēgšanu no komercreģistra.</w:t>
            </w:r>
          </w:p>
          <w:p w:rsidR="00804971" w:rsidRPr="00467037" w:rsidP="006A63B6" w14:paraId="709B0C75" w14:textId="77777777">
            <w:pPr>
              <w:pStyle w:val="naisnod"/>
              <w:spacing w:before="0" w:after="0"/>
              <w:jc w:val="both"/>
              <w:rPr>
                <w:b w:val="0"/>
                <w:bCs w:val="0"/>
                <w:highlight w:val="yellow"/>
              </w:rPr>
            </w:pPr>
          </w:p>
        </w:tc>
      </w:tr>
      <w:tr w14:paraId="462290E3" w14:textId="77777777" w:rsidTr="00804971">
        <w:tblPrEx>
          <w:tblW w:w="9214" w:type="dxa"/>
          <w:tblInd w:w="134" w:type="dxa"/>
          <w:tblLayout w:type="fixed"/>
          <w:tblCellMar>
            <w:left w:w="0" w:type="dxa"/>
            <w:right w:w="0" w:type="dxa"/>
          </w:tblCellMar>
          <w:tblLook w:val="0000"/>
        </w:tblPrEx>
        <w:trPr>
          <w:trHeight w:val="476"/>
        </w:trPr>
        <w:tc>
          <w:tcPr>
            <w:tcW w:w="567" w:type="dxa"/>
          </w:tcPr>
          <w:p w:rsidR="00D42886" w:rsidRPr="007E673B" w:rsidP="00B61B0D" w14:paraId="53A2FE84" w14:textId="77777777">
            <w:r w:rsidRPr="007E673B">
              <w:t> 3.</w:t>
            </w:r>
          </w:p>
        </w:tc>
        <w:tc>
          <w:tcPr>
            <w:tcW w:w="2693" w:type="dxa"/>
          </w:tcPr>
          <w:p w:rsidR="00D42886" w:rsidRPr="007E673B" w:rsidP="00B61B0D" w14:paraId="2F0AF5F4" w14:textId="77777777">
            <w:r w:rsidRPr="007E673B">
              <w:t> Cita informācija</w:t>
            </w:r>
          </w:p>
        </w:tc>
        <w:tc>
          <w:tcPr>
            <w:tcW w:w="5954" w:type="dxa"/>
          </w:tcPr>
          <w:p w:rsidR="00D42886" w:rsidP="00B61B0D" w14:paraId="528A6FF9" w14:textId="77777777">
            <w:pPr>
              <w:jc w:val="both"/>
            </w:pPr>
            <w:r>
              <w:t>Nav</w:t>
            </w:r>
          </w:p>
          <w:p w:rsidR="00804971" w:rsidRPr="007E673B" w:rsidP="00B61B0D" w14:paraId="23F69799" w14:textId="77777777">
            <w:pPr>
              <w:jc w:val="both"/>
            </w:pPr>
          </w:p>
        </w:tc>
      </w:tr>
    </w:tbl>
    <w:p w:rsidR="005E3E3F" w:rsidP="00C21000" w14:paraId="77270541" w14:textId="77777777">
      <w:pPr>
        <w:rPr>
          <w:bCs/>
        </w:rPr>
      </w:pPr>
    </w:p>
    <w:p w:rsidR="00C21000" w:rsidRPr="00ED1B19" w:rsidP="00C21000" w14:paraId="2F017843" w14:textId="77777777">
      <w:pPr>
        <w:rPr>
          <w:rFonts w:eastAsia="Calibri"/>
          <w:bCs/>
        </w:rPr>
      </w:pPr>
      <w:r w:rsidRPr="00ED1B19">
        <w:rPr>
          <w:bCs/>
        </w:rPr>
        <w:t>Ministru prezidenta biedrs,</w:t>
      </w:r>
    </w:p>
    <w:p w:rsidR="00C21000" w:rsidP="00ED1B19" w14:paraId="666F80AC" w14:textId="77777777">
      <w:pPr>
        <w:tabs>
          <w:tab w:val="left" w:pos="7088"/>
        </w:tabs>
        <w:rPr>
          <w:bCs/>
        </w:rPr>
      </w:pPr>
      <w:r w:rsidRPr="00ED1B19">
        <w:rPr>
          <w:bCs/>
        </w:rPr>
        <w:t>ekonomikas ministrs</w:t>
      </w:r>
      <w:r w:rsidRPr="00ED1B19">
        <w:rPr>
          <w:bCs/>
        </w:rPr>
        <w:tab/>
        <w:t>A. Ašeradens</w:t>
      </w:r>
    </w:p>
    <w:p w:rsidR="00ED1B19" w:rsidRPr="00ED1B19" w:rsidP="00ED1B19" w14:paraId="5EA83A9F" w14:textId="77777777">
      <w:pPr>
        <w:tabs>
          <w:tab w:val="left" w:pos="7088"/>
        </w:tabs>
        <w:rPr>
          <w:bCs/>
        </w:rPr>
      </w:pPr>
    </w:p>
    <w:p w:rsidR="00C21000" w:rsidRPr="00ED1B19" w:rsidP="00C21000" w14:paraId="76DDD46E" w14:textId="77777777">
      <w:pPr>
        <w:pStyle w:val="BodyText2"/>
        <w:tabs>
          <w:tab w:val="left" w:pos="6521"/>
        </w:tabs>
        <w:spacing w:after="0" w:line="240" w:lineRule="auto"/>
      </w:pPr>
      <w:r w:rsidRPr="00ED1B19">
        <w:t>Vīza:</w:t>
      </w:r>
    </w:p>
    <w:p w:rsidR="00C21000" w:rsidRPr="00ED1B19" w:rsidP="00C21000" w14:paraId="372B64AA" w14:textId="77777777">
      <w:r w:rsidRPr="00ED1B19">
        <w:t>Valsts sekretārs</w:t>
      </w:r>
      <w:r w:rsidRPr="00ED1B19">
        <w:tab/>
      </w:r>
      <w:r w:rsidRPr="00ED1B19">
        <w:tab/>
      </w:r>
      <w:r w:rsidRPr="00ED1B19">
        <w:tab/>
      </w:r>
      <w:r w:rsidRPr="00ED1B19">
        <w:tab/>
      </w:r>
      <w:r w:rsidRPr="00ED1B19">
        <w:tab/>
      </w:r>
      <w:r w:rsidRPr="00ED1B19">
        <w:tab/>
      </w:r>
      <w:r w:rsidRPr="00ED1B19">
        <w:tab/>
      </w:r>
      <w:r w:rsidRPr="00ED1B19">
        <w:tab/>
      </w:r>
      <w:r w:rsidRPr="00ED1B19">
        <w:t>J.Stinka</w:t>
      </w:r>
    </w:p>
    <w:p w:rsidR="00B377C2" w:rsidRPr="007E673B" w:rsidP="00B377C2" w14:paraId="16C1AC65" w14:textId="77777777">
      <w:pPr>
        <w:jc w:val="both"/>
        <w:rPr>
          <w:rFonts w:eastAsiaTheme="minorHAnsi"/>
          <w:sz w:val="16"/>
          <w:szCs w:val="16"/>
          <w:lang w:eastAsia="en-US"/>
        </w:rPr>
      </w:pPr>
    </w:p>
    <w:p w:rsidR="00B377C2" w:rsidRPr="007E673B" w:rsidP="00B377C2" w14:paraId="1EFF61FB" w14:textId="77777777">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rsidR="00640539" w:rsidRPr="00ED1B19" w:rsidP="00ED1B19" w14:paraId="465E9201" w14:textId="77777777">
      <w:pPr>
        <w:jc w:val="both"/>
        <w:rPr>
          <w:rFonts w:eastAsiaTheme="minorHAnsi"/>
          <w:sz w:val="16"/>
          <w:szCs w:val="16"/>
          <w:lang w:eastAsia="en-US"/>
        </w:rPr>
      </w:pPr>
      <w:r>
        <w:fldChar w:fldCharType="begin"/>
      </w:r>
      <w:r>
        <w:instrText xml:space="preserve"> HYPERLINK "mailto:Anda.Stiebre@em.gov.lv" </w:instrText>
      </w:r>
      <w:r>
        <w:fldChar w:fldCharType="separate"/>
      </w:r>
      <w:r w:rsidRPr="007E3FF3" w:rsidR="0011416D">
        <w:rPr>
          <w:rStyle w:val="Hyperlink"/>
          <w:rFonts w:eastAsiaTheme="minorHAnsi"/>
          <w:sz w:val="16"/>
          <w:szCs w:val="16"/>
          <w:lang w:eastAsia="en-US"/>
        </w:rPr>
        <w:t>Anda.Stiebre@em.gov.lv</w:t>
      </w:r>
      <w:r>
        <w:fldChar w:fldCharType="end"/>
      </w:r>
      <w:r w:rsidR="00ED1B19">
        <w:rPr>
          <w:rFonts w:eastAsiaTheme="minorHAnsi"/>
          <w:sz w:val="16"/>
          <w:szCs w:val="16"/>
          <w:lang w:eastAsia="en-US"/>
        </w:rPr>
        <w:t xml:space="preserve"> </w:t>
      </w:r>
      <w:r w:rsidRPr="007E673B" w:rsidR="00AF7E9E">
        <w:rPr>
          <w:sz w:val="16"/>
          <w:szCs w:val="16"/>
        </w:rPr>
        <w:tab/>
      </w:r>
      <w:r w:rsidR="008F0246">
        <w:rPr>
          <w:sz w:val="16"/>
          <w:szCs w:val="16"/>
        </w:rPr>
        <w:tab/>
      </w:r>
    </w:p>
    <w:p w:rsidR="00640539" w:rsidRPr="00640539" w:rsidP="00640539" w14:paraId="35141691" w14:textId="77777777">
      <w:pPr>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650BC8" w:rsidP="00650BC8" w14:paraId="672CE594" w14:textId="182ACB3B">
    <w:pPr>
      <w:pStyle w:val="naislab"/>
      <w:ind w:left="-567"/>
      <w:jc w:val="both"/>
      <w:rPr>
        <w:sz w:val="20"/>
        <w:szCs w:val="20"/>
      </w:rPr>
    </w:pPr>
    <w:r w:rsidRPr="00C133E2">
      <w:rPr>
        <w:sz w:val="20"/>
        <w:szCs w:val="20"/>
      </w:rPr>
      <w:t>E</w:t>
    </w:r>
    <w:r>
      <w:rPr>
        <w:sz w:val="20"/>
        <w:szCs w:val="20"/>
      </w:rPr>
      <w:t>MAn</w:t>
    </w:r>
    <w:r w:rsidRPr="00C133E2">
      <w:rPr>
        <w:sz w:val="20"/>
        <w:szCs w:val="20"/>
      </w:rPr>
      <w:t>ot_</w:t>
    </w:r>
    <w:r w:rsidR="00ED6423">
      <w:rPr>
        <w:sz w:val="20"/>
        <w:szCs w:val="20"/>
      </w:rPr>
      <w:t>14</w:t>
    </w:r>
    <w:r w:rsidR="00EC36BB">
      <w:rPr>
        <w:sz w:val="20"/>
        <w:szCs w:val="20"/>
      </w:rPr>
      <w:t>02</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2E5D6B48" w14:textId="44EBD5D5">
    <w:pPr>
      <w:pStyle w:val="naislab"/>
      <w:ind w:left="-567"/>
      <w:jc w:val="both"/>
      <w:rPr>
        <w:sz w:val="20"/>
        <w:szCs w:val="20"/>
      </w:rPr>
    </w:pPr>
    <w:r w:rsidRPr="00C133E2">
      <w:rPr>
        <w:sz w:val="20"/>
        <w:szCs w:val="20"/>
      </w:rPr>
      <w:t>E</w:t>
    </w:r>
    <w:r>
      <w:rPr>
        <w:sz w:val="20"/>
        <w:szCs w:val="20"/>
      </w:rPr>
      <w:t>MAn</w:t>
    </w:r>
    <w:r w:rsidRPr="00C133E2">
      <w:rPr>
        <w:sz w:val="20"/>
        <w:szCs w:val="20"/>
      </w:rPr>
      <w:t>ot_</w:t>
    </w:r>
    <w:r w:rsidR="00ED6423">
      <w:rPr>
        <w:sz w:val="20"/>
        <w:szCs w:val="20"/>
      </w:rPr>
      <w:t>14</w:t>
    </w:r>
    <w:r w:rsidR="00EC36BB">
      <w:rPr>
        <w:sz w:val="20"/>
        <w:szCs w:val="20"/>
      </w:rPr>
      <w:t>02</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7729911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10AF0F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00391BB3" w14:textId="7A991B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753AA" w:rsidP="00914198" w14:paraId="29E85B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8123B"/>
    <w:rsid w:val="00087354"/>
    <w:rsid w:val="0008764A"/>
    <w:rsid w:val="0009005E"/>
    <w:rsid w:val="000906BD"/>
    <w:rsid w:val="00091A42"/>
    <w:rsid w:val="0009286F"/>
    <w:rsid w:val="000941C5"/>
    <w:rsid w:val="00096A3E"/>
    <w:rsid w:val="000A237D"/>
    <w:rsid w:val="000A2CD9"/>
    <w:rsid w:val="000A3FA7"/>
    <w:rsid w:val="000A5505"/>
    <w:rsid w:val="000A6451"/>
    <w:rsid w:val="000B064E"/>
    <w:rsid w:val="000B0DBC"/>
    <w:rsid w:val="000B0E33"/>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087"/>
    <w:rsid w:val="00113F3B"/>
    <w:rsid w:val="0011416D"/>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23FE"/>
    <w:rsid w:val="00142CB5"/>
    <w:rsid w:val="00143085"/>
    <w:rsid w:val="00144E3A"/>
    <w:rsid w:val="00146E24"/>
    <w:rsid w:val="001472CB"/>
    <w:rsid w:val="0015060C"/>
    <w:rsid w:val="00152868"/>
    <w:rsid w:val="00153C37"/>
    <w:rsid w:val="00155690"/>
    <w:rsid w:val="00155AE8"/>
    <w:rsid w:val="001568D0"/>
    <w:rsid w:val="0016018A"/>
    <w:rsid w:val="00161F0E"/>
    <w:rsid w:val="001627FF"/>
    <w:rsid w:val="0016588C"/>
    <w:rsid w:val="00165AEB"/>
    <w:rsid w:val="00165D55"/>
    <w:rsid w:val="001667FC"/>
    <w:rsid w:val="00170E2A"/>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3E45"/>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B7935"/>
    <w:rsid w:val="001C25F1"/>
    <w:rsid w:val="001C2A10"/>
    <w:rsid w:val="001C2A18"/>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F0085"/>
    <w:rsid w:val="001F3263"/>
    <w:rsid w:val="001F3771"/>
    <w:rsid w:val="001F4025"/>
    <w:rsid w:val="001F43A8"/>
    <w:rsid w:val="001F4547"/>
    <w:rsid w:val="001F5B7B"/>
    <w:rsid w:val="001F5CD6"/>
    <w:rsid w:val="001F7C6E"/>
    <w:rsid w:val="00200605"/>
    <w:rsid w:val="00202FE7"/>
    <w:rsid w:val="002059BF"/>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36B7"/>
    <w:rsid w:val="0023381A"/>
    <w:rsid w:val="002338E1"/>
    <w:rsid w:val="0023436E"/>
    <w:rsid w:val="002347C0"/>
    <w:rsid w:val="00235A8B"/>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29EC"/>
    <w:rsid w:val="00283B82"/>
    <w:rsid w:val="002846E9"/>
    <w:rsid w:val="00284C34"/>
    <w:rsid w:val="0029066C"/>
    <w:rsid w:val="00291645"/>
    <w:rsid w:val="002939E8"/>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FFE"/>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2478"/>
    <w:rsid w:val="003642C0"/>
    <w:rsid w:val="00364FA1"/>
    <w:rsid w:val="00365984"/>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2BEA"/>
    <w:rsid w:val="00392DCA"/>
    <w:rsid w:val="00393387"/>
    <w:rsid w:val="00393F8B"/>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52F2"/>
    <w:rsid w:val="003C53B9"/>
    <w:rsid w:val="003D21FF"/>
    <w:rsid w:val="003D2DF6"/>
    <w:rsid w:val="003D2F8C"/>
    <w:rsid w:val="003D32B5"/>
    <w:rsid w:val="003D34EF"/>
    <w:rsid w:val="003D3A82"/>
    <w:rsid w:val="003D3C43"/>
    <w:rsid w:val="003D4BE4"/>
    <w:rsid w:val="003D706F"/>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07800"/>
    <w:rsid w:val="004104DB"/>
    <w:rsid w:val="004131DA"/>
    <w:rsid w:val="004140EE"/>
    <w:rsid w:val="00414DB2"/>
    <w:rsid w:val="00414E6A"/>
    <w:rsid w:val="00420870"/>
    <w:rsid w:val="00426880"/>
    <w:rsid w:val="004367EE"/>
    <w:rsid w:val="00437385"/>
    <w:rsid w:val="004378D7"/>
    <w:rsid w:val="0043791B"/>
    <w:rsid w:val="00440A7D"/>
    <w:rsid w:val="00441483"/>
    <w:rsid w:val="00441635"/>
    <w:rsid w:val="00441BCB"/>
    <w:rsid w:val="00442657"/>
    <w:rsid w:val="004427D6"/>
    <w:rsid w:val="00443978"/>
    <w:rsid w:val="00445273"/>
    <w:rsid w:val="00445DAB"/>
    <w:rsid w:val="0045176A"/>
    <w:rsid w:val="00452DE3"/>
    <w:rsid w:val="00453D1D"/>
    <w:rsid w:val="00456332"/>
    <w:rsid w:val="00456AC9"/>
    <w:rsid w:val="00461826"/>
    <w:rsid w:val="004624A3"/>
    <w:rsid w:val="0046548B"/>
    <w:rsid w:val="00466838"/>
    <w:rsid w:val="00467037"/>
    <w:rsid w:val="00467899"/>
    <w:rsid w:val="00470164"/>
    <w:rsid w:val="00472D75"/>
    <w:rsid w:val="004746C8"/>
    <w:rsid w:val="00475203"/>
    <w:rsid w:val="00475C3D"/>
    <w:rsid w:val="00475F74"/>
    <w:rsid w:val="004772F7"/>
    <w:rsid w:val="004800F9"/>
    <w:rsid w:val="00481D68"/>
    <w:rsid w:val="0048361D"/>
    <w:rsid w:val="00484D3D"/>
    <w:rsid w:val="00485BB5"/>
    <w:rsid w:val="00487B0A"/>
    <w:rsid w:val="0049134A"/>
    <w:rsid w:val="00491A89"/>
    <w:rsid w:val="00493E74"/>
    <w:rsid w:val="004940BA"/>
    <w:rsid w:val="004942F6"/>
    <w:rsid w:val="00494DE4"/>
    <w:rsid w:val="004A0946"/>
    <w:rsid w:val="004A0EEB"/>
    <w:rsid w:val="004A1B92"/>
    <w:rsid w:val="004A46A9"/>
    <w:rsid w:val="004A58CB"/>
    <w:rsid w:val="004B1795"/>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7AF3"/>
    <w:rsid w:val="004F0108"/>
    <w:rsid w:val="004F1F88"/>
    <w:rsid w:val="004F3328"/>
    <w:rsid w:val="004F4F0A"/>
    <w:rsid w:val="004F4FD1"/>
    <w:rsid w:val="004F5F1B"/>
    <w:rsid w:val="004F66E1"/>
    <w:rsid w:val="00502374"/>
    <w:rsid w:val="00503C5A"/>
    <w:rsid w:val="005060A1"/>
    <w:rsid w:val="00511AF4"/>
    <w:rsid w:val="005148BB"/>
    <w:rsid w:val="00516072"/>
    <w:rsid w:val="00516697"/>
    <w:rsid w:val="00521535"/>
    <w:rsid w:val="00523DD0"/>
    <w:rsid w:val="00523F66"/>
    <w:rsid w:val="00530639"/>
    <w:rsid w:val="0053284D"/>
    <w:rsid w:val="005331BA"/>
    <w:rsid w:val="005332EC"/>
    <w:rsid w:val="00534418"/>
    <w:rsid w:val="005353AB"/>
    <w:rsid w:val="00537C51"/>
    <w:rsid w:val="00541FCF"/>
    <w:rsid w:val="0054236A"/>
    <w:rsid w:val="00543DB2"/>
    <w:rsid w:val="0054499D"/>
    <w:rsid w:val="00544CC2"/>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90D"/>
    <w:rsid w:val="0059431B"/>
    <w:rsid w:val="005947E4"/>
    <w:rsid w:val="00594BC6"/>
    <w:rsid w:val="00594F10"/>
    <w:rsid w:val="005A086D"/>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D3F"/>
    <w:rsid w:val="005F12D2"/>
    <w:rsid w:val="005F20A7"/>
    <w:rsid w:val="005F283D"/>
    <w:rsid w:val="005F5773"/>
    <w:rsid w:val="005F5D61"/>
    <w:rsid w:val="005F6325"/>
    <w:rsid w:val="006002F7"/>
    <w:rsid w:val="00601B5E"/>
    <w:rsid w:val="00604AA4"/>
    <w:rsid w:val="00605E8E"/>
    <w:rsid w:val="006106A5"/>
    <w:rsid w:val="00612F7F"/>
    <w:rsid w:val="00616859"/>
    <w:rsid w:val="0062298A"/>
    <w:rsid w:val="00623F65"/>
    <w:rsid w:val="0062512B"/>
    <w:rsid w:val="00626093"/>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200B"/>
    <w:rsid w:val="006642B4"/>
    <w:rsid w:val="00664700"/>
    <w:rsid w:val="006648BB"/>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A63B6"/>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5BE"/>
    <w:rsid w:val="006F5782"/>
    <w:rsid w:val="006F58FE"/>
    <w:rsid w:val="007004FC"/>
    <w:rsid w:val="007005F0"/>
    <w:rsid w:val="00704877"/>
    <w:rsid w:val="00705374"/>
    <w:rsid w:val="00706670"/>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6293"/>
    <w:rsid w:val="007A012B"/>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6ADB"/>
    <w:rsid w:val="00827947"/>
    <w:rsid w:val="00827E9F"/>
    <w:rsid w:val="00831902"/>
    <w:rsid w:val="008325E4"/>
    <w:rsid w:val="00832A2B"/>
    <w:rsid w:val="00832FA8"/>
    <w:rsid w:val="00834BED"/>
    <w:rsid w:val="00834F23"/>
    <w:rsid w:val="00836735"/>
    <w:rsid w:val="00836927"/>
    <w:rsid w:val="00836A16"/>
    <w:rsid w:val="00836CA6"/>
    <w:rsid w:val="0083727C"/>
    <w:rsid w:val="00837655"/>
    <w:rsid w:val="00842733"/>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121C"/>
    <w:rsid w:val="008B0625"/>
    <w:rsid w:val="008B0C6C"/>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D6911"/>
    <w:rsid w:val="008E2289"/>
    <w:rsid w:val="008E3127"/>
    <w:rsid w:val="008E3469"/>
    <w:rsid w:val="008E44A2"/>
    <w:rsid w:val="008E67FF"/>
    <w:rsid w:val="008E697D"/>
    <w:rsid w:val="008E6A10"/>
    <w:rsid w:val="008F0246"/>
    <w:rsid w:val="008F1E33"/>
    <w:rsid w:val="008F1EFC"/>
    <w:rsid w:val="008F272B"/>
    <w:rsid w:val="008F2E7A"/>
    <w:rsid w:val="008F372B"/>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54C"/>
    <w:rsid w:val="009408E4"/>
    <w:rsid w:val="00942562"/>
    <w:rsid w:val="00942B9C"/>
    <w:rsid w:val="00943B3D"/>
    <w:rsid w:val="00943F2A"/>
    <w:rsid w:val="009476A3"/>
    <w:rsid w:val="00950499"/>
    <w:rsid w:val="00951D59"/>
    <w:rsid w:val="009527C1"/>
    <w:rsid w:val="0095334F"/>
    <w:rsid w:val="009535C9"/>
    <w:rsid w:val="00954078"/>
    <w:rsid w:val="009550D5"/>
    <w:rsid w:val="00956C73"/>
    <w:rsid w:val="00962175"/>
    <w:rsid w:val="009624BE"/>
    <w:rsid w:val="0096417A"/>
    <w:rsid w:val="00965897"/>
    <w:rsid w:val="00966AE6"/>
    <w:rsid w:val="0096765C"/>
    <w:rsid w:val="00967DB8"/>
    <w:rsid w:val="009727E4"/>
    <w:rsid w:val="009753AA"/>
    <w:rsid w:val="00980B2E"/>
    <w:rsid w:val="009835BD"/>
    <w:rsid w:val="00983EF7"/>
    <w:rsid w:val="00987819"/>
    <w:rsid w:val="009934C5"/>
    <w:rsid w:val="00994C0F"/>
    <w:rsid w:val="009954A6"/>
    <w:rsid w:val="009964C8"/>
    <w:rsid w:val="00997DF6"/>
    <w:rsid w:val="009A21D4"/>
    <w:rsid w:val="009A5C53"/>
    <w:rsid w:val="009B0D27"/>
    <w:rsid w:val="009B0E9A"/>
    <w:rsid w:val="009B11B6"/>
    <w:rsid w:val="009B22D7"/>
    <w:rsid w:val="009B330D"/>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2F86"/>
    <w:rsid w:val="00AC380F"/>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5898"/>
    <w:rsid w:val="00B865ED"/>
    <w:rsid w:val="00B868DE"/>
    <w:rsid w:val="00B87A70"/>
    <w:rsid w:val="00B90271"/>
    <w:rsid w:val="00B90B44"/>
    <w:rsid w:val="00B91B8D"/>
    <w:rsid w:val="00B924F5"/>
    <w:rsid w:val="00B93B99"/>
    <w:rsid w:val="00B93E3C"/>
    <w:rsid w:val="00B94E90"/>
    <w:rsid w:val="00B96A18"/>
    <w:rsid w:val="00B96DCB"/>
    <w:rsid w:val="00BA0D9E"/>
    <w:rsid w:val="00BA19C9"/>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F0513"/>
    <w:rsid w:val="00BF05EB"/>
    <w:rsid w:val="00BF1B25"/>
    <w:rsid w:val="00BF2516"/>
    <w:rsid w:val="00BF40ED"/>
    <w:rsid w:val="00BF4649"/>
    <w:rsid w:val="00BF5607"/>
    <w:rsid w:val="00BF5BC2"/>
    <w:rsid w:val="00BF7637"/>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1088"/>
    <w:rsid w:val="00C820DA"/>
    <w:rsid w:val="00C844DC"/>
    <w:rsid w:val="00C87F14"/>
    <w:rsid w:val="00C90200"/>
    <w:rsid w:val="00C9139F"/>
    <w:rsid w:val="00C91B20"/>
    <w:rsid w:val="00C92FE4"/>
    <w:rsid w:val="00C94C28"/>
    <w:rsid w:val="00C95145"/>
    <w:rsid w:val="00C959AE"/>
    <w:rsid w:val="00CA1D3B"/>
    <w:rsid w:val="00CA3B3A"/>
    <w:rsid w:val="00CA412B"/>
    <w:rsid w:val="00CA4EB9"/>
    <w:rsid w:val="00CA5D2D"/>
    <w:rsid w:val="00CB0247"/>
    <w:rsid w:val="00CB28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41AE"/>
    <w:rsid w:val="00CF5005"/>
    <w:rsid w:val="00CF70AD"/>
    <w:rsid w:val="00CF7729"/>
    <w:rsid w:val="00D00059"/>
    <w:rsid w:val="00D0113A"/>
    <w:rsid w:val="00D0181A"/>
    <w:rsid w:val="00D06811"/>
    <w:rsid w:val="00D07D9B"/>
    <w:rsid w:val="00D07F16"/>
    <w:rsid w:val="00D107FA"/>
    <w:rsid w:val="00D11F3B"/>
    <w:rsid w:val="00D12275"/>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4233"/>
    <w:rsid w:val="00D357D9"/>
    <w:rsid w:val="00D35881"/>
    <w:rsid w:val="00D36353"/>
    <w:rsid w:val="00D37B3F"/>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827"/>
    <w:rsid w:val="00DE0B83"/>
    <w:rsid w:val="00DE11EB"/>
    <w:rsid w:val="00DE1664"/>
    <w:rsid w:val="00DE185D"/>
    <w:rsid w:val="00DE1A81"/>
    <w:rsid w:val="00DE1C13"/>
    <w:rsid w:val="00DE23A4"/>
    <w:rsid w:val="00DE277D"/>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5110"/>
    <w:rsid w:val="00E462B8"/>
    <w:rsid w:val="00E46559"/>
    <w:rsid w:val="00E55510"/>
    <w:rsid w:val="00E56083"/>
    <w:rsid w:val="00E57184"/>
    <w:rsid w:val="00E5723E"/>
    <w:rsid w:val="00E6239C"/>
    <w:rsid w:val="00E62CDF"/>
    <w:rsid w:val="00E63C27"/>
    <w:rsid w:val="00E64E31"/>
    <w:rsid w:val="00E65837"/>
    <w:rsid w:val="00E6670C"/>
    <w:rsid w:val="00E703C6"/>
    <w:rsid w:val="00E70DDC"/>
    <w:rsid w:val="00E71802"/>
    <w:rsid w:val="00E72AC5"/>
    <w:rsid w:val="00E7374E"/>
    <w:rsid w:val="00E758BA"/>
    <w:rsid w:val="00E7656A"/>
    <w:rsid w:val="00E776E8"/>
    <w:rsid w:val="00E777D8"/>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7D47"/>
    <w:rsid w:val="00ED03AC"/>
    <w:rsid w:val="00ED0F7A"/>
    <w:rsid w:val="00ED1B19"/>
    <w:rsid w:val="00ED278C"/>
    <w:rsid w:val="00ED28F5"/>
    <w:rsid w:val="00ED3CCA"/>
    <w:rsid w:val="00ED412F"/>
    <w:rsid w:val="00ED57AE"/>
    <w:rsid w:val="00ED5C21"/>
    <w:rsid w:val="00ED6423"/>
    <w:rsid w:val="00ED65BD"/>
    <w:rsid w:val="00ED7059"/>
    <w:rsid w:val="00ED747C"/>
    <w:rsid w:val="00EE4C1C"/>
    <w:rsid w:val="00EE5737"/>
    <w:rsid w:val="00EE6D65"/>
    <w:rsid w:val="00EF1386"/>
    <w:rsid w:val="00EF1DF6"/>
    <w:rsid w:val="00EF1F0C"/>
    <w:rsid w:val="00EF36B2"/>
    <w:rsid w:val="00EF4C28"/>
    <w:rsid w:val="00EF4D83"/>
    <w:rsid w:val="00EF6EAB"/>
    <w:rsid w:val="00F02963"/>
    <w:rsid w:val="00F0758A"/>
    <w:rsid w:val="00F115B5"/>
    <w:rsid w:val="00F1273D"/>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71B1"/>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1B25"/>
    <w:rsid w:val="00FA5671"/>
    <w:rsid w:val="00FA60A5"/>
    <w:rsid w:val="00FA63D3"/>
    <w:rsid w:val="00FA6C30"/>
    <w:rsid w:val="00FB2207"/>
    <w:rsid w:val="00FB2D38"/>
    <w:rsid w:val="00FB30F1"/>
    <w:rsid w:val="00FB3BE9"/>
    <w:rsid w:val="00FB5286"/>
    <w:rsid w:val="00FB53E7"/>
    <w:rsid w:val="00FB5A1E"/>
    <w:rsid w:val="00FB7933"/>
    <w:rsid w:val="00FC264D"/>
    <w:rsid w:val="00FC2F83"/>
    <w:rsid w:val="00FC554D"/>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64BC"/>
    <w:rsid w:val="00FE7CD9"/>
    <w:rsid w:val="00FF1514"/>
    <w:rsid w:val="00FF227D"/>
    <w:rsid w:val="00FF29AA"/>
    <w:rsid w:val="00FF32B3"/>
    <w:rsid w:val="00FF3882"/>
    <w:rsid w:val="00FF459A"/>
    <w:rsid w:val="00FF5460"/>
    <w:rsid w:val="00FF54CC"/>
    <w:rsid w:val="00FF5F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B513-88CC-45A5-9448-25ABBAB4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11583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Anda Stiebre</cp:lastModifiedBy>
  <cp:revision>3</cp:revision>
  <cp:lastPrinted>2018-01-05T14:31:00Z</cp:lastPrinted>
  <dcterms:created xsi:type="dcterms:W3CDTF">2018-02-16T13:42:00Z</dcterms:created>
  <dcterms:modified xsi:type="dcterms:W3CDTF">2018-02-19T07:42:00Z</dcterms:modified>
</cp:coreProperties>
</file>