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495049" w:rsidP="00495049" w14:paraId="5F83BF6E" w14:textId="2C447608">
      <w:pPr>
        <w:jc w:val="center"/>
        <w:rPr>
          <w:b/>
          <w:sz w:val="28"/>
          <w:szCs w:val="28"/>
        </w:rPr>
      </w:pPr>
      <w:bookmarkStart w:id="0" w:name="_Hlk490652914"/>
      <w:bookmarkStart w:id="1" w:name="_Hlk494376593"/>
      <w:bookmarkStart w:id="2" w:name="_Hlk494965402"/>
      <w:r w:rsidRPr="005A2DB9">
        <w:rPr>
          <w:b/>
          <w:sz w:val="28"/>
          <w:szCs w:val="28"/>
        </w:rPr>
        <w:t>Informatīvais ziņojums "</w:t>
      </w:r>
      <w:bookmarkStart w:id="3" w:name="_Hlk494876206"/>
      <w:r w:rsidRPr="000C3470">
        <w:rPr>
          <w:b/>
          <w:sz w:val="28"/>
          <w:szCs w:val="28"/>
        </w:rPr>
        <w:t>Par priekšlikumiem institūciju sadarbības jautājumu risināšanai</w:t>
      </w:r>
      <w:r>
        <w:rPr>
          <w:b/>
          <w:sz w:val="28"/>
          <w:szCs w:val="28"/>
        </w:rPr>
        <w:t>,</w:t>
      </w:r>
      <w:r w:rsidRPr="000C3470">
        <w:rPr>
          <w:b/>
          <w:sz w:val="28"/>
          <w:szCs w:val="28"/>
        </w:rPr>
        <w:t xml:space="preserve"> administratīvo datu avotu pilnveidošanai un administratīvā sloga mazināšanai</w:t>
      </w:r>
      <w:bookmarkEnd w:id="3"/>
      <w:r w:rsidR="002C0FD1">
        <w:rPr>
          <w:b/>
          <w:sz w:val="28"/>
          <w:szCs w:val="28"/>
        </w:rPr>
        <w:t xml:space="preserve"> </w:t>
      </w:r>
      <w:r w:rsidRPr="006224B9" w:rsidR="002C0FD1">
        <w:rPr>
          <w:b/>
          <w:sz w:val="28"/>
          <w:szCs w:val="28"/>
        </w:rPr>
        <w:t>oficiālās statistikas nodrošināšanā</w:t>
      </w:r>
      <w:r w:rsidRPr="000C3470">
        <w:rPr>
          <w:b/>
          <w:sz w:val="28"/>
          <w:szCs w:val="28"/>
        </w:rPr>
        <w:t>”</w:t>
      </w:r>
      <w:r w:rsidRPr="005A2DB9">
        <w:rPr>
          <w:b/>
          <w:sz w:val="28"/>
          <w:szCs w:val="28"/>
        </w:rPr>
        <w:t xml:space="preserve"> </w:t>
      </w:r>
    </w:p>
    <w:p w:rsidR="00495049" w:rsidP="00495049" w14:paraId="5C53C65C" w14:textId="77777777">
      <w:pPr>
        <w:jc w:val="center"/>
        <w:rPr>
          <w:b/>
          <w:sz w:val="28"/>
          <w:szCs w:val="28"/>
        </w:rPr>
      </w:pPr>
    </w:p>
    <w:p w:rsidR="00495049" w:rsidRPr="009140F5" w:rsidP="00495049" w14:paraId="14EDAABD" w14:textId="1FBB6971">
      <w:pPr>
        <w:spacing w:after="60"/>
        <w:ind w:firstLine="720"/>
        <w:jc w:val="both"/>
        <w:rPr>
          <w:sz w:val="28"/>
          <w:szCs w:val="28"/>
        </w:rPr>
      </w:pPr>
      <w:bookmarkEnd w:id="0"/>
      <w:r w:rsidRPr="009140F5">
        <w:rPr>
          <w:sz w:val="28"/>
          <w:szCs w:val="28"/>
        </w:rPr>
        <w:t xml:space="preserve">Informatīvais ziņojums “Par priekšlikumiem institūciju sadarbības jautājumu risināšanai, administratīvo datu avotu pilnveidošanai un administratīvā sloga mazināšanai” izstrādāts, izpildot </w:t>
      </w:r>
      <w:r w:rsidRPr="009140F5">
        <w:rPr>
          <w:sz w:val="28"/>
          <w:szCs w:val="28"/>
        </w:rPr>
        <w:t xml:space="preserve">Ministru kabineta 2017.gada 17.janvāra </w:t>
      </w:r>
      <w:r w:rsidRPr="009140F5">
        <w:rPr>
          <w:sz w:val="28"/>
          <w:szCs w:val="28"/>
        </w:rPr>
        <w:t xml:space="preserve">sēdes </w:t>
      </w:r>
      <w:r w:rsidRPr="009140F5">
        <w:rPr>
          <w:sz w:val="28"/>
          <w:szCs w:val="28"/>
        </w:rPr>
        <w:t>protokola Nr.3 25.§ 3.punkt</w:t>
      </w:r>
      <w:r w:rsidRPr="009140F5">
        <w:rPr>
          <w:sz w:val="28"/>
          <w:szCs w:val="28"/>
        </w:rPr>
        <w:t xml:space="preserve">ā doto uzdevumu. </w:t>
      </w:r>
      <w:r w:rsidRPr="009140F5" w:rsidR="00C86B81">
        <w:rPr>
          <w:sz w:val="28"/>
          <w:szCs w:val="28"/>
        </w:rPr>
        <w:t xml:space="preserve">Tas paredz priekšlikumu izstrādi administratīvo datu avotu pilnveidošanai, metodoloģisku un institūciju sadarbības jautājumu risināšanai, administratīvā sloga mazināšanai, lai radītu priekšnoteikumus pilnīgāku administratīvo datu avotu izmantošanai oficiālās statistikas nodrošināšanā, paredzot konkrētus pasākumus, indikatīvo finansējumu un finansēšanas avotus. </w:t>
      </w:r>
      <w:r w:rsidRPr="009140F5">
        <w:rPr>
          <w:sz w:val="28"/>
          <w:szCs w:val="28"/>
        </w:rPr>
        <w:t>Izstrādi veica darba grupa, kurā bija iekļauti Ekonomikas ministrijas, Centrālās statistikas pārvaldes, Valsts ieņēmumu dienesta, Tieslietu ministrijas, Valsts zemes dienesta, Vides aizsardzības un reģionālās attīstības ministrijas, Latvijas Pašvaldību savienības un Latvijas Lielo pilsētu asociācijas pārstāvj</w:t>
      </w:r>
      <w:r w:rsidRPr="009140F5" w:rsidR="00630B97">
        <w:rPr>
          <w:sz w:val="28"/>
          <w:szCs w:val="28"/>
        </w:rPr>
        <w:t>i.</w:t>
      </w:r>
      <w:r w:rsidRPr="009140F5">
        <w:rPr>
          <w:sz w:val="28"/>
          <w:szCs w:val="28"/>
        </w:rPr>
        <w:t xml:space="preserve">  </w:t>
      </w:r>
    </w:p>
    <w:p w:rsidR="00904BEF" w:rsidRPr="009140F5" w:rsidP="00904BEF" w14:paraId="23215CF5" w14:textId="77777777">
      <w:pPr>
        <w:spacing w:after="60"/>
        <w:ind w:firstLine="720"/>
        <w:jc w:val="both"/>
        <w:rPr>
          <w:sz w:val="28"/>
          <w:szCs w:val="28"/>
        </w:rPr>
      </w:pPr>
      <w:r w:rsidRPr="009140F5">
        <w:rPr>
          <w:sz w:val="28"/>
          <w:szCs w:val="28"/>
        </w:rPr>
        <w:t>Ievērojot tālāk sniegto informāciju par administratīvo datu izmantošanu, informatīvā ziņojuma mērķi ir:</w:t>
      </w:r>
    </w:p>
    <w:p w:rsidR="00904BEF" w:rsidRPr="009140F5" w:rsidP="00904BEF" w14:paraId="51F7D5A8" w14:textId="77777777">
      <w:pPr>
        <w:pStyle w:val="ListParagraph"/>
        <w:numPr>
          <w:ilvl w:val="0"/>
          <w:numId w:val="14"/>
        </w:numPr>
        <w:spacing w:after="60"/>
        <w:jc w:val="both"/>
        <w:rPr>
          <w:sz w:val="28"/>
          <w:szCs w:val="28"/>
        </w:rPr>
      </w:pPr>
      <w:r w:rsidRPr="009140F5">
        <w:rPr>
          <w:sz w:val="28"/>
          <w:szCs w:val="28"/>
        </w:rPr>
        <w:t>iniciēt diskusiju starp administratīvo datu turētājiem par vienotu pieeju datu kvalitātes nodrošināšanai, kas ietvertu visiem saistošas rokasgrāmatas izstrādi;</w:t>
      </w:r>
    </w:p>
    <w:p w:rsidR="00904BEF" w:rsidRPr="009140F5" w:rsidP="00904BEF" w14:paraId="2BCC5FC8" w14:textId="77777777">
      <w:pPr>
        <w:pStyle w:val="ListParagraph"/>
        <w:numPr>
          <w:ilvl w:val="0"/>
          <w:numId w:val="14"/>
        </w:numPr>
        <w:spacing w:after="60"/>
        <w:jc w:val="both"/>
        <w:rPr>
          <w:sz w:val="28"/>
          <w:szCs w:val="28"/>
        </w:rPr>
      </w:pPr>
      <w:r w:rsidRPr="009140F5">
        <w:rPr>
          <w:sz w:val="28"/>
          <w:szCs w:val="28"/>
        </w:rPr>
        <w:t>identificēt pasākumus administratīvo datu avotu pilnveidošanai un administratīvā sloga mazināšanai oficiālās statistikas nodrošināšanā.</w:t>
      </w:r>
    </w:p>
    <w:p w:rsidR="0080222B" w:rsidRPr="009140F5" w:rsidP="004E50CA" w14:paraId="05C821F0" w14:textId="4F4FBBA6">
      <w:pPr>
        <w:pStyle w:val="NoSpacing"/>
        <w:spacing w:after="60"/>
        <w:ind w:firstLine="720"/>
        <w:jc w:val="both"/>
        <w:rPr>
          <w:sz w:val="28"/>
          <w:szCs w:val="28"/>
        </w:rPr>
      </w:pPr>
      <w:r w:rsidRPr="009140F5">
        <w:rPr>
          <w:sz w:val="28"/>
          <w:szCs w:val="28"/>
        </w:rPr>
        <w:t xml:space="preserve">Viena no Centrālās statistikas pārvaldes (turpmāk – Pārvaldes) prioritātēm, atbilstoši Eiropas statistikas sistēmas (ESS) stratēģiskajiem virzieniem un statistisko datu ieguves tendencēm, ir </w:t>
      </w:r>
      <w:r w:rsidRPr="009140F5" w:rsidR="00AC7B1A">
        <w:rPr>
          <w:sz w:val="28"/>
          <w:szCs w:val="28"/>
        </w:rPr>
        <w:t>regulāri</w:t>
      </w:r>
      <w:r w:rsidRPr="009140F5" w:rsidR="0094432A">
        <w:rPr>
          <w:sz w:val="28"/>
          <w:szCs w:val="28"/>
        </w:rPr>
        <w:t xml:space="preserve"> </w:t>
      </w:r>
      <w:r w:rsidRPr="009140F5" w:rsidR="00AC7B1A">
        <w:rPr>
          <w:sz w:val="28"/>
          <w:szCs w:val="28"/>
        </w:rPr>
        <w:t xml:space="preserve">paplašināt </w:t>
      </w:r>
      <w:r w:rsidRPr="009140F5">
        <w:rPr>
          <w:sz w:val="28"/>
          <w:szCs w:val="28"/>
        </w:rPr>
        <w:t>administratīvo datu avotu</w:t>
      </w:r>
      <w:r w:rsidRPr="009140F5" w:rsidR="00B67B5E">
        <w:rPr>
          <w:sz w:val="28"/>
          <w:szCs w:val="28"/>
        </w:rPr>
        <w:t xml:space="preserve"> </w:t>
      </w:r>
      <w:r w:rsidRPr="009140F5">
        <w:rPr>
          <w:sz w:val="28"/>
          <w:szCs w:val="28"/>
        </w:rPr>
        <w:t>un Pārva</w:t>
      </w:r>
      <w:r w:rsidRPr="009140F5" w:rsidR="00EB4109">
        <w:rPr>
          <w:sz w:val="28"/>
          <w:szCs w:val="28"/>
        </w:rPr>
        <w:t>ldes regulāro apsekojumu sniegtās informācijas izmantošanu statistikas nodrošināšanā</w:t>
      </w:r>
      <w:r w:rsidRPr="009140F5">
        <w:rPr>
          <w:sz w:val="28"/>
          <w:szCs w:val="28"/>
        </w:rPr>
        <w:t xml:space="preserve">, </w:t>
      </w:r>
      <w:r w:rsidRPr="009140F5" w:rsidR="00B67B5E">
        <w:rPr>
          <w:sz w:val="28"/>
          <w:szCs w:val="28"/>
        </w:rPr>
        <w:t xml:space="preserve">vienlaikus </w:t>
      </w:r>
      <w:r w:rsidRPr="009140F5">
        <w:rPr>
          <w:sz w:val="28"/>
          <w:szCs w:val="28"/>
        </w:rPr>
        <w:t>sekojot respondentu administratīvā sloga samērīgai mazināšanai.</w:t>
      </w:r>
      <w:r w:rsidRPr="009140F5" w:rsidR="005007D1">
        <w:rPr>
          <w:sz w:val="28"/>
          <w:szCs w:val="28"/>
        </w:rPr>
        <w:t xml:space="preserve"> </w:t>
      </w:r>
    </w:p>
    <w:p w:rsidR="00476B87" w:rsidRPr="009140F5" w:rsidP="00476B87" w14:paraId="320AB0D9" w14:textId="67A2C4FF">
      <w:pPr>
        <w:spacing w:after="60"/>
        <w:ind w:firstLine="720"/>
        <w:jc w:val="both"/>
        <w:rPr>
          <w:sz w:val="28"/>
          <w:szCs w:val="28"/>
        </w:rPr>
      </w:pPr>
      <w:r w:rsidRPr="009140F5">
        <w:rPr>
          <w:sz w:val="28"/>
          <w:szCs w:val="28"/>
        </w:rPr>
        <w:t xml:space="preserve">Sadarbībā ar administratīvo datu turētājiem, Pārvalde, atbilstoši  Statistikas likumā noteiktajām kompetencei, regulāri risina ar administratīvo datu izmantošanu saistītās problēmas, lai nodrošinātu iespējami pilnīgu un kvalitatīvu administratīvo datu avotu informāciju, kas ļauj samazināt administratīvo slogu gan uzņēmējiem, gan mājsaimniecībām. </w:t>
      </w:r>
    </w:p>
    <w:p w:rsidR="00CB025A" w:rsidRPr="009140F5" w:rsidP="007E4F16" w14:paraId="5F5F3032" w14:textId="496318B3">
      <w:pPr>
        <w:spacing w:after="60"/>
        <w:ind w:firstLine="720"/>
        <w:jc w:val="both"/>
        <w:rPr>
          <w:sz w:val="28"/>
          <w:szCs w:val="28"/>
        </w:rPr>
      </w:pPr>
      <w:r w:rsidRPr="009140F5">
        <w:rPr>
          <w:sz w:val="28"/>
          <w:szCs w:val="28"/>
        </w:rPr>
        <w:t>Jo vairāk Pārvalde izmanto administratīvos resursus un citus sekundāro datu avotus statistikas sagatavošanai, jo šī pieeja padara statistiku atkarīg</w:t>
      </w:r>
      <w:r w:rsidRPr="009140F5" w:rsidR="00476B87">
        <w:rPr>
          <w:sz w:val="28"/>
          <w:szCs w:val="28"/>
        </w:rPr>
        <w:t>āk</w:t>
      </w:r>
      <w:r w:rsidRPr="009140F5">
        <w:rPr>
          <w:sz w:val="28"/>
          <w:szCs w:val="28"/>
        </w:rPr>
        <w:t xml:space="preserve">u no administratīvo datu kvalitātes. </w:t>
      </w:r>
      <w:r w:rsidRPr="009140F5" w:rsidR="000D396C">
        <w:rPr>
          <w:sz w:val="28"/>
          <w:szCs w:val="28"/>
        </w:rPr>
        <w:t xml:space="preserve">Tas nosaka </w:t>
      </w:r>
      <w:r w:rsidRPr="009140F5">
        <w:rPr>
          <w:sz w:val="28"/>
          <w:szCs w:val="28"/>
        </w:rPr>
        <w:t>nepieciešamību</w:t>
      </w:r>
      <w:r w:rsidRPr="009140F5" w:rsidR="00020F35">
        <w:rPr>
          <w:sz w:val="28"/>
          <w:szCs w:val="28"/>
        </w:rPr>
        <w:t xml:space="preserve"> </w:t>
      </w:r>
      <w:r w:rsidRPr="009140F5" w:rsidR="00990C8D">
        <w:rPr>
          <w:sz w:val="28"/>
          <w:szCs w:val="28"/>
        </w:rPr>
        <w:t>veikt kompleksus pasākumus</w:t>
      </w:r>
      <w:r w:rsidRPr="009140F5" w:rsidR="00EC0063">
        <w:rPr>
          <w:sz w:val="28"/>
          <w:szCs w:val="28"/>
        </w:rPr>
        <w:t xml:space="preserve"> valsts līmenī</w:t>
      </w:r>
      <w:r w:rsidRPr="009140F5" w:rsidR="00E54D9D">
        <w:rPr>
          <w:sz w:val="28"/>
          <w:szCs w:val="28"/>
        </w:rPr>
        <w:t xml:space="preserve">, </w:t>
      </w:r>
      <w:r w:rsidRPr="009140F5" w:rsidR="00215088">
        <w:rPr>
          <w:sz w:val="28"/>
          <w:szCs w:val="28"/>
        </w:rPr>
        <w:t>lai  būtu pieejamas procedūras, lai noteiktu šādu datu avotu kvalitāti sistemātiskā, objektīvā un standartizētā veidā</w:t>
      </w:r>
      <w:r w:rsidRPr="009140F5" w:rsidR="00137A94">
        <w:rPr>
          <w:sz w:val="28"/>
          <w:szCs w:val="28"/>
        </w:rPr>
        <w:t xml:space="preserve"> t.i. v</w:t>
      </w:r>
      <w:r w:rsidRPr="009140F5" w:rsidR="00E54D9D">
        <w:rPr>
          <w:sz w:val="28"/>
          <w:szCs w:val="28"/>
        </w:rPr>
        <w:t>eikt valsts administratīvo datu kvalitātes novērtējumu, tai skaitā tajā esošo trūkumu identificēšanu</w:t>
      </w:r>
      <w:r w:rsidRPr="009140F5" w:rsidR="00137A94">
        <w:rPr>
          <w:sz w:val="28"/>
          <w:szCs w:val="28"/>
        </w:rPr>
        <w:t>,</w:t>
      </w:r>
      <w:r w:rsidRPr="009140F5" w:rsidR="00E54D9D">
        <w:rPr>
          <w:sz w:val="28"/>
          <w:szCs w:val="28"/>
        </w:rPr>
        <w:t xml:space="preserve"> un izstrādāt darbības nepieciešamo uzlabojumu veikšanai,</w:t>
      </w:r>
      <w:r w:rsidRPr="009140F5" w:rsidR="00137A94">
        <w:rPr>
          <w:sz w:val="28"/>
          <w:szCs w:val="28"/>
        </w:rPr>
        <w:t xml:space="preserve"> n</w:t>
      </w:r>
      <w:r w:rsidRPr="009140F5" w:rsidR="00E54D9D">
        <w:rPr>
          <w:sz w:val="28"/>
          <w:szCs w:val="28"/>
        </w:rPr>
        <w:t>odrošināt administratīvo datu avotos lietoto klasifikāciju un terminoloģijas harmonizāciju,</w:t>
      </w:r>
      <w:r w:rsidRPr="009140F5" w:rsidR="00137A94">
        <w:rPr>
          <w:sz w:val="28"/>
          <w:szCs w:val="28"/>
        </w:rPr>
        <w:t xml:space="preserve"> </w:t>
      </w:r>
      <w:r w:rsidRPr="009140F5" w:rsidR="00E54D9D">
        <w:rPr>
          <w:sz w:val="28"/>
          <w:szCs w:val="28"/>
        </w:rPr>
        <w:t>administratīvo datu metadatu dokumentēšanu un pieejamību</w:t>
      </w:r>
      <w:r w:rsidRPr="009140F5" w:rsidR="00617B82">
        <w:rPr>
          <w:sz w:val="28"/>
          <w:szCs w:val="28"/>
        </w:rPr>
        <w:t>.</w:t>
      </w:r>
    </w:p>
    <w:p w:rsidR="00030238" w:rsidRPr="009140F5" w:rsidP="007E4F16" w14:paraId="2BBADD1C" w14:textId="54782D39">
      <w:pPr>
        <w:spacing w:after="60"/>
        <w:ind w:firstLine="720"/>
        <w:jc w:val="both"/>
        <w:rPr>
          <w:sz w:val="28"/>
          <w:szCs w:val="28"/>
        </w:rPr>
      </w:pPr>
      <w:r w:rsidRPr="009140F5">
        <w:rPr>
          <w:sz w:val="28"/>
          <w:szCs w:val="28"/>
        </w:rPr>
        <w:t xml:space="preserve">Līdz ar to, </w:t>
      </w:r>
      <w:r w:rsidRPr="009140F5" w:rsidR="00476B87">
        <w:rPr>
          <w:sz w:val="28"/>
          <w:szCs w:val="28"/>
        </w:rPr>
        <w:t>tiek i</w:t>
      </w:r>
      <w:r w:rsidRPr="009140F5">
        <w:rPr>
          <w:sz w:val="28"/>
          <w:szCs w:val="28"/>
        </w:rPr>
        <w:t>erosinā</w:t>
      </w:r>
      <w:r w:rsidRPr="009140F5" w:rsidR="00476B87">
        <w:rPr>
          <w:sz w:val="28"/>
          <w:szCs w:val="28"/>
        </w:rPr>
        <w:t>t</w:t>
      </w:r>
      <w:r w:rsidRPr="009140F5">
        <w:rPr>
          <w:sz w:val="28"/>
          <w:szCs w:val="28"/>
        </w:rPr>
        <w:t xml:space="preserve">s, apkopojot valstī esošās institucionālās zināšanas un prasmes, </w:t>
      </w:r>
      <w:r w:rsidRPr="009140F5" w:rsidR="00220DAD">
        <w:rPr>
          <w:sz w:val="28"/>
          <w:szCs w:val="28"/>
        </w:rPr>
        <w:t>un</w:t>
      </w:r>
      <w:r w:rsidRPr="009140F5" w:rsidR="00FD56C6">
        <w:rPr>
          <w:sz w:val="28"/>
          <w:szCs w:val="28"/>
        </w:rPr>
        <w:t>,</w:t>
      </w:r>
      <w:r w:rsidRPr="009140F5" w:rsidR="00220DAD">
        <w:rPr>
          <w:sz w:val="28"/>
          <w:szCs w:val="28"/>
        </w:rPr>
        <w:t xml:space="preserve"> ņemot vērā </w:t>
      </w:r>
      <w:r w:rsidRPr="009140F5" w:rsidR="00FD56C6">
        <w:rPr>
          <w:sz w:val="28"/>
          <w:szCs w:val="28"/>
        </w:rPr>
        <w:t xml:space="preserve">arī </w:t>
      </w:r>
      <w:r w:rsidRPr="009140F5" w:rsidR="00220DAD">
        <w:rPr>
          <w:sz w:val="28"/>
          <w:szCs w:val="28"/>
        </w:rPr>
        <w:t>citu valstu labo praksi</w:t>
      </w:r>
      <w:r>
        <w:rPr>
          <w:rStyle w:val="FootnoteReference"/>
          <w:sz w:val="28"/>
          <w:szCs w:val="28"/>
        </w:rPr>
        <w:footnoteReference w:id="3"/>
      </w:r>
      <w:r w:rsidRPr="009140F5" w:rsidR="00220DAD">
        <w:rPr>
          <w:sz w:val="28"/>
          <w:szCs w:val="28"/>
        </w:rPr>
        <w:t xml:space="preserve">, tai skaitā Igaunijas pieredzi, </w:t>
      </w:r>
      <w:r w:rsidRPr="009140F5">
        <w:rPr>
          <w:sz w:val="28"/>
          <w:szCs w:val="28"/>
        </w:rPr>
        <w:t xml:space="preserve">nodrošināt visiem administratīvo datu avotu turētajiem saistoša dokumenta (rokasgrāmatas) izstrādi, kurā  </w:t>
      </w:r>
      <w:r w:rsidRPr="009140F5" w:rsidR="000D396C">
        <w:rPr>
          <w:sz w:val="28"/>
          <w:szCs w:val="28"/>
        </w:rPr>
        <w:t xml:space="preserve">ir </w:t>
      </w:r>
      <w:r w:rsidRPr="009140F5">
        <w:rPr>
          <w:sz w:val="28"/>
          <w:szCs w:val="28"/>
        </w:rPr>
        <w:t>noteiktas  vienotas metodoloģiskās vadlīnijas  datu kvalitātes novērtēšanai un nodrošināšanai,</w:t>
      </w:r>
      <w:r w:rsidRPr="009140F5" w:rsidR="003C63C7">
        <w:rPr>
          <w:sz w:val="28"/>
          <w:szCs w:val="28"/>
        </w:rPr>
        <w:t xml:space="preserve"> </w:t>
      </w:r>
      <w:r w:rsidRPr="009140F5">
        <w:rPr>
          <w:sz w:val="28"/>
          <w:szCs w:val="28"/>
        </w:rPr>
        <w:t>iekļaujot</w:t>
      </w:r>
      <w:r w:rsidRPr="009140F5" w:rsidR="003C63C7">
        <w:rPr>
          <w:sz w:val="28"/>
          <w:szCs w:val="28"/>
        </w:rPr>
        <w:t>,</w:t>
      </w:r>
      <w:r w:rsidRPr="009140F5">
        <w:rPr>
          <w:sz w:val="28"/>
          <w:szCs w:val="28"/>
        </w:rPr>
        <w:t xml:space="preserve"> </w:t>
      </w:r>
      <w:r w:rsidRPr="009140F5" w:rsidR="003C63C7">
        <w:rPr>
          <w:sz w:val="28"/>
          <w:szCs w:val="28"/>
        </w:rPr>
        <w:t xml:space="preserve">tai skaitā, </w:t>
      </w:r>
      <w:r w:rsidRPr="009140F5">
        <w:rPr>
          <w:sz w:val="28"/>
          <w:szCs w:val="28"/>
        </w:rPr>
        <w:t>tādus vispārpieņemtus datu kvalitātes rādītājus kā atbilstība, precizitāte un uzticamība, savlaicīgums un punktualitāte, saskaņotība un salīdzināmība, pieejamība un skaidrība.</w:t>
      </w:r>
      <w:r w:rsidRPr="009140F5" w:rsidR="00933AFC">
        <w:rPr>
          <w:sz w:val="28"/>
          <w:szCs w:val="28"/>
        </w:rPr>
        <w:t xml:space="preserve"> </w:t>
      </w:r>
    </w:p>
    <w:p w:rsidR="00904BEF" w:rsidRPr="009140F5" w:rsidP="000E5228" w14:paraId="5636E8A7" w14:textId="0B52FFBE">
      <w:pPr>
        <w:spacing w:after="60"/>
        <w:ind w:firstLine="720"/>
        <w:jc w:val="both"/>
        <w:rPr>
          <w:sz w:val="28"/>
          <w:szCs w:val="28"/>
        </w:rPr>
      </w:pPr>
      <w:r w:rsidRPr="009140F5">
        <w:rPr>
          <w:sz w:val="28"/>
          <w:szCs w:val="28"/>
        </w:rPr>
        <w:t>2016.gadā realizēts Igaunijas Valsts informācijas sistēmas pārvaldes (RIA) pētījums, lai izveidotu reģistru turētāju datu kvalitātes mērīšanas rokasgrāmatu. RIA mērķis bija izstrādāt visaptverošu, vienkāršu un realizējamu metodoloģiju pašreizējā stāvokļa novērtēšanai, optimālā nepieciešamā kvalitātes līmeņa noteikšanai, attīstības plānošanai un procedūru izstrādei. Izstrādātā Datu kvalitātes rokasgrāmata nosaka reģistru lietošanas un administrēšanas metodoloģiju, metodes, organizatorisko struktūru, galvenās funkcijas, kas veicinātu tehniskus un semantiskus uzlabojumus reģistra datu kvalitātē. Tā ietver metodiku datu mērīšanai un kvalitātes nodrošināšanai valsts informācijas sistēmā kopumā. Rokasgrāmata nosaka metodoloģiju datu bāzes kvalitātes pārraudzībai un uzraudzībai, kā arī iekļauj rekomendācijas datu kvalitātes uzraudzībai. Rezultātā tika izveidoti deviņi datu kvalitātes rādītāji valsts informācijas sistēmas datu bāzu datu kvalitātes novērtējumam.</w:t>
      </w:r>
    </w:p>
    <w:p w:rsidR="000C1D2B" w:rsidP="000E5228" w14:paraId="783074C9" w14:textId="79DE45D4">
      <w:pPr>
        <w:spacing w:after="60"/>
        <w:ind w:firstLine="720"/>
        <w:jc w:val="both"/>
        <w:rPr>
          <w:sz w:val="28"/>
          <w:szCs w:val="28"/>
        </w:rPr>
      </w:pPr>
      <w:r w:rsidRPr="009140F5">
        <w:rPr>
          <w:sz w:val="28"/>
          <w:szCs w:val="28"/>
        </w:rPr>
        <w:t>Vienlaikus</w:t>
      </w:r>
      <w:r w:rsidRPr="009140F5" w:rsidR="00AC7B1A">
        <w:rPr>
          <w:sz w:val="28"/>
          <w:szCs w:val="28"/>
        </w:rPr>
        <w:t xml:space="preserve"> jāatzīmē, ka</w:t>
      </w:r>
      <w:r w:rsidRPr="009140F5" w:rsidR="00C95F18">
        <w:rPr>
          <w:sz w:val="28"/>
          <w:szCs w:val="28"/>
        </w:rPr>
        <w:t xml:space="preserve"> </w:t>
      </w:r>
      <w:r w:rsidRPr="009140F5" w:rsidR="00DC3459">
        <w:rPr>
          <w:sz w:val="28"/>
          <w:szCs w:val="28"/>
        </w:rPr>
        <w:t>u</w:t>
      </w:r>
      <w:r w:rsidRPr="009140F5" w:rsidR="00AC7B1A">
        <w:rPr>
          <w:sz w:val="28"/>
          <w:szCs w:val="28"/>
        </w:rPr>
        <w:t xml:space="preserve">zņēmēju sloga mazināšana </w:t>
      </w:r>
      <w:r w:rsidRPr="009140F5" w:rsidR="00DC3459">
        <w:rPr>
          <w:sz w:val="28"/>
          <w:szCs w:val="28"/>
        </w:rPr>
        <w:t xml:space="preserve">(gan </w:t>
      </w:r>
      <w:r w:rsidRPr="009140F5" w:rsidR="008157A4">
        <w:rPr>
          <w:sz w:val="28"/>
          <w:szCs w:val="28"/>
        </w:rPr>
        <w:t>administratīvo datu</w:t>
      </w:r>
      <w:r w:rsidRPr="009140F5" w:rsidR="00DC3459">
        <w:rPr>
          <w:sz w:val="28"/>
          <w:szCs w:val="28"/>
        </w:rPr>
        <w:t>, gan statistikas</w:t>
      </w:r>
      <w:r w:rsidRPr="009140F5" w:rsidR="008157A4">
        <w:rPr>
          <w:sz w:val="28"/>
          <w:szCs w:val="28"/>
        </w:rPr>
        <w:t xml:space="preserve"> datu</w:t>
      </w:r>
      <w:r w:rsidRPr="009140F5" w:rsidR="00197FBB">
        <w:rPr>
          <w:sz w:val="28"/>
          <w:szCs w:val="28"/>
        </w:rPr>
        <w:t xml:space="preserve"> jomā</w:t>
      </w:r>
      <w:r w:rsidRPr="009140F5" w:rsidR="00DC3459">
        <w:rPr>
          <w:sz w:val="28"/>
          <w:szCs w:val="28"/>
        </w:rPr>
        <w:t xml:space="preserve">) tieši ietekmē risku neiegūt nepieciešamo informāciju attīstības politikas dokumentu </w:t>
      </w:r>
      <w:r w:rsidRPr="009140F5" w:rsidR="00197FBB">
        <w:rPr>
          <w:sz w:val="28"/>
          <w:szCs w:val="28"/>
        </w:rPr>
        <w:t xml:space="preserve">un prognožu scenāriju </w:t>
      </w:r>
      <w:r w:rsidRPr="009140F5" w:rsidR="00DC3459">
        <w:rPr>
          <w:sz w:val="28"/>
          <w:szCs w:val="28"/>
        </w:rPr>
        <w:t>izstrādei</w:t>
      </w:r>
      <w:r w:rsidRPr="009140F5" w:rsidR="00533C74">
        <w:rPr>
          <w:sz w:val="28"/>
          <w:szCs w:val="28"/>
        </w:rPr>
        <w:t>, plānu korekcijām/pilnveid</w:t>
      </w:r>
      <w:r w:rsidRPr="009140F5">
        <w:rPr>
          <w:sz w:val="28"/>
          <w:szCs w:val="28"/>
        </w:rPr>
        <w:t>ei</w:t>
      </w:r>
      <w:r w:rsidRPr="009140F5" w:rsidR="00533C74">
        <w:rPr>
          <w:sz w:val="28"/>
          <w:szCs w:val="28"/>
        </w:rPr>
        <w:t xml:space="preserve"> un </w:t>
      </w:r>
      <w:r w:rsidRPr="009140F5" w:rsidR="00A010B1">
        <w:rPr>
          <w:sz w:val="28"/>
          <w:szCs w:val="28"/>
        </w:rPr>
        <w:t>pieņemto lēmumu</w:t>
      </w:r>
      <w:r w:rsidRPr="009140F5" w:rsidR="00197FBB">
        <w:rPr>
          <w:sz w:val="28"/>
          <w:szCs w:val="28"/>
        </w:rPr>
        <w:t xml:space="preserve"> </w:t>
      </w:r>
      <w:r w:rsidRPr="009140F5" w:rsidR="0020120D">
        <w:rPr>
          <w:sz w:val="28"/>
          <w:szCs w:val="28"/>
        </w:rPr>
        <w:t>izpildes uzraudzībai/</w:t>
      </w:r>
      <w:r w:rsidRPr="009140F5" w:rsidR="00DC3459">
        <w:rPr>
          <w:sz w:val="28"/>
          <w:szCs w:val="28"/>
        </w:rPr>
        <w:t>monitoringam. Mazinot iegūst</w:t>
      </w:r>
      <w:r w:rsidRPr="009140F5" w:rsidR="00476B87">
        <w:rPr>
          <w:sz w:val="28"/>
          <w:szCs w:val="28"/>
        </w:rPr>
        <w:t>a</w:t>
      </w:r>
      <w:r w:rsidRPr="009140F5" w:rsidR="00DC3459">
        <w:rPr>
          <w:sz w:val="28"/>
          <w:szCs w:val="28"/>
        </w:rPr>
        <w:t>mo datu apjomu, tiek mazināt</w:t>
      </w:r>
      <w:r w:rsidRPr="009140F5" w:rsidR="008157A4">
        <w:rPr>
          <w:sz w:val="28"/>
          <w:szCs w:val="28"/>
        </w:rPr>
        <w:t>a</w:t>
      </w:r>
      <w:r w:rsidRPr="009140F5" w:rsidR="00533C74">
        <w:rPr>
          <w:sz w:val="28"/>
          <w:szCs w:val="28"/>
        </w:rPr>
        <w:t xml:space="preserve"> un </w:t>
      </w:r>
      <w:r w:rsidRPr="009140F5" w:rsidR="00DC3459">
        <w:rPr>
          <w:sz w:val="28"/>
          <w:szCs w:val="28"/>
        </w:rPr>
        <w:t>ierobežota kvalitatīvas</w:t>
      </w:r>
      <w:r w:rsidRPr="009140F5" w:rsidR="00CD4E11">
        <w:rPr>
          <w:sz w:val="28"/>
          <w:szCs w:val="28"/>
        </w:rPr>
        <w:t>,</w:t>
      </w:r>
      <w:r w:rsidRPr="009140F5" w:rsidR="00DC3459">
        <w:rPr>
          <w:sz w:val="28"/>
          <w:szCs w:val="28"/>
        </w:rPr>
        <w:t xml:space="preserve"> daudzveidīgas</w:t>
      </w:r>
      <w:r w:rsidRPr="009140F5" w:rsidR="00CD4E11">
        <w:rPr>
          <w:sz w:val="28"/>
          <w:szCs w:val="28"/>
        </w:rPr>
        <w:t xml:space="preserve"> un pilnīgas</w:t>
      </w:r>
      <w:r w:rsidRPr="009140F5" w:rsidR="00DC3459">
        <w:rPr>
          <w:sz w:val="28"/>
          <w:szCs w:val="28"/>
        </w:rPr>
        <w:t xml:space="preserve"> informācijas pieejamība </w:t>
      </w:r>
      <w:r w:rsidRPr="009140F5" w:rsidR="008157A4">
        <w:rPr>
          <w:sz w:val="28"/>
          <w:szCs w:val="28"/>
        </w:rPr>
        <w:t xml:space="preserve">dažādu </w:t>
      </w:r>
      <w:r w:rsidRPr="009140F5" w:rsidR="00DC3459">
        <w:rPr>
          <w:sz w:val="28"/>
          <w:szCs w:val="28"/>
        </w:rPr>
        <w:t xml:space="preserve">sabiedrībai </w:t>
      </w:r>
      <w:r w:rsidRPr="009140F5" w:rsidR="008157A4">
        <w:rPr>
          <w:sz w:val="28"/>
          <w:szCs w:val="28"/>
        </w:rPr>
        <w:t xml:space="preserve">svarīgu </w:t>
      </w:r>
      <w:r w:rsidRPr="009140F5" w:rsidR="004D4EF6">
        <w:rPr>
          <w:sz w:val="28"/>
          <w:szCs w:val="28"/>
        </w:rPr>
        <w:t>procesu</w:t>
      </w:r>
      <w:r w:rsidRPr="009140F5" w:rsidR="00CD4E11">
        <w:rPr>
          <w:sz w:val="28"/>
          <w:szCs w:val="28"/>
        </w:rPr>
        <w:t>/notikumu</w:t>
      </w:r>
      <w:r w:rsidRPr="009140F5" w:rsidR="004D4EF6">
        <w:rPr>
          <w:sz w:val="28"/>
          <w:szCs w:val="28"/>
        </w:rPr>
        <w:t xml:space="preserve"> raksturojumam un </w:t>
      </w:r>
      <w:r w:rsidRPr="009140F5" w:rsidR="00DC3459">
        <w:rPr>
          <w:sz w:val="28"/>
          <w:szCs w:val="28"/>
        </w:rPr>
        <w:t xml:space="preserve">mērķu </w:t>
      </w:r>
      <w:r w:rsidRPr="009140F5" w:rsidR="008157A4">
        <w:rPr>
          <w:sz w:val="28"/>
          <w:szCs w:val="28"/>
        </w:rPr>
        <w:t>izpilde</w:t>
      </w:r>
      <w:r w:rsidRPr="009140F5" w:rsidR="004D4EF6">
        <w:rPr>
          <w:sz w:val="28"/>
          <w:szCs w:val="28"/>
        </w:rPr>
        <w:t xml:space="preserve">s kontroles </w:t>
      </w:r>
      <w:r w:rsidRPr="009140F5" w:rsidR="00DC3459">
        <w:rPr>
          <w:sz w:val="28"/>
          <w:szCs w:val="28"/>
        </w:rPr>
        <w:t>nodrošināšanai.</w:t>
      </w:r>
      <w:r w:rsidRPr="009140F5" w:rsidR="00C80846">
        <w:rPr>
          <w:sz w:val="28"/>
          <w:szCs w:val="28"/>
        </w:rPr>
        <w:t xml:space="preserve"> </w:t>
      </w:r>
      <w:r w:rsidRPr="009140F5">
        <w:rPr>
          <w:sz w:val="28"/>
          <w:szCs w:val="28"/>
        </w:rPr>
        <w:t>Līdz ar to jāveic</w:t>
      </w:r>
      <w:r w:rsidRPr="009140F5" w:rsidR="00A24F88">
        <w:rPr>
          <w:sz w:val="28"/>
          <w:szCs w:val="28"/>
        </w:rPr>
        <w:t xml:space="preserve"> stingra pieejamo datu analīze, lai uzņēmēju sloga mazināšana nenovestu pie statistikas datu samazināšanas un sabiedrības informētības samazināšanas kopumā</w:t>
      </w:r>
      <w:r w:rsidRPr="009140F5" w:rsidR="007F344F">
        <w:rPr>
          <w:sz w:val="28"/>
          <w:szCs w:val="28"/>
        </w:rPr>
        <w:t>.</w:t>
      </w:r>
      <w:r w:rsidRPr="009140F5" w:rsidR="00DC3459">
        <w:rPr>
          <w:sz w:val="28"/>
          <w:szCs w:val="28"/>
        </w:rPr>
        <w:t xml:space="preserve"> </w:t>
      </w:r>
    </w:p>
    <w:p w:rsidR="000F4B88" w:rsidRPr="00251E38" w:rsidP="00CC4EE6" w14:paraId="5804772A" w14:textId="131449F5">
      <w:pPr>
        <w:ind w:firstLine="720"/>
        <w:jc w:val="both"/>
        <w:rPr>
          <w:sz w:val="28"/>
          <w:szCs w:val="28"/>
        </w:rPr>
      </w:pPr>
      <w:r w:rsidRPr="00131370">
        <w:rPr>
          <w:sz w:val="28"/>
          <w:szCs w:val="28"/>
        </w:rPr>
        <w:t>Informatīvais ziņojum</w:t>
      </w:r>
      <w:r w:rsidRPr="00131370" w:rsidR="00131370">
        <w:rPr>
          <w:sz w:val="28"/>
          <w:szCs w:val="28"/>
        </w:rPr>
        <w:t xml:space="preserve">s </w:t>
      </w:r>
      <w:r w:rsidR="00131370">
        <w:rPr>
          <w:sz w:val="28"/>
          <w:szCs w:val="28"/>
        </w:rPr>
        <w:t>atspoguļo veicamos pasākumus un priekšlikumus turpmākai rīcībai. P</w:t>
      </w:r>
      <w:r w:rsidRPr="00131370">
        <w:rPr>
          <w:sz w:val="28"/>
          <w:szCs w:val="28"/>
        </w:rPr>
        <w:t>asākum</w:t>
      </w:r>
      <w:r w:rsidR="00131370">
        <w:rPr>
          <w:sz w:val="28"/>
          <w:szCs w:val="28"/>
        </w:rPr>
        <w:t>i</w:t>
      </w:r>
      <w:r w:rsidRPr="00131370">
        <w:rPr>
          <w:sz w:val="28"/>
          <w:szCs w:val="28"/>
        </w:rPr>
        <w:t xml:space="preserve"> administratīvā sloga mazināšanā un administratīvo datu avotu izmantošanā oficiālās statistikas nodrošināšanā apkopoti 1.tabulā. Tā raksturo pasākumu ietvaros sasniedzamos rezultātus, atbildīgās institūcijas ar izpildes termiņiem, kā arī norāda nepieciešamo finansējumu.</w:t>
      </w:r>
      <w:r w:rsidR="00077542">
        <w:rPr>
          <w:sz w:val="28"/>
          <w:szCs w:val="28"/>
        </w:rPr>
        <w:t xml:space="preserve"> </w:t>
      </w:r>
      <w:r w:rsidRPr="00251E38" w:rsidR="009467EA">
        <w:rPr>
          <w:sz w:val="28"/>
          <w:szCs w:val="28"/>
        </w:rPr>
        <w:t>Neiekļaujot</w:t>
      </w:r>
      <w:r w:rsidRPr="00251E38">
        <w:rPr>
          <w:sz w:val="28"/>
          <w:szCs w:val="28"/>
        </w:rPr>
        <w:t xml:space="preserve"> papildu pasākumus </w:t>
      </w:r>
      <w:r w:rsidRPr="009467EA" w:rsidR="006C3712">
        <w:rPr>
          <w:sz w:val="28"/>
          <w:szCs w:val="28"/>
        </w:rPr>
        <w:t xml:space="preserve">Valsts zemes dienesta </w:t>
      </w:r>
      <w:r w:rsidRPr="00251E38" w:rsidR="006C3712">
        <w:rPr>
          <w:sz w:val="28"/>
          <w:szCs w:val="28"/>
        </w:rPr>
        <w:t>Nekustamā īpašuma valsts kadastra informācijas sistēmas (NĪVKIS)</w:t>
      </w:r>
      <w:r w:rsidRPr="00251E38">
        <w:rPr>
          <w:sz w:val="28"/>
          <w:szCs w:val="28"/>
        </w:rPr>
        <w:t xml:space="preserve"> </w:t>
      </w:r>
      <w:r w:rsidRPr="00251E38">
        <w:rPr>
          <w:sz w:val="28"/>
          <w:szCs w:val="28"/>
        </w:rPr>
        <w:t>kvalitātes uzlabo</w:t>
      </w:r>
      <w:r w:rsidRPr="00251E38" w:rsidR="009467EA">
        <w:rPr>
          <w:sz w:val="28"/>
          <w:szCs w:val="28"/>
        </w:rPr>
        <w:t>šanai,</w:t>
      </w:r>
      <w:r w:rsidRPr="00251E38">
        <w:rPr>
          <w:sz w:val="28"/>
          <w:szCs w:val="28"/>
        </w:rPr>
        <w:t xml:space="preserve"> pastāv risks</w:t>
      </w:r>
      <w:r w:rsidR="00126CD1">
        <w:rPr>
          <w:sz w:val="28"/>
          <w:szCs w:val="28"/>
        </w:rPr>
        <w:t>, ka</w:t>
      </w:r>
      <w:r w:rsidRPr="00251E38">
        <w:rPr>
          <w:sz w:val="28"/>
          <w:szCs w:val="28"/>
        </w:rPr>
        <w:t xml:space="preserve"> </w:t>
      </w:r>
      <w:r w:rsidRPr="00251E38" w:rsidR="006C3712">
        <w:rPr>
          <w:sz w:val="28"/>
          <w:szCs w:val="28"/>
        </w:rPr>
        <w:t>2021.gada tautas skaitīšanai nepieciešam</w:t>
      </w:r>
      <w:r w:rsidR="00126CD1">
        <w:rPr>
          <w:sz w:val="28"/>
          <w:szCs w:val="28"/>
        </w:rPr>
        <w:t>ā</w:t>
      </w:r>
      <w:r w:rsidRPr="00251E38" w:rsidR="006C3712">
        <w:rPr>
          <w:sz w:val="28"/>
          <w:szCs w:val="28"/>
        </w:rPr>
        <w:t xml:space="preserve"> informācij</w:t>
      </w:r>
      <w:r w:rsidR="00126CD1">
        <w:rPr>
          <w:sz w:val="28"/>
          <w:szCs w:val="28"/>
        </w:rPr>
        <w:t>a netiks nodrošināta</w:t>
      </w:r>
      <w:r w:rsidRPr="00251E38" w:rsidR="006C3712">
        <w:rPr>
          <w:sz w:val="28"/>
          <w:szCs w:val="28"/>
        </w:rPr>
        <w:t xml:space="preserve"> </w:t>
      </w:r>
      <w:r w:rsidRPr="00251E38">
        <w:rPr>
          <w:sz w:val="28"/>
          <w:szCs w:val="28"/>
        </w:rPr>
        <w:t>pilnā apjomā un atbilstošā kvalitātē.</w:t>
      </w:r>
    </w:p>
    <w:p w:rsidR="00630B97" w:rsidP="00495049" w14:paraId="741D5446" w14:textId="04497B6B">
      <w:pPr>
        <w:spacing w:after="60"/>
        <w:ind w:firstLine="720"/>
        <w:jc w:val="both"/>
        <w:rPr>
          <w:sz w:val="28"/>
          <w:szCs w:val="28"/>
        </w:rPr>
      </w:pPr>
      <w:r>
        <w:rPr>
          <w:sz w:val="28"/>
          <w:szCs w:val="28"/>
        </w:rPr>
        <w:t>Priekšlikumu sadaļā</w:t>
      </w:r>
      <w:r w:rsidRPr="00131370">
        <w:rPr>
          <w:sz w:val="28"/>
          <w:szCs w:val="28"/>
        </w:rPr>
        <w:t xml:space="preserve"> tiek atspoguļoti turpmākās rīcības galvenie virzieni.</w:t>
      </w:r>
      <w:bookmarkEnd w:id="1"/>
    </w:p>
    <w:p w:rsidR="006224B9" w:rsidRPr="007D4015" w:rsidP="00495049" w14:paraId="0448154C" w14:textId="77777777">
      <w:pPr>
        <w:spacing w:after="60"/>
        <w:ind w:firstLine="720"/>
        <w:jc w:val="both"/>
        <w:rPr>
          <w:sz w:val="28"/>
          <w:szCs w:val="28"/>
        </w:rPr>
        <w:sectPr w:rsidSect="009467EA">
          <w:headerReference w:type="default" r:id="rId6"/>
          <w:footerReference w:type="default" r:id="rId7"/>
          <w:footerReference w:type="first" r:id="rId8"/>
          <w:pgSz w:w="11906" w:h="16838" w:code="9"/>
          <w:pgMar w:top="1134" w:right="737" w:bottom="1134" w:left="1701" w:header="709" w:footer="709" w:gutter="0"/>
          <w:pgNumType w:start="1"/>
          <w:cols w:space="708"/>
          <w:titlePg/>
          <w:docGrid w:linePitch="360"/>
        </w:sectPr>
      </w:pPr>
    </w:p>
    <w:p w:rsidR="00CF14B7" w:rsidRPr="009140F5" w:rsidP="009140F5" w14:paraId="56A5C352" w14:textId="5292F6D7">
      <w:pPr>
        <w:jc w:val="right"/>
      </w:pPr>
      <w:r w:rsidRPr="009140F5">
        <w:t>1.tabula</w:t>
      </w:r>
    </w:p>
    <w:p w:rsidR="00CF14B7" w:rsidRPr="009140F5" w:rsidP="009140F5" w14:paraId="6B1480BA" w14:textId="77777777">
      <w:pPr>
        <w:jc w:val="right"/>
        <w:rPr>
          <w:sz w:val="28"/>
          <w:szCs w:val="28"/>
        </w:rPr>
      </w:pPr>
    </w:p>
    <w:p w:rsidR="00CF14B7" w:rsidRPr="009140F5" w:rsidP="009140F5" w14:paraId="30430C63" w14:textId="1CE02338">
      <w:pPr>
        <w:jc w:val="center"/>
        <w:rPr>
          <w:b/>
          <w:sz w:val="28"/>
          <w:szCs w:val="28"/>
        </w:rPr>
      </w:pPr>
      <w:r w:rsidRPr="009140F5">
        <w:rPr>
          <w:b/>
          <w:sz w:val="28"/>
          <w:szCs w:val="28"/>
        </w:rPr>
        <w:t>Pasākumi administratīvā sloga mazināšanā un administratīvo datu avotu izmantošanā oficiālās statistikas nodrošināšanā</w:t>
      </w:r>
    </w:p>
    <w:p w:rsidR="00CF14B7" w14:paraId="37C372F9" w14:textId="77777777"/>
    <w:tbl>
      <w:tblPr>
        <w:tblW w:w="5000" w:type="pct"/>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627"/>
        <w:gridCol w:w="5043"/>
        <w:gridCol w:w="1418"/>
        <w:gridCol w:w="1984"/>
        <w:gridCol w:w="3686"/>
        <w:gridCol w:w="1796"/>
      </w:tblGrid>
      <w:tr w14:paraId="6B671395" w14:textId="77777777" w:rsidTr="009140F5">
        <w:tblPrEx>
          <w:tblW w:w="5000" w:type="pct"/>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blHeader/>
        </w:trPr>
        <w:tc>
          <w:tcPr>
            <w:tcW w:w="627" w:type="dxa"/>
            <w:tcBorders>
              <w:top w:val="outset" w:sz="6" w:space="0" w:color="414142"/>
              <w:left w:val="outset" w:sz="6" w:space="0" w:color="414142"/>
              <w:bottom w:val="outset" w:sz="6" w:space="0" w:color="414142"/>
              <w:right w:val="outset" w:sz="6" w:space="0" w:color="414142"/>
            </w:tcBorders>
            <w:shd w:val="clear" w:color="auto" w:fill="CCFFCC"/>
            <w:vAlign w:val="center"/>
            <w:hideMark/>
          </w:tcPr>
          <w:p w:rsidR="006A00E1" w:rsidRPr="00906829" w:rsidP="00D57F65" w14:paraId="2DA2557B" w14:textId="77777777">
            <w:pPr>
              <w:jc w:val="center"/>
              <w:rPr>
                <w:b/>
              </w:rPr>
            </w:pPr>
            <w:bookmarkEnd w:id="2"/>
            <w:r w:rsidRPr="00906829">
              <w:rPr>
                <w:b/>
              </w:rPr>
              <w:t>Nr.p.k</w:t>
            </w:r>
          </w:p>
        </w:tc>
        <w:tc>
          <w:tcPr>
            <w:tcW w:w="5043" w:type="dxa"/>
            <w:tcBorders>
              <w:top w:val="outset" w:sz="6" w:space="0" w:color="414142"/>
              <w:left w:val="outset" w:sz="6" w:space="0" w:color="414142"/>
              <w:bottom w:val="outset" w:sz="6" w:space="0" w:color="414142"/>
              <w:right w:val="outset" w:sz="6" w:space="0" w:color="414142"/>
            </w:tcBorders>
            <w:shd w:val="clear" w:color="auto" w:fill="CCFFCC"/>
            <w:vAlign w:val="center"/>
            <w:hideMark/>
          </w:tcPr>
          <w:p w:rsidR="006A00E1" w:rsidRPr="00906829" w:rsidP="00D57F65" w14:paraId="47B60C4D" w14:textId="77777777">
            <w:pPr>
              <w:jc w:val="center"/>
              <w:rPr>
                <w:b/>
              </w:rPr>
            </w:pPr>
            <w:r w:rsidRPr="00906829">
              <w:rPr>
                <w:b/>
              </w:rPr>
              <w:t>Pasākums</w:t>
            </w:r>
          </w:p>
        </w:tc>
        <w:tc>
          <w:tcPr>
            <w:tcW w:w="1418" w:type="dxa"/>
            <w:tcBorders>
              <w:top w:val="outset" w:sz="6" w:space="0" w:color="414142"/>
              <w:left w:val="outset" w:sz="6" w:space="0" w:color="414142"/>
              <w:bottom w:val="outset" w:sz="6" w:space="0" w:color="414142"/>
              <w:right w:val="outset" w:sz="6" w:space="0" w:color="414142"/>
            </w:tcBorders>
            <w:shd w:val="clear" w:color="auto" w:fill="CCFFCC"/>
            <w:vAlign w:val="center"/>
            <w:hideMark/>
          </w:tcPr>
          <w:p w:rsidR="006A00E1" w:rsidRPr="00906829" w:rsidP="00D57F65" w14:paraId="2E02BDCA" w14:textId="77777777">
            <w:pPr>
              <w:jc w:val="center"/>
              <w:rPr>
                <w:b/>
              </w:rPr>
            </w:pPr>
            <w:r w:rsidRPr="00906829">
              <w:rPr>
                <w:b/>
              </w:rPr>
              <w:t>Izpildes termiņš</w:t>
            </w:r>
          </w:p>
        </w:tc>
        <w:tc>
          <w:tcPr>
            <w:tcW w:w="1984" w:type="dxa"/>
            <w:tcBorders>
              <w:top w:val="outset" w:sz="6" w:space="0" w:color="414142"/>
              <w:left w:val="outset" w:sz="6" w:space="0" w:color="414142"/>
              <w:bottom w:val="outset" w:sz="6" w:space="0" w:color="414142"/>
              <w:right w:val="outset" w:sz="6" w:space="0" w:color="414142"/>
            </w:tcBorders>
            <w:shd w:val="clear" w:color="auto" w:fill="CCFFCC"/>
            <w:vAlign w:val="center"/>
            <w:hideMark/>
          </w:tcPr>
          <w:p w:rsidR="006A00E1" w:rsidRPr="00906829" w:rsidP="00D57F65" w14:paraId="3A37C3BA" w14:textId="77777777">
            <w:pPr>
              <w:jc w:val="center"/>
              <w:rPr>
                <w:b/>
              </w:rPr>
            </w:pPr>
            <w:r w:rsidRPr="00906829">
              <w:rPr>
                <w:b/>
              </w:rPr>
              <w:t xml:space="preserve">Atbildīgās institūcijas </w:t>
            </w:r>
          </w:p>
        </w:tc>
        <w:tc>
          <w:tcPr>
            <w:tcW w:w="3686" w:type="dxa"/>
            <w:tcBorders>
              <w:top w:val="outset" w:sz="6" w:space="0" w:color="414142"/>
              <w:left w:val="outset" w:sz="6" w:space="0" w:color="414142"/>
              <w:bottom w:val="outset" w:sz="6" w:space="0" w:color="414142"/>
              <w:right w:val="outset" w:sz="6" w:space="0" w:color="414142"/>
            </w:tcBorders>
            <w:shd w:val="clear" w:color="auto" w:fill="CCFFCC"/>
            <w:vAlign w:val="center"/>
            <w:hideMark/>
          </w:tcPr>
          <w:p w:rsidR="006A00E1" w:rsidRPr="00906829" w:rsidP="00D57F65" w14:paraId="085C8C24" w14:textId="77777777">
            <w:pPr>
              <w:jc w:val="center"/>
              <w:rPr>
                <w:b/>
              </w:rPr>
            </w:pPr>
            <w:r w:rsidRPr="00906829">
              <w:rPr>
                <w:b/>
              </w:rPr>
              <w:t>Darbības rezultāts</w:t>
            </w:r>
          </w:p>
        </w:tc>
        <w:tc>
          <w:tcPr>
            <w:tcW w:w="1796" w:type="dxa"/>
            <w:tcBorders>
              <w:top w:val="outset" w:sz="6" w:space="0" w:color="414142"/>
              <w:left w:val="outset" w:sz="6" w:space="0" w:color="414142"/>
              <w:bottom w:val="outset" w:sz="6" w:space="0" w:color="414142"/>
              <w:right w:val="outset" w:sz="6" w:space="0" w:color="414142"/>
            </w:tcBorders>
            <w:shd w:val="clear" w:color="auto" w:fill="CCFFCC"/>
            <w:vAlign w:val="center"/>
            <w:hideMark/>
          </w:tcPr>
          <w:p w:rsidR="006A00E1" w:rsidRPr="00906829" w:rsidP="009140F5" w14:paraId="075B3A19" w14:textId="02DB7F96">
            <w:pPr>
              <w:jc w:val="center"/>
              <w:rPr>
                <w:b/>
              </w:rPr>
            </w:pPr>
            <w:r w:rsidRPr="00906829">
              <w:rPr>
                <w:b/>
              </w:rPr>
              <w:t>Finansējuma avots un apmērs</w:t>
            </w:r>
            <w:r w:rsidRPr="00906829">
              <w:rPr>
                <w:b/>
              </w:rPr>
              <w:t xml:space="preserve"> </w:t>
            </w:r>
          </w:p>
        </w:tc>
      </w:tr>
      <w:tr w14:paraId="49055544" w14:textId="77777777" w:rsidTr="009140F5">
        <w:tblPrEx>
          <w:tblW w:w="5000" w:type="pct"/>
          <w:tblInd w:w="-8" w:type="dxa"/>
          <w:shd w:val="clear" w:color="auto" w:fill="FFFFFF"/>
          <w:tblLayout w:type="fixed"/>
          <w:tblCellMar>
            <w:top w:w="30" w:type="dxa"/>
            <w:left w:w="30" w:type="dxa"/>
            <w:bottom w:w="30" w:type="dxa"/>
            <w:right w:w="30" w:type="dxa"/>
          </w:tblCellMar>
          <w:tblLook w:val="04A0"/>
        </w:tblPrEx>
        <w:tc>
          <w:tcPr>
            <w:tcW w:w="627" w:type="dxa"/>
            <w:tcBorders>
              <w:top w:val="outset" w:sz="6" w:space="0" w:color="414142"/>
              <w:left w:val="outset" w:sz="6" w:space="0" w:color="414142"/>
              <w:bottom w:val="outset" w:sz="6" w:space="0" w:color="414142"/>
              <w:right w:val="outset" w:sz="6" w:space="0" w:color="414142"/>
            </w:tcBorders>
            <w:shd w:val="clear" w:color="auto" w:fill="FFFFFF"/>
            <w:hideMark/>
          </w:tcPr>
          <w:p w:rsidR="006A00E1" w:rsidRPr="00214510" w:rsidP="00D57F65" w14:paraId="6C673C9A" w14:textId="77777777">
            <w:pPr>
              <w:jc w:val="center"/>
            </w:pPr>
            <w:r w:rsidRPr="00214510">
              <w:t>1.</w:t>
            </w:r>
          </w:p>
        </w:tc>
        <w:tc>
          <w:tcPr>
            <w:tcW w:w="5043" w:type="dxa"/>
            <w:tcBorders>
              <w:top w:val="outset" w:sz="6" w:space="0" w:color="414142"/>
              <w:left w:val="outset" w:sz="6" w:space="0" w:color="414142"/>
              <w:bottom w:val="outset" w:sz="6" w:space="0" w:color="414142"/>
              <w:right w:val="outset" w:sz="6" w:space="0" w:color="414142"/>
            </w:tcBorders>
            <w:shd w:val="clear" w:color="auto" w:fill="FFFFFF"/>
            <w:hideMark/>
          </w:tcPr>
          <w:p w:rsidR="006A00E1" w:rsidRPr="00214510" w:rsidP="00ED4680" w14:paraId="4F8CDB5A" w14:textId="77777777">
            <w:pPr>
              <w:jc w:val="both"/>
              <w:rPr>
                <w:b/>
              </w:rPr>
            </w:pPr>
            <w:r w:rsidRPr="00214510">
              <w:rPr>
                <w:b/>
              </w:rPr>
              <w:t xml:space="preserve">Tehnisko risinājumu izstrāde Gada pārskatu datu pieejamībai </w:t>
            </w:r>
          </w:p>
          <w:p w:rsidR="006A00E1" w:rsidRPr="00214510" w:rsidP="00ED4680" w14:paraId="69C7EBD3" w14:textId="77777777">
            <w:pPr>
              <w:jc w:val="both"/>
            </w:pPr>
            <w:r w:rsidRPr="00214510">
              <w:t xml:space="preserve">Līdz 2017. beigām Valsts ieņēmumu dienests (turpmāk - VID) plāno sava budžeta ietvaros  izveidot jaunu servisu -  Gada pārskatu (turpmāk - GP) datu nodošanai un realizācijai. Sākotnēji šo servisu plānots publicēt tikai VID informācijas sistēmu savietotājā (VID ISS) un pārpublicēt Valsts informāciju sistēmu savietotājā (turpmāk - VISS), kad VISS tiks veikti pielāgojumi un pārpublicēšanai nebūs vajadzīga papildus izstrāde. Dati šādā gadījumā tiek atgriezti XML formātā neatkarīgi no tā, kurā Savietotājā ir publicēti servisi. </w:t>
            </w:r>
          </w:p>
          <w:p w:rsidR="006A00E1" w:rsidRPr="00214510" w:rsidP="00ED4680" w14:paraId="35AEFF94" w14:textId="77777777">
            <w:pPr>
              <w:jc w:val="both"/>
            </w:pPr>
            <w:r w:rsidRPr="00214510">
              <w:t xml:space="preserve">Pārvalde, izmantojot jauno GP web servisu, varētu iegūt nepieciešamo, aktuālo informāciju. Ņemot vērā, ka respondenti pārskatus aizpilda elektroniski EDV, tad GP datus šajos pārskatos varēs ielasīt no VID servisa. </w:t>
            </w:r>
          </w:p>
          <w:p w:rsidR="006A00E1" w:rsidRPr="00214510" w:rsidP="00ED4680" w14:paraId="158FA942" w14:textId="77777777">
            <w:pPr>
              <w:jc w:val="both"/>
            </w:pPr>
            <w:r w:rsidRPr="00214510">
              <w:t xml:space="preserve">GP informācijas saņemšana tiešsaistes režīmā ļaus veikt datu operatīvu priekšiedruku veidlapās, līdz ar to respondents, aizpildīs tikai tukšās rindas vai akceptēs jau esošos ierakstus. Tā rezultātā samazināsies patērētais laiks informācijas sagatavošanai un veidlapas aizpildīšanai, kā arī tiks iegūta papildu informācija datu pārbaudei un </w:t>
            </w:r>
            <w:r w:rsidRPr="00214510">
              <w:t>saskaņošanai, bet Pārvalde rastu iespēju optimizēt datu vākšanas un apstrādes procesu un samazināt administratīvo slogu.</w:t>
            </w:r>
          </w:p>
        </w:tc>
        <w:tc>
          <w:tcPr>
            <w:tcW w:w="1418" w:type="dxa"/>
            <w:tcBorders>
              <w:top w:val="outset" w:sz="6" w:space="0" w:color="414142"/>
              <w:left w:val="outset" w:sz="6" w:space="0" w:color="414142"/>
              <w:bottom w:val="outset" w:sz="6" w:space="0" w:color="414142"/>
              <w:right w:val="outset" w:sz="6" w:space="0" w:color="414142"/>
            </w:tcBorders>
            <w:shd w:val="clear" w:color="auto" w:fill="FFFFFF"/>
            <w:hideMark/>
          </w:tcPr>
          <w:p w:rsidR="006A00E1" w:rsidRPr="00214510" w:rsidP="002A2E67" w14:paraId="435D104F" w14:textId="77777777">
            <w:r w:rsidRPr="00214510">
              <w:t>31.12.2018.</w:t>
            </w:r>
          </w:p>
        </w:tc>
        <w:tc>
          <w:tcPr>
            <w:tcW w:w="1984" w:type="dxa"/>
            <w:tcBorders>
              <w:top w:val="outset" w:sz="6" w:space="0" w:color="414142"/>
              <w:left w:val="outset" w:sz="6" w:space="0" w:color="414142"/>
              <w:bottom w:val="outset" w:sz="6" w:space="0" w:color="414142"/>
              <w:right w:val="outset" w:sz="6" w:space="0" w:color="414142"/>
            </w:tcBorders>
            <w:shd w:val="clear" w:color="auto" w:fill="FFFFFF"/>
            <w:hideMark/>
          </w:tcPr>
          <w:p w:rsidR="006A00E1" w:rsidRPr="00214510" w:rsidP="00D57F65" w14:paraId="64477D8A" w14:textId="77777777">
            <w:r w:rsidRPr="00214510">
              <w:t>Valsts ieņēmumu dienests, Centrālā statistikas pārvalde</w:t>
            </w:r>
          </w:p>
          <w:p w:rsidR="006A00E1" w:rsidRPr="00214510" w:rsidP="00D57F65" w14:paraId="25A804FB" w14:textId="77777777"/>
        </w:tc>
        <w:tc>
          <w:tcPr>
            <w:tcW w:w="3686" w:type="dxa"/>
            <w:tcBorders>
              <w:top w:val="outset" w:sz="6" w:space="0" w:color="414142"/>
              <w:left w:val="outset" w:sz="6" w:space="0" w:color="414142"/>
              <w:bottom w:val="outset" w:sz="6" w:space="0" w:color="414142"/>
              <w:right w:val="outset" w:sz="6" w:space="0" w:color="414142"/>
            </w:tcBorders>
            <w:shd w:val="clear" w:color="auto" w:fill="FFFFFF"/>
            <w:hideMark/>
          </w:tcPr>
          <w:p w:rsidR="006A00E1" w:rsidRPr="00BF5D64" w:rsidP="005D1860" w14:paraId="39D3CF99" w14:textId="12B15BE8">
            <w:r w:rsidRPr="00BF5D64">
              <w:t>Nodrošināta operatīva Gada pārskatu saņemšana Pārvaldē, izmantojot VISS</w:t>
            </w:r>
            <w:r w:rsidRPr="00BF5D64" w:rsidR="00271AA2">
              <w:t xml:space="preserve"> vai VID ISS</w:t>
            </w:r>
            <w:r w:rsidRPr="00BF5D64">
              <w:t>:</w:t>
            </w:r>
          </w:p>
          <w:p w:rsidR="006A00E1" w:rsidRPr="00214510" w:rsidP="005D1860" w14:paraId="0DD00630" w14:textId="77777777">
            <w:r w:rsidRPr="00BF5D64">
              <w:t>1. Samazināts  1-gada</w:t>
            </w:r>
            <w:r w:rsidRPr="00214510">
              <w:t xml:space="preserve"> “Kompleksais pārskats par darbību” datu vākšanas un apstrādes laiks par 10 darba dienām;</w:t>
            </w:r>
          </w:p>
          <w:p w:rsidR="006A00E1" w:rsidRPr="00214510" w:rsidP="00ED4680" w14:paraId="008A1E9B" w14:textId="77777777">
            <w:r w:rsidRPr="00214510">
              <w:t>2.Nodrošināta informācijas priekšiedruka, samazinot pārskatos aizpildāmo rindu skaitu par 20% un respondentu patērēto laiku pārskata 1- gada “Kompleksais pārskats par darbību” aizpildīšanā par 20-30 minūtēm vienam pārskatam.</w:t>
            </w:r>
          </w:p>
        </w:tc>
        <w:tc>
          <w:tcPr>
            <w:tcW w:w="1796" w:type="dxa"/>
            <w:tcBorders>
              <w:top w:val="outset" w:sz="6" w:space="0" w:color="414142"/>
              <w:left w:val="outset" w:sz="6" w:space="0" w:color="414142"/>
              <w:bottom w:val="outset" w:sz="6" w:space="0" w:color="414142"/>
              <w:right w:val="outset" w:sz="6" w:space="0" w:color="414142"/>
            </w:tcBorders>
            <w:shd w:val="clear" w:color="auto" w:fill="FFFFFF"/>
          </w:tcPr>
          <w:p w:rsidR="006A00E1" w:rsidRPr="00214510" w:rsidP="00D57F65" w14:paraId="4DC4D881" w14:textId="5EB4869E">
            <w:r w:rsidRPr="00214510">
              <w:t>Valsts ieņēmumu dienesta un Centrālās statistikas pārvaldes budžeta ietvaros</w:t>
            </w:r>
          </w:p>
        </w:tc>
      </w:tr>
      <w:tr w14:paraId="35D4019A" w14:textId="77777777" w:rsidTr="009140F5">
        <w:tblPrEx>
          <w:tblW w:w="5000" w:type="pct"/>
          <w:tblInd w:w="-8" w:type="dxa"/>
          <w:shd w:val="clear" w:color="auto" w:fill="FFFFFF"/>
          <w:tblLayout w:type="fixed"/>
          <w:tblCellMar>
            <w:top w:w="30" w:type="dxa"/>
            <w:left w:w="30" w:type="dxa"/>
            <w:bottom w:w="30" w:type="dxa"/>
            <w:right w:w="30" w:type="dxa"/>
          </w:tblCellMar>
          <w:tblLook w:val="04A0"/>
        </w:tblPrEx>
        <w:tc>
          <w:tcPr>
            <w:tcW w:w="627" w:type="dxa"/>
            <w:tcBorders>
              <w:top w:val="outset" w:sz="6" w:space="0" w:color="414142"/>
              <w:left w:val="outset" w:sz="6" w:space="0" w:color="414142"/>
              <w:bottom w:val="outset" w:sz="6" w:space="0" w:color="414142"/>
              <w:right w:val="outset" w:sz="6" w:space="0" w:color="414142"/>
            </w:tcBorders>
            <w:shd w:val="clear" w:color="auto" w:fill="FFFFFF"/>
            <w:hideMark/>
          </w:tcPr>
          <w:p w:rsidR="00DA6707" w:rsidRPr="00906829" w:rsidP="00DA6707" w14:paraId="6CA4EF83" w14:textId="77777777">
            <w:pPr>
              <w:jc w:val="center"/>
            </w:pPr>
            <w:r w:rsidRPr="00906829">
              <w:t>2.</w:t>
            </w:r>
          </w:p>
        </w:tc>
        <w:tc>
          <w:tcPr>
            <w:tcW w:w="5043" w:type="dxa"/>
            <w:tcBorders>
              <w:top w:val="outset" w:sz="6" w:space="0" w:color="414142"/>
              <w:left w:val="outset" w:sz="6" w:space="0" w:color="414142"/>
              <w:bottom w:val="outset" w:sz="6" w:space="0" w:color="414142"/>
              <w:right w:val="outset" w:sz="6" w:space="0" w:color="414142"/>
            </w:tcBorders>
            <w:shd w:val="clear" w:color="auto" w:fill="FFFFFF"/>
            <w:hideMark/>
          </w:tcPr>
          <w:p w:rsidR="00DA6707" w:rsidRPr="00906829" w:rsidP="00DA6707" w14:paraId="3A3088A0" w14:textId="3E1C8AA5">
            <w:pPr>
              <w:jc w:val="both"/>
            </w:pPr>
            <w:r>
              <w:rPr>
                <w:rFonts w:eastAsiaTheme="minorHAnsi"/>
                <w:b/>
                <w:bCs/>
                <w:color w:val="000000"/>
                <w:lang w:eastAsia="en-US"/>
              </w:rPr>
              <w:t>Gada pārskatu sastāvdaļas - finanšu pārskata pielikuma iesniegšana elektroniskā noraksta formā</w:t>
            </w:r>
            <w:r>
              <w:rPr>
                <w:rFonts w:eastAsiaTheme="minorHAnsi"/>
                <w:color w:val="000000"/>
                <w:lang w:eastAsia="en-US"/>
              </w:rPr>
              <w:t xml:space="preserve"> </w:t>
            </w:r>
            <w:r>
              <w:rPr>
                <w:rFonts w:eastAsiaTheme="minorHAnsi"/>
                <w:color w:val="000000"/>
                <w:lang w:eastAsia="en-US"/>
              </w:rPr>
              <w:br/>
              <w:t>Saskaņā ar Gada pārskatu un konsolidēto gada pārskatu likumu izdotie Ministru kabineta noteikumi nosaka kārtību, kādā finanšu pārskata pielikums tiek sagatavots (2016. gada 21. jūnijā Ministru kabineta noteikumi Nr. 399 “Noteikumi par sabiedrību sagatavoto finanšu pārskatu vai konsolidēto finanšu pārskatu elektroniskā noraksta formu” (turpmāk - Noteikumi) 9. punkts). Noteikumu 10. punkts paredz, ka subjekti, kuriem atļauts sagatavot gada pārskatu vai konsolidēto gada pārskatu atbilstoši starptautiskajiem grāmatvedības standartiem, kas pieņemti saskaņā ar Eiropas Parlamenta un Padomes 2002. gada 19. jūlija Regulu (EK) Nr. 1606/2002 par starptautisko grāmatvedības standartu piemērošanu, finanšu pārskata pielikumu elektroniskās deklarēšanas sistēmā (EDS) var iesniegt kā papīra veidā sagatavotā finanšu pārskata pielikuma elektronisku kopiju.</w:t>
            </w:r>
            <w:r w:rsidR="00D77EC7">
              <w:rPr>
                <w:rFonts w:eastAsiaTheme="minorHAnsi"/>
                <w:color w:val="000000"/>
                <w:lang w:eastAsia="en-US"/>
              </w:rPr>
              <w:t xml:space="preserve"> </w:t>
            </w:r>
            <w:r w:rsidR="00524B9B">
              <w:rPr>
                <w:rFonts w:eastAsiaTheme="minorHAnsi"/>
                <w:color w:val="000000"/>
                <w:lang w:eastAsia="en-US"/>
              </w:rPr>
              <w:t xml:space="preserve">2018.gada 16.janvāra </w:t>
            </w:r>
            <w:r w:rsidR="00524B9B">
              <w:rPr>
                <w:color w:val="000000"/>
              </w:rPr>
              <w:t xml:space="preserve">Ministru kabineta noteikumi Nr.33 “Grozījumi Ministru kabineta 2016.gada 21.jūnija noteikumos Nr.399 </w:t>
            </w:r>
            <w:r w:rsidRPr="00D77EC7" w:rsidR="00524B9B">
              <w:t>"</w:t>
            </w:r>
            <w:r>
              <w:fldChar w:fldCharType="begin"/>
            </w:r>
            <w:r>
              <w:instrText xml:space="preserve"> HYPERLINK "https://likumi.lv/ta/id/283109-noteikumi-par-sabiedribu-sagatavoto-finansu-parskatu-vai-konsolideto-finansu-parskatu-elektroniska-noraksta-formu" </w:instrText>
            </w:r>
            <w:r>
              <w:fldChar w:fldCharType="separate"/>
            </w:r>
            <w:r w:rsidRPr="00D77EC7" w:rsidR="00524B9B">
              <w:t>Noteikumi par sabiedrību sagatavoto finanšu pārskatu vai konsolidēto finanšu pārskatu elektroniskā noraksta formu</w:t>
            </w:r>
            <w:r>
              <w:fldChar w:fldCharType="end"/>
            </w:r>
            <w:r w:rsidRPr="00D77EC7" w:rsidR="00524B9B">
              <w:t>" nosaka</w:t>
            </w:r>
            <w:r>
              <w:rPr>
                <w:rFonts w:eastAsiaTheme="minorHAnsi"/>
                <w:color w:val="000000"/>
                <w:lang w:eastAsia="en-US"/>
              </w:rPr>
              <w:t xml:space="preserve">, ka </w:t>
            </w:r>
            <w:r>
              <w:rPr>
                <w:rFonts w:eastAsiaTheme="minorHAnsi"/>
                <w:color w:val="000000"/>
                <w:lang w:eastAsia="en-US"/>
              </w:rPr>
              <w:t xml:space="preserve">visas sabiedrības pārskatus par 2017. gadu var iesniegt kā papīra veidā sagatavotā finanšu pārskata pielikuma elektronisku kopiju. </w:t>
            </w:r>
            <w:r>
              <w:rPr>
                <w:rFonts w:eastAsiaTheme="minorHAnsi"/>
                <w:color w:val="000000"/>
                <w:lang w:eastAsia="en-US"/>
              </w:rPr>
              <w:br/>
              <w:t>Lai rastu iespējas mazināt slogu respondentiem pārskatu 1- gada “Kompleksais pārskats par darbību” un 1-ieguldījumi “Pārskats par ieguldījumiem aizpildīšanā, sākot ar 2018. pārskata gadu nepieciešams sabiedrības sagatavotā gada pārskatu sastāvdaļu - finanšu pārskata pielikumu 2018. gadu elektroniskās deklarēšanas sistēmā (EDS) iesniegt vienīgi elektroniskā noraksta formā (kura noteikta Noteikumu pielikumā), izņemot subjektus, kuriem atļauts sagatavot gada pārskatu vai konsolidēto gada pārskatu atbilstoši starptautiskajiem grāmatvedības standartiem.</w:t>
            </w:r>
          </w:p>
        </w:tc>
        <w:tc>
          <w:tcPr>
            <w:tcW w:w="1418" w:type="dxa"/>
            <w:tcBorders>
              <w:top w:val="outset" w:sz="6" w:space="0" w:color="414142"/>
              <w:left w:val="outset" w:sz="6" w:space="0" w:color="414142"/>
              <w:bottom w:val="outset" w:sz="6" w:space="0" w:color="414142"/>
              <w:right w:val="outset" w:sz="6" w:space="0" w:color="414142"/>
            </w:tcBorders>
            <w:shd w:val="clear" w:color="auto" w:fill="FFFFFF"/>
            <w:hideMark/>
          </w:tcPr>
          <w:p w:rsidR="00DA6707" w:rsidRPr="00906829" w:rsidP="00DA6707" w14:paraId="72F642EE" w14:textId="77777777">
            <w:pPr>
              <w:spacing w:before="100" w:beforeAutospacing="1" w:after="100" w:afterAutospacing="1" w:line="293" w:lineRule="atLeast"/>
            </w:pPr>
            <w:r w:rsidRPr="00906829">
              <w:t>31.12.2019.</w:t>
            </w:r>
          </w:p>
        </w:tc>
        <w:tc>
          <w:tcPr>
            <w:tcW w:w="1984" w:type="dxa"/>
            <w:tcBorders>
              <w:top w:val="outset" w:sz="6" w:space="0" w:color="414142"/>
              <w:left w:val="outset" w:sz="6" w:space="0" w:color="414142"/>
              <w:bottom w:val="outset" w:sz="6" w:space="0" w:color="414142"/>
              <w:right w:val="outset" w:sz="6" w:space="0" w:color="414142"/>
            </w:tcBorders>
            <w:shd w:val="clear" w:color="auto" w:fill="FFFFFF"/>
            <w:hideMark/>
          </w:tcPr>
          <w:p w:rsidR="00DA6707" w:rsidRPr="00906829" w:rsidP="00DA6707" w14:paraId="6C72985F" w14:textId="77777777">
            <w:r w:rsidRPr="00906829">
              <w:t xml:space="preserve">Finanšu ministrija, Valsts ieņēmumu dienests, Centrālā statistikas pārvalde </w:t>
            </w:r>
          </w:p>
        </w:tc>
        <w:tc>
          <w:tcPr>
            <w:tcW w:w="3686" w:type="dxa"/>
            <w:tcBorders>
              <w:top w:val="outset" w:sz="6" w:space="0" w:color="414142"/>
              <w:left w:val="outset" w:sz="6" w:space="0" w:color="414142"/>
              <w:bottom w:val="outset" w:sz="6" w:space="0" w:color="414142"/>
              <w:right w:val="outset" w:sz="6" w:space="0" w:color="414142"/>
            </w:tcBorders>
            <w:shd w:val="clear" w:color="auto" w:fill="FFFFFF"/>
            <w:hideMark/>
          </w:tcPr>
          <w:p w:rsidR="00DA6707" w:rsidRPr="00906829" w:rsidP="00DA6707" w14:paraId="2726623B" w14:textId="6D85B538">
            <w:r w:rsidRPr="00DA6707">
              <w:rPr>
                <w:rFonts w:eastAsiaTheme="minorHAnsi"/>
                <w:color w:val="000000"/>
                <w:lang w:eastAsia="en-US"/>
              </w:rPr>
              <w:t>Par 30% samazināts vākto datu apjoms statistikas pārskatiem 1- gada “Kompleksais pārskats par darbību” un 1-ieguldījumi “Pārskats par ieguldījumiem”, ko nodrošina gada pārskatu sastāvdaļas - finanšu pārskata pielikuma sabiedrību iesniegšana EDS elektroniskā noraksta formā.</w:t>
            </w:r>
          </w:p>
        </w:tc>
        <w:tc>
          <w:tcPr>
            <w:tcW w:w="1796" w:type="dxa"/>
            <w:tcBorders>
              <w:top w:val="outset" w:sz="6" w:space="0" w:color="414142"/>
              <w:left w:val="outset" w:sz="6" w:space="0" w:color="414142"/>
              <w:bottom w:val="outset" w:sz="6" w:space="0" w:color="414142"/>
              <w:right w:val="outset" w:sz="6" w:space="0" w:color="414142"/>
            </w:tcBorders>
            <w:shd w:val="clear" w:color="auto" w:fill="FFFFFF"/>
          </w:tcPr>
          <w:p w:rsidR="00DA6707" w:rsidRPr="00906829" w:rsidP="00DA6707" w14:paraId="06932B6F" w14:textId="77777777">
            <w:r w:rsidRPr="00906829">
              <w:t>Finanšu ministrijas, Valsts ieņēmumu dienesta un Centrālās statistikas pārvaldes budžeta ietvaros</w:t>
            </w:r>
          </w:p>
        </w:tc>
      </w:tr>
      <w:tr w14:paraId="08144912" w14:textId="77777777" w:rsidTr="009140F5">
        <w:tblPrEx>
          <w:tblW w:w="5000" w:type="pct"/>
          <w:tblInd w:w="-8" w:type="dxa"/>
          <w:shd w:val="clear" w:color="auto" w:fill="FFFFFF"/>
          <w:tblLayout w:type="fixed"/>
          <w:tblCellMar>
            <w:top w:w="30" w:type="dxa"/>
            <w:left w:w="30" w:type="dxa"/>
            <w:bottom w:w="30" w:type="dxa"/>
            <w:right w:w="30" w:type="dxa"/>
          </w:tblCellMar>
          <w:tblLook w:val="04A0"/>
        </w:tblPrEx>
        <w:tc>
          <w:tcPr>
            <w:tcW w:w="627" w:type="dxa"/>
            <w:tcBorders>
              <w:top w:val="outset" w:sz="6" w:space="0" w:color="414142"/>
              <w:left w:val="outset" w:sz="6" w:space="0" w:color="414142"/>
              <w:bottom w:val="outset" w:sz="6" w:space="0" w:color="414142"/>
              <w:right w:val="outset" w:sz="6" w:space="0" w:color="414142"/>
            </w:tcBorders>
            <w:shd w:val="clear" w:color="auto" w:fill="FFFFFF"/>
          </w:tcPr>
          <w:p w:rsidR="006A00E1" w:rsidRPr="00214510" w:rsidP="00D57F65" w14:paraId="214E3A3A" w14:textId="77777777">
            <w:r w:rsidRPr="00214510">
              <w:t>3.</w:t>
            </w:r>
          </w:p>
        </w:tc>
        <w:tc>
          <w:tcPr>
            <w:tcW w:w="5043" w:type="dxa"/>
            <w:tcBorders>
              <w:top w:val="outset" w:sz="6" w:space="0" w:color="414142"/>
              <w:left w:val="outset" w:sz="6" w:space="0" w:color="414142"/>
              <w:bottom w:val="outset" w:sz="6" w:space="0" w:color="414142"/>
              <w:right w:val="outset" w:sz="6" w:space="0" w:color="414142"/>
            </w:tcBorders>
            <w:shd w:val="clear" w:color="auto" w:fill="FFFFFF"/>
          </w:tcPr>
          <w:p w:rsidR="006A00E1" w:rsidRPr="00214510" w:rsidP="00D57F65" w14:paraId="511C8F46" w14:textId="32C4E698">
            <w:pPr>
              <w:rPr>
                <w:b/>
              </w:rPr>
            </w:pPr>
            <w:r w:rsidRPr="00214510">
              <w:rPr>
                <w:b/>
              </w:rPr>
              <w:t>Sadarbības paplašināšana a</w:t>
            </w:r>
            <w:r w:rsidRPr="00214510">
              <w:rPr>
                <w:b/>
              </w:rPr>
              <w:t>dministratīvo datu kvalitātes  uzlabošana</w:t>
            </w:r>
            <w:r w:rsidRPr="00214510">
              <w:rPr>
                <w:b/>
              </w:rPr>
              <w:t>i un administratīvā sloga mazināšanā</w:t>
            </w:r>
          </w:p>
          <w:p w:rsidR="006A00E1" w:rsidRPr="00214510" w:rsidP="00446F94" w14:paraId="4FB13FDA" w14:textId="78B2F34E">
            <w:pPr>
              <w:jc w:val="both"/>
            </w:pPr>
            <w:r w:rsidRPr="00214510">
              <w:t xml:space="preserve">Regulāras diskusijas par uzņēmumu papildu administratīvo slogu pārskatu iesniegšanā, tai skaitā dublējošas informācijas sniegšanu, papildu izmaksu veidošanos, administratīvo datu kvalitātes uzlabošana nosaka nepieciešamību izveidot pastāvīgu </w:t>
            </w:r>
            <w:r w:rsidRPr="00214510" w:rsidR="006C7A54">
              <w:t>forumu</w:t>
            </w:r>
            <w:r w:rsidRPr="00214510">
              <w:t xml:space="preserve"> šo jautājumu risināšanā un kopīga viedokļa formulēšanā. Svarīgi ir arī iesaistīt  uzņēmēju un grāmatvežu asociācijas pārstāvjus, lai skaidrotu esošās datu/informācijas ieguves prasības un ar to saistītos nosacījumus, pamatojumus, problēmas, kā arī uzklausītu datu lietotājus. </w:t>
            </w:r>
          </w:p>
          <w:p w:rsidR="006A00E1" w:rsidRPr="00214510" w:rsidP="00D57F65" w14:paraId="5DEB7CB7" w14:textId="77777777">
            <w:pPr>
              <w:jc w:val="both"/>
            </w:pPr>
            <w:r w:rsidRPr="00214510">
              <w:t>Savukārt, VID datu noliktavas datu papildu validācijas nosacījumu ieviešana veicinās statistikas datu apstrādes termiņu samazināšanu un iesaistīto iestāžu resursu racionālu izmantošanu.</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cPr>
          <w:p w:rsidR="006A00E1" w:rsidRPr="00214510" w:rsidP="002A2E67" w14:paraId="2E1C4F40" w14:textId="77777777">
            <w:r w:rsidRPr="00214510">
              <w:t>31.12.2019.</w:t>
            </w:r>
          </w:p>
        </w:tc>
        <w:tc>
          <w:tcPr>
            <w:tcW w:w="1984" w:type="dxa"/>
            <w:tcBorders>
              <w:top w:val="outset" w:sz="6" w:space="0" w:color="414142"/>
              <w:left w:val="outset" w:sz="6" w:space="0" w:color="414142"/>
              <w:bottom w:val="outset" w:sz="6" w:space="0" w:color="414142"/>
              <w:right w:val="outset" w:sz="6" w:space="0" w:color="414142"/>
            </w:tcBorders>
            <w:shd w:val="clear" w:color="auto" w:fill="FFFFFF"/>
          </w:tcPr>
          <w:p w:rsidR="006A00E1" w:rsidRPr="00214510" w:rsidP="00D57F65" w14:paraId="0F190AC4" w14:textId="77777777">
            <w:r w:rsidRPr="00214510">
              <w:t>Centrālā statistikas pārvalde un Valsts ieņēmumu dienests, iesaistot uzņēmēju un grāmatvežu asociācijas</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cPr>
          <w:p w:rsidR="006A00E1" w:rsidRPr="00214510" w:rsidP="006418D5" w14:paraId="07680EE4" w14:textId="3E310B03">
            <w:r w:rsidRPr="00214510">
              <w:t>1. Administratīvo datu kvalitātes uzlabošanai</w:t>
            </w:r>
            <w:r w:rsidRPr="00214510" w:rsidR="00646A26">
              <w:t xml:space="preserve"> un administratīvā sloga mazināšanai</w:t>
            </w:r>
            <w:r w:rsidRPr="00214510" w:rsidR="007A71F3">
              <w:t xml:space="preserve"> </w:t>
            </w:r>
            <w:r w:rsidRPr="00214510" w:rsidR="006C7A54">
              <w:t>r</w:t>
            </w:r>
            <w:r w:rsidRPr="00214510">
              <w:t xml:space="preserve">eizi ceturksnī  nodrošinātas sanāksmes ar nozaru asociāciju pārstāvjiem par veicamajiem pasākumiem administratīvo datu kvalitātes pilnveidošanā un uzlabošanā, administratīvā sloga mazināšanā; </w:t>
            </w:r>
          </w:p>
          <w:p w:rsidR="006A00E1" w:rsidRPr="00214510" w:rsidP="006418D5" w14:paraId="0763ABC2" w14:textId="2E9A9D6B">
            <w:r w:rsidRPr="00214510">
              <w:t xml:space="preserve">2. Reizi gadā organizēta tikšanās ar nozīmīgākajiem datu sniedzējiem un lietotājiem  aktuālākās informācijas apmaiņai par paveikto sloga </w:t>
            </w:r>
            <w:r w:rsidRPr="00214510">
              <w:t>mazināšanā un administratīvo datu izmantošanā;</w:t>
            </w:r>
          </w:p>
          <w:p w:rsidR="006A00E1" w:rsidRPr="00214510" w:rsidP="006418D5" w14:paraId="15C0EBEC" w14:textId="7C95E137">
            <w:r w:rsidRPr="00214510">
              <w:t xml:space="preserve">3. </w:t>
            </w:r>
            <w:r w:rsidRPr="00214510" w:rsidR="006C7A54">
              <w:t>Ikgadējais s</w:t>
            </w:r>
            <w:r w:rsidRPr="00214510">
              <w:t>eminārs respondentiem par veidlapu aizpildīšanas praktiskajiem jautājumiem;</w:t>
            </w:r>
          </w:p>
          <w:p w:rsidR="006A00E1" w:rsidRPr="00214510" w:rsidP="006418D5" w14:paraId="25278A4A" w14:textId="2DB1F23D">
            <w:r w:rsidRPr="00214510">
              <w:t xml:space="preserve">4. </w:t>
            </w:r>
            <w:r w:rsidRPr="00214510" w:rsidR="006C7A54">
              <w:t>D</w:t>
            </w:r>
            <w:r w:rsidRPr="00214510">
              <w:t>atu apmaiņas procesu pilnveide, izstrādājot algoritmu datu pārņemšanai, sasaistot Pārvaldes un VID datu sistēmas.</w:t>
            </w:r>
          </w:p>
          <w:p w:rsidR="006A00E1" w:rsidRPr="00214510" w:rsidP="006418D5" w14:paraId="78F0EC48" w14:textId="21C36AC8">
            <w:r w:rsidRPr="00214510">
              <w:t>5. Sagatavoti grozījumi starpresoru vienošanā</w:t>
            </w:r>
            <w:r w:rsidRPr="00214510" w:rsidR="006C7A54">
              <w:t>s</w:t>
            </w:r>
            <w:r w:rsidRPr="00214510">
              <w:t xml:space="preserve"> pēc iepriekš minēto pasākumu realizēšanas.</w:t>
            </w:r>
          </w:p>
        </w:tc>
        <w:tc>
          <w:tcPr>
            <w:tcW w:w="1796" w:type="dxa"/>
            <w:tcBorders>
              <w:top w:val="outset" w:sz="6" w:space="0" w:color="414142"/>
              <w:left w:val="outset" w:sz="6" w:space="0" w:color="414142"/>
              <w:bottom w:val="outset" w:sz="6" w:space="0" w:color="414142"/>
              <w:right w:val="outset" w:sz="6" w:space="0" w:color="414142"/>
            </w:tcBorders>
            <w:shd w:val="clear" w:color="auto" w:fill="FFFFFF"/>
          </w:tcPr>
          <w:p w:rsidR="006A00E1" w:rsidRPr="00214510" w:rsidP="00D57F65" w14:paraId="4DA57739" w14:textId="77777777">
            <w:r w:rsidRPr="00214510">
              <w:t>Centrālās statistikas pārvaldes un Valsts ieņēmumu dienesta budžeta ietvaros</w:t>
            </w:r>
          </w:p>
        </w:tc>
      </w:tr>
      <w:tr w14:paraId="4616F8CE" w14:textId="77777777" w:rsidTr="009140F5">
        <w:tblPrEx>
          <w:tblW w:w="5000" w:type="pct"/>
          <w:tblInd w:w="-8" w:type="dxa"/>
          <w:shd w:val="clear" w:color="auto" w:fill="FFFFFF"/>
          <w:tblLayout w:type="fixed"/>
          <w:tblCellMar>
            <w:top w:w="30" w:type="dxa"/>
            <w:left w:w="30" w:type="dxa"/>
            <w:bottom w:w="30" w:type="dxa"/>
            <w:right w:w="30" w:type="dxa"/>
          </w:tblCellMar>
          <w:tblLook w:val="04A0"/>
        </w:tblPrEx>
        <w:tc>
          <w:tcPr>
            <w:tcW w:w="627" w:type="dxa"/>
            <w:tcBorders>
              <w:top w:val="outset" w:sz="6" w:space="0" w:color="414142"/>
              <w:left w:val="outset" w:sz="6" w:space="0" w:color="414142"/>
              <w:bottom w:val="outset" w:sz="6" w:space="0" w:color="414142"/>
              <w:right w:val="outset" w:sz="6" w:space="0" w:color="414142"/>
            </w:tcBorders>
            <w:shd w:val="clear" w:color="auto" w:fill="FFFFFF"/>
          </w:tcPr>
          <w:p w:rsidR="006A00E1" w:rsidRPr="00214510" w:rsidP="00D57F65" w14:paraId="0D43DC55" w14:textId="77777777">
            <w:pPr>
              <w:jc w:val="center"/>
            </w:pPr>
            <w:r w:rsidRPr="00214510">
              <w:t>4.</w:t>
            </w:r>
          </w:p>
        </w:tc>
        <w:tc>
          <w:tcPr>
            <w:tcW w:w="5043" w:type="dxa"/>
            <w:tcBorders>
              <w:top w:val="outset" w:sz="6" w:space="0" w:color="414142"/>
              <w:left w:val="outset" w:sz="6" w:space="0" w:color="414142"/>
              <w:bottom w:val="outset" w:sz="6" w:space="0" w:color="414142"/>
              <w:right w:val="outset" w:sz="6" w:space="0" w:color="414142"/>
            </w:tcBorders>
            <w:shd w:val="clear" w:color="auto" w:fill="FFFFFF"/>
          </w:tcPr>
          <w:p w:rsidR="006A00E1" w:rsidRPr="00214510" w:rsidP="00D57F65" w14:paraId="7F686378" w14:textId="4B7B433E">
            <w:pPr>
              <w:rPr>
                <w:b/>
              </w:rPr>
            </w:pPr>
            <w:r w:rsidRPr="00214510">
              <w:rPr>
                <w:b/>
              </w:rPr>
              <w:t>Zemkopības ministrijas pārziņā esošo administratīvo reģistru saskaņošana un pilnveidošana</w:t>
            </w:r>
            <w:r>
              <w:rPr>
                <w:rStyle w:val="FootnoteReference"/>
                <w:b/>
              </w:rPr>
              <w:footnoteReference w:id="4"/>
            </w:r>
            <w:r w:rsidRPr="00214510">
              <w:rPr>
                <w:b/>
              </w:rPr>
              <w:t xml:space="preserve"> </w:t>
            </w:r>
          </w:p>
          <w:p w:rsidR="00C36895" w:rsidRPr="00BF5D64" w:rsidP="00D57F65" w14:paraId="7FCF55AB" w14:textId="2A3E821F">
            <w:pPr>
              <w:jc w:val="both"/>
            </w:pPr>
            <w:r w:rsidRPr="00214510">
              <w:t xml:space="preserve">Zemkopības ministrijas pārziņā esošo administratīvo datu reģistri ir nozīmīgs informācijas avots, lai nodrošinātu kvalitatīvu informāciju 2020. gada lauksaimniecības skaitīšanai un 2023. un 2026. gada Integrētajai lauku saimniecību statistikai, kā arī pilnveidotu CSP statistikas datu apstrādes procesu un uzlabotu Lauku saimniecību reģistra datu kvalitāti. Galvenie </w:t>
            </w:r>
            <w:r w:rsidRPr="00214510" w:rsidR="00446F94">
              <w:t>reģistru saskaņošanas un pilnveidošanas</w:t>
            </w:r>
            <w:r w:rsidRPr="00214510">
              <w:t xml:space="preserve"> darba virzieni </w:t>
            </w:r>
            <w:r w:rsidRPr="00BF5D64">
              <w:t>paredz</w:t>
            </w:r>
            <w:r w:rsidRPr="00BF5D64">
              <w:t xml:space="preserve"> vairākus </w:t>
            </w:r>
            <w:r w:rsidRPr="00BF5D64">
              <w:t>nozīmīgus pasākumus, kas jārealizē līdz 2019. un 2020.gada beigām:</w:t>
            </w:r>
          </w:p>
          <w:p w:rsidR="007E11C7" w:rsidRPr="00214510" w:rsidP="00D57F65" w14:paraId="23E3B528" w14:textId="04CE883D">
            <w:pPr>
              <w:jc w:val="both"/>
            </w:pPr>
            <w:r w:rsidRPr="00AD0110">
              <w:t>4.</w:t>
            </w:r>
            <w:r w:rsidRPr="00AD0110" w:rsidR="00C36895">
              <w:t>1.</w:t>
            </w:r>
            <w:r w:rsidRPr="005108F3" w:rsidR="00C36895">
              <w:t xml:space="preserve"> I</w:t>
            </w:r>
            <w:r w:rsidRPr="005108F3" w:rsidR="006A00E1">
              <w:t>estrādāt</w:t>
            </w:r>
            <w:r w:rsidRPr="00767B32" w:rsidR="006A00E1">
              <w:t xml:space="preserve"> papildu</w:t>
            </w:r>
            <w:r w:rsidRPr="00214510" w:rsidR="006A00E1">
              <w:t xml:space="preserve"> datu kontroles starp </w:t>
            </w:r>
            <w:r w:rsidRPr="00214510" w:rsidR="00A032BC">
              <w:rPr>
                <w:iCs/>
              </w:rPr>
              <w:t>Lauku atbalsta dienesta</w:t>
            </w:r>
            <w:r w:rsidRPr="00214510" w:rsidR="006A00E1">
              <w:t xml:space="preserve"> </w:t>
            </w:r>
            <w:r w:rsidRPr="00214510" w:rsidR="00A032BC">
              <w:t>Integrētās administrēšanas un kontroles sistēmas</w:t>
            </w:r>
            <w:r w:rsidRPr="00214510" w:rsidR="006A00E1">
              <w:t xml:space="preserve"> reģistra un</w:t>
            </w:r>
            <w:r w:rsidRPr="00214510" w:rsidR="009140F5">
              <w:t xml:space="preserve"> Lauksaimniecības datu centra (turpmāk – LDC)</w:t>
            </w:r>
            <w:r w:rsidRPr="00214510" w:rsidR="006A00E1">
              <w:t xml:space="preserve"> Bioloģiskās lauksaimniecības reģistra informāciju; pilnveidot LDC Lauksaimniecības dzīvnieku reģistra informāciju par bioloģiski audzēto dzīvnieku skaitu ganāmpulkā; LDC Kautuvju elektroniskās ziņošanas sistēmā putniem un trušiem iekļaut ne tikai nokauto dzīvnieku skaitu, bet arī apjomu un vērtību</w:t>
            </w:r>
            <w:r w:rsidR="000A2445">
              <w:t>.</w:t>
            </w:r>
          </w:p>
          <w:p w:rsidR="00545C0C" w:rsidP="00D57F65" w14:paraId="491CE420" w14:textId="77777777">
            <w:pPr>
              <w:jc w:val="both"/>
              <w:rPr>
                <w:b/>
              </w:rPr>
            </w:pPr>
          </w:p>
          <w:p w:rsidR="00545C0C" w:rsidP="00D57F65" w14:paraId="370243FE" w14:textId="77777777">
            <w:pPr>
              <w:jc w:val="both"/>
              <w:rPr>
                <w:b/>
              </w:rPr>
            </w:pPr>
          </w:p>
          <w:p w:rsidR="00545C0C" w:rsidP="00D57F65" w14:paraId="7B999DA6" w14:textId="77777777">
            <w:pPr>
              <w:jc w:val="both"/>
              <w:rPr>
                <w:b/>
              </w:rPr>
            </w:pPr>
          </w:p>
          <w:p w:rsidR="00545C0C" w:rsidP="00D57F65" w14:paraId="74892FCE" w14:textId="77777777">
            <w:pPr>
              <w:jc w:val="both"/>
              <w:rPr>
                <w:b/>
              </w:rPr>
            </w:pPr>
          </w:p>
          <w:p w:rsidR="00545C0C" w:rsidP="00D57F65" w14:paraId="24096BD0" w14:textId="77777777">
            <w:pPr>
              <w:jc w:val="both"/>
              <w:rPr>
                <w:b/>
              </w:rPr>
            </w:pPr>
          </w:p>
          <w:p w:rsidR="00545C0C" w:rsidP="00D57F65" w14:paraId="553428F0" w14:textId="77777777">
            <w:pPr>
              <w:jc w:val="both"/>
              <w:rPr>
                <w:b/>
              </w:rPr>
            </w:pPr>
          </w:p>
          <w:p w:rsidR="00545C0C" w:rsidP="00D57F65" w14:paraId="67143738" w14:textId="77777777">
            <w:pPr>
              <w:jc w:val="both"/>
              <w:rPr>
                <w:b/>
              </w:rPr>
            </w:pPr>
          </w:p>
          <w:p w:rsidR="00545C0C" w:rsidP="00D57F65" w14:paraId="6BA0CAE1" w14:textId="77777777">
            <w:pPr>
              <w:jc w:val="both"/>
              <w:rPr>
                <w:b/>
              </w:rPr>
            </w:pPr>
          </w:p>
          <w:p w:rsidR="00545C0C" w:rsidP="00D57F65" w14:paraId="5E6E41DD" w14:textId="77777777">
            <w:pPr>
              <w:jc w:val="both"/>
              <w:rPr>
                <w:b/>
              </w:rPr>
            </w:pPr>
          </w:p>
          <w:p w:rsidR="00545C0C" w:rsidP="00D57F65" w14:paraId="0CCA01BB" w14:textId="77777777">
            <w:pPr>
              <w:jc w:val="both"/>
              <w:rPr>
                <w:b/>
              </w:rPr>
            </w:pPr>
          </w:p>
          <w:p w:rsidR="00545C0C" w:rsidP="00D57F65" w14:paraId="6E521EDA" w14:textId="77777777">
            <w:pPr>
              <w:jc w:val="both"/>
              <w:rPr>
                <w:b/>
              </w:rPr>
            </w:pPr>
          </w:p>
          <w:p w:rsidR="00545C0C" w:rsidP="00D57F65" w14:paraId="4C911D79" w14:textId="77777777">
            <w:pPr>
              <w:jc w:val="both"/>
              <w:rPr>
                <w:b/>
              </w:rPr>
            </w:pPr>
          </w:p>
          <w:p w:rsidR="009E01CB" w:rsidP="00D57F65" w14:paraId="3FC92C5E" w14:textId="77777777">
            <w:pPr>
              <w:jc w:val="both"/>
              <w:rPr>
                <w:b/>
              </w:rPr>
            </w:pPr>
          </w:p>
          <w:p w:rsidR="009E01CB" w:rsidP="00D57F65" w14:paraId="2768E7BC" w14:textId="77777777">
            <w:pPr>
              <w:jc w:val="both"/>
              <w:rPr>
                <w:b/>
              </w:rPr>
            </w:pPr>
          </w:p>
          <w:p w:rsidR="00CC52AC" w:rsidP="00D57F65" w14:paraId="2E81B9F0" w14:textId="77777777">
            <w:pPr>
              <w:jc w:val="both"/>
              <w:rPr>
                <w:b/>
              </w:rPr>
            </w:pPr>
          </w:p>
          <w:p w:rsidR="006A00E1" w:rsidRPr="00214510" w:rsidP="00D57F65" w14:paraId="62BCF471" w14:textId="2B4583A6">
            <w:pPr>
              <w:jc w:val="both"/>
            </w:pPr>
            <w:r w:rsidRPr="00AD0110">
              <w:t>4.</w:t>
            </w:r>
            <w:r w:rsidRPr="00AD0110" w:rsidR="007E11C7">
              <w:t>2.</w:t>
            </w:r>
            <w:r w:rsidRPr="00AD0110">
              <w:t xml:space="preserve"> </w:t>
            </w:r>
            <w:r w:rsidRPr="00AD0110" w:rsidR="007E11C7">
              <w:t>P</w:t>
            </w:r>
            <w:r w:rsidRPr="00AD0110">
              <w:t>apildināt</w:t>
            </w:r>
            <w:r w:rsidRPr="00BF5D64">
              <w:t xml:space="preserve"> </w:t>
            </w:r>
            <w:r w:rsidRPr="00214510">
              <w:t xml:space="preserve">LDC Lauksaimniecības dzīvnieku novietņu reģistru ar informāciju par kūtsmēslu </w:t>
            </w:r>
            <w:r w:rsidRPr="00214510">
              <w:t>krātuvēm pēc veidiem un tilpuma  - izmantota 2020. un 2026. gada Integrētās lauku saimniecību statistikas nodrošināšanai, kā arī emisiju aprēķiniem.</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cPr>
          <w:p w:rsidR="00C36895" w:rsidRPr="00214510" w:rsidP="002A2E67" w14:paraId="698A0E13" w14:textId="77777777"/>
          <w:p w:rsidR="00C36895" w:rsidRPr="00214510" w:rsidP="002A2E67" w14:paraId="00E0ED79" w14:textId="77777777"/>
          <w:p w:rsidR="00C36895" w:rsidRPr="00214510" w:rsidP="002A2E67" w14:paraId="3AE40CBD" w14:textId="77777777"/>
          <w:p w:rsidR="00C36895" w:rsidRPr="00214510" w:rsidP="002A2E67" w14:paraId="0D41C861" w14:textId="77777777"/>
          <w:p w:rsidR="00C36895" w:rsidRPr="00214510" w:rsidP="002A2E67" w14:paraId="7341CEDB" w14:textId="77777777"/>
          <w:p w:rsidR="00C36895" w:rsidRPr="00214510" w:rsidP="002A2E67" w14:paraId="5D1C5228" w14:textId="77777777"/>
          <w:p w:rsidR="00C36895" w:rsidRPr="00214510" w:rsidP="002A2E67" w14:paraId="135E44C2" w14:textId="77777777"/>
          <w:p w:rsidR="00C36895" w:rsidRPr="00214510" w:rsidP="002A2E67" w14:paraId="2F17E4D0" w14:textId="77777777"/>
          <w:p w:rsidR="00C36895" w:rsidRPr="00214510" w:rsidP="002A2E67" w14:paraId="0B148BD1" w14:textId="77777777"/>
          <w:p w:rsidR="00C36895" w:rsidRPr="00214510" w:rsidP="002A2E67" w14:paraId="0D813E41" w14:textId="77777777"/>
          <w:p w:rsidR="00C36895" w:rsidRPr="00214510" w:rsidP="002A2E67" w14:paraId="57ECCC59" w14:textId="77777777"/>
          <w:p w:rsidR="00F13632" w:rsidP="002A2E67" w14:paraId="61637B07" w14:textId="77777777"/>
          <w:p w:rsidR="00F13632" w:rsidP="002A2E67" w14:paraId="3E5268BC" w14:textId="77777777"/>
          <w:p w:rsidR="00F13632" w:rsidP="002A2E67" w14:paraId="70A6B868" w14:textId="77777777"/>
          <w:p w:rsidR="00CA2B31" w:rsidP="002A2E67" w14:paraId="4BD83A7E" w14:textId="77777777"/>
          <w:p w:rsidR="006A00E1" w:rsidRPr="00BF5D64" w:rsidP="002A2E67" w14:paraId="62A3168A" w14:textId="08554F84">
            <w:r w:rsidRPr="00BF5D64">
              <w:t>31.12.</w:t>
            </w:r>
            <w:r w:rsidRPr="00BF5D64" w:rsidR="00C36895">
              <w:t>2020</w:t>
            </w:r>
            <w:r w:rsidRPr="00BF5D64">
              <w:t>.</w:t>
            </w:r>
          </w:p>
          <w:p w:rsidR="007E11C7" w:rsidRPr="00BF5D64" w:rsidP="002A2E67" w14:paraId="58617226" w14:textId="77777777"/>
          <w:p w:rsidR="007E11C7" w:rsidRPr="00214510" w:rsidP="002A2E67" w14:paraId="12130078" w14:textId="77777777"/>
          <w:p w:rsidR="007E11C7" w:rsidRPr="00214510" w:rsidP="002A2E67" w14:paraId="76567034" w14:textId="77777777"/>
          <w:p w:rsidR="007E11C7" w:rsidRPr="00214510" w:rsidP="002A2E67" w14:paraId="2145150F" w14:textId="77777777"/>
          <w:p w:rsidR="007E11C7" w:rsidRPr="00214510" w:rsidP="002A2E67" w14:paraId="24565DBC" w14:textId="77777777"/>
          <w:p w:rsidR="007E11C7" w:rsidRPr="00214510" w:rsidP="002A2E67" w14:paraId="40DF671E" w14:textId="77777777"/>
          <w:p w:rsidR="007E11C7" w:rsidRPr="00214510" w:rsidP="002A2E67" w14:paraId="224B3C4B" w14:textId="77777777"/>
          <w:p w:rsidR="007E11C7" w:rsidRPr="00214510" w:rsidP="002A2E67" w14:paraId="28470B32" w14:textId="77777777"/>
          <w:p w:rsidR="00F13632" w:rsidP="002A2E67" w14:paraId="002F726E" w14:textId="77777777">
            <w:pPr>
              <w:rPr>
                <w:b/>
              </w:rPr>
            </w:pPr>
          </w:p>
          <w:p w:rsidR="00F13632" w:rsidP="002A2E67" w14:paraId="2EA97865" w14:textId="77777777">
            <w:pPr>
              <w:rPr>
                <w:b/>
              </w:rPr>
            </w:pPr>
          </w:p>
          <w:p w:rsidR="00545C0C" w:rsidP="002A2E67" w14:paraId="37435687" w14:textId="77777777">
            <w:pPr>
              <w:rPr>
                <w:b/>
              </w:rPr>
            </w:pPr>
          </w:p>
          <w:p w:rsidR="00545C0C" w:rsidP="002A2E67" w14:paraId="634736DA" w14:textId="77777777">
            <w:pPr>
              <w:rPr>
                <w:b/>
              </w:rPr>
            </w:pPr>
          </w:p>
          <w:p w:rsidR="00545C0C" w:rsidP="002A2E67" w14:paraId="4A6B4AE8" w14:textId="77777777">
            <w:pPr>
              <w:rPr>
                <w:b/>
              </w:rPr>
            </w:pPr>
          </w:p>
          <w:p w:rsidR="00545C0C" w:rsidP="002A2E67" w14:paraId="789FFDDC" w14:textId="77777777">
            <w:pPr>
              <w:rPr>
                <w:b/>
              </w:rPr>
            </w:pPr>
          </w:p>
          <w:p w:rsidR="00545C0C" w:rsidP="002A2E67" w14:paraId="29B584A9" w14:textId="77777777">
            <w:pPr>
              <w:rPr>
                <w:b/>
              </w:rPr>
            </w:pPr>
          </w:p>
          <w:p w:rsidR="00545C0C" w:rsidP="002A2E67" w14:paraId="5998F6C3" w14:textId="77777777">
            <w:pPr>
              <w:rPr>
                <w:b/>
              </w:rPr>
            </w:pPr>
          </w:p>
          <w:p w:rsidR="00545C0C" w:rsidP="002A2E67" w14:paraId="08B4D14F" w14:textId="77777777">
            <w:pPr>
              <w:rPr>
                <w:b/>
              </w:rPr>
            </w:pPr>
          </w:p>
          <w:p w:rsidR="00545C0C" w:rsidP="002A2E67" w14:paraId="5D4DD2CD" w14:textId="77777777">
            <w:pPr>
              <w:rPr>
                <w:b/>
              </w:rPr>
            </w:pPr>
          </w:p>
          <w:p w:rsidR="00545C0C" w:rsidP="002A2E67" w14:paraId="3CBED95F" w14:textId="77777777">
            <w:pPr>
              <w:rPr>
                <w:b/>
              </w:rPr>
            </w:pPr>
          </w:p>
          <w:p w:rsidR="00545C0C" w:rsidP="002A2E67" w14:paraId="729BE3AB" w14:textId="77777777">
            <w:pPr>
              <w:rPr>
                <w:b/>
              </w:rPr>
            </w:pPr>
          </w:p>
          <w:p w:rsidR="00545C0C" w:rsidP="002A2E67" w14:paraId="25192E80" w14:textId="77777777">
            <w:pPr>
              <w:rPr>
                <w:b/>
              </w:rPr>
            </w:pPr>
          </w:p>
          <w:p w:rsidR="00545C0C" w:rsidP="002A2E67" w14:paraId="5964E6D1" w14:textId="77777777">
            <w:pPr>
              <w:rPr>
                <w:b/>
              </w:rPr>
            </w:pPr>
          </w:p>
          <w:p w:rsidR="00545C0C" w:rsidP="002A2E67" w14:paraId="68DB4621" w14:textId="77777777">
            <w:pPr>
              <w:rPr>
                <w:b/>
              </w:rPr>
            </w:pPr>
          </w:p>
          <w:p w:rsidR="009E01CB" w:rsidP="002A2E67" w14:paraId="05652E3C" w14:textId="77777777"/>
          <w:p w:rsidR="009E01CB" w:rsidP="002A2E67" w14:paraId="2AECB955" w14:textId="77777777"/>
          <w:p w:rsidR="007E11C7" w:rsidRPr="00BF5D64" w:rsidP="002A2E67" w14:paraId="05FA8B04" w14:textId="53597BBC">
            <w:r w:rsidRPr="00BF5D64">
              <w:t>31.12.2019.</w:t>
            </w:r>
          </w:p>
        </w:tc>
        <w:tc>
          <w:tcPr>
            <w:tcW w:w="1984" w:type="dxa"/>
            <w:tcBorders>
              <w:top w:val="outset" w:sz="6" w:space="0" w:color="414142"/>
              <w:left w:val="outset" w:sz="6" w:space="0" w:color="414142"/>
              <w:bottom w:val="outset" w:sz="6" w:space="0" w:color="414142"/>
              <w:right w:val="outset" w:sz="6" w:space="0" w:color="414142"/>
            </w:tcBorders>
            <w:shd w:val="clear" w:color="auto" w:fill="FFFFFF"/>
          </w:tcPr>
          <w:p w:rsidR="006A00E1" w:rsidRPr="00214510" w:rsidP="00D57F65" w14:paraId="77B3C482" w14:textId="0DEEB627">
            <w:r w:rsidRPr="00214510">
              <w:t>Zemkopības ministrija, Centrālā statistikas pārvalde</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cPr>
          <w:p w:rsidR="006A00E1" w:rsidRPr="00214510" w:rsidP="00D57F65" w14:paraId="36E56DA4" w14:textId="24AF825A">
            <w:r w:rsidRPr="00214510">
              <w:t>Pilnveidoti</w:t>
            </w:r>
            <w:r w:rsidRPr="00214510">
              <w:t xml:space="preserve"> Zemkopības ministrijas pārziņā esošo administratīv</w:t>
            </w:r>
            <w:r w:rsidRPr="00214510">
              <w:t>ie</w:t>
            </w:r>
            <w:r w:rsidRPr="00214510">
              <w:t xml:space="preserve"> reģistr</w:t>
            </w:r>
            <w:r w:rsidRPr="00214510">
              <w:t>i</w:t>
            </w:r>
          </w:p>
        </w:tc>
        <w:tc>
          <w:tcPr>
            <w:tcW w:w="1796" w:type="dxa"/>
            <w:tcBorders>
              <w:top w:val="outset" w:sz="6" w:space="0" w:color="414142"/>
              <w:left w:val="outset" w:sz="6" w:space="0" w:color="414142"/>
              <w:bottom w:val="outset" w:sz="6" w:space="0" w:color="414142"/>
              <w:right w:val="outset" w:sz="6" w:space="0" w:color="414142"/>
            </w:tcBorders>
            <w:shd w:val="clear" w:color="auto" w:fill="FFFFFF"/>
          </w:tcPr>
          <w:p w:rsidR="007E11C7" w:rsidRPr="00683F38" w:rsidP="00D57F65" w14:paraId="33D94002" w14:textId="77777777"/>
          <w:p w:rsidR="007E11C7" w:rsidRPr="00683F38" w:rsidP="00D57F65" w14:paraId="13613968" w14:textId="77777777"/>
          <w:p w:rsidR="007E11C7" w:rsidRPr="00683F38" w:rsidP="00D57F65" w14:paraId="280AC3D8" w14:textId="77777777"/>
          <w:p w:rsidR="007E11C7" w:rsidRPr="00683F38" w:rsidP="00D57F65" w14:paraId="60E1F5B0" w14:textId="77777777"/>
          <w:p w:rsidR="007E11C7" w:rsidRPr="00683F38" w:rsidP="00D57F65" w14:paraId="72C8FF0F" w14:textId="77777777"/>
          <w:p w:rsidR="007E11C7" w:rsidRPr="00683F38" w:rsidP="00D57F65" w14:paraId="77D00438" w14:textId="77777777"/>
          <w:p w:rsidR="007E11C7" w:rsidRPr="00683F38" w:rsidP="00D57F65" w14:paraId="4B02F12B" w14:textId="77777777"/>
          <w:p w:rsidR="007E11C7" w:rsidRPr="00683F38" w:rsidP="00D57F65" w14:paraId="74226342" w14:textId="77777777"/>
          <w:p w:rsidR="007E11C7" w:rsidRPr="00683F38" w:rsidP="00D57F65" w14:paraId="10EBD71C" w14:textId="77777777"/>
          <w:p w:rsidR="007E11C7" w:rsidRPr="00683F38" w:rsidP="00D57F65" w14:paraId="2CD6A7F7" w14:textId="77777777"/>
          <w:p w:rsidR="00AF229E" w:rsidRPr="00683F38" w:rsidP="00D57F65" w14:paraId="47C73FF1" w14:textId="77777777"/>
          <w:p w:rsidR="00F13632" w:rsidRPr="006643B2" w:rsidP="00D57F65" w14:paraId="13858FAC" w14:textId="77777777"/>
          <w:p w:rsidR="00F13632" w:rsidRPr="006643B2" w:rsidP="00D57F65" w14:paraId="5B90AD39" w14:textId="77777777"/>
          <w:p w:rsidR="00F13632" w:rsidRPr="006643B2" w:rsidP="00D57F65" w14:paraId="478C2A9B" w14:textId="77777777"/>
          <w:p w:rsidR="00CA2B31" w:rsidP="00B94509" w14:paraId="385199CB" w14:textId="77777777">
            <w:pPr>
              <w:rPr>
                <w:noProof/>
              </w:rPr>
            </w:pPr>
            <w:bookmarkStart w:id="8" w:name="_Hlk504548913"/>
          </w:p>
          <w:p w:rsidR="00486B9F" w:rsidP="00B94509" w14:paraId="39E7D73D" w14:textId="6361C1B8">
            <w:pPr>
              <w:rPr>
                <w:noProof/>
              </w:rPr>
            </w:pPr>
            <w:r w:rsidRPr="00D428BE">
              <w:rPr>
                <w:noProof/>
              </w:rPr>
              <w:t>ERAF</w:t>
            </w:r>
            <w:r w:rsidRPr="00D428BE">
              <w:t xml:space="preserve"> darbības programmas „Izaugsme un nodarbinātība” 2.2.1.  specifiskā atbalsta mērķa „Nodrošināt publisko datu atkalizmantošanas pieaugumu un efektīvu publiskās pārvaldes un privātā sektora mijiedarbību” </w:t>
            </w:r>
            <w:r w:rsidRPr="00D428BE">
              <w:rPr>
                <w:noProof/>
              </w:rPr>
              <w:t>projekta “Zemkopības ministrijas un tās pakļautībā esošo iestāžu IKT attīstība” 2.kārta</w:t>
            </w:r>
            <w:r w:rsidRPr="00D428BE" w:rsidR="006D2654">
              <w:rPr>
                <w:noProof/>
              </w:rPr>
              <w:t xml:space="preserve">s </w:t>
            </w:r>
            <w:r w:rsidR="009E01CB">
              <w:rPr>
                <w:noProof/>
              </w:rPr>
              <w:t>finanšu pieprasījuma ietvaros</w:t>
            </w:r>
            <w:r w:rsidRPr="00D428BE" w:rsidR="008C56ED">
              <w:rPr>
                <w:noProof/>
              </w:rPr>
              <w:t>.</w:t>
            </w:r>
          </w:p>
          <w:p w:rsidR="00B94509" w:rsidRPr="00D428BE" w:rsidP="00B94509" w14:paraId="78F6F150" w14:textId="1D813BE5">
            <w:r w:rsidRPr="00D428BE">
              <w:t xml:space="preserve">103455 </w:t>
            </w:r>
            <w:r w:rsidRPr="00D428BE">
              <w:rPr>
                <w:i/>
              </w:rPr>
              <w:t>euro</w:t>
            </w:r>
            <w:r w:rsidRPr="00D428BE">
              <w:rPr>
                <w:noProof/>
              </w:rPr>
              <w:t xml:space="preserve">  </w:t>
            </w:r>
          </w:p>
          <w:p w:rsidR="00B94509" w:rsidP="00D57F65" w14:paraId="7EC8D8C6" w14:textId="77777777">
            <w:bookmarkEnd w:id="8"/>
          </w:p>
          <w:p w:rsidR="006A00E1" w:rsidRPr="00683F38" w:rsidP="00D57F65" w14:paraId="1AAC030C" w14:textId="4CA1A92B">
            <w:r w:rsidRPr="00683F38">
              <w:t xml:space="preserve">Centrālās statistikas </w:t>
            </w:r>
            <w:r w:rsidRPr="00683F38">
              <w:t>pārvaldes un Zemkopības ministrijas budžeta ietvaros</w:t>
            </w:r>
          </w:p>
        </w:tc>
      </w:tr>
      <w:tr w14:paraId="20DF3631" w14:textId="77777777" w:rsidTr="009140F5">
        <w:tblPrEx>
          <w:tblW w:w="5000" w:type="pct"/>
          <w:tblInd w:w="-8" w:type="dxa"/>
          <w:shd w:val="clear" w:color="auto" w:fill="FFFFFF"/>
          <w:tblLayout w:type="fixed"/>
          <w:tblCellMar>
            <w:top w:w="30" w:type="dxa"/>
            <w:left w:w="30" w:type="dxa"/>
            <w:bottom w:w="30" w:type="dxa"/>
            <w:right w:w="30" w:type="dxa"/>
          </w:tblCellMar>
          <w:tblLook w:val="04A0"/>
        </w:tblPrEx>
        <w:tc>
          <w:tcPr>
            <w:tcW w:w="627" w:type="dxa"/>
            <w:tcBorders>
              <w:top w:val="outset" w:sz="6" w:space="0" w:color="414142"/>
              <w:left w:val="outset" w:sz="6" w:space="0" w:color="414142"/>
              <w:bottom w:val="outset" w:sz="6" w:space="0" w:color="414142"/>
              <w:right w:val="outset" w:sz="6" w:space="0" w:color="414142"/>
            </w:tcBorders>
            <w:shd w:val="clear" w:color="auto" w:fill="FFFFFF"/>
          </w:tcPr>
          <w:p w:rsidR="006A00E1" w:rsidRPr="00214510" w:rsidP="00D57F65" w14:paraId="7A53DA90" w14:textId="77777777">
            <w:pPr>
              <w:jc w:val="center"/>
            </w:pPr>
            <w:r w:rsidRPr="00214510">
              <w:t>5.</w:t>
            </w:r>
          </w:p>
        </w:tc>
        <w:tc>
          <w:tcPr>
            <w:tcW w:w="5043" w:type="dxa"/>
            <w:tcBorders>
              <w:top w:val="outset" w:sz="6" w:space="0" w:color="414142"/>
              <w:left w:val="outset" w:sz="6" w:space="0" w:color="414142"/>
              <w:bottom w:val="outset" w:sz="6" w:space="0" w:color="414142"/>
              <w:right w:val="outset" w:sz="6" w:space="0" w:color="414142"/>
            </w:tcBorders>
            <w:shd w:val="clear" w:color="auto" w:fill="FFFFFF"/>
          </w:tcPr>
          <w:p w:rsidR="006A00E1" w:rsidRPr="00214510" w:rsidP="00D57F65" w14:paraId="7DF4BD72" w14:textId="77777777">
            <w:pPr>
              <w:rPr>
                <w:b/>
              </w:rPr>
            </w:pPr>
            <w:r w:rsidRPr="00214510">
              <w:rPr>
                <w:b/>
              </w:rPr>
              <w:t xml:space="preserve">Valsts un pašvaldību iestāžu reģistra izveide/izstrāde </w:t>
            </w:r>
          </w:p>
          <w:p w:rsidR="006A00E1" w:rsidRPr="00214510" w:rsidP="00D57F65" w14:paraId="3114B76D" w14:textId="77777777">
            <w:pPr>
              <w:jc w:val="both"/>
            </w:pPr>
            <w:r w:rsidRPr="00214510">
              <w:t>CSP sastopas ar problēmām, nosakot statistisko vienību loku, kas jāiekļauj katrā no institucionālo sektoru klasifikācijas pozīcijām. Īpaši tas attiecas uz valsts un pašvaldību iestādēm, jo šobrīd joprojām nepastāv valsts un pašvaldību iestāžu vienota reģistrācija, bet tiek veikta to administratīvā uzskaite, atbilstoši atsevišķu institūciju vajadzībām. Vienkopus nav pieejama informācija par visu valsts un pašvaldības iestāžu juridisko izveidošanu, reorganizāciju vai likvidāciju, padotību un cita informācija.</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cPr>
          <w:p w:rsidR="006A00E1" w:rsidRPr="00214510" w:rsidP="00ED4680" w14:paraId="02CD9191" w14:textId="1571EF45">
            <w:r w:rsidRPr="00214510">
              <w:t>01.06.2018</w:t>
            </w:r>
            <w:r w:rsidR="00F13632">
              <w:t>.</w:t>
            </w:r>
          </w:p>
        </w:tc>
        <w:tc>
          <w:tcPr>
            <w:tcW w:w="1984" w:type="dxa"/>
            <w:tcBorders>
              <w:top w:val="outset" w:sz="6" w:space="0" w:color="414142"/>
              <w:left w:val="outset" w:sz="6" w:space="0" w:color="414142"/>
              <w:bottom w:val="outset" w:sz="6" w:space="0" w:color="414142"/>
              <w:right w:val="outset" w:sz="6" w:space="0" w:color="414142"/>
            </w:tcBorders>
            <w:shd w:val="clear" w:color="auto" w:fill="FFFFFF"/>
          </w:tcPr>
          <w:p w:rsidR="006A00E1" w:rsidRPr="00214510" w:rsidP="00D57F65" w14:paraId="2356074C" w14:textId="77777777">
            <w:r w:rsidRPr="00214510">
              <w:t>Tieslietu ministrija, Uzņēmumu reģistrs</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cPr>
          <w:p w:rsidR="00986ED8" w:rsidRPr="00214510" w:rsidP="00D57F65" w14:paraId="615B0116" w14:textId="0A8A1F5A">
            <w:r w:rsidRPr="00214510">
              <w:t xml:space="preserve">1. </w:t>
            </w:r>
            <w:r w:rsidRPr="00214510" w:rsidR="006A00E1">
              <w:t xml:space="preserve">Izveidots publisko personu un iestāžu saraksts, uzsākta tā </w:t>
            </w:r>
            <w:r w:rsidRPr="00214510">
              <w:t>kārto</w:t>
            </w:r>
            <w:r w:rsidRPr="00214510" w:rsidR="006A00E1">
              <w:t>šana</w:t>
            </w:r>
            <w:r w:rsidRPr="00214510">
              <w:t>;</w:t>
            </w:r>
            <w:r w:rsidRPr="00214510" w:rsidR="006A00E1">
              <w:t xml:space="preserve"> </w:t>
            </w:r>
          </w:p>
          <w:p w:rsidR="006A00E1" w:rsidRPr="00214510" w:rsidP="00D57F65" w14:paraId="3662BB1D" w14:textId="6FE16502">
            <w:r w:rsidRPr="00214510">
              <w:t>2. D</w:t>
            </w:r>
            <w:r w:rsidRPr="00214510">
              <w:t>ati ir publiski pieejami</w:t>
            </w:r>
            <w:r w:rsidRPr="00214510">
              <w:t>.</w:t>
            </w:r>
          </w:p>
        </w:tc>
        <w:tc>
          <w:tcPr>
            <w:tcW w:w="1796" w:type="dxa"/>
            <w:tcBorders>
              <w:top w:val="outset" w:sz="6" w:space="0" w:color="414142"/>
              <w:left w:val="outset" w:sz="6" w:space="0" w:color="414142"/>
              <w:bottom w:val="outset" w:sz="6" w:space="0" w:color="414142"/>
              <w:right w:val="outset" w:sz="6" w:space="0" w:color="414142"/>
            </w:tcBorders>
            <w:shd w:val="clear" w:color="auto" w:fill="FFFFFF"/>
          </w:tcPr>
          <w:p w:rsidR="00817ED4" w:rsidRPr="00BF5D64" w:rsidP="00817ED4" w14:paraId="262B7FB9" w14:textId="6E156221">
            <w:r w:rsidRPr="00BF5D64">
              <w:t xml:space="preserve">ERAF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projekta </w:t>
            </w:r>
            <w:r w:rsidRPr="00BF5D64">
              <w:t>„Vienotā datu telpa” (Nr.2.2.1.1/17/I/009) ietvaros.</w:t>
            </w:r>
          </w:p>
          <w:p w:rsidR="006A00E1" w:rsidRPr="00BF5D64" w:rsidP="00D57F65" w14:paraId="04B1237A" w14:textId="724CD5DE">
            <w:r w:rsidRPr="00BF5D64">
              <w:t xml:space="preserve">150 tūkst. </w:t>
            </w:r>
            <w:r w:rsidRPr="00BF5D64">
              <w:rPr>
                <w:i/>
              </w:rPr>
              <w:t>euro</w:t>
            </w:r>
          </w:p>
        </w:tc>
      </w:tr>
      <w:tr w14:paraId="15AF65B4" w14:textId="77777777" w:rsidTr="009140F5">
        <w:tblPrEx>
          <w:tblW w:w="5000" w:type="pct"/>
          <w:tblInd w:w="-8" w:type="dxa"/>
          <w:shd w:val="clear" w:color="auto" w:fill="FFFFFF"/>
          <w:tblLayout w:type="fixed"/>
          <w:tblCellMar>
            <w:top w:w="30" w:type="dxa"/>
            <w:left w:w="30" w:type="dxa"/>
            <w:bottom w:w="30" w:type="dxa"/>
            <w:right w:w="30" w:type="dxa"/>
          </w:tblCellMar>
          <w:tblLook w:val="04A0"/>
        </w:tblPrEx>
        <w:tc>
          <w:tcPr>
            <w:tcW w:w="627" w:type="dxa"/>
            <w:tcBorders>
              <w:top w:val="outset" w:sz="6" w:space="0" w:color="414142"/>
              <w:left w:val="outset" w:sz="6" w:space="0" w:color="414142"/>
              <w:bottom w:val="outset" w:sz="6" w:space="0" w:color="414142"/>
              <w:right w:val="outset" w:sz="6" w:space="0" w:color="414142"/>
            </w:tcBorders>
            <w:shd w:val="clear" w:color="auto" w:fill="FFFFFF"/>
          </w:tcPr>
          <w:p w:rsidR="0080033D" w:rsidRPr="00214510" w:rsidP="005E1681" w14:paraId="386A8BF8" w14:textId="377B54A3">
            <w:pPr>
              <w:jc w:val="center"/>
            </w:pPr>
            <w:r w:rsidRPr="00214510">
              <w:t>6.</w:t>
            </w:r>
          </w:p>
        </w:tc>
        <w:tc>
          <w:tcPr>
            <w:tcW w:w="5043" w:type="dxa"/>
            <w:tcBorders>
              <w:top w:val="outset" w:sz="6" w:space="0" w:color="414142"/>
              <w:left w:val="outset" w:sz="6" w:space="0" w:color="414142"/>
              <w:bottom w:val="outset" w:sz="6" w:space="0" w:color="414142"/>
              <w:right w:val="outset" w:sz="6" w:space="0" w:color="414142"/>
            </w:tcBorders>
            <w:shd w:val="clear" w:color="auto" w:fill="FFFFFF"/>
          </w:tcPr>
          <w:p w:rsidR="00FC0334" w:rsidP="00FC0334" w14:paraId="1A2538B4" w14:textId="6CDA7EB1">
            <w:pPr>
              <w:autoSpaceDE w:val="0"/>
              <w:autoSpaceDN w:val="0"/>
              <w:adjustRightInd w:val="0"/>
              <w:jc w:val="both"/>
              <w:rPr>
                <w:rFonts w:eastAsiaTheme="minorHAnsi"/>
                <w:b/>
                <w:bCs/>
                <w:color w:val="000000"/>
                <w:lang w:eastAsia="en-US"/>
              </w:rPr>
            </w:pPr>
            <w:r>
              <w:rPr>
                <w:rFonts w:eastAsiaTheme="minorHAnsi"/>
                <w:b/>
                <w:bCs/>
                <w:color w:val="000000"/>
                <w:lang w:eastAsia="en-US"/>
              </w:rPr>
              <w:t xml:space="preserve">Informācijas uzkrāšana par ārvalstīs iegūto akadēmisko grādu un izglītības dokumentu, tai skaitā arī vidējo izglītību apliecinošu dokumentu atzīšanu Latvijā. </w:t>
            </w:r>
          </w:p>
          <w:p w:rsidR="00FC0334" w:rsidRPr="00BF5D64" w:rsidP="00FC0334" w14:paraId="5C4488BE" w14:textId="5BF1BD69">
            <w:pPr>
              <w:autoSpaceDE w:val="0"/>
              <w:autoSpaceDN w:val="0"/>
              <w:adjustRightInd w:val="0"/>
              <w:jc w:val="both"/>
              <w:rPr>
                <w:rFonts w:eastAsia="Calibri"/>
                <w:lang w:eastAsia="en-US"/>
              </w:rPr>
            </w:pPr>
            <w:r>
              <w:rPr>
                <w:rFonts w:eastAsiaTheme="minorHAnsi"/>
                <w:color w:val="000000"/>
                <w:lang w:eastAsia="en-US"/>
              </w:rPr>
              <w:t xml:space="preserve">Akadēmiskais informācijas centrs (turpmāk - AIC) neuzkrāj datus personu līmenī par ārvalstīs iegūto izglītības dokumentu un grādu atzīšanu Ārvalstīs iegūtu izglītības dokumentu un grādu atzīšana nav obligāta. Šīm procedūrām personas piesakās tad, kad tas konkrēti katram ir vajadzīgs. Spēkā esošais normatīvais regulējums neuzliek par pienākumu AIC apkopt informāciju par Latvijas iedzīvotājiem ar ārvalstīs iegūtu izglītību, līdz ar to tā nav pieejama administratīvajos datu avotos. Vienīgais datu avots, kurā kaut daļēji šo informāciju varētu uzkrāt ir AIC apkopotā informācija. Bet tam ir nepieciešams veikt izmaiņas  Izglītības likumā un iekļaut tajā  deleģējumu izveidot attiecīgu reģistru un uzkrāt šādu informāciju identificējamu personu (ar personas kodu) līmenī AIC par tiem Latvijas pastāvīgiem iedzīvotājiem, kuri  iesnieguši pieprasījumu par akadēmisko grādu un ārvalstīs iegūtu izglītības dokumentu atzīšanu un noteikt, ka reģistrs ir Valsts izglītības informācijas sistēmas </w:t>
            </w:r>
            <w:r>
              <w:rPr>
                <w:rFonts w:eastAsiaTheme="minorHAnsi"/>
                <w:color w:val="000000"/>
                <w:lang w:eastAsia="en-US"/>
              </w:rPr>
              <w:t>sastāvdaļa. Tādā veidā būs iespējam iegūt, kaut vai daļēji, datus, kas būs saskaņojami/savietojami ar citos reģistros pieejamajiem datiem, nodrošinās pilnīgāku informāciju par Latvijas iedzīvotāju izglītības līmeni, kas ir būtisks valsts sociāli ekonomisko situāciju raksturojošs rādītājs, un līdz ar to arī nodrošinās 2021. gada tautas skaitīšanas programmā kā obligātu iekļautā jautājuma par iedzīvotāju sasniegto izglītības līmeni pilnīgāku sagatavošanu.</w:t>
            </w:r>
          </w:p>
          <w:p w:rsidR="000F0A3B" w:rsidRPr="00214510" w14:paraId="4E99C4AA" w14:textId="2458EDFA">
            <w:pPr>
              <w:jc w:val="both"/>
            </w:pPr>
            <w:r w:rsidRPr="00BF5D64">
              <w:t>Informācija par profesionālās izglītības iest</w:t>
            </w:r>
            <w:r w:rsidRPr="00214510">
              <w:t>āžu audzēkņiem ir iekļauta Valsts izglītības informācijas sistēmā</w:t>
            </w:r>
            <w:r w:rsidR="00B940A0">
              <w:t>, bet</w:t>
            </w:r>
            <w:r w:rsidRPr="00214510">
              <w:t xml:space="preserve"> 2017. gadā katra iestāde iesniedza arī </w:t>
            </w:r>
            <w:r w:rsidR="00B17748">
              <w:t xml:space="preserve">individuālo </w:t>
            </w:r>
            <w:r w:rsidRPr="00214510">
              <w:t xml:space="preserve">pārskatu CSP. 2018. gadā </w:t>
            </w:r>
            <w:r w:rsidR="00B940A0">
              <w:t xml:space="preserve">Pārvalde ir plānojusi veikt </w:t>
            </w:r>
            <w:r w:rsidRPr="00214510">
              <w:t>šajā reģistrā iekļautās informācijas  kvalitātes novērtējum</w:t>
            </w:r>
            <w:r w:rsidR="00B940A0">
              <w:t>u (</w:t>
            </w:r>
            <w:r w:rsidR="00AA2E22">
              <w:t>datu pilnība, atbilstība klasifikācijām</w:t>
            </w:r>
            <w:r w:rsidR="00B940A0">
              <w:t>)</w:t>
            </w:r>
            <w:r w:rsidRPr="00214510">
              <w:t xml:space="preserve">  un pozitīva vērtējuma gadījumā </w:t>
            </w:r>
            <w:r w:rsidR="00B17748">
              <w:t>paredzēta</w:t>
            </w:r>
            <w:r w:rsidRPr="00214510">
              <w:t xml:space="preserve"> pārskata </w:t>
            </w:r>
            <w:r w:rsidRPr="00214510" w:rsidR="00B940A0">
              <w:t>1-PROF “Profesionālās izglītības iestādes pārskats 2017./2018.  mācību gada sākumā”</w:t>
            </w:r>
            <w:r w:rsidR="00B940A0">
              <w:t xml:space="preserve"> </w:t>
            </w:r>
            <w:r w:rsidRPr="00214510">
              <w:t>būtisk</w:t>
            </w:r>
            <w:r w:rsidR="000B157F">
              <w:t>u</w:t>
            </w:r>
            <w:r w:rsidRPr="00214510">
              <w:t xml:space="preserve"> saīsināšana. </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cPr>
          <w:p w:rsidR="0080033D" w:rsidRPr="00BF5D64" w:rsidP="005E1681" w14:paraId="7C1A88F1" w14:textId="7A50ED7C">
            <w:r w:rsidRPr="00BF5D64">
              <w:t xml:space="preserve"> 31.12.</w:t>
            </w:r>
            <w:r w:rsidRPr="00BF5D64" w:rsidR="001B052B">
              <w:t>2020</w:t>
            </w:r>
            <w:r w:rsidRPr="00BF5D64">
              <w:t>.</w:t>
            </w:r>
          </w:p>
        </w:tc>
        <w:tc>
          <w:tcPr>
            <w:tcW w:w="1984" w:type="dxa"/>
            <w:tcBorders>
              <w:top w:val="outset" w:sz="6" w:space="0" w:color="414142"/>
              <w:left w:val="outset" w:sz="6" w:space="0" w:color="414142"/>
              <w:bottom w:val="outset" w:sz="6" w:space="0" w:color="414142"/>
              <w:right w:val="outset" w:sz="6" w:space="0" w:color="414142"/>
            </w:tcBorders>
            <w:shd w:val="clear" w:color="auto" w:fill="FFFFFF"/>
          </w:tcPr>
          <w:p w:rsidR="0080033D" w:rsidRPr="00214510" w:rsidP="005E1681" w14:paraId="210487EE" w14:textId="77777777">
            <w:r w:rsidRPr="00214510">
              <w:t>Izglītības un zinātnes ministrija, Akadēmiskās informācijas centrs</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cPr>
          <w:p w:rsidR="00FC0334" w:rsidP="005E1681" w14:paraId="11123185" w14:textId="4B96844F">
            <w:pPr>
              <w:rPr>
                <w:rFonts w:eastAsiaTheme="minorHAnsi"/>
                <w:color w:val="000000"/>
                <w:lang w:eastAsia="en-US"/>
              </w:rPr>
            </w:pPr>
            <w:r w:rsidRPr="00BF5D64">
              <w:t>1</w:t>
            </w:r>
            <w:r w:rsidRPr="00BF5D64" w:rsidR="0080033D">
              <w:t xml:space="preserve">. </w:t>
            </w:r>
            <w:r>
              <w:rPr>
                <w:rFonts w:eastAsiaTheme="minorHAnsi"/>
                <w:color w:val="000000"/>
                <w:lang w:eastAsia="en-US"/>
              </w:rPr>
              <w:t>Izveidots “Ārvalstīs izglītību ieguvušo personu reģistrs” un uzsākta datu ievade.</w:t>
            </w:r>
          </w:p>
          <w:p w:rsidR="0080033D" w:rsidRPr="00214510" w:rsidP="005E1681" w14:paraId="5E8918F7" w14:textId="0A0230AE">
            <w:r w:rsidRPr="00BF5D64">
              <w:t>2</w:t>
            </w:r>
            <w:r w:rsidRPr="00BF5D64">
              <w:t>. Sākot ar 2018.gadu, par 70% samazināts gada pārskata 1-PROF “Profesionālās</w:t>
            </w:r>
            <w:r w:rsidRPr="00214510">
              <w:t xml:space="preserve"> izglītības iestādes pārskats 2017./2018.  mācību gada sākumā” rādītāju skaits.</w:t>
            </w:r>
          </w:p>
          <w:p w:rsidR="0080033D" w:rsidRPr="00214510" w:rsidP="005E1681" w14:paraId="4C8FAC92" w14:textId="77777777"/>
        </w:tc>
        <w:tc>
          <w:tcPr>
            <w:tcW w:w="1796" w:type="dxa"/>
            <w:tcBorders>
              <w:top w:val="outset" w:sz="6" w:space="0" w:color="414142"/>
              <w:left w:val="outset" w:sz="6" w:space="0" w:color="414142"/>
              <w:bottom w:val="outset" w:sz="6" w:space="0" w:color="414142"/>
              <w:right w:val="outset" w:sz="6" w:space="0" w:color="414142"/>
            </w:tcBorders>
            <w:shd w:val="clear" w:color="auto" w:fill="FFFFFF"/>
          </w:tcPr>
          <w:p w:rsidR="0080033D" w:rsidRPr="00BF5D64" w:rsidP="005E1681" w14:paraId="3EDC4C02" w14:textId="77777777">
            <w:r w:rsidRPr="00BF5D64">
              <w:t>Izglītības un zinātnes ministrijas un Akadēmiskās informācijas centra budžeta ietvaros</w:t>
            </w:r>
          </w:p>
        </w:tc>
      </w:tr>
      <w:tr w14:paraId="0DC9042C" w14:textId="77777777" w:rsidTr="009140F5">
        <w:tblPrEx>
          <w:tblW w:w="5000" w:type="pct"/>
          <w:tblInd w:w="-8" w:type="dxa"/>
          <w:shd w:val="clear" w:color="auto" w:fill="FFFFFF"/>
          <w:tblLayout w:type="fixed"/>
          <w:tblCellMar>
            <w:top w:w="30" w:type="dxa"/>
            <w:left w:w="30" w:type="dxa"/>
            <w:bottom w:w="30" w:type="dxa"/>
            <w:right w:w="30" w:type="dxa"/>
          </w:tblCellMar>
          <w:tblLook w:val="04A0"/>
        </w:tblPrEx>
        <w:tc>
          <w:tcPr>
            <w:tcW w:w="627" w:type="dxa"/>
            <w:tcBorders>
              <w:top w:val="outset" w:sz="6" w:space="0" w:color="414142"/>
              <w:left w:val="outset" w:sz="6" w:space="0" w:color="414142"/>
              <w:bottom w:val="outset" w:sz="6" w:space="0" w:color="414142"/>
              <w:right w:val="outset" w:sz="6" w:space="0" w:color="414142"/>
            </w:tcBorders>
            <w:shd w:val="clear" w:color="auto" w:fill="FFFFFF"/>
          </w:tcPr>
          <w:p w:rsidR="0080033D" w:rsidRPr="004170D0" w:rsidP="005E1681" w14:paraId="6047CEC3" w14:textId="1C6D4EBD">
            <w:pPr>
              <w:jc w:val="center"/>
            </w:pPr>
            <w:r w:rsidRPr="004170D0">
              <w:t>7</w:t>
            </w:r>
            <w:r w:rsidRPr="004170D0">
              <w:t>.</w:t>
            </w:r>
          </w:p>
        </w:tc>
        <w:tc>
          <w:tcPr>
            <w:tcW w:w="5043" w:type="dxa"/>
            <w:tcBorders>
              <w:top w:val="outset" w:sz="6" w:space="0" w:color="414142"/>
              <w:left w:val="outset" w:sz="6" w:space="0" w:color="414142"/>
              <w:bottom w:val="outset" w:sz="6" w:space="0" w:color="414142"/>
              <w:right w:val="outset" w:sz="6" w:space="0" w:color="414142"/>
            </w:tcBorders>
            <w:shd w:val="clear" w:color="auto" w:fill="FFFFFF"/>
          </w:tcPr>
          <w:p w:rsidR="0080033D" w:rsidRPr="004170D0" w:rsidP="005E1681" w14:paraId="3DD3F92A" w14:textId="77777777">
            <w:pPr>
              <w:jc w:val="both"/>
              <w:rPr>
                <w:b/>
              </w:rPr>
            </w:pPr>
            <w:r w:rsidRPr="004170D0">
              <w:rPr>
                <w:b/>
              </w:rPr>
              <w:t>Nekustamā īpašuma valsts kadastra informācijas sistēmas (NĪVKIS) datu kvalitātes uzlabošana</w:t>
            </w:r>
          </w:p>
          <w:p w:rsidR="0080033D" w:rsidRPr="004170D0" w:rsidP="00251E38" w14:paraId="5E17A39B" w14:textId="7A08B3D8">
            <w:pPr>
              <w:jc w:val="both"/>
            </w:pPr>
            <w:bookmarkStart w:id="9" w:name="_Hlk504044268"/>
            <w:r w:rsidRPr="004170D0">
              <w:t xml:space="preserve">Nekustamā īpašuma valsts kadastra informācijas sistēmas (NĪVKIS) informācijas papildināšana par būvju ekspluatācijas uzsākšanas un ekspluatācijā pieņemšanas gadiem, un inženiertehnisko aprīkojumu (labiekārtojumiem) nodrošinās 2021.gada tautas skaitīšanai un īpašuma kadastrālās vērtēšanas modeļu pilnveidošanai nepieciešamos </w:t>
            </w:r>
            <w:r w:rsidRPr="004170D0">
              <w:t xml:space="preserve">datus. </w:t>
            </w:r>
            <w:r w:rsidRPr="004170D0" w:rsidR="00251E38">
              <w:t>Neiekļaujot papildu pasākumus NĪVKIS</w:t>
            </w:r>
            <w:r w:rsidRPr="004170D0" w:rsidR="00251E38">
              <w:t xml:space="preserve"> </w:t>
            </w:r>
            <w:r w:rsidRPr="004170D0" w:rsidR="00251E38">
              <w:t xml:space="preserve">kvalitātes uzlabošanai, ierobežotā finansējuma dēļ, pastāv risks, ka 2021.gada tautas skaitīšanai nepieciešamā informācija netiks nodrošināta pilnā apjomā un atbilstošā kvalitātē. </w:t>
            </w:r>
            <w:bookmarkEnd w:id="9"/>
          </w:p>
        </w:tc>
        <w:tc>
          <w:tcPr>
            <w:tcW w:w="1418" w:type="dxa"/>
            <w:tcBorders>
              <w:top w:val="outset" w:sz="6" w:space="0" w:color="414142"/>
              <w:left w:val="outset" w:sz="6" w:space="0" w:color="414142"/>
              <w:bottom w:val="outset" w:sz="6" w:space="0" w:color="414142"/>
              <w:right w:val="outset" w:sz="6" w:space="0" w:color="414142"/>
            </w:tcBorders>
            <w:shd w:val="clear" w:color="auto" w:fill="FFFFFF"/>
          </w:tcPr>
          <w:p w:rsidR="00901E4C" w:rsidRPr="00A91E5B" w:rsidP="005E1681" w14:paraId="782CCD52" w14:textId="77777777">
            <w:r w:rsidRPr="00A91E5B">
              <w:t>31.12.</w:t>
            </w:r>
            <w:r w:rsidRPr="00A91E5B" w:rsidR="00ED7371">
              <w:t>2021</w:t>
            </w:r>
            <w:r w:rsidRPr="00A91E5B">
              <w:t>.</w:t>
            </w:r>
          </w:p>
          <w:p w:rsidR="00901E4C" w:rsidRPr="00A91E5B" w:rsidP="005E1681" w14:paraId="11786A9D" w14:textId="77777777"/>
          <w:p w:rsidR="00901E4C" w:rsidRPr="00A91E5B" w:rsidP="005E1681" w14:paraId="3D31C72B" w14:textId="77777777"/>
          <w:p w:rsidR="00901E4C" w:rsidRPr="00A91E5B" w:rsidP="005E1681" w14:paraId="3A531A8C" w14:textId="77777777"/>
          <w:p w:rsidR="0080033D" w:rsidRPr="00A91E5B" w:rsidP="005E1681" w14:paraId="4BEC5BEE" w14:textId="3889DA61">
            <w:r w:rsidRPr="00A91E5B">
              <w:t>31.12.2019.</w:t>
            </w:r>
            <w:r w:rsidRPr="00A91E5B">
              <w:t xml:space="preserve"> </w:t>
            </w:r>
          </w:p>
        </w:tc>
        <w:tc>
          <w:tcPr>
            <w:tcW w:w="1984" w:type="dxa"/>
            <w:tcBorders>
              <w:top w:val="outset" w:sz="6" w:space="0" w:color="414142"/>
              <w:left w:val="outset" w:sz="6" w:space="0" w:color="414142"/>
              <w:bottom w:val="outset" w:sz="6" w:space="0" w:color="414142"/>
              <w:right w:val="outset" w:sz="6" w:space="0" w:color="414142"/>
            </w:tcBorders>
            <w:shd w:val="clear" w:color="auto" w:fill="FFFFFF"/>
          </w:tcPr>
          <w:p w:rsidR="0080033D" w:rsidRPr="00A91E5B" w:rsidP="005E1681" w14:paraId="73E783C8" w14:textId="77777777">
            <w:r w:rsidRPr="00A91E5B">
              <w:t xml:space="preserve">Valsts zemes dienests </w:t>
            </w:r>
          </w:p>
          <w:p w:rsidR="000E5824" w:rsidRPr="00A91E5B" w:rsidP="005E1681" w14:paraId="74476220" w14:textId="77777777"/>
          <w:p w:rsidR="000E5824" w:rsidRPr="00A91E5B" w:rsidP="005E1681" w14:paraId="7316902E" w14:textId="77777777"/>
          <w:p w:rsidR="000E5824" w:rsidRPr="00A91E5B" w:rsidP="005E1681" w14:paraId="458FA582" w14:textId="2A2B8A0A">
            <w:r w:rsidRPr="00A91E5B">
              <w:t>Valsts zemes dienests un Būvniecības valsts kontroles birojs</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cPr>
          <w:p w:rsidR="0080033D" w:rsidRPr="00A91E5B" w:rsidP="005E1681" w14:paraId="079890C4" w14:textId="597EB6AD">
            <w:r w:rsidRPr="00A91E5B">
              <w:rPr>
                <w:lang w:eastAsia="en-US"/>
              </w:rPr>
              <w:t>1.</w:t>
            </w:r>
            <w:r w:rsidRPr="00A91E5B" w:rsidR="002E43D4">
              <w:rPr>
                <w:lang w:eastAsia="en-US"/>
              </w:rPr>
              <w:t>Būvju dati papildināti ar to ekspluatācijas uzsākšanas un ekspluatācijā pieņemšanas gadiem un to labiekārtojumiem</w:t>
            </w:r>
            <w:r w:rsidRPr="00A91E5B" w:rsidR="004170D0">
              <w:rPr>
                <w:lang w:eastAsia="en-US"/>
              </w:rPr>
              <w:t>.</w:t>
            </w:r>
            <w:r w:rsidRPr="00A91E5B">
              <w:t xml:space="preserve"> </w:t>
            </w:r>
          </w:p>
          <w:p w:rsidR="0080033D" w:rsidRPr="00A91E5B" w:rsidP="00901E4C" w14:paraId="39037D28" w14:textId="31A80150">
            <w:r w:rsidRPr="00A91E5B">
              <w:t>2.</w:t>
            </w:r>
            <w:r w:rsidRPr="00A91E5B" w:rsidR="00901E4C">
              <w:t xml:space="preserve"> Nodrošināta informācijas apmaiņa starp BIS un NĪVKIS</w:t>
            </w:r>
            <w:r w:rsidRPr="00A91E5B" w:rsidR="00D87FD4">
              <w:t xml:space="preserve"> par jauniem ekspluatācijā nodotiem mājokļiem</w:t>
            </w:r>
            <w:r w:rsidRPr="00A91E5B" w:rsidR="00901E4C">
              <w:t xml:space="preserve">. </w:t>
            </w:r>
            <w:r w:rsidRPr="00A91E5B">
              <w:rPr>
                <w:rFonts w:ascii="Calibri" w:hAnsi="Calibri"/>
                <w:sz w:val="22"/>
                <w:szCs w:val="22"/>
              </w:rPr>
              <w:t xml:space="preserve"> </w:t>
            </w:r>
          </w:p>
        </w:tc>
        <w:tc>
          <w:tcPr>
            <w:tcW w:w="1796" w:type="dxa"/>
            <w:tcBorders>
              <w:top w:val="outset" w:sz="6" w:space="0" w:color="414142"/>
              <w:left w:val="outset" w:sz="6" w:space="0" w:color="414142"/>
              <w:bottom w:val="outset" w:sz="6" w:space="0" w:color="414142"/>
              <w:right w:val="outset" w:sz="6" w:space="0" w:color="414142"/>
            </w:tcBorders>
            <w:shd w:val="clear" w:color="auto" w:fill="FFFFFF"/>
          </w:tcPr>
          <w:p w:rsidR="0080033D" w:rsidP="006A5CF8" w14:paraId="48D833A3" w14:textId="77777777">
            <w:r w:rsidRPr="004170D0">
              <w:t>Valsts zemes dienesta</w:t>
            </w:r>
            <w:r w:rsidRPr="004170D0" w:rsidR="00322978">
              <w:t xml:space="preserve"> budžeta ietvaros</w:t>
            </w:r>
          </w:p>
          <w:p w:rsidR="00A676A0" w:rsidP="006A5CF8" w14:paraId="0B676081" w14:textId="77777777"/>
          <w:p w:rsidR="00A676A0" w:rsidRPr="00BF5D64" w:rsidP="006A5CF8" w14:paraId="55E53F0C" w14:textId="0B96CBC2"/>
        </w:tc>
      </w:tr>
      <w:tr w14:paraId="4DA67E89" w14:textId="77777777" w:rsidTr="009140F5">
        <w:tblPrEx>
          <w:tblW w:w="5000" w:type="pct"/>
          <w:tblInd w:w="-8" w:type="dxa"/>
          <w:shd w:val="clear" w:color="auto" w:fill="FFFFFF"/>
          <w:tblLayout w:type="fixed"/>
          <w:tblCellMar>
            <w:top w:w="30" w:type="dxa"/>
            <w:left w:w="30" w:type="dxa"/>
            <w:bottom w:w="30" w:type="dxa"/>
            <w:right w:w="30" w:type="dxa"/>
          </w:tblCellMar>
          <w:tblLook w:val="04A0"/>
        </w:tblPrEx>
        <w:tc>
          <w:tcPr>
            <w:tcW w:w="627" w:type="dxa"/>
            <w:tcBorders>
              <w:top w:val="outset" w:sz="6" w:space="0" w:color="414142"/>
              <w:left w:val="outset" w:sz="6" w:space="0" w:color="414142"/>
              <w:bottom w:val="outset" w:sz="6" w:space="0" w:color="414142"/>
              <w:right w:val="outset" w:sz="6" w:space="0" w:color="414142"/>
            </w:tcBorders>
            <w:shd w:val="clear" w:color="auto" w:fill="FFFFFF"/>
          </w:tcPr>
          <w:p w:rsidR="006A00E1" w:rsidRPr="00214510" w:rsidP="00D57F65" w14:paraId="6B6E6349" w14:textId="67EF4C66">
            <w:pPr>
              <w:jc w:val="center"/>
            </w:pPr>
            <w:r w:rsidRPr="00214510">
              <w:t>8</w:t>
            </w:r>
            <w:r w:rsidRPr="00214510">
              <w:t>.</w:t>
            </w:r>
          </w:p>
        </w:tc>
        <w:tc>
          <w:tcPr>
            <w:tcW w:w="5043" w:type="dxa"/>
            <w:tcBorders>
              <w:top w:val="outset" w:sz="6" w:space="0" w:color="414142"/>
              <w:left w:val="outset" w:sz="6" w:space="0" w:color="414142"/>
              <w:bottom w:val="outset" w:sz="6" w:space="0" w:color="414142"/>
              <w:right w:val="outset" w:sz="6" w:space="0" w:color="414142"/>
            </w:tcBorders>
            <w:shd w:val="clear" w:color="auto" w:fill="FFFFFF"/>
          </w:tcPr>
          <w:p w:rsidR="006A00E1" w:rsidRPr="00214510" w:rsidP="008907D8" w14:paraId="04E3CBDA" w14:textId="77777777">
            <w:pPr>
              <w:jc w:val="both"/>
              <w:rPr>
                <w:b/>
              </w:rPr>
            </w:pPr>
            <w:r w:rsidRPr="00214510">
              <w:rPr>
                <w:b/>
              </w:rPr>
              <w:t>Būvniecības informācijas sistēmas (BIS) pilnveidošana</w:t>
            </w:r>
          </w:p>
          <w:p w:rsidR="006A00E1" w:rsidRPr="00214510" w:rsidP="008907D8" w14:paraId="32102610" w14:textId="615D1664">
            <w:pPr>
              <w:jc w:val="both"/>
            </w:pPr>
            <w:r w:rsidRPr="00214510">
              <w:t>2015.gada 31.decembrī noslēdzies Eiropas Reģionālā attīstības fonda projekts “Būvniecības informācijas sistēmas izstrāde</w:t>
            </w:r>
            <w:r w:rsidRPr="00214510">
              <w:rPr>
                <w:b/>
              </w:rPr>
              <w:t>”</w:t>
            </w:r>
            <w:r>
              <w:rPr>
                <w:rStyle w:val="FootnoteReference"/>
                <w:b/>
              </w:rPr>
              <w:footnoteReference w:id="5"/>
            </w:r>
            <w:r w:rsidRPr="00214510">
              <w:rPr>
                <w:b/>
              </w:rPr>
              <w:t>,</w:t>
            </w:r>
            <w:r w:rsidRPr="00214510">
              <w:t xml:space="preserve"> kura ietvaros izstrādāts BIS publiskais portāls www.bis.gov.lv, kurā  pieejami 25 elektroniskie pakalpojumi būvniecības un mājokļu jomā, tajā skaitā elektroniska dokumentu iesniegšana, sākot no būvniecības ieceres līdz būves pieņemšanai ekspluatācijā. </w:t>
            </w:r>
          </w:p>
          <w:p w:rsidR="006A00E1" w:rsidRPr="00214510" w:rsidP="008907D8" w14:paraId="309112AC" w14:textId="77777777">
            <w:pPr>
              <w:jc w:val="both"/>
            </w:pPr>
            <w:r w:rsidRPr="00214510">
              <w:t>BIS sistēmā, 2016.gada laikā ir uzsākta datu ievadīšana par būvniecības stadijā esošajām ēkām un ekspluatācijā nodotiem mājokļiem. Par ekspluatācijā nodotiem mājokļiem sistēmā tiek ievadīti dati: ēkas uzcelšanas gads, tips, kopējo platība, kā arī citi dati.</w:t>
            </w:r>
          </w:p>
          <w:p w:rsidR="006A00E1" w:rsidRPr="00214510" w:rsidP="008907D8" w14:paraId="488628AD" w14:textId="77777777">
            <w:pPr>
              <w:jc w:val="both"/>
            </w:pPr>
            <w:r w:rsidRPr="00214510">
              <w:t>Sākot ar 2017. gadu 1.janvāri BIS uzturēšana, tālākās darbības uzlabošana un attīstība ir nodota Būvniecības valsts kontroles biroja (BVKB) pārziņā.</w:t>
            </w:r>
          </w:p>
          <w:p w:rsidR="006A00E1" w:rsidRPr="00214510" w:rsidP="008907D8" w14:paraId="5DD346AB" w14:textId="77777777">
            <w:pPr>
              <w:jc w:val="both"/>
            </w:pPr>
            <w:r w:rsidRPr="00214510">
              <w:t xml:space="preserve">2016. gadā tika iesākts darbs pie Būvniecības informācijas sistēmas (BIS) datu izmantošanas būvniecības statistikas nodrošināšanā par izdotajām būvatļaujām un ēku pieņemšanu ekspluatācijā, tiek veikta pieejamo datu izvērtēšana statistikas pielietošanā un veidlapas ''1-BA" - pārskats par būvatļaujām, uzsāktiem būvdarbiem un ēku pieņemšanu ekspluatācijā, datu aizstāšanā, mazinot slogu pašvaldību būvvaldēm. </w:t>
            </w:r>
          </w:p>
          <w:p w:rsidR="006A00E1" w:rsidRPr="00214510" w:rsidP="008907D8" w14:paraId="0D4AF573" w14:textId="77777777">
            <w:pPr>
              <w:jc w:val="both"/>
            </w:pPr>
            <w:r w:rsidRPr="00214510">
              <w:t xml:space="preserve">2017. gada respondentu sarakstā netika iekļautas 29 būvvaldes, jo BIS pieejamā informācija atbilda statistikas prasībām. Šobrīd CSP arvien vairāk izmanto BIS pieejamos datus, kas tiek precizēti sazinoties ar būvvaldēm. Būvniecības valsts kontroles birojs regulāri tiek informēts par konstatētajām problēmām un nepilnībām. </w:t>
            </w:r>
          </w:p>
          <w:p w:rsidR="006A00E1" w:rsidRPr="00214510" w:rsidP="008907D8" w14:paraId="0FB702C3" w14:textId="77777777">
            <w:pPr>
              <w:jc w:val="both"/>
            </w:pPr>
            <w:r w:rsidRPr="00214510">
              <w:t xml:space="preserve">Lai nodrošinātu pilnīgu BIS pieejamo datu atbilstību statistikas vajadzībām, nepieciešams pilns datu pārklājums - gan iekļaujot datus par visām būvvaldēm, gan visiem nepieciešamajiem statistikas rādītājiem (izsniegto būvatļauju un ekspluatācijā pieņemto ēku skaitu un to platību, dzīvokļu skaitu). Šobrīd BIS nav pieejami dati par Rīgas būvvaldi, bet citām būvvaldēm nevar noteikt, vai dati nav ievadīti vai arī vērtība ir nulle.  Datos visbiežāk tiek konstatētas neatbilstības ēku platības lielumam un plānoto dzīvokļu skaitam daudzdzīvokļu namos, kas nav norādīti. Strādājot ar BIS, būtu jāparedz iespēju veikt būvatļauju atlasi pēc ēkas galvenā lietošanas veida, jo sistēmā vienai būvatļaujai atbilst vairāki </w:t>
            </w:r>
            <w:r w:rsidRPr="00214510">
              <w:t>ēku veidi (piemēram, dzīvojamā ēka un palīgēka - garāža). Līdz ar to katra būvatļauja tiek skatīta individuāli, kam nepieciešams liels laika patēriņš.</w:t>
            </w:r>
          </w:p>
          <w:p w:rsidR="006A00E1" w:rsidRPr="00214510" w:rsidP="00C51215" w14:paraId="7AF1BF57" w14:textId="71433626">
            <w:pPr>
              <w:jc w:val="both"/>
            </w:pPr>
            <w:r w:rsidRPr="00214510">
              <w:t>Nepieciešams uzlabot funkcionalitāti BIS dinamiskajam atskaišu modulim, lai CSP varētu ātri un operatīvi iegūt datus, kas jau ir citas iestādes valsts informācijas sistēmā, lai nodrošinātu Ministru kabineta 2015. gada 2. jūnija rīkojumā Nr. 280 ”Par Pasākumu plānu 2021. gada tautas skaitīšanas sagatavošanai un organizēšanai“ noteikto, ka 2021. gada tautas skaitīšana jāveic, visu nepieciešamo informāciju iegūstot no administratīvajiem datu avotiem.</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cPr>
          <w:p w:rsidR="006A00E1" w:rsidP="00ED4680" w14:paraId="658EF553" w14:textId="77777777">
            <w:r w:rsidRPr="00214510">
              <w:t>31.12.2019.</w:t>
            </w:r>
          </w:p>
          <w:p w:rsidR="004A2983" w:rsidP="00ED4680" w14:paraId="713CCE56" w14:textId="77777777"/>
          <w:p w:rsidR="004A2983" w:rsidP="00ED4680" w14:paraId="2374159B" w14:textId="77777777"/>
          <w:p w:rsidR="004A2983" w:rsidP="00ED4680" w14:paraId="0BCEA048" w14:textId="77777777"/>
          <w:p w:rsidR="004A2983" w:rsidP="00ED4680" w14:paraId="00B81460" w14:textId="77777777"/>
          <w:p w:rsidR="004A2983" w:rsidP="00ED4680" w14:paraId="2749C1C2" w14:textId="77777777"/>
          <w:p w:rsidR="004A2983" w:rsidP="00ED4680" w14:paraId="599CF270" w14:textId="77777777"/>
          <w:p w:rsidR="004A2983" w:rsidP="00ED4680" w14:paraId="077E31F1" w14:textId="77777777"/>
          <w:p w:rsidR="004A2983" w:rsidP="00ED4680" w14:paraId="1883B555" w14:textId="77777777"/>
          <w:p w:rsidR="004A2983" w:rsidP="00ED4680" w14:paraId="355796FE" w14:textId="77777777"/>
          <w:p w:rsidR="004A2983" w:rsidP="00ED4680" w14:paraId="7117B34E" w14:textId="77777777"/>
          <w:p w:rsidR="004A2983" w:rsidP="00ED4680" w14:paraId="32FF496A" w14:textId="77777777"/>
          <w:p w:rsidR="004A2983" w:rsidP="00ED4680" w14:paraId="5F690B1B" w14:textId="77777777"/>
          <w:p w:rsidR="004A2983" w:rsidP="00ED4680" w14:paraId="3ED8FA04" w14:textId="77777777"/>
          <w:p w:rsidR="004A2983" w:rsidP="00ED4680" w14:paraId="34F0718B" w14:textId="77777777"/>
          <w:p w:rsidR="004A2983" w:rsidP="00ED4680" w14:paraId="365A1522" w14:textId="77777777"/>
          <w:p w:rsidR="004A2983" w:rsidP="00ED4680" w14:paraId="53C85C81" w14:textId="77777777"/>
          <w:p w:rsidR="004A2983" w:rsidP="00ED4680" w14:paraId="780CE6B8" w14:textId="77777777"/>
          <w:p w:rsidR="004A2983" w:rsidP="00ED4680" w14:paraId="66A6023D" w14:textId="77777777"/>
          <w:p w:rsidR="004A2983" w:rsidP="00ED4680" w14:paraId="7EF52E76" w14:textId="77777777"/>
          <w:p w:rsidR="004A2983" w:rsidP="00ED4680" w14:paraId="48046EAB" w14:textId="77777777"/>
          <w:p w:rsidR="004A2983" w:rsidP="00ED4680" w14:paraId="52749C4C" w14:textId="77777777"/>
          <w:p w:rsidR="004A2983" w:rsidP="00ED4680" w14:paraId="430DDF15" w14:textId="77777777"/>
          <w:p w:rsidR="004A2983" w:rsidRPr="00214510" w:rsidP="00ED4680" w14:paraId="274657E8" w14:textId="3B623EBE"/>
        </w:tc>
        <w:tc>
          <w:tcPr>
            <w:tcW w:w="1984" w:type="dxa"/>
            <w:tcBorders>
              <w:top w:val="outset" w:sz="6" w:space="0" w:color="414142"/>
              <w:left w:val="outset" w:sz="6" w:space="0" w:color="414142"/>
              <w:bottom w:val="outset" w:sz="6" w:space="0" w:color="414142"/>
              <w:right w:val="outset" w:sz="6" w:space="0" w:color="414142"/>
            </w:tcBorders>
            <w:shd w:val="clear" w:color="auto" w:fill="FFFFFF"/>
          </w:tcPr>
          <w:p w:rsidR="006A00E1" w:rsidRPr="00214510" w:rsidP="00D57F65" w14:paraId="50A716F4" w14:textId="77777777">
            <w:bookmarkStart w:id="10" w:name="_Hlk495575659"/>
            <w:r w:rsidRPr="00214510">
              <w:t>Būvniecības valsts kontroles birojs</w:t>
            </w:r>
            <w:bookmarkEnd w:id="10"/>
          </w:p>
        </w:tc>
        <w:tc>
          <w:tcPr>
            <w:tcW w:w="3686" w:type="dxa"/>
            <w:tcBorders>
              <w:top w:val="outset" w:sz="6" w:space="0" w:color="414142"/>
              <w:left w:val="outset" w:sz="6" w:space="0" w:color="414142"/>
              <w:bottom w:val="outset" w:sz="6" w:space="0" w:color="414142"/>
              <w:right w:val="outset" w:sz="6" w:space="0" w:color="414142"/>
            </w:tcBorders>
            <w:shd w:val="clear" w:color="auto" w:fill="FFFFFF"/>
          </w:tcPr>
          <w:p w:rsidR="00D13DDC" w:rsidRPr="00212A1E" w:rsidP="00765463" w14:paraId="705FF5C7" w14:textId="6D3FA0F1">
            <w:r w:rsidRPr="00212A1E">
              <w:t>1.</w:t>
            </w:r>
            <w:r w:rsidR="00757E9F">
              <w:t xml:space="preserve"> Nodrošināta</w:t>
            </w:r>
            <w:r w:rsidRPr="00D13DDC">
              <w:t xml:space="preserve"> datu iegūšan</w:t>
            </w:r>
            <w:r w:rsidR="00757E9F">
              <w:t>a</w:t>
            </w:r>
            <w:r w:rsidRPr="00D13DDC">
              <w:t xml:space="preserve"> par būvniecības stadijā esošiem jauniem (būvatļauja ar atzīmi par būvdarbu uzsākšanas nosacījumu (BUN) izpildi) un ekspluatācijā nodotiem mājokļiem (ēkas uzcelšanas gads, tips, apkures veids, ūdens apgādes sistēma, labierīcības, kopējā platība, u.c.) 2021.gada tautas skaitīšanai.</w:t>
            </w:r>
          </w:p>
          <w:p w:rsidR="006A00E1" w:rsidRPr="00212A1E" w:rsidP="00765463" w14:paraId="6A00AB12" w14:textId="77777777">
            <w:r w:rsidRPr="00212A1E">
              <w:t xml:space="preserve">2. BIS dinamiskajā atskaišu modulī easyBI uzlabota funkcionalitāte un nodrošināta iespēja iegūt datus par personas (būvspeciālistu) profesiju un izglītības līmeni, “Profesija” un “Personas augstākais sekmīgi iegūtais izglītības līmenis”  nodarbinātajām personām 2021. gada tautas skaitīšanai, </w:t>
            </w:r>
          </w:p>
          <w:p w:rsidR="006A00E1" w:rsidRPr="00212A1E" w:rsidP="00765463" w14:paraId="36AFB4BF" w14:textId="4713905B">
            <w:r w:rsidRPr="00212A1E">
              <w:t xml:space="preserve"> 3.BIS dinamiskajā atskaišu modulī easyBI uzlabota funkcionalitāte, kas paredz iespēju Pārvaldei operatīvi </w:t>
            </w:r>
            <w:r w:rsidRPr="00212A1E">
              <w:t xml:space="preserve">iegūt datus par izsniegtajām būvatļaujām, apliecinājuma kartēm un </w:t>
            </w:r>
            <w:r w:rsidR="004A2983">
              <w:t>pas</w:t>
            </w:r>
            <w:r w:rsidRPr="00212A1E">
              <w:t xml:space="preserve">kaidrojuma rakstiem un būvēm, kas pieņemtas ekspluatācijā; </w:t>
            </w:r>
          </w:p>
          <w:p w:rsidR="006A00E1" w:rsidRPr="00212A1E" w:rsidP="00765463" w14:paraId="0DB5C9BF" w14:textId="77777777">
            <w:r w:rsidRPr="00212A1E">
              <w:t xml:space="preserve">4.Precizēts kubs, kur Pārvalde var atlasīt būvatļaujas, kurām izpildīti BUN konkrētā periodā; </w:t>
            </w:r>
          </w:p>
          <w:p w:rsidR="00D13DDC" w:rsidP="00765463" w14:paraId="309939B0" w14:textId="77777777">
            <w:r w:rsidRPr="00212A1E">
              <w:t>5.Izveidota sadaļa par teritoriālo dalījumu, kur var ielasīt un atlasīt interesējošos novadus un izveidot savu sagatavi;</w:t>
            </w:r>
          </w:p>
          <w:p w:rsidR="006A00E1" w:rsidRPr="00212A1E" w:rsidP="00765463" w14:paraId="12096D5F" w14:textId="0A8C9110">
            <w:r>
              <w:t>6.</w:t>
            </w:r>
            <w:r w:rsidRPr="00212A1E">
              <w:t xml:space="preserve"> </w:t>
            </w:r>
            <w:r w:rsidRPr="00D13DDC">
              <w:t>“BIS dinamiskajā atskaišu modulī easyBI uzlabots datu kubs “Vienkāršotais būvniecības process” ar iespēju atlasīt apliecinājuma kartes un paskaidrojuma rakstus.</w:t>
            </w:r>
            <w:r w:rsidRPr="00212A1E">
              <w:t xml:space="preserve"> </w:t>
            </w:r>
          </w:p>
          <w:p w:rsidR="004A2983" w:rsidRPr="00212A1E" w:rsidP="00765463" w14:paraId="5217F504" w14:textId="0FB038B4">
            <w:r>
              <w:t>7.</w:t>
            </w:r>
            <w:r w:rsidRPr="00212A1E" w:rsidR="006A00E1">
              <w:t>Sākot ar 2020.gadu, pilnībā  atcelta veidlapa 1-BA “Pārskats par būvatļaujām, uzsāktiem būvdarbiem un ēku pieņemšanu ekspluatācijā”</w:t>
            </w:r>
            <w:r w:rsidRPr="00212A1E">
              <w:t>;</w:t>
            </w:r>
          </w:p>
          <w:p w:rsidR="006A00E1" w:rsidRPr="00212A1E" w:rsidP="00765463" w14:paraId="6C639AE6" w14:textId="5009E18D">
            <w:r>
              <w:t>8</w:t>
            </w:r>
            <w:r w:rsidRPr="00A91E5B" w:rsidR="004A2983">
              <w:t xml:space="preserve">. Nodrošināta informācijas apmaiņa starp BIS un NĪVKIS. </w:t>
            </w:r>
          </w:p>
        </w:tc>
        <w:tc>
          <w:tcPr>
            <w:tcW w:w="1796" w:type="dxa"/>
            <w:tcBorders>
              <w:top w:val="outset" w:sz="6" w:space="0" w:color="414142"/>
              <w:left w:val="outset" w:sz="6" w:space="0" w:color="414142"/>
              <w:bottom w:val="outset" w:sz="6" w:space="0" w:color="414142"/>
              <w:right w:val="outset" w:sz="6" w:space="0" w:color="414142"/>
            </w:tcBorders>
            <w:shd w:val="clear" w:color="auto" w:fill="FFFFFF"/>
          </w:tcPr>
          <w:p w:rsidR="006A00E1" w:rsidRPr="00214510" w:rsidP="00627C1E" w14:paraId="443A58E6" w14:textId="36C5EFFD">
            <w:r w:rsidRPr="00214510">
              <w:t>Būvniecības valsts kontroles biroja</w:t>
            </w:r>
            <w:r w:rsidR="00A73918">
              <w:t xml:space="preserve"> b</w:t>
            </w:r>
            <w:r w:rsidR="001201EC">
              <w:t>u</w:t>
            </w:r>
            <w:r w:rsidR="00A73918">
              <w:t>džeta ietvaros</w:t>
            </w:r>
            <w:r w:rsidRPr="00214510">
              <w:t xml:space="preserve"> </w:t>
            </w:r>
          </w:p>
        </w:tc>
      </w:tr>
      <w:tr w14:paraId="3F97E107" w14:textId="77777777" w:rsidTr="009140F5">
        <w:tblPrEx>
          <w:tblW w:w="5000" w:type="pct"/>
          <w:tblInd w:w="-8" w:type="dxa"/>
          <w:shd w:val="clear" w:color="auto" w:fill="FFFFFF"/>
          <w:tblLayout w:type="fixed"/>
          <w:tblCellMar>
            <w:top w:w="30" w:type="dxa"/>
            <w:left w:w="30" w:type="dxa"/>
            <w:bottom w:w="30" w:type="dxa"/>
            <w:right w:w="30" w:type="dxa"/>
          </w:tblCellMar>
          <w:tblLook w:val="04A0"/>
        </w:tblPrEx>
        <w:tc>
          <w:tcPr>
            <w:tcW w:w="627" w:type="dxa"/>
            <w:tcBorders>
              <w:top w:val="outset" w:sz="6" w:space="0" w:color="414142"/>
              <w:left w:val="outset" w:sz="6" w:space="0" w:color="414142"/>
              <w:bottom w:val="outset" w:sz="6" w:space="0" w:color="414142"/>
              <w:right w:val="outset" w:sz="6" w:space="0" w:color="414142"/>
            </w:tcBorders>
            <w:shd w:val="clear" w:color="auto" w:fill="FFFFFF"/>
          </w:tcPr>
          <w:p w:rsidR="006A00E1" w:rsidRPr="00214510" w:rsidP="00D57F65" w14:paraId="0751328D" w14:textId="44FA2611">
            <w:pPr>
              <w:jc w:val="center"/>
            </w:pPr>
            <w:r w:rsidRPr="00214510">
              <w:t>9</w:t>
            </w:r>
            <w:r w:rsidRPr="00214510">
              <w:t>.</w:t>
            </w:r>
          </w:p>
        </w:tc>
        <w:tc>
          <w:tcPr>
            <w:tcW w:w="5043" w:type="dxa"/>
            <w:tcBorders>
              <w:top w:val="outset" w:sz="6" w:space="0" w:color="414142"/>
              <w:left w:val="outset" w:sz="6" w:space="0" w:color="414142"/>
              <w:bottom w:val="outset" w:sz="6" w:space="0" w:color="414142"/>
              <w:right w:val="outset" w:sz="6" w:space="0" w:color="414142"/>
            </w:tcBorders>
            <w:shd w:val="clear" w:color="auto" w:fill="FFFFFF"/>
          </w:tcPr>
          <w:p w:rsidR="006A00E1" w:rsidRPr="00214510" w:rsidP="00D57F65" w14:paraId="510D0A76" w14:textId="4B93446C">
            <w:pPr>
              <w:jc w:val="both"/>
              <w:rPr>
                <w:b/>
              </w:rPr>
            </w:pPr>
            <w:r w:rsidRPr="00214510">
              <w:rPr>
                <w:b/>
              </w:rPr>
              <w:t>Regulāra s</w:t>
            </w:r>
            <w:r w:rsidRPr="00214510">
              <w:rPr>
                <w:b/>
              </w:rPr>
              <w:t xml:space="preserve">abiedrības informēšana par veiktajiem pasākumiem administratīvo datu izmantošanas uzlabošanā un respondentu sloga mazināšanā </w:t>
            </w:r>
          </w:p>
          <w:p w:rsidR="006A00E1" w:rsidRPr="00214510" w:rsidP="00D57F65" w14:paraId="7C573664" w14:textId="1307EE13">
            <w:pPr>
              <w:jc w:val="both"/>
            </w:pPr>
            <w:r w:rsidRPr="00214510">
              <w:t xml:space="preserve">Pārvalde šobrīd izmanto 131 dažādu administratīvo datu avotu un to kvantitatīvie un kvalitatīvie rādītāji ik gadu uzlabojas. Pārvalde uzrauga administratīvo datu avotu izmaiņas, pilnveidošanas procesus un, balstoties uz normatīvajiem aktiem, darbojas, lai informācija būtu pilnvērtīgāk izmantojama oficiālās statistikas veidošanā. </w:t>
            </w:r>
          </w:p>
          <w:p w:rsidR="006A00E1" w:rsidRPr="00214510" w:rsidP="00D57F65" w14:paraId="38CE9F40" w14:textId="77777777">
            <w:pPr>
              <w:jc w:val="both"/>
            </w:pPr>
            <w:r w:rsidRPr="00214510">
              <w:t>Administratīvie  dati personu līmenī tiek izmantoti gan mājsaimniecību apsekojumos, gan sagatavojot iedzīvotāju skaita novērtējumu, gan gatavojoties 2021. gada tautas skaitīšanai, kurā paredzēts atteikties no iedzīvotāju anketēšanas.</w:t>
            </w:r>
          </w:p>
          <w:p w:rsidR="006A00E1" w:rsidRPr="00214510" w:rsidP="00D57F65" w14:paraId="69C03D14" w14:textId="5DB090D2">
            <w:pPr>
              <w:jc w:val="both"/>
            </w:pPr>
            <w:r w:rsidRPr="00214510">
              <w:t xml:space="preserve">Pārvalde katru gadu izvērtē iespējas samazināt respondentu administratīvo slogu un </w:t>
            </w:r>
            <w:r w:rsidRPr="00214510" w:rsidR="00DD6AA5">
              <w:t>plāno un īsteno</w:t>
            </w:r>
            <w:r w:rsidRPr="00214510">
              <w:t xml:space="preserve"> datu ieguves uzlabojumu</w:t>
            </w:r>
            <w:r w:rsidRPr="00214510" w:rsidR="00DD6AA5">
              <w:t>s konkrētam</w:t>
            </w:r>
            <w:r w:rsidRPr="00214510">
              <w:t xml:space="preserve"> gad</w:t>
            </w:r>
            <w:r w:rsidRPr="00214510" w:rsidR="00DD6AA5">
              <w:t>a</w:t>
            </w:r>
            <w:r w:rsidRPr="00214510">
              <w:t xml:space="preserve">m. Iesaistot </w:t>
            </w:r>
            <w:r w:rsidRPr="00214510" w:rsidR="00944534">
              <w:t>šajās aktivitātēs</w:t>
            </w:r>
            <w:r w:rsidRPr="00214510">
              <w:t xml:space="preserve"> arī administratīvo datu turētājus,  respondentiem un datu lietotājiem tiktu nodrošināta informācija par Pārvaldes plānotajiem pasākumiem administratīvo datu izmantošanā, tādējādi veicinot savstarpējo izpratni un ieinteresētību  šī jautājuma realizācijā.</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cPr>
          <w:p w:rsidR="006A00E1" w:rsidRPr="00214510" w:rsidP="00ED4680" w14:paraId="0EF41883" w14:textId="59B0B469">
            <w:r w:rsidRPr="00214510">
              <w:t>30.06.2018.</w:t>
            </w:r>
          </w:p>
        </w:tc>
        <w:tc>
          <w:tcPr>
            <w:tcW w:w="1984" w:type="dxa"/>
            <w:tcBorders>
              <w:top w:val="outset" w:sz="6" w:space="0" w:color="414142"/>
              <w:left w:val="outset" w:sz="6" w:space="0" w:color="414142"/>
              <w:bottom w:val="outset" w:sz="6" w:space="0" w:color="414142"/>
              <w:right w:val="outset" w:sz="6" w:space="0" w:color="414142"/>
            </w:tcBorders>
            <w:shd w:val="clear" w:color="auto" w:fill="FFFFFF"/>
          </w:tcPr>
          <w:p w:rsidR="006A00E1" w:rsidRPr="00214510" w:rsidP="00D57F65" w14:paraId="455D10D0" w14:textId="77777777">
            <w:r w:rsidRPr="00214510">
              <w:t>Centrālā statistikas pārvalde, sadarbībā ar administratīvo datu turētājiem</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cPr>
          <w:p w:rsidR="006A00E1" w:rsidRPr="00214510" w:rsidP="00D57F65" w14:paraId="1E5AD062" w14:textId="6B05FE1A">
            <w:r w:rsidRPr="00214510">
              <w:t xml:space="preserve">Centrālās statistikas pārvaldes </w:t>
            </w:r>
            <w:r w:rsidRPr="00214510" w:rsidR="00C9541D">
              <w:t>tīmekļa vietnē</w:t>
            </w:r>
            <w:r w:rsidRPr="00214510" w:rsidR="0080033D">
              <w:t xml:space="preserve"> divas reizes gadā</w:t>
            </w:r>
            <w:r w:rsidRPr="00214510">
              <w:t xml:space="preserve"> publicētas administratīvo datu izmantošanas uzlabošanas aktivitātes un darbības rezultāti.</w:t>
            </w:r>
          </w:p>
        </w:tc>
        <w:tc>
          <w:tcPr>
            <w:tcW w:w="1796" w:type="dxa"/>
            <w:tcBorders>
              <w:top w:val="outset" w:sz="6" w:space="0" w:color="414142"/>
              <w:left w:val="outset" w:sz="6" w:space="0" w:color="414142"/>
              <w:bottom w:val="outset" w:sz="6" w:space="0" w:color="414142"/>
              <w:right w:val="outset" w:sz="6" w:space="0" w:color="414142"/>
            </w:tcBorders>
            <w:shd w:val="clear" w:color="auto" w:fill="FFFFFF"/>
          </w:tcPr>
          <w:p w:rsidR="006A00E1" w:rsidRPr="00214510" w:rsidP="00D57F65" w14:paraId="1CF90AC2" w14:textId="77777777">
            <w:r w:rsidRPr="00214510">
              <w:t>Centrālās statistikas pārvaldes budžeta ietvaros</w:t>
            </w:r>
          </w:p>
        </w:tc>
      </w:tr>
    </w:tbl>
    <w:p w:rsidR="00093133" w:rsidP="0033509F" w14:paraId="40A09B11" w14:textId="77777777">
      <w:pPr>
        <w:tabs>
          <w:tab w:val="left" w:pos="3320"/>
        </w:tabs>
      </w:pPr>
    </w:p>
    <w:p w:rsidR="00775172" w:rsidP="0033509F" w14:paraId="6C69A6A0" w14:textId="77777777">
      <w:pPr>
        <w:tabs>
          <w:tab w:val="left" w:pos="3320"/>
        </w:tabs>
      </w:pPr>
    </w:p>
    <w:p w:rsidR="00F206E4" w:rsidP="0033509F" w14:paraId="1F3FF8E5" w14:textId="77777777">
      <w:pPr>
        <w:tabs>
          <w:tab w:val="left" w:pos="3320"/>
        </w:tabs>
        <w:sectPr w:rsidSect="0033509F">
          <w:pgSz w:w="16838" w:h="11906" w:orient="landscape" w:code="9"/>
          <w:pgMar w:top="1701" w:right="1134" w:bottom="851" w:left="1134" w:header="709" w:footer="709" w:gutter="0"/>
          <w:cols w:space="708"/>
          <w:docGrid w:linePitch="360"/>
        </w:sectPr>
      </w:pPr>
    </w:p>
    <w:p w:rsidR="0002156E" w:rsidRPr="007D4015" w:rsidP="0002156E" w14:paraId="485A8BE9" w14:textId="004B28EF">
      <w:pPr>
        <w:jc w:val="both"/>
        <w:rPr>
          <w:b/>
          <w:sz w:val="28"/>
          <w:szCs w:val="28"/>
        </w:rPr>
      </w:pPr>
      <w:r>
        <w:rPr>
          <w:b/>
          <w:sz w:val="28"/>
          <w:szCs w:val="28"/>
        </w:rPr>
        <w:t>Secinājumi un priekšlikumi tālākai rīcībai</w:t>
      </w:r>
      <w:r w:rsidR="0024529C">
        <w:rPr>
          <w:b/>
          <w:sz w:val="28"/>
          <w:szCs w:val="28"/>
        </w:rPr>
        <w:t xml:space="preserve"> </w:t>
      </w:r>
    </w:p>
    <w:p w:rsidR="0002156E" w:rsidRPr="007D4015" w:rsidP="0002156E" w14:paraId="54B636D2" w14:textId="77777777">
      <w:pPr>
        <w:jc w:val="both"/>
        <w:rPr>
          <w:b/>
          <w:sz w:val="28"/>
          <w:szCs w:val="28"/>
          <w:highlight w:val="yellow"/>
        </w:rPr>
      </w:pPr>
    </w:p>
    <w:p w:rsidR="001B7151" w:rsidP="00CD390B" w14:paraId="4A5B103E" w14:textId="3E15F7E0">
      <w:pPr>
        <w:ind w:firstLine="720"/>
        <w:jc w:val="both"/>
        <w:rPr>
          <w:sz w:val="28"/>
          <w:szCs w:val="28"/>
        </w:rPr>
      </w:pPr>
      <w:r>
        <w:rPr>
          <w:sz w:val="28"/>
          <w:szCs w:val="28"/>
        </w:rPr>
        <w:t>Īstenojot identificētos pasākumus administratīvo datu ieguvē un apstrādē, tiks panākta situācijas uzlabošanās šādos virzienos:</w:t>
      </w:r>
    </w:p>
    <w:p w:rsidR="001B7151" w:rsidRPr="009140F5" w:rsidP="009140F5" w14:paraId="36B0C433" w14:textId="3AA80151">
      <w:pPr>
        <w:pStyle w:val="ListParagraph"/>
        <w:numPr>
          <w:ilvl w:val="0"/>
          <w:numId w:val="15"/>
        </w:numPr>
        <w:jc w:val="both"/>
        <w:rPr>
          <w:sz w:val="28"/>
          <w:szCs w:val="28"/>
        </w:rPr>
      </w:pPr>
      <w:r w:rsidRPr="009140F5">
        <w:rPr>
          <w:sz w:val="28"/>
          <w:szCs w:val="28"/>
        </w:rPr>
        <w:t>a</w:t>
      </w:r>
      <w:r w:rsidRPr="009140F5" w:rsidR="00666428">
        <w:rPr>
          <w:sz w:val="28"/>
          <w:szCs w:val="28"/>
        </w:rPr>
        <w:t>dministratīvo datu avotos esošās informācijas pieejamīb</w:t>
      </w:r>
      <w:r w:rsidRPr="009140F5" w:rsidR="00AE5839">
        <w:rPr>
          <w:sz w:val="28"/>
          <w:szCs w:val="28"/>
        </w:rPr>
        <w:t>a</w:t>
      </w:r>
      <w:r w:rsidRPr="009140F5">
        <w:rPr>
          <w:sz w:val="28"/>
          <w:szCs w:val="28"/>
        </w:rPr>
        <w:t>;</w:t>
      </w:r>
    </w:p>
    <w:p w:rsidR="00252EE7" w:rsidRPr="009140F5" w:rsidP="009140F5" w14:paraId="0C8BCC91" w14:textId="5117A859">
      <w:pPr>
        <w:pStyle w:val="ListParagraph"/>
        <w:numPr>
          <w:ilvl w:val="0"/>
          <w:numId w:val="15"/>
        </w:numPr>
        <w:jc w:val="both"/>
        <w:rPr>
          <w:sz w:val="28"/>
          <w:szCs w:val="28"/>
        </w:rPr>
      </w:pPr>
      <w:r w:rsidRPr="009140F5">
        <w:rPr>
          <w:sz w:val="28"/>
          <w:szCs w:val="28"/>
        </w:rPr>
        <w:t xml:space="preserve">reģistru un administratīvo </w:t>
      </w:r>
      <w:r w:rsidRPr="009140F5" w:rsidR="00666428">
        <w:rPr>
          <w:sz w:val="28"/>
          <w:szCs w:val="28"/>
        </w:rPr>
        <w:t>datu kvalitāt</w:t>
      </w:r>
      <w:r w:rsidRPr="009140F5" w:rsidR="00E04D54">
        <w:rPr>
          <w:sz w:val="28"/>
          <w:szCs w:val="28"/>
        </w:rPr>
        <w:t>e</w:t>
      </w:r>
      <w:r w:rsidRPr="009140F5">
        <w:rPr>
          <w:sz w:val="28"/>
          <w:szCs w:val="28"/>
        </w:rPr>
        <w:t>;</w:t>
      </w:r>
    </w:p>
    <w:p w:rsidR="00252EE7" w:rsidRPr="009140F5" w:rsidP="009140F5" w14:paraId="241F23E8" w14:textId="7168C19D">
      <w:pPr>
        <w:pStyle w:val="ListParagraph"/>
        <w:numPr>
          <w:ilvl w:val="0"/>
          <w:numId w:val="15"/>
        </w:numPr>
        <w:jc w:val="both"/>
        <w:rPr>
          <w:sz w:val="28"/>
          <w:szCs w:val="28"/>
        </w:rPr>
      </w:pPr>
      <w:r w:rsidRPr="009140F5">
        <w:rPr>
          <w:sz w:val="28"/>
          <w:szCs w:val="28"/>
        </w:rPr>
        <w:t xml:space="preserve">Pārvaldes un administratīvo datu turētāju un ieinteresēto personu (respondentu un datu lietotāju) </w:t>
      </w:r>
      <w:r w:rsidRPr="009140F5" w:rsidR="00AE5839">
        <w:rPr>
          <w:sz w:val="28"/>
          <w:szCs w:val="28"/>
        </w:rPr>
        <w:t>sadarbīb</w:t>
      </w:r>
      <w:r w:rsidRPr="009140F5" w:rsidR="00E04D54">
        <w:rPr>
          <w:sz w:val="28"/>
          <w:szCs w:val="28"/>
        </w:rPr>
        <w:t>a</w:t>
      </w:r>
      <w:r w:rsidRPr="009140F5" w:rsidR="00AE5839">
        <w:rPr>
          <w:sz w:val="28"/>
          <w:szCs w:val="28"/>
        </w:rPr>
        <w:t xml:space="preserve"> un regulār</w:t>
      </w:r>
      <w:r w:rsidRPr="009140F5" w:rsidR="00E04D54">
        <w:rPr>
          <w:sz w:val="28"/>
          <w:szCs w:val="28"/>
        </w:rPr>
        <w:t>a</w:t>
      </w:r>
      <w:r w:rsidRPr="009140F5" w:rsidR="00AE5839">
        <w:rPr>
          <w:sz w:val="28"/>
          <w:szCs w:val="28"/>
        </w:rPr>
        <w:t xml:space="preserve"> informācijas apmaiņ</w:t>
      </w:r>
      <w:r w:rsidRPr="009140F5" w:rsidR="00E04D54">
        <w:rPr>
          <w:sz w:val="28"/>
          <w:szCs w:val="28"/>
        </w:rPr>
        <w:t>a</w:t>
      </w:r>
      <w:r w:rsidRPr="009140F5">
        <w:rPr>
          <w:sz w:val="28"/>
          <w:szCs w:val="28"/>
        </w:rPr>
        <w:t>;</w:t>
      </w:r>
    </w:p>
    <w:p w:rsidR="0081666B" w:rsidP="009140F5" w14:paraId="326D539D" w14:textId="43F7F3A9">
      <w:pPr>
        <w:pStyle w:val="ListParagraph"/>
        <w:numPr>
          <w:ilvl w:val="0"/>
          <w:numId w:val="15"/>
        </w:numPr>
        <w:jc w:val="both"/>
        <w:rPr>
          <w:sz w:val="28"/>
          <w:szCs w:val="28"/>
        </w:rPr>
      </w:pPr>
      <w:r w:rsidRPr="009140F5">
        <w:rPr>
          <w:sz w:val="28"/>
          <w:szCs w:val="28"/>
        </w:rPr>
        <w:t>uzņēmēju slog</w:t>
      </w:r>
      <w:r w:rsidRPr="009140F5" w:rsidR="00252EE7">
        <w:rPr>
          <w:sz w:val="28"/>
          <w:szCs w:val="28"/>
        </w:rPr>
        <w:t>a mazināšana</w:t>
      </w:r>
      <w:r w:rsidRPr="009140F5">
        <w:rPr>
          <w:sz w:val="28"/>
          <w:szCs w:val="28"/>
        </w:rPr>
        <w:t xml:space="preserve"> statistikas datu sniegšanā</w:t>
      </w:r>
      <w:r w:rsidRPr="009140F5" w:rsidR="00666428">
        <w:rPr>
          <w:sz w:val="28"/>
          <w:szCs w:val="28"/>
        </w:rPr>
        <w:t>.</w:t>
      </w:r>
      <w:r w:rsidRPr="009140F5" w:rsidR="0002156E">
        <w:rPr>
          <w:sz w:val="28"/>
          <w:szCs w:val="28"/>
        </w:rPr>
        <w:t xml:space="preserve"> </w:t>
      </w:r>
    </w:p>
    <w:p w:rsidR="00077542" w:rsidP="00077542" w14:paraId="63CD1C9E" w14:textId="77777777">
      <w:pPr>
        <w:ind w:firstLine="360"/>
        <w:jc w:val="both"/>
        <w:rPr>
          <w:sz w:val="28"/>
          <w:szCs w:val="28"/>
        </w:rPr>
      </w:pPr>
      <w:r w:rsidRPr="00077542">
        <w:rPr>
          <w:sz w:val="28"/>
          <w:szCs w:val="28"/>
        </w:rPr>
        <w:t>Ekonomikas ministrija (Centrālā statistikas pārvalde) katru gadu (2019., 2020.  un 2021. gadā) līdz 1. martam apkopo informāciju par pasākumu īstenošanu iepriekšējā gadā un līdz 1.aprīlim to publicē savā tīmekļa vietnē.</w:t>
      </w:r>
      <w:r>
        <w:rPr>
          <w:sz w:val="28"/>
          <w:szCs w:val="28"/>
        </w:rPr>
        <w:t xml:space="preserve"> </w:t>
      </w:r>
    </w:p>
    <w:p w:rsidR="003C41FD" w:rsidRPr="000F4B88" w:rsidP="000F4B88" w14:paraId="658A87FD" w14:textId="168671F2">
      <w:pPr>
        <w:pStyle w:val="NoSpacing"/>
        <w:ind w:firstLine="360"/>
        <w:jc w:val="both"/>
        <w:rPr>
          <w:sz w:val="28"/>
          <w:szCs w:val="28"/>
        </w:rPr>
      </w:pPr>
      <w:r w:rsidRPr="000F4B88">
        <w:rPr>
          <w:sz w:val="28"/>
          <w:szCs w:val="28"/>
        </w:rPr>
        <w:t xml:space="preserve">Atbildīgās institūcijas </w:t>
      </w:r>
      <w:r w:rsidRPr="000F4B88" w:rsidR="003C4536">
        <w:rPr>
          <w:sz w:val="28"/>
          <w:szCs w:val="28"/>
        </w:rPr>
        <w:t>aktivitātes</w:t>
      </w:r>
      <w:r w:rsidRPr="000F4B88">
        <w:rPr>
          <w:sz w:val="28"/>
          <w:szCs w:val="28"/>
        </w:rPr>
        <w:t xml:space="preserve"> veiks </w:t>
      </w:r>
      <w:r w:rsidRPr="00164795" w:rsidR="00B02AC0">
        <w:rPr>
          <w:sz w:val="28"/>
          <w:szCs w:val="28"/>
        </w:rPr>
        <w:t>tām piešķirt</w:t>
      </w:r>
      <w:r w:rsidR="00B02AC0">
        <w:rPr>
          <w:sz w:val="28"/>
          <w:szCs w:val="28"/>
        </w:rPr>
        <w:t>o</w:t>
      </w:r>
      <w:r w:rsidRPr="00164795" w:rsidR="00B02AC0">
        <w:rPr>
          <w:sz w:val="28"/>
          <w:szCs w:val="28"/>
        </w:rPr>
        <w:t xml:space="preserve"> valsts budžeta </w:t>
      </w:r>
      <w:r w:rsidR="00B02AC0">
        <w:rPr>
          <w:sz w:val="28"/>
          <w:szCs w:val="28"/>
        </w:rPr>
        <w:t>vai</w:t>
      </w:r>
      <w:r w:rsidRPr="00164795" w:rsidR="00B02AC0">
        <w:rPr>
          <w:sz w:val="28"/>
          <w:szCs w:val="28"/>
        </w:rPr>
        <w:t xml:space="preserve"> Eiropas Savienības politiku instrument</w:t>
      </w:r>
      <w:r w:rsidR="00B02AC0">
        <w:rPr>
          <w:sz w:val="28"/>
          <w:szCs w:val="28"/>
        </w:rPr>
        <w:t>u</w:t>
      </w:r>
      <w:r w:rsidRPr="00164795" w:rsidR="00B02AC0">
        <w:rPr>
          <w:sz w:val="28"/>
          <w:szCs w:val="28"/>
        </w:rPr>
        <w:t xml:space="preserve"> un pārējās ārvalstu finanšu palīdzības līdzekļ</w:t>
      </w:r>
      <w:r w:rsidR="00B02AC0">
        <w:rPr>
          <w:sz w:val="28"/>
          <w:szCs w:val="28"/>
        </w:rPr>
        <w:t>u ietvaros</w:t>
      </w:r>
      <w:r w:rsidRPr="000F4B88">
        <w:rPr>
          <w:sz w:val="28"/>
          <w:szCs w:val="28"/>
        </w:rPr>
        <w:t xml:space="preserve">. </w:t>
      </w:r>
    </w:p>
    <w:p w:rsidR="0002156E" w:rsidRPr="000F4B88" w:rsidP="000F4B88" w14:paraId="33E9B24A" w14:textId="4A936CB7">
      <w:pPr>
        <w:pStyle w:val="NoSpacing"/>
        <w:ind w:firstLine="360"/>
        <w:jc w:val="both"/>
        <w:rPr>
          <w:sz w:val="28"/>
          <w:szCs w:val="28"/>
        </w:rPr>
      </w:pPr>
      <w:r w:rsidRPr="000F4B88">
        <w:rPr>
          <w:sz w:val="28"/>
          <w:szCs w:val="28"/>
        </w:rPr>
        <w:t>Apzinoties vienotas pieejas datu kvalitātes nodrošināšanai</w:t>
      </w:r>
      <w:r w:rsidRPr="000F4B88" w:rsidR="00B43A61">
        <w:rPr>
          <w:sz w:val="28"/>
          <w:szCs w:val="28"/>
        </w:rPr>
        <w:t xml:space="preserve"> nozīmi, Ekonomikas ministrija uzskata par nepieciešamību rosināt</w:t>
      </w:r>
      <w:r w:rsidRPr="000F4B88">
        <w:rPr>
          <w:sz w:val="28"/>
          <w:szCs w:val="28"/>
        </w:rPr>
        <w:t xml:space="preserve"> diskusiju starp administratīvo datu turētājiem par</w:t>
      </w:r>
      <w:r w:rsidRPr="000F4B88" w:rsidR="00B43A61">
        <w:rPr>
          <w:sz w:val="28"/>
          <w:szCs w:val="28"/>
        </w:rPr>
        <w:t xml:space="preserve"> visiem administratīvo datu avotu turētajiem saistoša dokumenta (rokasgrāmatas) izstrādi, kurā ir noteiktas vienotas metodoloģiskās vadlīnijas datu kvalitātes novērtēšanai un nodrošināšanai. Piedāvājam šo jautājumu iekļaut Ministru prezidenta vadītās Informācijas sabiedrības padomes dienaskārtībā</w:t>
      </w:r>
      <w:r w:rsidRPr="000F4B88" w:rsidR="00462777">
        <w:rPr>
          <w:sz w:val="28"/>
          <w:szCs w:val="28"/>
        </w:rPr>
        <w:t>.</w:t>
      </w:r>
    </w:p>
    <w:p w:rsidR="009140F5" w:rsidRPr="009140F5" w:rsidP="009140F5" w14:paraId="14BE937B" w14:textId="77777777">
      <w:pPr>
        <w:ind w:firstLine="720"/>
        <w:jc w:val="both"/>
        <w:rPr>
          <w:rFonts w:eastAsiaTheme="minorHAnsi"/>
          <w:bCs/>
          <w:noProof/>
          <w:sz w:val="28"/>
          <w:szCs w:val="28"/>
          <w:highlight w:val="yellow"/>
          <w:lang w:eastAsia="en-US"/>
        </w:rPr>
      </w:pPr>
    </w:p>
    <w:p w:rsidR="0002156E" w:rsidRPr="009140F5" w:rsidP="0002156E" w14:paraId="27698C1D" w14:textId="77777777">
      <w:pPr>
        <w:suppressAutoHyphens/>
        <w:ind w:right="4820"/>
        <w:rPr>
          <w:rFonts w:eastAsiaTheme="minorHAnsi"/>
          <w:bCs/>
          <w:i/>
          <w:noProof/>
          <w:sz w:val="28"/>
          <w:szCs w:val="28"/>
          <w:highlight w:val="yellow"/>
          <w:lang w:eastAsia="en-US"/>
        </w:rPr>
      </w:pPr>
    </w:p>
    <w:p w:rsidR="00504BFC" w:rsidRPr="009140F5" w:rsidP="00504BFC" w14:paraId="213FD258" w14:textId="7B67D3F8">
      <w:pPr>
        <w:ind w:firstLine="720"/>
        <w:jc w:val="both"/>
        <w:rPr>
          <w:sz w:val="28"/>
          <w:szCs w:val="28"/>
        </w:rPr>
      </w:pPr>
      <w:r w:rsidRPr="00CF3C9C">
        <w:rPr>
          <w:bCs/>
          <w:color w:val="000000"/>
          <w:sz w:val="28"/>
          <w:szCs w:val="28"/>
        </w:rPr>
        <w:t>Ministru prezidenta biedr</w:t>
      </w:r>
      <w:r w:rsidR="00020073">
        <w:rPr>
          <w:bCs/>
          <w:color w:val="000000"/>
          <w:sz w:val="28"/>
          <w:szCs w:val="28"/>
        </w:rPr>
        <w:t>s</w:t>
      </w:r>
      <w:r w:rsidRPr="00CF3C9C">
        <w:rPr>
          <w:bCs/>
          <w:color w:val="000000"/>
          <w:sz w:val="28"/>
          <w:szCs w:val="28"/>
        </w:rPr>
        <w:t>,</w:t>
      </w:r>
      <w:r w:rsidRPr="007E595A">
        <w:rPr>
          <w:sz w:val="28"/>
          <w:szCs w:val="28"/>
        </w:rPr>
        <w:t xml:space="preserve"> </w:t>
      </w:r>
    </w:p>
    <w:p w:rsidR="00504BFC" w:rsidRPr="009140F5" w:rsidP="00504BFC" w14:paraId="04A76BFD" w14:textId="26C342BE">
      <w:pPr>
        <w:ind w:firstLine="720"/>
        <w:jc w:val="both"/>
        <w:rPr>
          <w:sz w:val="28"/>
          <w:szCs w:val="28"/>
        </w:rPr>
      </w:pPr>
      <w:r w:rsidRPr="00CF3C9C">
        <w:rPr>
          <w:bCs/>
          <w:color w:val="000000"/>
          <w:sz w:val="28"/>
          <w:szCs w:val="28"/>
        </w:rPr>
        <w:t xml:space="preserve">ekonomikas </w:t>
      </w:r>
      <w:r>
        <w:rPr>
          <w:bCs/>
          <w:color w:val="000000"/>
          <w:sz w:val="28"/>
          <w:szCs w:val="28"/>
        </w:rPr>
        <w:t>ministrs</w:t>
      </w:r>
      <w:r w:rsidRPr="00CF3C9C">
        <w:rPr>
          <w:bCs/>
          <w:color w:val="000000"/>
          <w:sz w:val="28"/>
          <w:szCs w:val="28"/>
        </w:rPr>
        <w:tab/>
      </w:r>
      <w:r w:rsidRPr="00CF3C9C">
        <w:rPr>
          <w:bCs/>
          <w:color w:val="000000"/>
          <w:sz w:val="28"/>
          <w:szCs w:val="28"/>
        </w:rPr>
        <w:tab/>
      </w:r>
      <w:r w:rsidRPr="00CF3C9C">
        <w:rPr>
          <w:bCs/>
          <w:color w:val="000000"/>
          <w:sz w:val="28"/>
          <w:szCs w:val="28"/>
        </w:rPr>
        <w:tab/>
      </w:r>
      <w:r w:rsidRPr="00CF3C9C">
        <w:rPr>
          <w:bCs/>
          <w:color w:val="000000"/>
          <w:sz w:val="28"/>
          <w:szCs w:val="28"/>
        </w:rPr>
        <w:tab/>
      </w:r>
      <w:r w:rsidRPr="00CF3C9C">
        <w:rPr>
          <w:bCs/>
          <w:color w:val="000000"/>
          <w:sz w:val="28"/>
          <w:szCs w:val="28"/>
        </w:rPr>
        <w:tab/>
      </w:r>
      <w:r w:rsidRPr="00CF3C9C">
        <w:rPr>
          <w:bCs/>
          <w:color w:val="000000"/>
          <w:sz w:val="28"/>
          <w:szCs w:val="28"/>
        </w:rPr>
        <w:tab/>
      </w:r>
      <w:r w:rsidR="00020073">
        <w:rPr>
          <w:bCs/>
          <w:color w:val="000000"/>
          <w:sz w:val="28"/>
          <w:szCs w:val="28"/>
        </w:rPr>
        <w:t>A.Ašeradens</w:t>
      </w:r>
    </w:p>
    <w:p w:rsidR="00F206E4" w:rsidP="009140F5" w14:paraId="71FCB0E2" w14:textId="71429EBC">
      <w:pPr>
        <w:ind w:firstLine="720"/>
        <w:jc w:val="both"/>
        <w:rPr>
          <w:sz w:val="28"/>
          <w:szCs w:val="28"/>
        </w:rPr>
      </w:pPr>
    </w:p>
    <w:p w:rsidR="00020073" w:rsidRPr="009140F5" w:rsidP="009140F5" w14:paraId="23D08C22" w14:textId="77777777">
      <w:pPr>
        <w:ind w:firstLine="720"/>
        <w:jc w:val="both"/>
        <w:rPr>
          <w:sz w:val="28"/>
          <w:szCs w:val="28"/>
        </w:rPr>
      </w:pPr>
    </w:p>
    <w:p w:rsidR="00F206E4" w:rsidRPr="009140F5" w:rsidP="009140F5" w14:paraId="061AD14E" w14:textId="55A6D3CF">
      <w:pPr>
        <w:ind w:firstLine="720"/>
        <w:jc w:val="both"/>
        <w:rPr>
          <w:sz w:val="28"/>
          <w:szCs w:val="28"/>
        </w:rPr>
      </w:pPr>
      <w:r w:rsidRPr="009140F5">
        <w:rPr>
          <w:sz w:val="28"/>
          <w:szCs w:val="28"/>
        </w:rPr>
        <w:t>Vīza: valsts sekretārs</w:t>
      </w:r>
      <w:r w:rsidRPr="009140F5">
        <w:rPr>
          <w:sz w:val="28"/>
          <w:szCs w:val="28"/>
        </w:rPr>
        <w:tab/>
      </w:r>
      <w:r w:rsidRPr="009140F5">
        <w:rPr>
          <w:sz w:val="28"/>
          <w:szCs w:val="28"/>
        </w:rPr>
        <w:tab/>
      </w:r>
      <w:r w:rsidRPr="009140F5">
        <w:rPr>
          <w:sz w:val="28"/>
          <w:szCs w:val="28"/>
        </w:rPr>
        <w:tab/>
      </w:r>
      <w:r w:rsidRPr="009140F5">
        <w:rPr>
          <w:sz w:val="28"/>
          <w:szCs w:val="28"/>
        </w:rPr>
        <w:tab/>
      </w:r>
      <w:r w:rsidRPr="009140F5">
        <w:rPr>
          <w:sz w:val="28"/>
          <w:szCs w:val="28"/>
        </w:rPr>
        <w:tab/>
      </w:r>
      <w:r w:rsidRPr="009140F5">
        <w:rPr>
          <w:sz w:val="28"/>
          <w:szCs w:val="28"/>
        </w:rPr>
        <w:tab/>
      </w:r>
      <w:bookmarkStart w:id="11" w:name="_GoBack"/>
      <w:bookmarkEnd w:id="11"/>
      <w:r w:rsidRPr="009140F5">
        <w:rPr>
          <w:sz w:val="28"/>
          <w:szCs w:val="28"/>
        </w:rPr>
        <w:t>J.Stinka</w:t>
      </w:r>
    </w:p>
    <w:p w:rsidR="00F206E4" w:rsidP="00F206E4" w14:paraId="4DDC52E9" w14:textId="4D1B2BCA">
      <w:pPr>
        <w:jc w:val="both"/>
        <w:rPr>
          <w:sz w:val="18"/>
          <w:szCs w:val="18"/>
        </w:rPr>
      </w:pPr>
    </w:p>
    <w:p w:rsidR="009140F5" w:rsidP="00F206E4" w14:paraId="266BB7DB" w14:textId="77777777">
      <w:pPr>
        <w:jc w:val="both"/>
        <w:rPr>
          <w:sz w:val="18"/>
          <w:szCs w:val="18"/>
        </w:rPr>
      </w:pPr>
    </w:p>
    <w:p w:rsidR="00F206E4" w:rsidP="00F206E4" w14:paraId="481796EE" w14:textId="77777777">
      <w:pPr>
        <w:jc w:val="both"/>
        <w:rPr>
          <w:sz w:val="18"/>
          <w:szCs w:val="18"/>
        </w:rPr>
      </w:pPr>
    </w:p>
    <w:p w:rsidR="00DE248B" w:rsidP="0033509F" w14:paraId="777109EB" w14:textId="77777777">
      <w:pPr>
        <w:tabs>
          <w:tab w:val="left" w:pos="3320"/>
        </w:tabs>
        <w:rPr>
          <w:iCs/>
          <w:sz w:val="20"/>
          <w:szCs w:val="20"/>
        </w:rPr>
      </w:pPr>
    </w:p>
    <w:p w:rsidR="00F206E4" w:rsidRPr="009140F5" w:rsidP="0033509F" w14:paraId="449480E1" w14:textId="78A56990">
      <w:pPr>
        <w:tabs>
          <w:tab w:val="left" w:pos="3320"/>
        </w:tabs>
        <w:rPr>
          <w:iCs/>
          <w:sz w:val="20"/>
          <w:szCs w:val="20"/>
        </w:rPr>
      </w:pPr>
      <w:r w:rsidRPr="009140F5">
        <w:rPr>
          <w:iCs/>
          <w:sz w:val="20"/>
          <w:szCs w:val="20"/>
        </w:rPr>
        <w:t>Skujeniece, 67366951</w:t>
      </w:r>
    </w:p>
    <w:p w:rsidR="00775172" w:rsidP="0033509F" w14:paraId="64991784" w14:textId="7520DBD6">
      <w:pPr>
        <w:tabs>
          <w:tab w:val="left" w:pos="3320"/>
        </w:tabs>
        <w:rPr>
          <w:iCs/>
          <w:sz w:val="20"/>
          <w:szCs w:val="20"/>
        </w:rPr>
      </w:pPr>
      <w:r>
        <w:fldChar w:fldCharType="begin"/>
      </w:r>
      <w:r>
        <w:instrText xml:space="preserve"> HYPERLINK "mailto:Ilze.Skujeniece@csb.gov.lv" </w:instrText>
      </w:r>
      <w:r>
        <w:fldChar w:fldCharType="separate"/>
      </w:r>
      <w:r w:rsidRPr="00BC2BE5" w:rsidR="007A71F3">
        <w:rPr>
          <w:rStyle w:val="Hyperlink"/>
          <w:sz w:val="20"/>
          <w:szCs w:val="20"/>
        </w:rPr>
        <w:t>Ilze.Skujeniece@csb.gov.lv</w:t>
      </w:r>
      <w:r>
        <w:fldChar w:fldCharType="end"/>
      </w:r>
    </w:p>
    <w:p w:rsidR="007A71F3" w:rsidRPr="00F206E4" w:rsidP="0033509F" w14:paraId="6F668490" w14:textId="77777777">
      <w:pPr>
        <w:tabs>
          <w:tab w:val="left" w:pos="3320"/>
        </w:tabs>
      </w:pPr>
    </w:p>
    <w:sectPr w:rsidSect="009140F5">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0425" w14:paraId="401911B1" w14:textId="55ACA22C">
    <w:pPr>
      <w:pStyle w:val="Footer"/>
    </w:pPr>
    <w:r w:rsidRPr="0001052D">
      <w:rPr>
        <w:sz w:val="20"/>
        <w:szCs w:val="20"/>
        <w:lang w:eastAsia="en-US"/>
      </w:rPr>
      <w:fldChar w:fldCharType="begin"/>
    </w:r>
    <w:r w:rsidRPr="0001052D">
      <w:rPr>
        <w:sz w:val="20"/>
        <w:szCs w:val="20"/>
        <w:lang w:eastAsia="en-US"/>
      </w:rPr>
      <w:instrText xml:space="preserve"> FILENAME  \* MERGEFORMAT </w:instrText>
    </w:r>
    <w:r w:rsidRPr="0001052D">
      <w:rPr>
        <w:sz w:val="20"/>
        <w:szCs w:val="20"/>
        <w:lang w:eastAsia="en-US"/>
      </w:rPr>
      <w:fldChar w:fldCharType="separate"/>
    </w:r>
    <w:r w:rsidRPr="0001052D">
      <w:rPr>
        <w:noProof/>
        <w:sz w:val="20"/>
        <w:szCs w:val="20"/>
        <w:lang w:eastAsia="en-US"/>
      </w:rPr>
      <w:fldChar w:fldCharType="end"/>
    </w:r>
    <w:r w:rsidRPr="00CF3CE2">
      <w:rPr>
        <w:sz w:val="20"/>
        <w:szCs w:val="20"/>
        <w:lang w:eastAsia="en-US"/>
      </w:rPr>
      <w:t xml:space="preserve">; Informatīvais ziņojums </w:t>
    </w:r>
    <w:r w:rsidRPr="008A2878" w:rsidR="008A2878">
      <w:rPr>
        <w:sz w:val="20"/>
        <w:szCs w:val="20"/>
        <w:lang w:eastAsia="en-US"/>
      </w:rPr>
      <w:t>"Par priekšlikumiem institūciju sadarbības jautājumu risināšanai, administratīvo datu avotu pilnveidošanai un administratīvā sloga mazināšanai oficiālās statistikas nodrošināšanā”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0425" w:rsidRPr="00B03DE9" w:rsidP="00D57F65" w14:paraId="256DED8C" w14:textId="69A418A7">
    <w:pPr>
      <w:pStyle w:val="Footer"/>
      <w:rPr>
        <w:sz w:val="20"/>
        <w:szCs w:val="20"/>
      </w:rPr>
    </w:pPr>
    <w:bookmarkStart w:id="4" w:name="_Hlk505779476"/>
    <w:bookmarkStart w:id="5" w:name="_Hlk505779477"/>
    <w:r w:rsidRPr="0001052D">
      <w:rPr>
        <w:sz w:val="20"/>
        <w:szCs w:val="20"/>
        <w:lang w:eastAsia="en-US"/>
      </w:rPr>
      <w:fldChar w:fldCharType="begin"/>
    </w:r>
    <w:r w:rsidRPr="0001052D">
      <w:rPr>
        <w:sz w:val="20"/>
        <w:szCs w:val="20"/>
        <w:lang w:eastAsia="en-US"/>
      </w:rPr>
      <w:instrText xml:space="preserve"> FILENAME  \* MERGEFORMAT </w:instrText>
    </w:r>
    <w:r w:rsidRPr="0001052D">
      <w:rPr>
        <w:sz w:val="20"/>
        <w:szCs w:val="20"/>
        <w:lang w:eastAsia="en-US"/>
      </w:rPr>
      <w:fldChar w:fldCharType="separate"/>
    </w:r>
    <w:r w:rsidRPr="0001052D">
      <w:rPr>
        <w:noProof/>
        <w:sz w:val="20"/>
        <w:szCs w:val="20"/>
        <w:lang w:eastAsia="en-US"/>
      </w:rPr>
      <w:fldChar w:fldCharType="end"/>
    </w:r>
    <w:r w:rsidRPr="0001052D">
      <w:rPr>
        <w:sz w:val="20"/>
        <w:szCs w:val="20"/>
        <w:lang w:eastAsia="en-US"/>
      </w:rPr>
      <w:t xml:space="preserve">; </w:t>
    </w:r>
    <w:r w:rsidRPr="00866CEC">
      <w:rPr>
        <w:iCs/>
        <w:sz w:val="20"/>
        <w:szCs w:val="20"/>
        <w:lang w:eastAsia="en-US"/>
      </w:rPr>
      <w:t xml:space="preserve">Informatīvais </w:t>
    </w:r>
    <w:bookmarkStart w:id="6" w:name="_Hlk504048178"/>
    <w:bookmarkStart w:id="7" w:name="_Hlk504048179"/>
    <w:r w:rsidRPr="00866CEC">
      <w:rPr>
        <w:iCs/>
        <w:sz w:val="20"/>
        <w:szCs w:val="20"/>
        <w:lang w:eastAsia="en-US"/>
      </w:rPr>
      <w:t>ziņojums "Par priekšlikumiem institūciju sadarbības jautājumu risināšanai</w:t>
    </w:r>
    <w:r>
      <w:rPr>
        <w:iCs/>
        <w:sz w:val="20"/>
        <w:szCs w:val="20"/>
        <w:lang w:eastAsia="en-US"/>
      </w:rPr>
      <w:t>,</w:t>
    </w:r>
    <w:r w:rsidRPr="00866CEC">
      <w:rPr>
        <w:iCs/>
        <w:sz w:val="20"/>
        <w:szCs w:val="20"/>
        <w:lang w:eastAsia="en-US"/>
      </w:rPr>
      <w:t xml:space="preserve"> administratīvo datu avotu pilnveidošanai</w:t>
    </w:r>
    <w:r>
      <w:rPr>
        <w:iCs/>
        <w:sz w:val="20"/>
        <w:szCs w:val="20"/>
        <w:lang w:eastAsia="en-US"/>
      </w:rPr>
      <w:t xml:space="preserve"> </w:t>
    </w:r>
    <w:r w:rsidRPr="00866CEC">
      <w:rPr>
        <w:iCs/>
        <w:sz w:val="20"/>
        <w:szCs w:val="20"/>
        <w:lang w:eastAsia="en-US"/>
      </w:rPr>
      <w:t>un administratīvā sloga mazināšanai</w:t>
    </w:r>
    <w:r w:rsidRPr="00B03DE9" w:rsidR="00B03DE9">
      <w:rPr>
        <w:b/>
        <w:sz w:val="28"/>
        <w:szCs w:val="28"/>
      </w:rPr>
      <w:t xml:space="preserve"> </w:t>
    </w:r>
    <w:r w:rsidRPr="00B03DE9" w:rsidR="00B03DE9">
      <w:rPr>
        <w:sz w:val="20"/>
        <w:szCs w:val="20"/>
      </w:rPr>
      <w:t>oficiālās statistikas nodrošināšanā</w:t>
    </w:r>
    <w:r w:rsidRPr="00B03DE9">
      <w:rPr>
        <w:iCs/>
        <w:sz w:val="20"/>
        <w:szCs w:val="20"/>
        <w:lang w:eastAsia="en-US"/>
      </w:rPr>
      <w:t>”</w:t>
    </w:r>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2A87" w:rsidP="00495049" w14:paraId="477BBD09" w14:textId="77777777">
      <w:r>
        <w:separator/>
      </w:r>
    </w:p>
    <w:p w:rsidR="00302A87" w14:paraId="710FEA0B" w14:textId="77777777"/>
  </w:footnote>
  <w:footnote w:type="continuationSeparator" w:id="1">
    <w:p w:rsidR="00302A87" w:rsidP="00495049" w14:paraId="34D5FA86" w14:textId="77777777">
      <w:r>
        <w:continuationSeparator/>
      </w:r>
    </w:p>
    <w:p w:rsidR="00302A87" w14:paraId="0FF8ADDD" w14:textId="77777777"/>
  </w:footnote>
  <w:footnote w:type="continuationNotice" w:id="2">
    <w:p w:rsidR="00302A87" w14:paraId="0003E787" w14:textId="77777777"/>
    <w:p w:rsidR="00302A87" w14:paraId="30D5E3B6" w14:textId="77777777"/>
  </w:footnote>
  <w:footnote w:id="3">
    <w:p w:rsidR="00550323" w:rsidP="00550323" w14:paraId="1051D133" w14:textId="13131791">
      <w:pPr>
        <w:pStyle w:val="FootnoteText"/>
      </w:pPr>
      <w:r>
        <w:rPr>
          <w:rStyle w:val="FootnoteReference"/>
        </w:rPr>
        <w:footnoteRef/>
      </w:r>
      <w:r>
        <w:t xml:space="preserve"> </w:t>
      </w:r>
      <w:r>
        <w:fldChar w:fldCharType="begin"/>
      </w:r>
      <w:r>
        <w:instrText xml:space="preserve"> HYPERLINK "http://www.unece.org/fileadmin/DAM/stats/documents/ece/ces/ge.41/2017/Meeting-Geneva-Oct/GE_41_2017_11_ENG.pdf" </w:instrText>
      </w:r>
      <w:r>
        <w:fldChar w:fldCharType="separate"/>
      </w:r>
      <w:r w:rsidRPr="00236379" w:rsidR="003C41FD">
        <w:rPr>
          <w:rStyle w:val="Hyperlink"/>
        </w:rPr>
        <w:t>http://www.unece.org/fileadmin/DAM/stats/documents/ece/ces/ge.41/2017/Meeting-Geneva-Oct/GE_41_2017_11_ENG.pdf</w:t>
      </w:r>
      <w:r>
        <w:fldChar w:fldCharType="end"/>
      </w:r>
    </w:p>
  </w:footnote>
  <w:footnote w:id="4">
    <w:p w:rsidR="00E53EEE" w:rsidRPr="00E53EEE" w:rsidP="00E53EEE" w14:paraId="41FDAF92" w14:textId="03522482">
      <w:pPr>
        <w:jc w:val="both"/>
        <w:rPr>
          <w:sz w:val="20"/>
          <w:szCs w:val="20"/>
        </w:rPr>
      </w:pPr>
      <w:r w:rsidRPr="00E53EEE">
        <w:rPr>
          <w:rStyle w:val="FootnoteReference"/>
          <w:sz w:val="20"/>
          <w:szCs w:val="20"/>
        </w:rPr>
        <w:footnoteRef/>
      </w:r>
      <w:r w:rsidRPr="00E53EEE">
        <w:rPr>
          <w:sz w:val="20"/>
          <w:szCs w:val="20"/>
        </w:rPr>
        <w:t xml:space="preserve"> Zemkopības ministrija nodrošina </w:t>
      </w:r>
      <w:r w:rsidR="00A22619">
        <w:rPr>
          <w:sz w:val="20"/>
          <w:szCs w:val="20"/>
        </w:rPr>
        <w:t xml:space="preserve">informatīvā ziņojuma 1.tabulā </w:t>
      </w:r>
      <w:r w:rsidR="00567757">
        <w:rPr>
          <w:sz w:val="20"/>
          <w:szCs w:val="20"/>
        </w:rPr>
        <w:t>minētā 4.1.</w:t>
      </w:r>
      <w:r w:rsidRPr="00E53EEE">
        <w:rPr>
          <w:sz w:val="20"/>
          <w:szCs w:val="20"/>
        </w:rPr>
        <w:t>pasākuma izpildi gadījumā, ja tiks piešķirts finansējums iesniegtā Eiropas Reģionālās attīstības fonda projekta ietvaros</w:t>
      </w:r>
      <w:r w:rsidR="00A22619">
        <w:rPr>
          <w:sz w:val="20"/>
          <w:szCs w:val="20"/>
        </w:rPr>
        <w:t>.</w:t>
      </w:r>
    </w:p>
    <w:p w:rsidR="00E53EEE" w14:paraId="52CF907E" w14:textId="5DC3B70F">
      <w:pPr>
        <w:pStyle w:val="FootnoteText"/>
      </w:pPr>
    </w:p>
  </w:footnote>
  <w:footnote w:id="5">
    <w:p w:rsidR="00EC4864" w:rsidRPr="004C050C" w14:paraId="7F0824D9" w14:textId="5A27D9A6">
      <w:pPr>
        <w:pStyle w:val="FootnoteText"/>
        <w:rPr>
          <w:b/>
          <w:u w:val="single"/>
        </w:rPr>
      </w:pPr>
      <w:r w:rsidRPr="004C050C">
        <w:rPr>
          <w:rStyle w:val="FootnoteReference"/>
          <w:b/>
          <w:u w:val="single"/>
        </w:rPr>
        <w:footnoteRef/>
      </w:r>
      <w:r w:rsidRPr="004C050C">
        <w:rPr>
          <w:b/>
          <w:u w:val="single"/>
        </w:rPr>
        <w:t xml:space="preserve"> Projekts  īstenots ES fondu 2007.–2013.gada plānošanas perioda darbības programmas “Infrastruktūra un pakalpojumi” papildinājuma 3.2.2.1.1.apakšaktivitātes “Informācijas sistēmu un elektronisko pakalpojumu attīstība” ietvaros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96773946"/>
      <w:docPartObj>
        <w:docPartGallery w:val="Page Numbers (Top of Page)"/>
        <w:docPartUnique/>
      </w:docPartObj>
    </w:sdtPr>
    <w:sdtEndPr>
      <w:rPr>
        <w:noProof/>
      </w:rPr>
    </w:sdtEndPr>
    <w:sdtContent>
      <w:p w:rsidR="00A90425" w14:paraId="54AF740D" w14:textId="5DA005F0">
        <w:pPr>
          <w:pStyle w:val="Header"/>
          <w:jc w:val="center"/>
        </w:pPr>
        <w:r>
          <w:fldChar w:fldCharType="begin"/>
        </w:r>
        <w:r>
          <w:instrText xml:space="preserve"> PAGE   \* MERGEFORMAT </w:instrText>
        </w:r>
        <w:r>
          <w:fldChar w:fldCharType="separate"/>
        </w:r>
        <w:r w:rsidR="00020073">
          <w:rPr>
            <w:noProof/>
          </w:rPr>
          <w:t>15</w:t>
        </w:r>
        <w:r>
          <w:rPr>
            <w:noProof/>
          </w:rPr>
          <w:fldChar w:fldCharType="end"/>
        </w:r>
      </w:p>
    </w:sdtContent>
  </w:sdt>
  <w:p w:rsidR="00A90425" w:rsidRPr="007C4438" w:rsidP="00D57F65" w14:paraId="6A03EB2A" w14:textId="77777777">
    <w:pPr>
      <w:pStyle w:val="Header"/>
      <w:tabs>
        <w:tab w:val="clear" w:pos="4153"/>
        <w:tab w:val="left" w:pos="7771"/>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E203CA"/>
    <w:multiLevelType w:val="hybridMultilevel"/>
    <w:tmpl w:val="1E32B95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15:restartNumberingAfterBreak="1">
    <w:nsid w:val="08C3620D"/>
    <w:multiLevelType w:val="hybridMultilevel"/>
    <w:tmpl w:val="F54605F8"/>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0F8468C7"/>
    <w:multiLevelType w:val="hybridMultilevel"/>
    <w:tmpl w:val="32D2EF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148D0BEE"/>
    <w:multiLevelType w:val="hybridMultilevel"/>
    <w:tmpl w:val="C4929E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2CB273E1"/>
    <w:multiLevelType w:val="hybridMultilevel"/>
    <w:tmpl w:val="27E25A3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15:restartNumberingAfterBreak="1">
    <w:nsid w:val="33172ED3"/>
    <w:multiLevelType w:val="hybridMultilevel"/>
    <w:tmpl w:val="C5922B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332E2487"/>
    <w:multiLevelType w:val="hybridMultilevel"/>
    <w:tmpl w:val="113EE976"/>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7" w15:restartNumberingAfterBreak="1">
    <w:nsid w:val="35BE6EB3"/>
    <w:multiLevelType w:val="hybridMultilevel"/>
    <w:tmpl w:val="2A963EE0"/>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4E2D5FAB"/>
    <w:multiLevelType w:val="hybridMultilevel"/>
    <w:tmpl w:val="E0B2BD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4F2F7D2A"/>
    <w:multiLevelType w:val="hybridMultilevel"/>
    <w:tmpl w:val="6EA400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58230711"/>
    <w:multiLevelType w:val="hybridMultilevel"/>
    <w:tmpl w:val="BFD28F8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1">
    <w:nsid w:val="677D6C92"/>
    <w:multiLevelType w:val="hybridMultilevel"/>
    <w:tmpl w:val="05A02C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6B032E97"/>
    <w:multiLevelType w:val="hybridMultilevel"/>
    <w:tmpl w:val="A0648F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6D3734E8"/>
    <w:multiLevelType w:val="hybridMultilevel"/>
    <w:tmpl w:val="FB4E6E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730F67AD"/>
    <w:multiLevelType w:val="hybridMultilevel"/>
    <w:tmpl w:val="A96866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784F43EE"/>
    <w:multiLevelType w:val="hybridMultilevel"/>
    <w:tmpl w:val="DB9CA08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2"/>
  </w:num>
  <w:num w:numId="4">
    <w:abstractNumId w:val="9"/>
  </w:num>
  <w:num w:numId="5">
    <w:abstractNumId w:val="13"/>
  </w:num>
  <w:num w:numId="6">
    <w:abstractNumId w:val="11"/>
  </w:num>
  <w:num w:numId="7">
    <w:abstractNumId w:val="5"/>
  </w:num>
  <w:num w:numId="8">
    <w:abstractNumId w:val="3"/>
  </w:num>
  <w:num w:numId="9">
    <w:abstractNumId w:val="4"/>
  </w:num>
  <w:num w:numId="10">
    <w:abstractNumId w:val="15"/>
  </w:num>
  <w:num w:numId="11">
    <w:abstractNumId w:val="0"/>
  </w:num>
  <w:num w:numId="12">
    <w:abstractNumId w:val="6"/>
  </w:num>
  <w:num w:numId="13">
    <w:abstractNumId w:val="8"/>
  </w:num>
  <w:num w:numId="14">
    <w:abstractNumId w:val="1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49"/>
    <w:rsid w:val="0001052D"/>
    <w:rsid w:val="00020073"/>
    <w:rsid w:val="00020F35"/>
    <w:rsid w:val="0002156E"/>
    <w:rsid w:val="00030238"/>
    <w:rsid w:val="000314A5"/>
    <w:rsid w:val="00041228"/>
    <w:rsid w:val="000429FB"/>
    <w:rsid w:val="0005165C"/>
    <w:rsid w:val="00063F56"/>
    <w:rsid w:val="000649F7"/>
    <w:rsid w:val="000651A4"/>
    <w:rsid w:val="000652A9"/>
    <w:rsid w:val="00066AEC"/>
    <w:rsid w:val="00067942"/>
    <w:rsid w:val="00070E68"/>
    <w:rsid w:val="00071234"/>
    <w:rsid w:val="00072A5C"/>
    <w:rsid w:val="00077542"/>
    <w:rsid w:val="00092544"/>
    <w:rsid w:val="00092F24"/>
    <w:rsid w:val="00092FF7"/>
    <w:rsid w:val="00093133"/>
    <w:rsid w:val="00094D5A"/>
    <w:rsid w:val="00096E27"/>
    <w:rsid w:val="000A2445"/>
    <w:rsid w:val="000B157F"/>
    <w:rsid w:val="000B2C85"/>
    <w:rsid w:val="000B4EB4"/>
    <w:rsid w:val="000B5C67"/>
    <w:rsid w:val="000C1D2B"/>
    <w:rsid w:val="000C3470"/>
    <w:rsid w:val="000C3E8B"/>
    <w:rsid w:val="000D18A1"/>
    <w:rsid w:val="000D396C"/>
    <w:rsid w:val="000E1C6D"/>
    <w:rsid w:val="000E418D"/>
    <w:rsid w:val="000E5228"/>
    <w:rsid w:val="000E5824"/>
    <w:rsid w:val="000E6138"/>
    <w:rsid w:val="000F0A3B"/>
    <w:rsid w:val="000F4B88"/>
    <w:rsid w:val="000F74EE"/>
    <w:rsid w:val="001022B4"/>
    <w:rsid w:val="0010533D"/>
    <w:rsid w:val="00113783"/>
    <w:rsid w:val="001201EC"/>
    <w:rsid w:val="001203B3"/>
    <w:rsid w:val="00125144"/>
    <w:rsid w:val="001255D0"/>
    <w:rsid w:val="00126CD1"/>
    <w:rsid w:val="00130561"/>
    <w:rsid w:val="00131370"/>
    <w:rsid w:val="00137A94"/>
    <w:rsid w:val="0014179C"/>
    <w:rsid w:val="00146454"/>
    <w:rsid w:val="00146C39"/>
    <w:rsid w:val="0015470A"/>
    <w:rsid w:val="0015665F"/>
    <w:rsid w:val="0015711F"/>
    <w:rsid w:val="00162011"/>
    <w:rsid w:val="001644E4"/>
    <w:rsid w:val="00164795"/>
    <w:rsid w:val="00165316"/>
    <w:rsid w:val="0016759B"/>
    <w:rsid w:val="001678EA"/>
    <w:rsid w:val="00167EB4"/>
    <w:rsid w:val="0018100F"/>
    <w:rsid w:val="00183DA5"/>
    <w:rsid w:val="001900EB"/>
    <w:rsid w:val="001917FD"/>
    <w:rsid w:val="00193F0E"/>
    <w:rsid w:val="0019405C"/>
    <w:rsid w:val="00197FBB"/>
    <w:rsid w:val="001A3028"/>
    <w:rsid w:val="001A541C"/>
    <w:rsid w:val="001A55C5"/>
    <w:rsid w:val="001B052B"/>
    <w:rsid w:val="001B0DEC"/>
    <w:rsid w:val="001B5A53"/>
    <w:rsid w:val="001B6B2D"/>
    <w:rsid w:val="001B7151"/>
    <w:rsid w:val="001C1399"/>
    <w:rsid w:val="001C1E34"/>
    <w:rsid w:val="001C4672"/>
    <w:rsid w:val="001C5851"/>
    <w:rsid w:val="001D1FA2"/>
    <w:rsid w:val="001D3DC2"/>
    <w:rsid w:val="001D709B"/>
    <w:rsid w:val="001F0D0D"/>
    <w:rsid w:val="001F31FA"/>
    <w:rsid w:val="001F5188"/>
    <w:rsid w:val="0020120D"/>
    <w:rsid w:val="00212A1E"/>
    <w:rsid w:val="00214510"/>
    <w:rsid w:val="00215088"/>
    <w:rsid w:val="00220DAD"/>
    <w:rsid w:val="0022485F"/>
    <w:rsid w:val="00225F89"/>
    <w:rsid w:val="002266DC"/>
    <w:rsid w:val="00236379"/>
    <w:rsid w:val="00241001"/>
    <w:rsid w:val="002436D9"/>
    <w:rsid w:val="002449A4"/>
    <w:rsid w:val="0024529C"/>
    <w:rsid w:val="0025075B"/>
    <w:rsid w:val="00250E42"/>
    <w:rsid w:val="00251E38"/>
    <w:rsid w:val="0025290D"/>
    <w:rsid w:val="00252EE7"/>
    <w:rsid w:val="0026003D"/>
    <w:rsid w:val="00260A2D"/>
    <w:rsid w:val="002630DA"/>
    <w:rsid w:val="00265358"/>
    <w:rsid w:val="002671A8"/>
    <w:rsid w:val="00270485"/>
    <w:rsid w:val="00271AA2"/>
    <w:rsid w:val="00272803"/>
    <w:rsid w:val="00282850"/>
    <w:rsid w:val="002921EE"/>
    <w:rsid w:val="002A11FC"/>
    <w:rsid w:val="002A1EB0"/>
    <w:rsid w:val="002A2E67"/>
    <w:rsid w:val="002A39B1"/>
    <w:rsid w:val="002A57E9"/>
    <w:rsid w:val="002B37BF"/>
    <w:rsid w:val="002C0FD1"/>
    <w:rsid w:val="002C1009"/>
    <w:rsid w:val="002C1E00"/>
    <w:rsid w:val="002C2F1B"/>
    <w:rsid w:val="002E167F"/>
    <w:rsid w:val="002E1698"/>
    <w:rsid w:val="002E1D65"/>
    <w:rsid w:val="002E43D4"/>
    <w:rsid w:val="002E7886"/>
    <w:rsid w:val="002F130E"/>
    <w:rsid w:val="002F1F02"/>
    <w:rsid w:val="0030114C"/>
    <w:rsid w:val="00302A87"/>
    <w:rsid w:val="00310872"/>
    <w:rsid w:val="00311531"/>
    <w:rsid w:val="003226EE"/>
    <w:rsid w:val="00322978"/>
    <w:rsid w:val="0032384F"/>
    <w:rsid w:val="00327FE2"/>
    <w:rsid w:val="0033067C"/>
    <w:rsid w:val="00331DBF"/>
    <w:rsid w:val="0033509F"/>
    <w:rsid w:val="0034078D"/>
    <w:rsid w:val="0034202B"/>
    <w:rsid w:val="0034586B"/>
    <w:rsid w:val="00347D82"/>
    <w:rsid w:val="003534A8"/>
    <w:rsid w:val="0035566D"/>
    <w:rsid w:val="003571F4"/>
    <w:rsid w:val="00363A5F"/>
    <w:rsid w:val="00365686"/>
    <w:rsid w:val="003745E0"/>
    <w:rsid w:val="0037476A"/>
    <w:rsid w:val="0038230F"/>
    <w:rsid w:val="00382CE8"/>
    <w:rsid w:val="00395A3D"/>
    <w:rsid w:val="0039620E"/>
    <w:rsid w:val="0039782F"/>
    <w:rsid w:val="003B5A9E"/>
    <w:rsid w:val="003B5AE6"/>
    <w:rsid w:val="003C41FD"/>
    <w:rsid w:val="003C4536"/>
    <w:rsid w:val="003C63C7"/>
    <w:rsid w:val="003D7781"/>
    <w:rsid w:val="003E54B6"/>
    <w:rsid w:val="003E5B22"/>
    <w:rsid w:val="003F41ED"/>
    <w:rsid w:val="003F543C"/>
    <w:rsid w:val="00411E5D"/>
    <w:rsid w:val="00415B61"/>
    <w:rsid w:val="004170D0"/>
    <w:rsid w:val="00423A40"/>
    <w:rsid w:val="0043564C"/>
    <w:rsid w:val="00436E34"/>
    <w:rsid w:val="0044178D"/>
    <w:rsid w:val="00446F94"/>
    <w:rsid w:val="00451432"/>
    <w:rsid w:val="004550C5"/>
    <w:rsid w:val="00456E46"/>
    <w:rsid w:val="00462777"/>
    <w:rsid w:val="00463537"/>
    <w:rsid w:val="0046513A"/>
    <w:rsid w:val="00466B04"/>
    <w:rsid w:val="00466E23"/>
    <w:rsid w:val="004673BD"/>
    <w:rsid w:val="00470AC8"/>
    <w:rsid w:val="0047238F"/>
    <w:rsid w:val="0047513A"/>
    <w:rsid w:val="00476B87"/>
    <w:rsid w:val="00485B95"/>
    <w:rsid w:val="00486B9F"/>
    <w:rsid w:val="00486D30"/>
    <w:rsid w:val="0049065E"/>
    <w:rsid w:val="00492009"/>
    <w:rsid w:val="0049293E"/>
    <w:rsid w:val="00492A65"/>
    <w:rsid w:val="00495049"/>
    <w:rsid w:val="00495C1E"/>
    <w:rsid w:val="00497899"/>
    <w:rsid w:val="004A2983"/>
    <w:rsid w:val="004A421C"/>
    <w:rsid w:val="004A60FB"/>
    <w:rsid w:val="004B32C8"/>
    <w:rsid w:val="004C050C"/>
    <w:rsid w:val="004C423E"/>
    <w:rsid w:val="004D398B"/>
    <w:rsid w:val="004D4EF6"/>
    <w:rsid w:val="004E4EF6"/>
    <w:rsid w:val="004E50CA"/>
    <w:rsid w:val="004E6147"/>
    <w:rsid w:val="004E66A4"/>
    <w:rsid w:val="004F3565"/>
    <w:rsid w:val="004F6927"/>
    <w:rsid w:val="005007D1"/>
    <w:rsid w:val="00502C14"/>
    <w:rsid w:val="00504BFC"/>
    <w:rsid w:val="005051BD"/>
    <w:rsid w:val="00506FBA"/>
    <w:rsid w:val="005108F3"/>
    <w:rsid w:val="00510CEE"/>
    <w:rsid w:val="00514E4D"/>
    <w:rsid w:val="005159E2"/>
    <w:rsid w:val="0052030F"/>
    <w:rsid w:val="00524B9B"/>
    <w:rsid w:val="0053100A"/>
    <w:rsid w:val="00531C94"/>
    <w:rsid w:val="00533C74"/>
    <w:rsid w:val="00537015"/>
    <w:rsid w:val="00537105"/>
    <w:rsid w:val="00540388"/>
    <w:rsid w:val="00543026"/>
    <w:rsid w:val="00543955"/>
    <w:rsid w:val="005448B3"/>
    <w:rsid w:val="00545C0C"/>
    <w:rsid w:val="005502D7"/>
    <w:rsid w:val="00550323"/>
    <w:rsid w:val="00561FDA"/>
    <w:rsid w:val="00566FD3"/>
    <w:rsid w:val="00567757"/>
    <w:rsid w:val="00580D87"/>
    <w:rsid w:val="005828E3"/>
    <w:rsid w:val="00584593"/>
    <w:rsid w:val="005876AE"/>
    <w:rsid w:val="0059344A"/>
    <w:rsid w:val="005A2AEF"/>
    <w:rsid w:val="005A2DB9"/>
    <w:rsid w:val="005A76E5"/>
    <w:rsid w:val="005B7586"/>
    <w:rsid w:val="005C50A3"/>
    <w:rsid w:val="005D1860"/>
    <w:rsid w:val="005D1CF6"/>
    <w:rsid w:val="005E062A"/>
    <w:rsid w:val="005E1681"/>
    <w:rsid w:val="005E635B"/>
    <w:rsid w:val="005F416E"/>
    <w:rsid w:val="005F5257"/>
    <w:rsid w:val="006066AD"/>
    <w:rsid w:val="006104B2"/>
    <w:rsid w:val="006110C4"/>
    <w:rsid w:val="00611AD6"/>
    <w:rsid w:val="0061281B"/>
    <w:rsid w:val="00617B82"/>
    <w:rsid w:val="00621CC5"/>
    <w:rsid w:val="006224B9"/>
    <w:rsid w:val="00626055"/>
    <w:rsid w:val="006271FA"/>
    <w:rsid w:val="00627C1E"/>
    <w:rsid w:val="00630B97"/>
    <w:rsid w:val="006418D5"/>
    <w:rsid w:val="00643E20"/>
    <w:rsid w:val="0064571F"/>
    <w:rsid w:val="00645836"/>
    <w:rsid w:val="00646A26"/>
    <w:rsid w:val="0065130B"/>
    <w:rsid w:val="0065228C"/>
    <w:rsid w:val="00655912"/>
    <w:rsid w:val="00656E17"/>
    <w:rsid w:val="006643B2"/>
    <w:rsid w:val="006654AE"/>
    <w:rsid w:val="00666315"/>
    <w:rsid w:val="00666428"/>
    <w:rsid w:val="00677F91"/>
    <w:rsid w:val="00683F38"/>
    <w:rsid w:val="006871E4"/>
    <w:rsid w:val="006874B3"/>
    <w:rsid w:val="00691E7B"/>
    <w:rsid w:val="006968F5"/>
    <w:rsid w:val="006A00E1"/>
    <w:rsid w:val="006A16B9"/>
    <w:rsid w:val="006A319C"/>
    <w:rsid w:val="006A5CF8"/>
    <w:rsid w:val="006A701B"/>
    <w:rsid w:val="006C312D"/>
    <w:rsid w:val="006C3712"/>
    <w:rsid w:val="006C6A61"/>
    <w:rsid w:val="006C7A54"/>
    <w:rsid w:val="006D2654"/>
    <w:rsid w:val="006D6F37"/>
    <w:rsid w:val="006E6621"/>
    <w:rsid w:val="006F2BF5"/>
    <w:rsid w:val="006F63CB"/>
    <w:rsid w:val="00701C0F"/>
    <w:rsid w:val="00704CAC"/>
    <w:rsid w:val="007061AF"/>
    <w:rsid w:val="0071036A"/>
    <w:rsid w:val="00710C2E"/>
    <w:rsid w:val="00710F48"/>
    <w:rsid w:val="00717819"/>
    <w:rsid w:val="00722DCE"/>
    <w:rsid w:val="00735762"/>
    <w:rsid w:val="00741738"/>
    <w:rsid w:val="00743DCE"/>
    <w:rsid w:val="007514B4"/>
    <w:rsid w:val="00757E9F"/>
    <w:rsid w:val="00765463"/>
    <w:rsid w:val="00767B32"/>
    <w:rsid w:val="00771596"/>
    <w:rsid w:val="007715FA"/>
    <w:rsid w:val="00775172"/>
    <w:rsid w:val="00794992"/>
    <w:rsid w:val="00796F2F"/>
    <w:rsid w:val="007A0440"/>
    <w:rsid w:val="007A0CE2"/>
    <w:rsid w:val="007A50A9"/>
    <w:rsid w:val="007A71F3"/>
    <w:rsid w:val="007B1731"/>
    <w:rsid w:val="007B70CC"/>
    <w:rsid w:val="007C4438"/>
    <w:rsid w:val="007D21AA"/>
    <w:rsid w:val="007D4015"/>
    <w:rsid w:val="007D4108"/>
    <w:rsid w:val="007D7C9C"/>
    <w:rsid w:val="007E0FFC"/>
    <w:rsid w:val="007E11C7"/>
    <w:rsid w:val="007E274E"/>
    <w:rsid w:val="007E499A"/>
    <w:rsid w:val="007E4F16"/>
    <w:rsid w:val="007E595A"/>
    <w:rsid w:val="007F344F"/>
    <w:rsid w:val="007F5E6F"/>
    <w:rsid w:val="007F6C91"/>
    <w:rsid w:val="0080033D"/>
    <w:rsid w:val="0080222B"/>
    <w:rsid w:val="00802D97"/>
    <w:rsid w:val="00805629"/>
    <w:rsid w:val="00807E63"/>
    <w:rsid w:val="00810FB1"/>
    <w:rsid w:val="00811EF8"/>
    <w:rsid w:val="008157A4"/>
    <w:rsid w:val="0081666B"/>
    <w:rsid w:val="00817ED4"/>
    <w:rsid w:val="00825BFC"/>
    <w:rsid w:val="008345EF"/>
    <w:rsid w:val="00850263"/>
    <w:rsid w:val="008517BA"/>
    <w:rsid w:val="00862321"/>
    <w:rsid w:val="008626BD"/>
    <w:rsid w:val="008639A7"/>
    <w:rsid w:val="00864F8D"/>
    <w:rsid w:val="0086648D"/>
    <w:rsid w:val="00866CEC"/>
    <w:rsid w:val="00871E52"/>
    <w:rsid w:val="00876AEE"/>
    <w:rsid w:val="00880EA2"/>
    <w:rsid w:val="00882A9A"/>
    <w:rsid w:val="008861EF"/>
    <w:rsid w:val="008907D8"/>
    <w:rsid w:val="008923E3"/>
    <w:rsid w:val="008933C7"/>
    <w:rsid w:val="00894E32"/>
    <w:rsid w:val="008A2878"/>
    <w:rsid w:val="008A7961"/>
    <w:rsid w:val="008B0A46"/>
    <w:rsid w:val="008B2B2C"/>
    <w:rsid w:val="008B74BC"/>
    <w:rsid w:val="008C1549"/>
    <w:rsid w:val="008C56ED"/>
    <w:rsid w:val="008C5F29"/>
    <w:rsid w:val="008D6B11"/>
    <w:rsid w:val="008E4321"/>
    <w:rsid w:val="008E5536"/>
    <w:rsid w:val="008E5DF1"/>
    <w:rsid w:val="008F3400"/>
    <w:rsid w:val="008F5495"/>
    <w:rsid w:val="00901735"/>
    <w:rsid w:val="00901E4C"/>
    <w:rsid w:val="00904BEF"/>
    <w:rsid w:val="00906829"/>
    <w:rsid w:val="00907237"/>
    <w:rsid w:val="00912457"/>
    <w:rsid w:val="009140F5"/>
    <w:rsid w:val="0091726D"/>
    <w:rsid w:val="00924AD5"/>
    <w:rsid w:val="00930047"/>
    <w:rsid w:val="00933AFC"/>
    <w:rsid w:val="00933BB2"/>
    <w:rsid w:val="00937946"/>
    <w:rsid w:val="009401E8"/>
    <w:rsid w:val="00941122"/>
    <w:rsid w:val="00942561"/>
    <w:rsid w:val="00943897"/>
    <w:rsid w:val="0094432A"/>
    <w:rsid w:val="00944534"/>
    <w:rsid w:val="00945D6B"/>
    <w:rsid w:val="00946389"/>
    <w:rsid w:val="009467EA"/>
    <w:rsid w:val="009545B3"/>
    <w:rsid w:val="00956FC5"/>
    <w:rsid w:val="0096276A"/>
    <w:rsid w:val="00974889"/>
    <w:rsid w:val="00977478"/>
    <w:rsid w:val="00977524"/>
    <w:rsid w:val="00986ED8"/>
    <w:rsid w:val="00987878"/>
    <w:rsid w:val="00990C8D"/>
    <w:rsid w:val="00995885"/>
    <w:rsid w:val="009A4D81"/>
    <w:rsid w:val="009A617D"/>
    <w:rsid w:val="009A691C"/>
    <w:rsid w:val="009A7548"/>
    <w:rsid w:val="009B17E6"/>
    <w:rsid w:val="009B2BE3"/>
    <w:rsid w:val="009B5030"/>
    <w:rsid w:val="009C0A00"/>
    <w:rsid w:val="009C1EC8"/>
    <w:rsid w:val="009C333E"/>
    <w:rsid w:val="009C36AC"/>
    <w:rsid w:val="009C4D01"/>
    <w:rsid w:val="009C5A09"/>
    <w:rsid w:val="009D06CF"/>
    <w:rsid w:val="009D3047"/>
    <w:rsid w:val="009D38C7"/>
    <w:rsid w:val="009E01CB"/>
    <w:rsid w:val="009F4BFB"/>
    <w:rsid w:val="009F6B2A"/>
    <w:rsid w:val="009F6EA0"/>
    <w:rsid w:val="00A010B1"/>
    <w:rsid w:val="00A02977"/>
    <w:rsid w:val="00A032BC"/>
    <w:rsid w:val="00A10944"/>
    <w:rsid w:val="00A15CFB"/>
    <w:rsid w:val="00A162A7"/>
    <w:rsid w:val="00A17409"/>
    <w:rsid w:val="00A22619"/>
    <w:rsid w:val="00A24F88"/>
    <w:rsid w:val="00A4013A"/>
    <w:rsid w:val="00A418A1"/>
    <w:rsid w:val="00A45712"/>
    <w:rsid w:val="00A566CB"/>
    <w:rsid w:val="00A6501F"/>
    <w:rsid w:val="00A65420"/>
    <w:rsid w:val="00A66292"/>
    <w:rsid w:val="00A676A0"/>
    <w:rsid w:val="00A738F5"/>
    <w:rsid w:val="00A73918"/>
    <w:rsid w:val="00A75065"/>
    <w:rsid w:val="00A75EDC"/>
    <w:rsid w:val="00A76D0A"/>
    <w:rsid w:val="00A8334C"/>
    <w:rsid w:val="00A86751"/>
    <w:rsid w:val="00A90425"/>
    <w:rsid w:val="00A91E5B"/>
    <w:rsid w:val="00A97A8A"/>
    <w:rsid w:val="00A97B19"/>
    <w:rsid w:val="00AA2E22"/>
    <w:rsid w:val="00AA356B"/>
    <w:rsid w:val="00AA475B"/>
    <w:rsid w:val="00AB12EC"/>
    <w:rsid w:val="00AC0C76"/>
    <w:rsid w:val="00AC1CE4"/>
    <w:rsid w:val="00AC6B6E"/>
    <w:rsid w:val="00AC7B1A"/>
    <w:rsid w:val="00AD0110"/>
    <w:rsid w:val="00AE41CC"/>
    <w:rsid w:val="00AE5839"/>
    <w:rsid w:val="00AF229E"/>
    <w:rsid w:val="00AF3359"/>
    <w:rsid w:val="00AF4060"/>
    <w:rsid w:val="00AF5C74"/>
    <w:rsid w:val="00AF6710"/>
    <w:rsid w:val="00AF6B17"/>
    <w:rsid w:val="00B02AC0"/>
    <w:rsid w:val="00B03DE9"/>
    <w:rsid w:val="00B17748"/>
    <w:rsid w:val="00B212CB"/>
    <w:rsid w:val="00B33523"/>
    <w:rsid w:val="00B3546B"/>
    <w:rsid w:val="00B43A61"/>
    <w:rsid w:val="00B4666C"/>
    <w:rsid w:val="00B541BF"/>
    <w:rsid w:val="00B57B87"/>
    <w:rsid w:val="00B61073"/>
    <w:rsid w:val="00B66359"/>
    <w:rsid w:val="00B672F9"/>
    <w:rsid w:val="00B67B5E"/>
    <w:rsid w:val="00B73F11"/>
    <w:rsid w:val="00B748A2"/>
    <w:rsid w:val="00B749C7"/>
    <w:rsid w:val="00B779AF"/>
    <w:rsid w:val="00B82E07"/>
    <w:rsid w:val="00B8622F"/>
    <w:rsid w:val="00B87FE1"/>
    <w:rsid w:val="00B92D84"/>
    <w:rsid w:val="00B940A0"/>
    <w:rsid w:val="00B94509"/>
    <w:rsid w:val="00B95574"/>
    <w:rsid w:val="00BA456F"/>
    <w:rsid w:val="00BA5860"/>
    <w:rsid w:val="00BA6AAC"/>
    <w:rsid w:val="00BA705A"/>
    <w:rsid w:val="00BB2CA3"/>
    <w:rsid w:val="00BB7AAE"/>
    <w:rsid w:val="00BC2349"/>
    <w:rsid w:val="00BC29BD"/>
    <w:rsid w:val="00BC2BE5"/>
    <w:rsid w:val="00BC6165"/>
    <w:rsid w:val="00BD1D2B"/>
    <w:rsid w:val="00BD3A27"/>
    <w:rsid w:val="00BE20DE"/>
    <w:rsid w:val="00BF5D64"/>
    <w:rsid w:val="00BF7F53"/>
    <w:rsid w:val="00C00FB0"/>
    <w:rsid w:val="00C02BE7"/>
    <w:rsid w:val="00C03718"/>
    <w:rsid w:val="00C0667E"/>
    <w:rsid w:val="00C2243A"/>
    <w:rsid w:val="00C239C7"/>
    <w:rsid w:val="00C25BB8"/>
    <w:rsid w:val="00C269EB"/>
    <w:rsid w:val="00C3144E"/>
    <w:rsid w:val="00C322F9"/>
    <w:rsid w:val="00C327EE"/>
    <w:rsid w:val="00C36895"/>
    <w:rsid w:val="00C375BE"/>
    <w:rsid w:val="00C51215"/>
    <w:rsid w:val="00C51DD7"/>
    <w:rsid w:val="00C539F5"/>
    <w:rsid w:val="00C546C7"/>
    <w:rsid w:val="00C557C5"/>
    <w:rsid w:val="00C57519"/>
    <w:rsid w:val="00C638AD"/>
    <w:rsid w:val="00C6392C"/>
    <w:rsid w:val="00C66C06"/>
    <w:rsid w:val="00C773FF"/>
    <w:rsid w:val="00C80439"/>
    <w:rsid w:val="00C80846"/>
    <w:rsid w:val="00C85F1C"/>
    <w:rsid w:val="00C86B81"/>
    <w:rsid w:val="00C9541D"/>
    <w:rsid w:val="00C95790"/>
    <w:rsid w:val="00C95F18"/>
    <w:rsid w:val="00CA2B31"/>
    <w:rsid w:val="00CA335C"/>
    <w:rsid w:val="00CA3AB7"/>
    <w:rsid w:val="00CA6743"/>
    <w:rsid w:val="00CB025A"/>
    <w:rsid w:val="00CC2015"/>
    <w:rsid w:val="00CC4EE6"/>
    <w:rsid w:val="00CC52AC"/>
    <w:rsid w:val="00CD23D2"/>
    <w:rsid w:val="00CD390B"/>
    <w:rsid w:val="00CD4E11"/>
    <w:rsid w:val="00CE07E6"/>
    <w:rsid w:val="00CE0AB7"/>
    <w:rsid w:val="00CE181D"/>
    <w:rsid w:val="00CE2569"/>
    <w:rsid w:val="00CF14B7"/>
    <w:rsid w:val="00CF3C9C"/>
    <w:rsid w:val="00CF3CE2"/>
    <w:rsid w:val="00CF7DBD"/>
    <w:rsid w:val="00D00D7A"/>
    <w:rsid w:val="00D01D38"/>
    <w:rsid w:val="00D104EF"/>
    <w:rsid w:val="00D1139F"/>
    <w:rsid w:val="00D13DDC"/>
    <w:rsid w:val="00D17B65"/>
    <w:rsid w:val="00D23E5E"/>
    <w:rsid w:val="00D33269"/>
    <w:rsid w:val="00D428BE"/>
    <w:rsid w:val="00D57F65"/>
    <w:rsid w:val="00D64BDD"/>
    <w:rsid w:val="00D67FF6"/>
    <w:rsid w:val="00D755CA"/>
    <w:rsid w:val="00D77B5E"/>
    <w:rsid w:val="00D77EC7"/>
    <w:rsid w:val="00D8127A"/>
    <w:rsid w:val="00D84E1C"/>
    <w:rsid w:val="00D863E4"/>
    <w:rsid w:val="00D87FD4"/>
    <w:rsid w:val="00D972DA"/>
    <w:rsid w:val="00DA445C"/>
    <w:rsid w:val="00DA6707"/>
    <w:rsid w:val="00DA6EB7"/>
    <w:rsid w:val="00DC3459"/>
    <w:rsid w:val="00DC4FA4"/>
    <w:rsid w:val="00DC57C1"/>
    <w:rsid w:val="00DC5B4E"/>
    <w:rsid w:val="00DC6F12"/>
    <w:rsid w:val="00DD696E"/>
    <w:rsid w:val="00DD6AA5"/>
    <w:rsid w:val="00DE040B"/>
    <w:rsid w:val="00DE248B"/>
    <w:rsid w:val="00DF02E3"/>
    <w:rsid w:val="00E04D54"/>
    <w:rsid w:val="00E059A3"/>
    <w:rsid w:val="00E05CEB"/>
    <w:rsid w:val="00E05F25"/>
    <w:rsid w:val="00E06D41"/>
    <w:rsid w:val="00E07A8E"/>
    <w:rsid w:val="00E31FC6"/>
    <w:rsid w:val="00E35CAD"/>
    <w:rsid w:val="00E3700E"/>
    <w:rsid w:val="00E40D68"/>
    <w:rsid w:val="00E4456A"/>
    <w:rsid w:val="00E53377"/>
    <w:rsid w:val="00E5392E"/>
    <w:rsid w:val="00E53EEE"/>
    <w:rsid w:val="00E54D9D"/>
    <w:rsid w:val="00E5737C"/>
    <w:rsid w:val="00E65045"/>
    <w:rsid w:val="00E75C5A"/>
    <w:rsid w:val="00E80F0F"/>
    <w:rsid w:val="00E85963"/>
    <w:rsid w:val="00E87282"/>
    <w:rsid w:val="00E90017"/>
    <w:rsid w:val="00E97350"/>
    <w:rsid w:val="00EA03D8"/>
    <w:rsid w:val="00EB4109"/>
    <w:rsid w:val="00EB6C19"/>
    <w:rsid w:val="00EC0063"/>
    <w:rsid w:val="00EC4864"/>
    <w:rsid w:val="00ED0C3E"/>
    <w:rsid w:val="00ED4680"/>
    <w:rsid w:val="00ED7371"/>
    <w:rsid w:val="00EE394C"/>
    <w:rsid w:val="00EE7507"/>
    <w:rsid w:val="00EF0CBE"/>
    <w:rsid w:val="00EF2A35"/>
    <w:rsid w:val="00EF5743"/>
    <w:rsid w:val="00F025D6"/>
    <w:rsid w:val="00F1000C"/>
    <w:rsid w:val="00F1254D"/>
    <w:rsid w:val="00F13632"/>
    <w:rsid w:val="00F15ECF"/>
    <w:rsid w:val="00F205CC"/>
    <w:rsid w:val="00F206E4"/>
    <w:rsid w:val="00F30CEE"/>
    <w:rsid w:val="00F338F4"/>
    <w:rsid w:val="00F35C19"/>
    <w:rsid w:val="00F36F97"/>
    <w:rsid w:val="00F41851"/>
    <w:rsid w:val="00F54086"/>
    <w:rsid w:val="00F61B32"/>
    <w:rsid w:val="00F650A5"/>
    <w:rsid w:val="00F7340A"/>
    <w:rsid w:val="00F73C10"/>
    <w:rsid w:val="00F73CCA"/>
    <w:rsid w:val="00F767B8"/>
    <w:rsid w:val="00F81749"/>
    <w:rsid w:val="00F9100C"/>
    <w:rsid w:val="00F934B3"/>
    <w:rsid w:val="00F9395F"/>
    <w:rsid w:val="00F970D3"/>
    <w:rsid w:val="00F97AAE"/>
    <w:rsid w:val="00FA2001"/>
    <w:rsid w:val="00FA436E"/>
    <w:rsid w:val="00FB062B"/>
    <w:rsid w:val="00FB0942"/>
    <w:rsid w:val="00FB7518"/>
    <w:rsid w:val="00FC0334"/>
    <w:rsid w:val="00FC189E"/>
    <w:rsid w:val="00FC505A"/>
    <w:rsid w:val="00FD56C6"/>
    <w:rsid w:val="00FD5ABA"/>
    <w:rsid w:val="00FD5CFB"/>
    <w:rsid w:val="00FD6240"/>
    <w:rsid w:val="00FD6486"/>
    <w:rsid w:val="00FE740C"/>
    <w:rsid w:val="00FF6FD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CEC41832-B9E4-4C97-B89D-B90DCFC4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04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049"/>
    <w:pPr>
      <w:tabs>
        <w:tab w:val="center" w:pos="4153"/>
        <w:tab w:val="right" w:pos="8306"/>
      </w:tabs>
    </w:pPr>
  </w:style>
  <w:style w:type="character" w:customStyle="1" w:styleId="HeaderChar">
    <w:name w:val="Header Char"/>
    <w:basedOn w:val="DefaultParagraphFont"/>
    <w:link w:val="Header"/>
    <w:uiPriority w:val="99"/>
    <w:rsid w:val="0049504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95049"/>
    <w:pPr>
      <w:tabs>
        <w:tab w:val="center" w:pos="4153"/>
        <w:tab w:val="right" w:pos="8306"/>
      </w:tabs>
    </w:pPr>
  </w:style>
  <w:style w:type="character" w:customStyle="1" w:styleId="FooterChar">
    <w:name w:val="Footer Char"/>
    <w:basedOn w:val="DefaultParagraphFont"/>
    <w:link w:val="Footer"/>
    <w:uiPriority w:val="99"/>
    <w:rsid w:val="00495049"/>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495049"/>
    <w:rPr>
      <w:sz w:val="20"/>
      <w:szCs w:val="20"/>
    </w:rPr>
  </w:style>
  <w:style w:type="character" w:customStyle="1" w:styleId="FootnoteTextChar">
    <w:name w:val="Footnote Text Char"/>
    <w:basedOn w:val="DefaultParagraphFont"/>
    <w:link w:val="FootnoteText"/>
    <w:uiPriority w:val="99"/>
    <w:semiHidden/>
    <w:rsid w:val="0049504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95049"/>
    <w:rPr>
      <w:vertAlign w:val="superscript"/>
    </w:rPr>
  </w:style>
  <w:style w:type="paragraph" w:styleId="BalloonText">
    <w:name w:val="Balloon Text"/>
    <w:basedOn w:val="Normal"/>
    <w:link w:val="BalloonTextChar"/>
    <w:uiPriority w:val="99"/>
    <w:semiHidden/>
    <w:unhideWhenUsed/>
    <w:rsid w:val="00092F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FF7"/>
    <w:rPr>
      <w:rFonts w:ascii="Segoe UI" w:eastAsia="Times New Roman" w:hAnsi="Segoe UI" w:cs="Segoe UI"/>
      <w:sz w:val="18"/>
      <w:szCs w:val="18"/>
      <w:lang w:eastAsia="lv-LV"/>
    </w:rPr>
  </w:style>
  <w:style w:type="paragraph" w:styleId="ListParagraph">
    <w:name w:val="List Paragraph"/>
    <w:basedOn w:val="Normal"/>
    <w:uiPriority w:val="34"/>
    <w:qFormat/>
    <w:rsid w:val="005A2AEF"/>
    <w:pPr>
      <w:ind w:left="720"/>
      <w:contextualSpacing/>
    </w:pPr>
  </w:style>
  <w:style w:type="paragraph" w:styleId="Signature">
    <w:name w:val="Signature"/>
    <w:basedOn w:val="Normal"/>
    <w:next w:val="EnvelopeReturn"/>
    <w:link w:val="SignatureChar"/>
    <w:rsid w:val="0002156E"/>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02156E"/>
    <w:rPr>
      <w:rFonts w:ascii="Times New Roman" w:eastAsia="Times New Roman" w:hAnsi="Times New Roman" w:cs="Times New Roman"/>
      <w:sz w:val="26"/>
      <w:szCs w:val="20"/>
      <w:lang w:val="en-AU"/>
    </w:rPr>
  </w:style>
  <w:style w:type="paragraph" w:styleId="EnvelopeReturn">
    <w:name w:val="envelope return"/>
    <w:basedOn w:val="Normal"/>
    <w:uiPriority w:val="99"/>
    <w:semiHidden/>
    <w:unhideWhenUsed/>
    <w:rsid w:val="0002156E"/>
    <w:rPr>
      <w:rFonts w:asciiTheme="majorHAnsi" w:eastAsiaTheme="majorEastAsia" w:hAnsiTheme="majorHAnsi" w:cstheme="majorBidi"/>
      <w:sz w:val="20"/>
      <w:szCs w:val="20"/>
    </w:rPr>
  </w:style>
  <w:style w:type="character" w:styleId="CommentReference">
    <w:name w:val="annotation reference"/>
    <w:basedOn w:val="DefaultParagraphFont"/>
    <w:uiPriority w:val="99"/>
    <w:semiHidden/>
    <w:unhideWhenUsed/>
    <w:rsid w:val="00DC6F12"/>
    <w:rPr>
      <w:sz w:val="16"/>
      <w:szCs w:val="16"/>
    </w:rPr>
  </w:style>
  <w:style w:type="paragraph" w:styleId="CommentText">
    <w:name w:val="annotation text"/>
    <w:basedOn w:val="Normal"/>
    <w:link w:val="CommentTextChar"/>
    <w:semiHidden/>
    <w:unhideWhenUsed/>
    <w:rsid w:val="00DC6F12"/>
    <w:rPr>
      <w:sz w:val="20"/>
      <w:szCs w:val="20"/>
    </w:rPr>
  </w:style>
  <w:style w:type="character" w:customStyle="1" w:styleId="CommentTextChar">
    <w:name w:val="Comment Text Char"/>
    <w:basedOn w:val="DefaultParagraphFont"/>
    <w:link w:val="CommentText"/>
    <w:semiHidden/>
    <w:rsid w:val="00DC6F1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C6F12"/>
    <w:rPr>
      <w:b/>
      <w:bCs/>
    </w:rPr>
  </w:style>
  <w:style w:type="character" w:customStyle="1" w:styleId="CommentSubjectChar">
    <w:name w:val="Comment Subject Char"/>
    <w:basedOn w:val="CommentTextChar"/>
    <w:link w:val="CommentSubject"/>
    <w:uiPriority w:val="99"/>
    <w:semiHidden/>
    <w:rsid w:val="00DC6F12"/>
    <w:rPr>
      <w:rFonts w:ascii="Times New Roman" w:eastAsia="Times New Roman" w:hAnsi="Times New Roman" w:cs="Times New Roman"/>
      <w:b/>
      <w:bCs/>
      <w:sz w:val="20"/>
      <w:szCs w:val="20"/>
      <w:lang w:eastAsia="lv-LV"/>
    </w:rPr>
  </w:style>
  <w:style w:type="paragraph" w:styleId="Revision">
    <w:name w:val="Revision"/>
    <w:hidden/>
    <w:uiPriority w:val="99"/>
    <w:semiHidden/>
    <w:rsid w:val="00CD23D2"/>
    <w:pPr>
      <w:spacing w:after="0"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FB0942"/>
    <w:pPr>
      <w:spacing w:after="0"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436E34"/>
    <w:rPr>
      <w:i/>
      <w:iCs/>
    </w:rPr>
  </w:style>
  <w:style w:type="character" w:styleId="Hyperlink">
    <w:name w:val="Hyperlink"/>
    <w:basedOn w:val="DefaultParagraphFont"/>
    <w:uiPriority w:val="99"/>
    <w:unhideWhenUsed/>
    <w:rsid w:val="003226EE"/>
    <w:rPr>
      <w:color w:val="0563C1" w:themeColor="hyperlink"/>
      <w:u w:val="single"/>
    </w:rPr>
  </w:style>
  <w:style w:type="character" w:customStyle="1" w:styleId="UnresolvedMention1">
    <w:name w:val="Unresolved Mention1"/>
    <w:basedOn w:val="DefaultParagraphFont"/>
    <w:uiPriority w:val="99"/>
    <w:semiHidden/>
    <w:unhideWhenUsed/>
    <w:rsid w:val="003226EE"/>
    <w:rPr>
      <w:color w:val="808080"/>
      <w:shd w:val="clear" w:color="auto" w:fill="E6E6E6"/>
    </w:rPr>
  </w:style>
  <w:style w:type="character" w:customStyle="1" w:styleId="st">
    <w:name w:val="st"/>
    <w:basedOn w:val="DefaultParagraphFont"/>
    <w:rsid w:val="00A032BC"/>
  </w:style>
  <w:style w:type="character" w:customStyle="1" w:styleId="UnresolvedMention">
    <w:name w:val="Unresolved Mention"/>
    <w:basedOn w:val="DefaultParagraphFont"/>
    <w:uiPriority w:val="99"/>
    <w:semiHidden/>
    <w:unhideWhenUsed/>
    <w:rsid w:val="007A71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14449-923C-4C79-821A-368BDD82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16771</Words>
  <Characters>9561</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Informatīvais ziņojums "Par priekšlikumiem institūciju sadarbības jautājumu risināšanai, administratīvo datu avotu pilnveidošanai un administratīvā sloga mazināšanai oficiālās statistikas nodrošināšanā” </vt:lpstr>
    </vt:vector>
  </TitlesOfParts>
  <Manager>Centrālā statistikas pārvalde</Manager>
  <Company/>
  <LinksUpToDate>false</LinksUpToDate>
  <CharactersWithSpaces>26280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priekšlikumiem institūciju sadarbības jautājumu risināšanai, administratīvo datu avotu pilnveidošanai un administratīvā sloga mazināšanai oficiālās statistikas nodrošināšanā”</dc:title>
  <dc:subject>Informatīvais ziņojums</dc:subject>
  <dc:creator>Ilze Skujeniece</dc:creator>
  <dc:description>Skujeniece, 67366951_x000D_
Ilze.Skujeniece@csb.gov.lv</dc:description>
  <cp:lastModifiedBy>Jānis Ušpelis</cp:lastModifiedBy>
  <cp:revision>5</cp:revision>
  <cp:lastPrinted>2018-01-25T13:36:00Z</cp:lastPrinted>
  <dcterms:created xsi:type="dcterms:W3CDTF">2018-02-07T14:18:00Z</dcterms:created>
  <dcterms:modified xsi:type="dcterms:W3CDTF">2018-02-09T14:44:00Z</dcterms:modified>
</cp:coreProperties>
</file>