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19CB7" w14:textId="4FBA8B91" w:rsidR="002B77EA" w:rsidRPr="0007530A" w:rsidRDefault="002B77EA" w:rsidP="002B77EA">
      <w:pPr>
        <w:pStyle w:val="BodyText"/>
        <w:jc w:val="both"/>
        <w:rPr>
          <w:b w:val="0"/>
          <w:color w:val="000000" w:themeColor="text1"/>
          <w:sz w:val="28"/>
          <w:szCs w:val="28"/>
          <w:highlight w:val="yellow"/>
          <w:lang w:val="lv-LV"/>
        </w:rPr>
      </w:pPr>
      <w:r>
        <w:rPr>
          <w:noProof/>
          <w:lang w:val="lv-LV" w:eastAsia="lv-LV"/>
        </w:rPr>
        <w:drawing>
          <wp:anchor distT="0" distB="0" distL="114300" distR="114300" simplePos="0" relativeHeight="251660288" behindDoc="1" locked="0" layoutInCell="1" allowOverlap="1" wp14:anchorId="50504E30" wp14:editId="28F9331B">
            <wp:simplePos x="0" y="0"/>
            <wp:positionH relativeFrom="margin">
              <wp:posOffset>4364858</wp:posOffset>
            </wp:positionH>
            <wp:positionV relativeFrom="paragraph">
              <wp:posOffset>90170</wp:posOffset>
            </wp:positionV>
            <wp:extent cx="1453515" cy="596900"/>
            <wp:effectExtent l="0" t="0" r="0" b="0"/>
            <wp:wrapTight wrapText="bothSides">
              <wp:wrapPolygon edited="0">
                <wp:start x="9625" y="0"/>
                <wp:lineTo x="0" y="4826"/>
                <wp:lineTo x="0" y="20681"/>
                <wp:lineTo x="5379" y="20681"/>
                <wp:lineTo x="15853" y="20681"/>
                <wp:lineTo x="21232" y="20681"/>
                <wp:lineTo x="21232" y="11030"/>
                <wp:lineTo x="16136" y="11030"/>
                <wp:lineTo x="21232" y="7583"/>
                <wp:lineTo x="21232" y="2757"/>
                <wp:lineTo x="11890" y="0"/>
                <wp:lineTo x="9625" y="0"/>
              </wp:wrapPolygon>
            </wp:wrapTight>
            <wp:docPr id="21" name="Picture 21" descr="C:\Users\kd-rabov\AppData\Local\Microsoft\Windows\INetCache\Content.Wo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abov\AppData\Local\Microsoft\Windows\INetCache\Content.Word\EEA-and-Norway_gra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51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lv-LV" w:eastAsia="lv-LV"/>
        </w:rPr>
        <w:drawing>
          <wp:anchor distT="0" distB="0" distL="114300" distR="114300" simplePos="0" relativeHeight="251661312" behindDoc="1" locked="0" layoutInCell="1" allowOverlap="1" wp14:anchorId="0481BEC6" wp14:editId="28D2B97C">
            <wp:simplePos x="0" y="0"/>
            <wp:positionH relativeFrom="column">
              <wp:posOffset>-343535</wp:posOffset>
            </wp:positionH>
            <wp:positionV relativeFrom="paragraph">
              <wp:posOffset>172085</wp:posOffset>
            </wp:positionV>
            <wp:extent cx="3048000" cy="641350"/>
            <wp:effectExtent l="0" t="0" r="0" b="6350"/>
            <wp:wrapTight wrapText="bothSides">
              <wp:wrapPolygon edited="0">
                <wp:start x="6615" y="0"/>
                <wp:lineTo x="0" y="1283"/>
                <wp:lineTo x="0" y="18606"/>
                <wp:lineTo x="2700" y="21172"/>
                <wp:lineTo x="18900" y="21172"/>
                <wp:lineTo x="21465" y="18606"/>
                <wp:lineTo x="21465" y="0"/>
                <wp:lineTo x="6615" y="0"/>
              </wp:wrapPolygon>
            </wp:wrapTight>
            <wp:docPr id="20" name="Picture 20"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ondi.l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530A">
        <w:rPr>
          <w:noProof/>
          <w:sz w:val="28"/>
          <w:szCs w:val="28"/>
          <w:lang w:val="lv-LV" w:eastAsia="lv-LV"/>
        </w:rPr>
        <w:drawing>
          <wp:anchor distT="0" distB="0" distL="114300" distR="114300" simplePos="0" relativeHeight="251659264" behindDoc="1" locked="0" layoutInCell="1" allowOverlap="1" wp14:anchorId="55DF398F" wp14:editId="21C7642F">
            <wp:simplePos x="0" y="0"/>
            <wp:positionH relativeFrom="margin">
              <wp:posOffset>2503849</wp:posOffset>
            </wp:positionH>
            <wp:positionV relativeFrom="paragraph">
              <wp:posOffset>92075</wp:posOffset>
            </wp:positionV>
            <wp:extent cx="2039964" cy="742950"/>
            <wp:effectExtent l="0" t="0" r="0" b="0"/>
            <wp:wrapTight wrapText="bothSides">
              <wp:wrapPolygon edited="0">
                <wp:start x="0" y="0"/>
                <wp:lineTo x="0" y="21046"/>
                <wp:lineTo x="21385" y="21046"/>
                <wp:lineTo x="21385" y="0"/>
                <wp:lineTo x="0" y="0"/>
              </wp:wrapPolygon>
            </wp:wrapTight>
            <wp:docPr id="29" name="Picture 29" descr="cid:image003.png@01D277BE.D84A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77BE.D84A38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39964" cy="742950"/>
                    </a:xfrm>
                    <a:prstGeom prst="rect">
                      <a:avLst/>
                    </a:prstGeom>
                    <a:noFill/>
                    <a:ln>
                      <a:noFill/>
                    </a:ln>
                  </pic:spPr>
                </pic:pic>
              </a:graphicData>
            </a:graphic>
          </wp:anchor>
        </w:drawing>
      </w:r>
    </w:p>
    <w:p w14:paraId="2055DCD1" w14:textId="60A28FA0" w:rsidR="002B77EA" w:rsidRPr="0007530A" w:rsidRDefault="002B77EA" w:rsidP="002B77EA">
      <w:pPr>
        <w:pStyle w:val="BodyText"/>
        <w:jc w:val="both"/>
        <w:rPr>
          <w:b w:val="0"/>
          <w:color w:val="000000" w:themeColor="text1"/>
          <w:sz w:val="28"/>
          <w:szCs w:val="28"/>
          <w:highlight w:val="yellow"/>
          <w:lang w:val="lv-LV"/>
        </w:rPr>
      </w:pPr>
    </w:p>
    <w:p w14:paraId="19050A95" w14:textId="24FF4054" w:rsidR="002B77EA" w:rsidRPr="0007530A" w:rsidRDefault="002B77EA" w:rsidP="002B77EA">
      <w:pPr>
        <w:pStyle w:val="BodyText"/>
        <w:jc w:val="both"/>
        <w:rPr>
          <w:b w:val="0"/>
          <w:color w:val="000000" w:themeColor="text1"/>
          <w:sz w:val="28"/>
          <w:szCs w:val="28"/>
          <w:highlight w:val="yellow"/>
          <w:lang w:val="lv-LV"/>
        </w:rPr>
      </w:pPr>
    </w:p>
    <w:p w14:paraId="7173A2A2" w14:textId="326A3AF2" w:rsidR="002B77EA" w:rsidRPr="0007530A" w:rsidRDefault="002B77EA" w:rsidP="002B77EA">
      <w:pPr>
        <w:pStyle w:val="BodyText"/>
        <w:jc w:val="both"/>
        <w:rPr>
          <w:b w:val="0"/>
          <w:color w:val="000000" w:themeColor="text1"/>
          <w:sz w:val="28"/>
          <w:szCs w:val="28"/>
          <w:highlight w:val="yellow"/>
          <w:lang w:val="lv-LV"/>
        </w:rPr>
      </w:pPr>
    </w:p>
    <w:p w14:paraId="7C331D01" w14:textId="77777777" w:rsidR="002B77EA" w:rsidRPr="0007530A" w:rsidRDefault="002B77EA" w:rsidP="002B77EA">
      <w:pPr>
        <w:pStyle w:val="BodyText"/>
        <w:jc w:val="both"/>
        <w:rPr>
          <w:b w:val="0"/>
          <w:color w:val="000000" w:themeColor="text1"/>
          <w:sz w:val="28"/>
          <w:szCs w:val="28"/>
          <w:highlight w:val="yellow"/>
          <w:lang w:val="lv-LV"/>
        </w:rPr>
      </w:pPr>
    </w:p>
    <w:p w14:paraId="4FECAED1" w14:textId="77777777" w:rsidR="002B77EA" w:rsidRPr="0007530A" w:rsidRDefault="002B77EA" w:rsidP="002B77EA">
      <w:pPr>
        <w:pStyle w:val="BodyText"/>
        <w:jc w:val="both"/>
        <w:rPr>
          <w:b w:val="0"/>
          <w:color w:val="000000" w:themeColor="text1"/>
          <w:sz w:val="28"/>
          <w:szCs w:val="28"/>
          <w:highlight w:val="yellow"/>
          <w:lang w:val="lv-LV"/>
        </w:rPr>
      </w:pPr>
    </w:p>
    <w:p w14:paraId="45FB60B7" w14:textId="77777777" w:rsidR="002B77EA" w:rsidRPr="0007530A" w:rsidRDefault="002B77EA" w:rsidP="002B77EA">
      <w:pPr>
        <w:pStyle w:val="BodyText"/>
        <w:jc w:val="both"/>
        <w:rPr>
          <w:b w:val="0"/>
          <w:color w:val="000000" w:themeColor="text1"/>
          <w:sz w:val="28"/>
          <w:szCs w:val="28"/>
          <w:lang w:val="lv-LV"/>
        </w:rPr>
      </w:pPr>
    </w:p>
    <w:p w14:paraId="57BA2FAF" w14:textId="77777777" w:rsidR="002B77EA" w:rsidRPr="0007530A" w:rsidRDefault="002B77EA" w:rsidP="002B77EA">
      <w:pPr>
        <w:pStyle w:val="BodyText"/>
        <w:tabs>
          <w:tab w:val="left" w:pos="3765"/>
        </w:tabs>
        <w:jc w:val="both"/>
        <w:rPr>
          <w:b w:val="0"/>
          <w:color w:val="000000" w:themeColor="text1"/>
          <w:sz w:val="28"/>
          <w:szCs w:val="28"/>
          <w:lang w:val="lv-LV"/>
        </w:rPr>
      </w:pPr>
      <w:r w:rsidRPr="0007530A">
        <w:rPr>
          <w:b w:val="0"/>
          <w:color w:val="000000" w:themeColor="text1"/>
          <w:sz w:val="28"/>
          <w:szCs w:val="28"/>
          <w:lang w:val="lv-LV"/>
        </w:rPr>
        <w:tab/>
      </w:r>
    </w:p>
    <w:p w14:paraId="1CC4394C" w14:textId="77777777" w:rsidR="002B77EA" w:rsidRPr="0007530A" w:rsidRDefault="002B77EA" w:rsidP="002B77EA">
      <w:pPr>
        <w:pStyle w:val="BodyText"/>
        <w:jc w:val="both"/>
        <w:rPr>
          <w:b w:val="0"/>
          <w:color w:val="000000" w:themeColor="text1"/>
          <w:sz w:val="28"/>
          <w:szCs w:val="28"/>
          <w:lang w:val="lv-LV"/>
        </w:rPr>
      </w:pPr>
    </w:p>
    <w:p w14:paraId="2ED6E197" w14:textId="77777777" w:rsidR="002B77EA" w:rsidRPr="0007530A" w:rsidDel="00392FDF" w:rsidRDefault="002B77EA" w:rsidP="002B77EA">
      <w:pPr>
        <w:pStyle w:val="BodyText"/>
        <w:spacing w:before="0" w:after="0"/>
        <w:jc w:val="center"/>
        <w:rPr>
          <w:color w:val="000000" w:themeColor="text1"/>
          <w:sz w:val="28"/>
          <w:szCs w:val="28"/>
          <w:lang w:val="lv-LV"/>
        </w:rPr>
      </w:pPr>
      <w:bookmarkStart w:id="0" w:name="OLE_LINK8"/>
      <w:bookmarkStart w:id="1" w:name="OLE_LINK9"/>
      <w:r w:rsidRPr="0007530A">
        <w:rPr>
          <w:color w:val="000000" w:themeColor="text1"/>
          <w:sz w:val="28"/>
          <w:szCs w:val="28"/>
          <w:lang w:val="lv-LV"/>
        </w:rPr>
        <w:t>Informatīvais ziņojums par</w:t>
      </w:r>
    </w:p>
    <w:p w14:paraId="0499348D" w14:textId="1A053DE1" w:rsidR="002B77EA" w:rsidRPr="0007530A" w:rsidRDefault="005F5540" w:rsidP="002B77EA">
      <w:pPr>
        <w:pStyle w:val="Title"/>
        <w:spacing w:before="0" w:after="0"/>
        <w:rPr>
          <w:b w:val="0"/>
          <w:color w:val="000000" w:themeColor="text1"/>
        </w:rPr>
      </w:pPr>
      <w:r>
        <w:rPr>
          <w:b w:val="0"/>
          <w:color w:val="000000" w:themeColor="text1"/>
        </w:rPr>
        <w:t>Kohēzijas politikas Eiropas Savienības fondu</w:t>
      </w:r>
      <w:r w:rsidR="002B77EA" w:rsidRPr="0007530A">
        <w:rPr>
          <w:b w:val="0"/>
          <w:color w:val="000000" w:themeColor="text1"/>
        </w:rPr>
        <w:t xml:space="preserve"> investīciju progresu līdz 2017. gada </w:t>
      </w:r>
      <w:r w:rsidR="002B77EA">
        <w:rPr>
          <w:b w:val="0"/>
          <w:color w:val="000000" w:themeColor="text1"/>
        </w:rPr>
        <w:t>31</w:t>
      </w:r>
      <w:r w:rsidR="002B77EA" w:rsidRPr="0007530A">
        <w:rPr>
          <w:b w:val="0"/>
          <w:color w:val="000000" w:themeColor="text1"/>
        </w:rPr>
        <w:t>. </w:t>
      </w:r>
      <w:bookmarkEnd w:id="0"/>
      <w:bookmarkEnd w:id="1"/>
      <w:r w:rsidR="002B77EA">
        <w:rPr>
          <w:b w:val="0"/>
          <w:color w:val="000000" w:themeColor="text1"/>
        </w:rPr>
        <w:t>decembrim</w:t>
      </w:r>
      <w:r w:rsidR="00B919EF">
        <w:rPr>
          <w:b w:val="0"/>
          <w:color w:val="000000" w:themeColor="text1"/>
        </w:rPr>
        <w:t xml:space="preserve"> </w:t>
      </w:r>
      <w:r w:rsidR="00B919EF" w:rsidRPr="00B919EF">
        <w:rPr>
          <w:b w:val="0"/>
          <w:color w:val="000000"/>
        </w:rPr>
        <w:t>un 2018.</w:t>
      </w:r>
      <w:r w:rsidR="00971B75">
        <w:rPr>
          <w:b w:val="0"/>
          <w:color w:val="000000"/>
        </w:rPr>
        <w:t> </w:t>
      </w:r>
      <w:r w:rsidR="00B919EF" w:rsidRPr="00B919EF">
        <w:rPr>
          <w:b w:val="0"/>
          <w:color w:val="000000"/>
        </w:rPr>
        <w:t xml:space="preserve">gada februāra </w:t>
      </w:r>
      <w:r w:rsidR="00B919EF" w:rsidRPr="00B919EF">
        <w:rPr>
          <w:rFonts w:eastAsia="Calibri"/>
          <w:b w:val="0"/>
          <w:color w:val="0D0D0D" w:themeColor="text1" w:themeTint="F2"/>
          <w:lang w:eastAsia="ar-SA"/>
        </w:rPr>
        <w:t>ikmēneša operatīvā informācija</w:t>
      </w:r>
    </w:p>
    <w:p w14:paraId="10FE66FC" w14:textId="77777777" w:rsidR="00DC0756" w:rsidRPr="00E94DEB" w:rsidRDefault="00DC0756" w:rsidP="00942973">
      <w:pPr>
        <w:rPr>
          <w:rFonts w:eastAsia="Times New Roman" w:cs="Times New Roman"/>
          <w:color w:val="000000" w:themeColor="text1"/>
          <w:sz w:val="28"/>
          <w:szCs w:val="28"/>
        </w:rPr>
      </w:pPr>
      <w:r w:rsidRPr="00E94DEB">
        <w:rPr>
          <w:rFonts w:cs="Times New Roman"/>
          <w:b/>
          <w:color w:val="000000" w:themeColor="text1"/>
          <w:sz w:val="28"/>
          <w:szCs w:val="28"/>
        </w:rPr>
        <w:br w:type="page"/>
      </w:r>
    </w:p>
    <w:p w14:paraId="1E6BE4E3" w14:textId="77777777" w:rsidR="009C0862" w:rsidRPr="00E94DEB" w:rsidRDefault="009C0862" w:rsidP="00942973">
      <w:pPr>
        <w:pStyle w:val="Title"/>
        <w:spacing w:before="0" w:after="0" w:line="240" w:lineRule="auto"/>
        <w:rPr>
          <w:highlight w:val="yellow"/>
        </w:rPr>
      </w:pPr>
    </w:p>
    <w:sdt>
      <w:sdtPr>
        <w:rPr>
          <w:rFonts w:ascii="Times New Roman" w:eastAsiaTheme="minorHAnsi" w:hAnsi="Times New Roman" w:cs="Times New Roman"/>
          <w:color w:val="auto"/>
          <w:sz w:val="28"/>
          <w:szCs w:val="28"/>
          <w:highlight w:val="yellow"/>
          <w:lang w:val="lv-LV"/>
        </w:rPr>
        <w:id w:val="1547027860"/>
        <w:docPartObj>
          <w:docPartGallery w:val="Table of Contents"/>
          <w:docPartUnique/>
        </w:docPartObj>
      </w:sdtPr>
      <w:sdtEndPr>
        <w:rPr>
          <w:bCs/>
          <w:highlight w:val="none"/>
        </w:rPr>
      </w:sdtEndPr>
      <w:sdtContent>
        <w:p w14:paraId="577D9EDF" w14:textId="77777777" w:rsidR="009C0862" w:rsidRPr="004A3549" w:rsidRDefault="009C0862" w:rsidP="00942973">
          <w:pPr>
            <w:pStyle w:val="TOCHeading"/>
            <w:tabs>
              <w:tab w:val="left" w:pos="2277"/>
            </w:tabs>
            <w:spacing w:before="0" w:after="120" w:line="240" w:lineRule="auto"/>
            <w:rPr>
              <w:rFonts w:ascii="Times New Roman" w:hAnsi="Times New Roman" w:cs="Times New Roman"/>
              <w:color w:val="auto"/>
              <w:sz w:val="28"/>
              <w:szCs w:val="28"/>
              <w:lang w:val="lv-LV"/>
            </w:rPr>
          </w:pPr>
          <w:r w:rsidRPr="004A3549">
            <w:rPr>
              <w:rFonts w:ascii="Times New Roman" w:hAnsi="Times New Roman" w:cs="Times New Roman"/>
              <w:color w:val="auto"/>
              <w:sz w:val="28"/>
              <w:szCs w:val="28"/>
              <w:lang w:val="lv-LV"/>
            </w:rPr>
            <w:t>Satura rādītājs</w:t>
          </w:r>
          <w:r w:rsidR="00BB21DD" w:rsidRPr="004A3549">
            <w:rPr>
              <w:rFonts w:ascii="Times New Roman" w:hAnsi="Times New Roman" w:cs="Times New Roman"/>
              <w:color w:val="auto"/>
              <w:sz w:val="28"/>
              <w:szCs w:val="28"/>
              <w:lang w:val="lv-LV"/>
            </w:rPr>
            <w:tab/>
          </w:r>
        </w:p>
        <w:p w14:paraId="4AE470DC" w14:textId="5D41A61A" w:rsidR="00121DE8" w:rsidRPr="004A3549" w:rsidRDefault="009C0862">
          <w:pPr>
            <w:pStyle w:val="TOC1"/>
            <w:rPr>
              <w:rFonts w:asciiTheme="minorHAnsi" w:eastAsiaTheme="minorEastAsia" w:hAnsiTheme="minorHAnsi" w:cstheme="minorBidi"/>
              <w:b w:val="0"/>
              <w:bCs w:val="0"/>
              <w:sz w:val="28"/>
              <w:szCs w:val="28"/>
              <w:lang w:eastAsia="lv-LV"/>
            </w:rPr>
          </w:pPr>
          <w:r w:rsidRPr="004A3549">
            <w:rPr>
              <w:b w:val="0"/>
              <w:noProof w:val="0"/>
              <w:sz w:val="28"/>
              <w:szCs w:val="28"/>
              <w:highlight w:val="yellow"/>
            </w:rPr>
            <w:fldChar w:fldCharType="begin"/>
          </w:r>
          <w:r w:rsidRPr="004A3549">
            <w:rPr>
              <w:b w:val="0"/>
              <w:noProof w:val="0"/>
              <w:sz w:val="28"/>
              <w:szCs w:val="28"/>
              <w:highlight w:val="yellow"/>
            </w:rPr>
            <w:instrText xml:space="preserve"> TOC \o "1-3" \h \z \u </w:instrText>
          </w:r>
          <w:r w:rsidRPr="004A3549">
            <w:rPr>
              <w:b w:val="0"/>
              <w:noProof w:val="0"/>
              <w:sz w:val="28"/>
              <w:szCs w:val="28"/>
              <w:highlight w:val="yellow"/>
            </w:rPr>
            <w:fldChar w:fldCharType="separate"/>
          </w:r>
          <w:hyperlink w:anchor="_Toc504564210" w:history="1">
            <w:r w:rsidR="00121DE8" w:rsidRPr="004A3549">
              <w:rPr>
                <w:rStyle w:val="Hyperlink"/>
                <w:b w:val="0"/>
                <w:sz w:val="28"/>
                <w:szCs w:val="28"/>
              </w:rPr>
              <w:t>1. Kopsavilkums</w:t>
            </w:r>
            <w:r w:rsidR="00121DE8" w:rsidRPr="004A3549">
              <w:rPr>
                <w:b w:val="0"/>
                <w:webHidden/>
                <w:sz w:val="28"/>
                <w:szCs w:val="28"/>
              </w:rPr>
              <w:tab/>
            </w:r>
            <w:r w:rsidR="00121DE8" w:rsidRPr="004A3549">
              <w:rPr>
                <w:b w:val="0"/>
                <w:webHidden/>
                <w:sz w:val="28"/>
                <w:szCs w:val="28"/>
              </w:rPr>
              <w:fldChar w:fldCharType="begin"/>
            </w:r>
            <w:r w:rsidR="00121DE8" w:rsidRPr="004A3549">
              <w:rPr>
                <w:b w:val="0"/>
                <w:webHidden/>
                <w:sz w:val="28"/>
                <w:szCs w:val="28"/>
              </w:rPr>
              <w:instrText xml:space="preserve"> PAGEREF _Toc504564210 \h </w:instrText>
            </w:r>
            <w:r w:rsidR="00121DE8" w:rsidRPr="004A3549">
              <w:rPr>
                <w:b w:val="0"/>
                <w:webHidden/>
                <w:sz w:val="28"/>
                <w:szCs w:val="28"/>
              </w:rPr>
            </w:r>
            <w:r w:rsidR="00121DE8" w:rsidRPr="004A3549">
              <w:rPr>
                <w:b w:val="0"/>
                <w:webHidden/>
                <w:sz w:val="28"/>
                <w:szCs w:val="28"/>
              </w:rPr>
              <w:fldChar w:fldCharType="separate"/>
            </w:r>
            <w:r w:rsidR="00815E5F">
              <w:rPr>
                <w:b w:val="0"/>
                <w:webHidden/>
                <w:sz w:val="28"/>
                <w:szCs w:val="28"/>
              </w:rPr>
              <w:t>6</w:t>
            </w:r>
            <w:r w:rsidR="00121DE8" w:rsidRPr="004A3549">
              <w:rPr>
                <w:b w:val="0"/>
                <w:webHidden/>
                <w:sz w:val="28"/>
                <w:szCs w:val="28"/>
              </w:rPr>
              <w:fldChar w:fldCharType="end"/>
            </w:r>
          </w:hyperlink>
        </w:p>
        <w:p w14:paraId="38CA8655" w14:textId="1E9AAF3D" w:rsidR="00121DE8" w:rsidRPr="004A3549" w:rsidRDefault="005B479E">
          <w:pPr>
            <w:pStyle w:val="TOC1"/>
            <w:rPr>
              <w:rFonts w:asciiTheme="minorHAnsi" w:eastAsiaTheme="minorEastAsia" w:hAnsiTheme="minorHAnsi" w:cstheme="minorBidi"/>
              <w:b w:val="0"/>
              <w:bCs w:val="0"/>
              <w:sz w:val="28"/>
              <w:szCs w:val="28"/>
              <w:lang w:eastAsia="lv-LV"/>
            </w:rPr>
          </w:pPr>
          <w:hyperlink w:anchor="_Toc504564211" w:history="1">
            <w:r w:rsidR="00121DE8" w:rsidRPr="004A3549">
              <w:rPr>
                <w:rStyle w:val="Hyperlink"/>
                <w:b w:val="0"/>
                <w:sz w:val="28"/>
                <w:szCs w:val="28"/>
              </w:rPr>
              <w:t>2. ES fondu finansējuma ietekme uz Latvijas tautsaimniecības attīstību</w:t>
            </w:r>
            <w:r w:rsidR="00121DE8" w:rsidRPr="004A3549">
              <w:rPr>
                <w:b w:val="0"/>
                <w:webHidden/>
                <w:sz w:val="28"/>
                <w:szCs w:val="28"/>
              </w:rPr>
              <w:tab/>
            </w:r>
            <w:r w:rsidR="00121DE8" w:rsidRPr="004A3549">
              <w:rPr>
                <w:b w:val="0"/>
                <w:webHidden/>
                <w:sz w:val="28"/>
                <w:szCs w:val="28"/>
              </w:rPr>
              <w:fldChar w:fldCharType="begin"/>
            </w:r>
            <w:r w:rsidR="00121DE8" w:rsidRPr="004A3549">
              <w:rPr>
                <w:b w:val="0"/>
                <w:webHidden/>
                <w:sz w:val="28"/>
                <w:szCs w:val="28"/>
              </w:rPr>
              <w:instrText xml:space="preserve"> PAGEREF _Toc504564211 \h </w:instrText>
            </w:r>
            <w:r w:rsidR="00121DE8" w:rsidRPr="004A3549">
              <w:rPr>
                <w:b w:val="0"/>
                <w:webHidden/>
                <w:sz w:val="28"/>
                <w:szCs w:val="28"/>
              </w:rPr>
            </w:r>
            <w:r w:rsidR="00121DE8" w:rsidRPr="004A3549">
              <w:rPr>
                <w:b w:val="0"/>
                <w:webHidden/>
                <w:sz w:val="28"/>
                <w:szCs w:val="28"/>
              </w:rPr>
              <w:fldChar w:fldCharType="separate"/>
            </w:r>
            <w:r w:rsidR="00815E5F">
              <w:rPr>
                <w:b w:val="0"/>
                <w:webHidden/>
                <w:sz w:val="28"/>
                <w:szCs w:val="28"/>
              </w:rPr>
              <w:t>7</w:t>
            </w:r>
            <w:r w:rsidR="00121DE8" w:rsidRPr="004A3549">
              <w:rPr>
                <w:b w:val="0"/>
                <w:webHidden/>
                <w:sz w:val="28"/>
                <w:szCs w:val="28"/>
              </w:rPr>
              <w:fldChar w:fldCharType="end"/>
            </w:r>
          </w:hyperlink>
        </w:p>
        <w:p w14:paraId="4C903F9F" w14:textId="7A889DDA" w:rsidR="00121DE8" w:rsidRPr="004A3549" w:rsidRDefault="005B479E">
          <w:pPr>
            <w:pStyle w:val="TOC1"/>
            <w:rPr>
              <w:rFonts w:asciiTheme="minorHAnsi" w:eastAsiaTheme="minorEastAsia" w:hAnsiTheme="minorHAnsi" w:cstheme="minorBidi"/>
              <w:b w:val="0"/>
              <w:bCs w:val="0"/>
              <w:sz w:val="28"/>
              <w:szCs w:val="28"/>
              <w:lang w:eastAsia="lv-LV"/>
            </w:rPr>
          </w:pPr>
          <w:hyperlink w:anchor="_Toc504564212" w:history="1">
            <w:r w:rsidR="00121DE8" w:rsidRPr="004A3549">
              <w:rPr>
                <w:rStyle w:val="Hyperlink"/>
                <w:b w:val="0"/>
                <w:sz w:val="28"/>
                <w:szCs w:val="28"/>
              </w:rPr>
              <w:t>3. 2007. - 2013. gada plānošanas perioda ES fondu slēgšana</w:t>
            </w:r>
            <w:r w:rsidR="00121DE8" w:rsidRPr="004A3549">
              <w:rPr>
                <w:b w:val="0"/>
                <w:webHidden/>
                <w:sz w:val="28"/>
                <w:szCs w:val="28"/>
              </w:rPr>
              <w:tab/>
            </w:r>
            <w:r w:rsidR="00121DE8" w:rsidRPr="004A3549">
              <w:rPr>
                <w:b w:val="0"/>
                <w:webHidden/>
                <w:sz w:val="28"/>
                <w:szCs w:val="28"/>
              </w:rPr>
              <w:fldChar w:fldCharType="begin"/>
            </w:r>
            <w:r w:rsidR="00121DE8" w:rsidRPr="004A3549">
              <w:rPr>
                <w:b w:val="0"/>
                <w:webHidden/>
                <w:sz w:val="28"/>
                <w:szCs w:val="28"/>
              </w:rPr>
              <w:instrText xml:space="preserve"> PAGEREF _Toc504564212 \h </w:instrText>
            </w:r>
            <w:r w:rsidR="00121DE8" w:rsidRPr="004A3549">
              <w:rPr>
                <w:b w:val="0"/>
                <w:webHidden/>
                <w:sz w:val="28"/>
                <w:szCs w:val="28"/>
              </w:rPr>
            </w:r>
            <w:r w:rsidR="00121DE8" w:rsidRPr="004A3549">
              <w:rPr>
                <w:b w:val="0"/>
                <w:webHidden/>
                <w:sz w:val="28"/>
                <w:szCs w:val="28"/>
              </w:rPr>
              <w:fldChar w:fldCharType="separate"/>
            </w:r>
            <w:r w:rsidR="00815E5F">
              <w:rPr>
                <w:b w:val="0"/>
                <w:webHidden/>
                <w:sz w:val="28"/>
                <w:szCs w:val="28"/>
              </w:rPr>
              <w:t>10</w:t>
            </w:r>
            <w:r w:rsidR="00121DE8" w:rsidRPr="004A3549">
              <w:rPr>
                <w:b w:val="0"/>
                <w:webHidden/>
                <w:sz w:val="28"/>
                <w:szCs w:val="28"/>
              </w:rPr>
              <w:fldChar w:fldCharType="end"/>
            </w:r>
          </w:hyperlink>
        </w:p>
        <w:p w14:paraId="54E5A14F" w14:textId="734EABAA" w:rsidR="00121DE8" w:rsidRPr="004A3549" w:rsidRDefault="005B479E">
          <w:pPr>
            <w:pStyle w:val="TOC1"/>
            <w:rPr>
              <w:rFonts w:asciiTheme="minorHAnsi" w:eastAsiaTheme="minorEastAsia" w:hAnsiTheme="minorHAnsi" w:cstheme="minorBidi"/>
              <w:b w:val="0"/>
              <w:bCs w:val="0"/>
              <w:sz w:val="28"/>
              <w:szCs w:val="28"/>
              <w:lang w:eastAsia="lv-LV"/>
            </w:rPr>
          </w:pPr>
          <w:hyperlink w:anchor="_Toc504564213" w:history="1">
            <w:r w:rsidR="00121DE8" w:rsidRPr="004A3549">
              <w:rPr>
                <w:rStyle w:val="Hyperlink"/>
                <w:b w:val="0"/>
                <w:sz w:val="28"/>
                <w:szCs w:val="28"/>
              </w:rPr>
              <w:t>4. ES fondu 2014. - 2020. gada plānošanas perioda ES fondu ieviešana</w:t>
            </w:r>
            <w:r w:rsidR="00121DE8" w:rsidRPr="004A3549">
              <w:rPr>
                <w:b w:val="0"/>
                <w:webHidden/>
                <w:sz w:val="28"/>
                <w:szCs w:val="28"/>
              </w:rPr>
              <w:tab/>
            </w:r>
            <w:r w:rsidR="00121DE8" w:rsidRPr="004A3549">
              <w:rPr>
                <w:b w:val="0"/>
                <w:webHidden/>
                <w:sz w:val="28"/>
                <w:szCs w:val="28"/>
              </w:rPr>
              <w:fldChar w:fldCharType="begin"/>
            </w:r>
            <w:r w:rsidR="00121DE8" w:rsidRPr="004A3549">
              <w:rPr>
                <w:b w:val="0"/>
                <w:webHidden/>
                <w:sz w:val="28"/>
                <w:szCs w:val="28"/>
              </w:rPr>
              <w:instrText xml:space="preserve"> PAGEREF _Toc504564213 \h </w:instrText>
            </w:r>
            <w:r w:rsidR="00121DE8" w:rsidRPr="004A3549">
              <w:rPr>
                <w:b w:val="0"/>
                <w:webHidden/>
                <w:sz w:val="28"/>
                <w:szCs w:val="28"/>
              </w:rPr>
            </w:r>
            <w:r w:rsidR="00121DE8" w:rsidRPr="004A3549">
              <w:rPr>
                <w:b w:val="0"/>
                <w:webHidden/>
                <w:sz w:val="28"/>
                <w:szCs w:val="28"/>
              </w:rPr>
              <w:fldChar w:fldCharType="separate"/>
            </w:r>
            <w:r w:rsidR="00815E5F">
              <w:rPr>
                <w:b w:val="0"/>
                <w:webHidden/>
                <w:sz w:val="28"/>
                <w:szCs w:val="28"/>
              </w:rPr>
              <w:t>12</w:t>
            </w:r>
            <w:r w:rsidR="00121DE8" w:rsidRPr="004A3549">
              <w:rPr>
                <w:b w:val="0"/>
                <w:webHidden/>
                <w:sz w:val="28"/>
                <w:szCs w:val="28"/>
              </w:rPr>
              <w:fldChar w:fldCharType="end"/>
            </w:r>
          </w:hyperlink>
        </w:p>
        <w:p w14:paraId="086A38C8" w14:textId="76DD5714" w:rsidR="00121DE8" w:rsidRPr="004A3549" w:rsidRDefault="005B479E">
          <w:pPr>
            <w:pStyle w:val="TOC2"/>
            <w:rPr>
              <w:rFonts w:asciiTheme="minorHAnsi" w:eastAsiaTheme="minorEastAsia" w:hAnsiTheme="minorHAnsi" w:cstheme="minorBidi"/>
              <w:bCs w:val="0"/>
              <w:i w:val="0"/>
              <w:lang w:eastAsia="lv-LV"/>
            </w:rPr>
          </w:pPr>
          <w:hyperlink w:anchor="_Toc504564214" w:history="1">
            <w:r w:rsidR="00121DE8" w:rsidRPr="004A3549">
              <w:rPr>
                <w:rStyle w:val="Hyperlink"/>
                <w:i w:val="0"/>
              </w:rPr>
              <w:t>4.1. ES fondu ieviešanas progress un risku novērtējums</w:t>
            </w:r>
            <w:r w:rsidR="00121DE8" w:rsidRPr="004A3549">
              <w:rPr>
                <w:i w:val="0"/>
                <w:webHidden/>
              </w:rPr>
              <w:tab/>
            </w:r>
            <w:r w:rsidR="00121DE8" w:rsidRPr="004A3549">
              <w:rPr>
                <w:i w:val="0"/>
                <w:webHidden/>
              </w:rPr>
              <w:fldChar w:fldCharType="begin"/>
            </w:r>
            <w:r w:rsidR="00121DE8" w:rsidRPr="004A3549">
              <w:rPr>
                <w:i w:val="0"/>
                <w:webHidden/>
              </w:rPr>
              <w:instrText xml:space="preserve"> PAGEREF _Toc504564214 \h </w:instrText>
            </w:r>
            <w:r w:rsidR="00121DE8" w:rsidRPr="004A3549">
              <w:rPr>
                <w:i w:val="0"/>
                <w:webHidden/>
              </w:rPr>
            </w:r>
            <w:r w:rsidR="00121DE8" w:rsidRPr="004A3549">
              <w:rPr>
                <w:i w:val="0"/>
                <w:webHidden/>
              </w:rPr>
              <w:fldChar w:fldCharType="separate"/>
            </w:r>
            <w:r w:rsidR="00815E5F">
              <w:rPr>
                <w:i w:val="0"/>
                <w:webHidden/>
              </w:rPr>
              <w:t>12</w:t>
            </w:r>
            <w:r w:rsidR="00121DE8" w:rsidRPr="004A3549">
              <w:rPr>
                <w:i w:val="0"/>
                <w:webHidden/>
              </w:rPr>
              <w:fldChar w:fldCharType="end"/>
            </w:r>
          </w:hyperlink>
        </w:p>
        <w:p w14:paraId="6E110567" w14:textId="19956FDF" w:rsidR="00121DE8" w:rsidRPr="004A3549" w:rsidRDefault="005B479E">
          <w:pPr>
            <w:pStyle w:val="TOC2"/>
            <w:rPr>
              <w:rFonts w:asciiTheme="minorHAnsi" w:eastAsiaTheme="minorEastAsia" w:hAnsiTheme="minorHAnsi" w:cstheme="minorBidi"/>
              <w:bCs w:val="0"/>
              <w:i w:val="0"/>
              <w:lang w:eastAsia="lv-LV"/>
            </w:rPr>
          </w:pPr>
          <w:hyperlink w:anchor="_Toc504564215" w:history="1">
            <w:r w:rsidR="00121DE8" w:rsidRPr="004A3549">
              <w:rPr>
                <w:rStyle w:val="Hyperlink"/>
                <w:i w:val="0"/>
              </w:rPr>
              <w:t>4.2. 2018. gada un turpmāko gadu investīciju finanšu prognozes,</w:t>
            </w:r>
            <w:r w:rsidR="00C335FA" w:rsidRPr="004A3549">
              <w:rPr>
                <w:rStyle w:val="Hyperlink"/>
                <w:i w:val="0"/>
              </w:rPr>
              <w:t xml:space="preserve"> risku </w:t>
            </w:r>
            <w:r w:rsidR="00121DE8" w:rsidRPr="004A3549">
              <w:rPr>
                <w:rStyle w:val="Hyperlink"/>
                <w:i w:val="0"/>
              </w:rPr>
              <w:t>novērtējums un riskus mazinošie pasākumi</w:t>
            </w:r>
            <w:r w:rsidR="00121DE8" w:rsidRPr="004A3549">
              <w:rPr>
                <w:i w:val="0"/>
                <w:webHidden/>
              </w:rPr>
              <w:tab/>
            </w:r>
            <w:r w:rsidR="00121DE8" w:rsidRPr="004A3549">
              <w:rPr>
                <w:i w:val="0"/>
                <w:webHidden/>
              </w:rPr>
              <w:fldChar w:fldCharType="begin"/>
            </w:r>
            <w:r w:rsidR="00121DE8" w:rsidRPr="004A3549">
              <w:rPr>
                <w:i w:val="0"/>
                <w:webHidden/>
              </w:rPr>
              <w:instrText xml:space="preserve"> PAGEREF _Toc504564215 \h </w:instrText>
            </w:r>
            <w:r w:rsidR="00121DE8" w:rsidRPr="004A3549">
              <w:rPr>
                <w:i w:val="0"/>
                <w:webHidden/>
              </w:rPr>
            </w:r>
            <w:r w:rsidR="00121DE8" w:rsidRPr="004A3549">
              <w:rPr>
                <w:i w:val="0"/>
                <w:webHidden/>
              </w:rPr>
              <w:fldChar w:fldCharType="separate"/>
            </w:r>
            <w:r w:rsidR="00815E5F">
              <w:rPr>
                <w:i w:val="0"/>
                <w:webHidden/>
              </w:rPr>
              <w:t>28</w:t>
            </w:r>
            <w:r w:rsidR="00121DE8" w:rsidRPr="004A3549">
              <w:rPr>
                <w:i w:val="0"/>
                <w:webHidden/>
              </w:rPr>
              <w:fldChar w:fldCharType="end"/>
            </w:r>
          </w:hyperlink>
        </w:p>
        <w:p w14:paraId="1E093BD4" w14:textId="46448A88" w:rsidR="00121DE8" w:rsidRPr="004A3549" w:rsidRDefault="005B479E">
          <w:pPr>
            <w:pStyle w:val="TOC2"/>
            <w:rPr>
              <w:rFonts w:asciiTheme="minorHAnsi" w:eastAsiaTheme="minorEastAsia" w:hAnsiTheme="minorHAnsi" w:cstheme="minorBidi"/>
              <w:bCs w:val="0"/>
              <w:i w:val="0"/>
              <w:lang w:eastAsia="lv-LV"/>
            </w:rPr>
          </w:pPr>
          <w:hyperlink w:anchor="_Toc504564216" w:history="1">
            <w:r w:rsidR="00121DE8" w:rsidRPr="004A3549">
              <w:rPr>
                <w:rStyle w:val="Hyperlink"/>
                <w:i w:val="0"/>
              </w:rPr>
              <w:t>4.3. ES fondu projektu ieviešanas plānu finanšu disciplīnas pasākumi</w:t>
            </w:r>
            <w:r w:rsidR="00121DE8" w:rsidRPr="004A3549">
              <w:rPr>
                <w:i w:val="0"/>
                <w:webHidden/>
              </w:rPr>
              <w:tab/>
            </w:r>
            <w:r w:rsidR="00121DE8" w:rsidRPr="004A3549">
              <w:rPr>
                <w:i w:val="0"/>
                <w:webHidden/>
              </w:rPr>
              <w:fldChar w:fldCharType="begin"/>
            </w:r>
            <w:r w:rsidR="00121DE8" w:rsidRPr="004A3549">
              <w:rPr>
                <w:i w:val="0"/>
                <w:webHidden/>
              </w:rPr>
              <w:instrText xml:space="preserve"> PAGEREF _Toc504564216 \h </w:instrText>
            </w:r>
            <w:r w:rsidR="00121DE8" w:rsidRPr="004A3549">
              <w:rPr>
                <w:i w:val="0"/>
                <w:webHidden/>
              </w:rPr>
            </w:r>
            <w:r w:rsidR="00121DE8" w:rsidRPr="004A3549">
              <w:rPr>
                <w:i w:val="0"/>
                <w:webHidden/>
              </w:rPr>
              <w:fldChar w:fldCharType="separate"/>
            </w:r>
            <w:r w:rsidR="00815E5F">
              <w:rPr>
                <w:i w:val="0"/>
                <w:webHidden/>
              </w:rPr>
              <w:t>33</w:t>
            </w:r>
            <w:r w:rsidR="00121DE8" w:rsidRPr="004A3549">
              <w:rPr>
                <w:i w:val="0"/>
                <w:webHidden/>
              </w:rPr>
              <w:fldChar w:fldCharType="end"/>
            </w:r>
          </w:hyperlink>
        </w:p>
        <w:p w14:paraId="6348EDC9" w14:textId="7CCBD0CB" w:rsidR="00121DE8" w:rsidRPr="004A3549" w:rsidRDefault="005B479E">
          <w:pPr>
            <w:pStyle w:val="TOC1"/>
            <w:rPr>
              <w:rFonts w:asciiTheme="minorHAnsi" w:eastAsiaTheme="minorEastAsia" w:hAnsiTheme="minorHAnsi" w:cstheme="minorBidi"/>
              <w:b w:val="0"/>
              <w:bCs w:val="0"/>
              <w:sz w:val="28"/>
              <w:szCs w:val="28"/>
              <w:lang w:eastAsia="lv-LV"/>
            </w:rPr>
          </w:pPr>
          <w:hyperlink w:anchor="_Toc504564217" w:history="1">
            <w:r w:rsidR="00121DE8" w:rsidRPr="004A3549">
              <w:rPr>
                <w:rStyle w:val="Hyperlink"/>
                <w:b w:val="0"/>
                <w:sz w:val="28"/>
                <w:szCs w:val="28"/>
              </w:rPr>
              <w:t>5. EEZ/Norvēģijas finanšu instrumentu ieviešana</w:t>
            </w:r>
            <w:r w:rsidR="00121DE8" w:rsidRPr="004A3549">
              <w:rPr>
                <w:b w:val="0"/>
                <w:webHidden/>
                <w:sz w:val="28"/>
                <w:szCs w:val="28"/>
              </w:rPr>
              <w:tab/>
            </w:r>
            <w:r w:rsidR="00121DE8" w:rsidRPr="004A3549">
              <w:rPr>
                <w:b w:val="0"/>
                <w:webHidden/>
                <w:sz w:val="28"/>
                <w:szCs w:val="28"/>
              </w:rPr>
              <w:fldChar w:fldCharType="begin"/>
            </w:r>
            <w:r w:rsidR="00121DE8" w:rsidRPr="004A3549">
              <w:rPr>
                <w:b w:val="0"/>
                <w:webHidden/>
                <w:sz w:val="28"/>
                <w:szCs w:val="28"/>
              </w:rPr>
              <w:instrText xml:space="preserve"> PAGEREF _Toc504564217 \h </w:instrText>
            </w:r>
            <w:r w:rsidR="00121DE8" w:rsidRPr="004A3549">
              <w:rPr>
                <w:b w:val="0"/>
                <w:webHidden/>
                <w:sz w:val="28"/>
                <w:szCs w:val="28"/>
              </w:rPr>
            </w:r>
            <w:r w:rsidR="00121DE8" w:rsidRPr="004A3549">
              <w:rPr>
                <w:b w:val="0"/>
                <w:webHidden/>
                <w:sz w:val="28"/>
                <w:szCs w:val="28"/>
              </w:rPr>
              <w:fldChar w:fldCharType="separate"/>
            </w:r>
            <w:r w:rsidR="00815E5F">
              <w:rPr>
                <w:b w:val="0"/>
                <w:webHidden/>
                <w:sz w:val="28"/>
                <w:szCs w:val="28"/>
              </w:rPr>
              <w:t>46</w:t>
            </w:r>
            <w:r w:rsidR="00121DE8" w:rsidRPr="004A3549">
              <w:rPr>
                <w:b w:val="0"/>
                <w:webHidden/>
                <w:sz w:val="28"/>
                <w:szCs w:val="28"/>
              </w:rPr>
              <w:fldChar w:fldCharType="end"/>
            </w:r>
          </w:hyperlink>
        </w:p>
        <w:p w14:paraId="7FD71394" w14:textId="68D874BE" w:rsidR="00121DE8" w:rsidRPr="004A3549" w:rsidRDefault="005B479E">
          <w:pPr>
            <w:pStyle w:val="TOC1"/>
            <w:rPr>
              <w:rFonts w:asciiTheme="minorHAnsi" w:eastAsiaTheme="minorEastAsia" w:hAnsiTheme="minorHAnsi" w:cstheme="minorBidi"/>
              <w:b w:val="0"/>
              <w:bCs w:val="0"/>
              <w:sz w:val="28"/>
              <w:szCs w:val="28"/>
              <w:lang w:eastAsia="lv-LV"/>
            </w:rPr>
          </w:pPr>
          <w:hyperlink w:anchor="_Toc504564218" w:history="1">
            <w:r w:rsidR="00121DE8" w:rsidRPr="004A3549">
              <w:rPr>
                <w:rStyle w:val="Hyperlink"/>
                <w:b w:val="0"/>
                <w:sz w:val="28"/>
                <w:szCs w:val="28"/>
              </w:rPr>
              <w:t>6. Šveices programmas ieviešana</w:t>
            </w:r>
            <w:r w:rsidR="00121DE8" w:rsidRPr="004A3549">
              <w:rPr>
                <w:b w:val="0"/>
                <w:webHidden/>
                <w:sz w:val="28"/>
                <w:szCs w:val="28"/>
              </w:rPr>
              <w:tab/>
            </w:r>
            <w:r w:rsidR="00121DE8" w:rsidRPr="004A3549">
              <w:rPr>
                <w:b w:val="0"/>
                <w:webHidden/>
                <w:sz w:val="28"/>
                <w:szCs w:val="28"/>
              </w:rPr>
              <w:fldChar w:fldCharType="begin"/>
            </w:r>
            <w:r w:rsidR="00121DE8" w:rsidRPr="004A3549">
              <w:rPr>
                <w:b w:val="0"/>
                <w:webHidden/>
                <w:sz w:val="28"/>
                <w:szCs w:val="28"/>
              </w:rPr>
              <w:instrText xml:space="preserve"> PAGEREF _Toc504564218 \h </w:instrText>
            </w:r>
            <w:r w:rsidR="00121DE8" w:rsidRPr="004A3549">
              <w:rPr>
                <w:b w:val="0"/>
                <w:webHidden/>
                <w:sz w:val="28"/>
                <w:szCs w:val="28"/>
              </w:rPr>
            </w:r>
            <w:r w:rsidR="00121DE8" w:rsidRPr="004A3549">
              <w:rPr>
                <w:b w:val="0"/>
                <w:webHidden/>
                <w:sz w:val="28"/>
                <w:szCs w:val="28"/>
              </w:rPr>
              <w:fldChar w:fldCharType="separate"/>
            </w:r>
            <w:r w:rsidR="00815E5F">
              <w:rPr>
                <w:b w:val="0"/>
                <w:webHidden/>
                <w:sz w:val="28"/>
                <w:szCs w:val="28"/>
              </w:rPr>
              <w:t>49</w:t>
            </w:r>
            <w:r w:rsidR="00121DE8" w:rsidRPr="004A3549">
              <w:rPr>
                <w:b w:val="0"/>
                <w:webHidden/>
                <w:sz w:val="28"/>
                <w:szCs w:val="28"/>
              </w:rPr>
              <w:fldChar w:fldCharType="end"/>
            </w:r>
          </w:hyperlink>
        </w:p>
        <w:p w14:paraId="7917139E" w14:textId="48E75877" w:rsidR="00121DE8" w:rsidRPr="004A3549" w:rsidRDefault="005B479E">
          <w:pPr>
            <w:pStyle w:val="TOC1"/>
            <w:rPr>
              <w:rFonts w:asciiTheme="minorHAnsi" w:eastAsiaTheme="minorEastAsia" w:hAnsiTheme="minorHAnsi" w:cstheme="minorBidi"/>
              <w:b w:val="0"/>
              <w:bCs w:val="0"/>
              <w:sz w:val="28"/>
              <w:szCs w:val="28"/>
              <w:lang w:eastAsia="lv-LV"/>
            </w:rPr>
          </w:pPr>
          <w:hyperlink w:anchor="_Toc504564219" w:history="1">
            <w:r w:rsidR="00121DE8" w:rsidRPr="004A3549">
              <w:rPr>
                <w:rStyle w:val="Hyperlink"/>
                <w:b w:val="0"/>
                <w:sz w:val="28"/>
                <w:szCs w:val="28"/>
              </w:rPr>
              <w:t>7. Projektos konstatētie neatbilstoši veiktie izdevumi</w:t>
            </w:r>
            <w:r w:rsidR="00121DE8" w:rsidRPr="004A3549">
              <w:rPr>
                <w:b w:val="0"/>
                <w:webHidden/>
                <w:sz w:val="28"/>
                <w:szCs w:val="28"/>
              </w:rPr>
              <w:tab/>
            </w:r>
            <w:r w:rsidR="00121DE8" w:rsidRPr="004A3549">
              <w:rPr>
                <w:b w:val="0"/>
                <w:webHidden/>
                <w:sz w:val="28"/>
                <w:szCs w:val="28"/>
              </w:rPr>
              <w:fldChar w:fldCharType="begin"/>
            </w:r>
            <w:r w:rsidR="00121DE8" w:rsidRPr="004A3549">
              <w:rPr>
                <w:b w:val="0"/>
                <w:webHidden/>
                <w:sz w:val="28"/>
                <w:szCs w:val="28"/>
              </w:rPr>
              <w:instrText xml:space="preserve"> PAGEREF _Toc504564219 \h </w:instrText>
            </w:r>
            <w:r w:rsidR="00121DE8" w:rsidRPr="004A3549">
              <w:rPr>
                <w:b w:val="0"/>
                <w:webHidden/>
                <w:sz w:val="28"/>
                <w:szCs w:val="28"/>
              </w:rPr>
            </w:r>
            <w:r w:rsidR="00121DE8" w:rsidRPr="004A3549">
              <w:rPr>
                <w:b w:val="0"/>
                <w:webHidden/>
                <w:sz w:val="28"/>
                <w:szCs w:val="28"/>
              </w:rPr>
              <w:fldChar w:fldCharType="separate"/>
            </w:r>
            <w:r w:rsidR="00815E5F">
              <w:rPr>
                <w:b w:val="0"/>
                <w:webHidden/>
                <w:sz w:val="28"/>
                <w:szCs w:val="28"/>
              </w:rPr>
              <w:t>50</w:t>
            </w:r>
            <w:r w:rsidR="00121DE8" w:rsidRPr="004A3549">
              <w:rPr>
                <w:b w:val="0"/>
                <w:webHidden/>
                <w:sz w:val="28"/>
                <w:szCs w:val="28"/>
              </w:rPr>
              <w:fldChar w:fldCharType="end"/>
            </w:r>
          </w:hyperlink>
        </w:p>
        <w:p w14:paraId="0558822C" w14:textId="2524E259" w:rsidR="00121DE8" w:rsidRPr="004A3549" w:rsidRDefault="005B479E">
          <w:pPr>
            <w:pStyle w:val="TOC1"/>
            <w:rPr>
              <w:rFonts w:asciiTheme="minorHAnsi" w:eastAsiaTheme="minorEastAsia" w:hAnsiTheme="minorHAnsi" w:cstheme="minorBidi"/>
              <w:b w:val="0"/>
              <w:bCs w:val="0"/>
              <w:sz w:val="28"/>
              <w:szCs w:val="28"/>
              <w:lang w:eastAsia="lv-LV"/>
            </w:rPr>
          </w:pPr>
          <w:hyperlink w:anchor="_Toc504564220" w:history="1">
            <w:r w:rsidR="00121DE8" w:rsidRPr="004A3549">
              <w:rPr>
                <w:rStyle w:val="Hyperlink"/>
                <w:b w:val="0"/>
                <w:sz w:val="28"/>
                <w:szCs w:val="28"/>
              </w:rPr>
              <w:t>8. ES fondu vadības un kontroles sistēmas darbība un komunikācijas pasākumi</w:t>
            </w:r>
            <w:r w:rsidR="00121DE8" w:rsidRPr="004A3549">
              <w:rPr>
                <w:b w:val="0"/>
                <w:webHidden/>
                <w:sz w:val="28"/>
                <w:szCs w:val="28"/>
              </w:rPr>
              <w:tab/>
            </w:r>
            <w:r w:rsidR="00121DE8" w:rsidRPr="004A3549">
              <w:rPr>
                <w:b w:val="0"/>
                <w:webHidden/>
                <w:sz w:val="28"/>
                <w:szCs w:val="28"/>
              </w:rPr>
              <w:fldChar w:fldCharType="begin"/>
            </w:r>
            <w:r w:rsidR="00121DE8" w:rsidRPr="004A3549">
              <w:rPr>
                <w:b w:val="0"/>
                <w:webHidden/>
                <w:sz w:val="28"/>
                <w:szCs w:val="28"/>
              </w:rPr>
              <w:instrText xml:space="preserve"> PAGEREF _Toc504564220 \h </w:instrText>
            </w:r>
            <w:r w:rsidR="00121DE8" w:rsidRPr="004A3549">
              <w:rPr>
                <w:b w:val="0"/>
                <w:webHidden/>
                <w:sz w:val="28"/>
                <w:szCs w:val="28"/>
              </w:rPr>
            </w:r>
            <w:r w:rsidR="00121DE8" w:rsidRPr="004A3549">
              <w:rPr>
                <w:b w:val="0"/>
                <w:webHidden/>
                <w:sz w:val="28"/>
                <w:szCs w:val="28"/>
              </w:rPr>
              <w:fldChar w:fldCharType="separate"/>
            </w:r>
            <w:r w:rsidR="00815E5F">
              <w:rPr>
                <w:b w:val="0"/>
                <w:webHidden/>
                <w:sz w:val="28"/>
                <w:szCs w:val="28"/>
              </w:rPr>
              <w:t>56</w:t>
            </w:r>
            <w:r w:rsidR="00121DE8" w:rsidRPr="004A3549">
              <w:rPr>
                <w:b w:val="0"/>
                <w:webHidden/>
                <w:sz w:val="28"/>
                <w:szCs w:val="28"/>
              </w:rPr>
              <w:fldChar w:fldCharType="end"/>
            </w:r>
          </w:hyperlink>
        </w:p>
        <w:p w14:paraId="0A0044C6" w14:textId="3F2B6CCA" w:rsidR="009C0862" w:rsidRPr="00E94DEB" w:rsidRDefault="009C0862" w:rsidP="00942973">
          <w:pPr>
            <w:tabs>
              <w:tab w:val="left" w:pos="3690"/>
            </w:tabs>
            <w:spacing w:after="120"/>
            <w:rPr>
              <w:rFonts w:cs="Times New Roman"/>
              <w:sz w:val="28"/>
              <w:szCs w:val="28"/>
            </w:rPr>
          </w:pPr>
          <w:r w:rsidRPr="004A3549">
            <w:rPr>
              <w:rFonts w:cs="Times New Roman"/>
              <w:bCs/>
              <w:sz w:val="28"/>
              <w:szCs w:val="28"/>
              <w:highlight w:val="yellow"/>
            </w:rPr>
            <w:fldChar w:fldCharType="end"/>
          </w:r>
        </w:p>
      </w:sdtContent>
    </w:sdt>
    <w:p w14:paraId="0A386326" w14:textId="77777777" w:rsidR="009C0862" w:rsidRPr="00E94DEB" w:rsidRDefault="009C0862" w:rsidP="00942973">
      <w:pPr>
        <w:tabs>
          <w:tab w:val="right" w:leader="dot" w:pos="9072"/>
        </w:tabs>
        <w:rPr>
          <w:rFonts w:cs="Times New Roman"/>
          <w:bCs/>
          <w:color w:val="000000" w:themeColor="text1"/>
          <w:sz w:val="28"/>
          <w:szCs w:val="28"/>
          <w:highlight w:val="yellow"/>
        </w:rPr>
      </w:pPr>
    </w:p>
    <w:p w14:paraId="30406306" w14:textId="7061219B" w:rsidR="00B2136E" w:rsidRPr="00E94DEB" w:rsidRDefault="00B2136E" w:rsidP="00942973">
      <w:pPr>
        <w:rPr>
          <w:rFonts w:cs="Times New Roman"/>
          <w:bCs/>
          <w:color w:val="000000" w:themeColor="text1"/>
          <w:sz w:val="28"/>
          <w:szCs w:val="28"/>
          <w:highlight w:val="yellow"/>
        </w:rPr>
      </w:pPr>
      <w:r w:rsidRPr="00E94DEB">
        <w:rPr>
          <w:rFonts w:cs="Times New Roman"/>
          <w:bCs/>
          <w:color w:val="000000" w:themeColor="text1"/>
          <w:sz w:val="28"/>
          <w:szCs w:val="28"/>
          <w:highlight w:val="yellow"/>
        </w:rPr>
        <w:br w:type="page"/>
      </w:r>
    </w:p>
    <w:p w14:paraId="50D86151" w14:textId="77777777" w:rsidR="00B749C7" w:rsidRPr="007D35C9" w:rsidRDefault="00B749C7" w:rsidP="00B749C7">
      <w:pPr>
        <w:spacing w:before="120" w:after="120" w:line="276" w:lineRule="auto"/>
        <w:ind w:firstLine="720"/>
        <w:jc w:val="both"/>
        <w:rPr>
          <w:bCs/>
          <w:color w:val="000000" w:themeColor="text1"/>
          <w:sz w:val="28"/>
          <w:szCs w:val="24"/>
        </w:rPr>
      </w:pPr>
      <w:r w:rsidRPr="007D35C9">
        <w:rPr>
          <w:bCs/>
          <w:color w:val="000000" w:themeColor="text1"/>
          <w:sz w:val="28"/>
          <w:szCs w:val="24"/>
        </w:rPr>
        <w:lastRenderedPageBreak/>
        <w:t>PIELIKUMI:</w:t>
      </w:r>
    </w:p>
    <w:p w14:paraId="43425CF8" w14:textId="7FDCD5AB" w:rsidR="00B749C7" w:rsidRPr="007D35C9" w:rsidRDefault="003F27D6" w:rsidP="00B749C7">
      <w:pPr>
        <w:spacing w:before="120" w:after="120" w:line="276" w:lineRule="auto"/>
        <w:ind w:firstLine="709"/>
        <w:jc w:val="both"/>
        <w:rPr>
          <w:bCs/>
          <w:color w:val="000000" w:themeColor="text1"/>
          <w:sz w:val="28"/>
          <w:szCs w:val="24"/>
        </w:rPr>
      </w:pPr>
      <w:r>
        <w:rPr>
          <w:bCs/>
          <w:color w:val="000000" w:themeColor="text1"/>
          <w:sz w:val="28"/>
          <w:szCs w:val="24"/>
        </w:rPr>
        <w:t>1</w:t>
      </w:r>
      <w:r w:rsidR="00B749C7" w:rsidRPr="007D35C9">
        <w:rPr>
          <w:bCs/>
          <w:color w:val="000000" w:themeColor="text1"/>
          <w:sz w:val="28"/>
          <w:szCs w:val="24"/>
        </w:rPr>
        <w:t>.</w:t>
      </w:r>
      <w:r w:rsidR="00B749C7">
        <w:rPr>
          <w:bCs/>
          <w:color w:val="000000" w:themeColor="text1"/>
          <w:sz w:val="28"/>
          <w:szCs w:val="24"/>
        </w:rPr>
        <w:t> </w:t>
      </w:r>
      <w:r w:rsidR="00B749C7" w:rsidRPr="007D35C9">
        <w:rPr>
          <w:bCs/>
          <w:color w:val="000000" w:themeColor="text1"/>
          <w:sz w:val="28"/>
          <w:szCs w:val="24"/>
        </w:rPr>
        <w:t>pielikums “</w:t>
      </w:r>
      <w:r w:rsidR="00B749C7" w:rsidRPr="0042592E">
        <w:rPr>
          <w:color w:val="000000"/>
          <w:sz w:val="28"/>
          <w:szCs w:val="28"/>
        </w:rPr>
        <w:t>Ministru kabineta noteikumu apstiprināšanas laika grafiks</w:t>
      </w:r>
      <w:r w:rsidR="00B749C7">
        <w:rPr>
          <w:color w:val="000000"/>
          <w:sz w:val="28"/>
          <w:szCs w:val="28"/>
        </w:rPr>
        <w:t xml:space="preserve"> 2018. – </w:t>
      </w:r>
      <w:r w:rsidR="00B749C7" w:rsidRPr="0042592E">
        <w:rPr>
          <w:color w:val="000000"/>
          <w:sz w:val="28"/>
          <w:szCs w:val="28"/>
        </w:rPr>
        <w:t>2019.</w:t>
      </w:r>
      <w:r w:rsidR="00B749C7">
        <w:rPr>
          <w:color w:val="000000"/>
          <w:sz w:val="28"/>
          <w:szCs w:val="28"/>
        </w:rPr>
        <w:t> </w:t>
      </w:r>
      <w:r w:rsidR="00B749C7" w:rsidRPr="0042592E">
        <w:rPr>
          <w:color w:val="000000"/>
          <w:sz w:val="28"/>
          <w:szCs w:val="28"/>
        </w:rPr>
        <w:t>gad</w:t>
      </w:r>
      <w:r w:rsidR="00B749C7">
        <w:rPr>
          <w:color w:val="000000"/>
          <w:sz w:val="28"/>
          <w:szCs w:val="28"/>
        </w:rPr>
        <w:t xml:space="preserve">os </w:t>
      </w:r>
      <w:r w:rsidR="00B749C7" w:rsidRPr="0042592E">
        <w:rPr>
          <w:color w:val="000000"/>
          <w:sz w:val="28"/>
          <w:szCs w:val="28"/>
        </w:rPr>
        <w:t>Kohēzijas politikas ES fondu 201</w:t>
      </w:r>
      <w:r w:rsidR="00B749C7">
        <w:rPr>
          <w:color w:val="000000"/>
          <w:sz w:val="28"/>
          <w:szCs w:val="28"/>
        </w:rPr>
        <w:t>4. – 2020. gada plānošanas periodā”;</w:t>
      </w:r>
    </w:p>
    <w:p w14:paraId="21CEA663" w14:textId="1E4C10D1" w:rsidR="00985ABB" w:rsidRDefault="00C54143" w:rsidP="00AD58FE">
      <w:pPr>
        <w:spacing w:before="120" w:after="120" w:line="276" w:lineRule="auto"/>
        <w:ind w:firstLine="709"/>
        <w:jc w:val="both"/>
        <w:rPr>
          <w:bCs/>
          <w:color w:val="000000" w:themeColor="text1"/>
          <w:sz w:val="28"/>
          <w:szCs w:val="24"/>
        </w:rPr>
      </w:pPr>
      <w:r>
        <w:rPr>
          <w:bCs/>
          <w:color w:val="000000" w:themeColor="text1"/>
          <w:sz w:val="28"/>
          <w:szCs w:val="24"/>
        </w:rPr>
        <w:t>2</w:t>
      </w:r>
      <w:r w:rsidR="003F27D6" w:rsidRPr="003F27D6">
        <w:rPr>
          <w:bCs/>
          <w:color w:val="000000" w:themeColor="text1"/>
          <w:sz w:val="28"/>
          <w:szCs w:val="24"/>
        </w:rPr>
        <w:t>.</w:t>
      </w:r>
      <w:r w:rsidR="00845F9E">
        <w:rPr>
          <w:bCs/>
          <w:color w:val="000000" w:themeColor="text1"/>
          <w:sz w:val="28"/>
          <w:szCs w:val="24"/>
        </w:rPr>
        <w:t> </w:t>
      </w:r>
      <w:r w:rsidR="003F27D6" w:rsidRPr="003F27D6">
        <w:rPr>
          <w:bCs/>
          <w:color w:val="000000" w:themeColor="text1"/>
          <w:sz w:val="28"/>
          <w:szCs w:val="24"/>
        </w:rPr>
        <w:t>pielikums “</w:t>
      </w:r>
      <w:r w:rsidR="00AD58FE" w:rsidRPr="00AD58FE">
        <w:rPr>
          <w:bCs/>
          <w:color w:val="000000" w:themeColor="text1"/>
          <w:sz w:val="28"/>
          <w:szCs w:val="24"/>
        </w:rPr>
        <w:t>Ministru kabineta noteikumu izstrādes laika grafiks EEZ finanšu instrumenta un Norvēģijas finanšu instrumenta programmu 2014. - 2021. gada periodā</w:t>
      </w:r>
      <w:r w:rsidR="00AD58FE">
        <w:rPr>
          <w:bCs/>
          <w:color w:val="000000" w:themeColor="text1"/>
          <w:sz w:val="28"/>
          <w:szCs w:val="24"/>
        </w:rPr>
        <w:t>”</w:t>
      </w:r>
      <w:r w:rsidR="00866986">
        <w:rPr>
          <w:bCs/>
          <w:color w:val="000000" w:themeColor="text1"/>
          <w:sz w:val="28"/>
          <w:szCs w:val="24"/>
        </w:rPr>
        <w:t>.</w:t>
      </w:r>
    </w:p>
    <w:p w14:paraId="661D3A7F" w14:textId="7441F7DC" w:rsidR="00B749C7" w:rsidRDefault="00B749C7" w:rsidP="00AD58FE">
      <w:pPr>
        <w:spacing w:before="120" w:after="120" w:line="276" w:lineRule="auto"/>
        <w:ind w:firstLine="709"/>
        <w:jc w:val="both"/>
        <w:rPr>
          <w:bCs/>
          <w:color w:val="000000" w:themeColor="text1"/>
          <w:sz w:val="28"/>
          <w:szCs w:val="24"/>
        </w:rPr>
      </w:pPr>
      <w:r>
        <w:rPr>
          <w:bCs/>
          <w:color w:val="000000" w:themeColor="text1"/>
          <w:sz w:val="28"/>
          <w:szCs w:val="24"/>
        </w:rPr>
        <w:br w:type="page"/>
      </w:r>
    </w:p>
    <w:p w14:paraId="25B8D15C" w14:textId="77777777" w:rsidR="00B749C7" w:rsidRPr="007D35C9" w:rsidRDefault="00B749C7" w:rsidP="00B749C7">
      <w:pPr>
        <w:spacing w:before="120" w:after="120" w:line="276" w:lineRule="auto"/>
        <w:ind w:firstLine="709"/>
        <w:jc w:val="both"/>
        <w:rPr>
          <w:bCs/>
          <w:color w:val="000000" w:themeColor="text1"/>
          <w:sz w:val="28"/>
          <w:szCs w:val="24"/>
        </w:rPr>
      </w:pPr>
    </w:p>
    <w:p w14:paraId="43CA192E" w14:textId="46368396" w:rsidR="009C0862" w:rsidRPr="00E94DEB" w:rsidRDefault="009C0862" w:rsidP="00942973">
      <w:pPr>
        <w:rPr>
          <w:rFonts w:cs="Times New Roman"/>
          <w:sz w:val="28"/>
          <w:szCs w:val="28"/>
        </w:rPr>
      </w:pPr>
      <w:r w:rsidRPr="00E94DEB">
        <w:rPr>
          <w:rFonts w:cs="Times New Roman"/>
          <w:sz w:val="28"/>
          <w:szCs w:val="28"/>
        </w:rPr>
        <w:t>Saīsinājumi</w:t>
      </w:r>
    </w:p>
    <w:p w14:paraId="3B34C264" w14:textId="0A6D0E48"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AI</w:t>
      </w:r>
      <w:r w:rsidRPr="00E94DEB">
        <w:rPr>
          <w:rFonts w:cs="Times New Roman"/>
          <w:color w:val="000000" w:themeColor="text1"/>
          <w:sz w:val="28"/>
          <w:szCs w:val="28"/>
        </w:rPr>
        <w:tab/>
        <w:t xml:space="preserve">- </w:t>
      </w:r>
      <w:r w:rsidRPr="00E94DEB">
        <w:rPr>
          <w:rFonts w:cs="Times New Roman"/>
          <w:color w:val="000000" w:themeColor="text1"/>
          <w:sz w:val="28"/>
          <w:szCs w:val="28"/>
        </w:rPr>
        <w:tab/>
        <w:t>ES fondu atbildīgā iestāde</w:t>
      </w:r>
    </w:p>
    <w:p w14:paraId="61E02D1B" w14:textId="00013E5C" w:rsidR="00765D72" w:rsidRDefault="00765D7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ALTUM</w:t>
      </w:r>
      <w:r w:rsidRPr="00E94DEB">
        <w:rPr>
          <w:rFonts w:cs="Times New Roman"/>
          <w:color w:val="000000" w:themeColor="text1"/>
          <w:sz w:val="28"/>
          <w:szCs w:val="28"/>
        </w:rPr>
        <w:tab/>
        <w:t>-</w:t>
      </w:r>
      <w:r w:rsidRPr="00E94DEB">
        <w:rPr>
          <w:rFonts w:cs="Times New Roman"/>
          <w:color w:val="000000" w:themeColor="text1"/>
          <w:sz w:val="28"/>
          <w:szCs w:val="28"/>
        </w:rPr>
        <w:tab/>
      </w:r>
      <w:r w:rsidRPr="00E94DEB">
        <w:rPr>
          <w:rFonts w:cs="Times New Roman"/>
          <w:color w:val="000000" w:themeColor="text1"/>
          <w:sz w:val="28"/>
          <w:szCs w:val="28"/>
        </w:rPr>
        <w:tab/>
        <w:t xml:space="preserve">AS </w:t>
      </w:r>
      <w:r w:rsidR="0087312D" w:rsidRPr="00E94DEB">
        <w:rPr>
          <w:rFonts w:cs="Times New Roman"/>
          <w:color w:val="000000" w:themeColor="text1"/>
          <w:sz w:val="28"/>
          <w:szCs w:val="28"/>
        </w:rPr>
        <w:t>“</w:t>
      </w:r>
      <w:r w:rsidRPr="00E94DEB">
        <w:rPr>
          <w:rFonts w:cs="Times New Roman"/>
          <w:color w:val="000000" w:themeColor="text1"/>
          <w:sz w:val="28"/>
          <w:szCs w:val="28"/>
        </w:rPr>
        <w:t>Attīstības finanšu institūcija Altum</w:t>
      </w:r>
      <w:r w:rsidR="0087312D" w:rsidRPr="00E94DEB">
        <w:rPr>
          <w:rFonts w:cs="Times New Roman"/>
          <w:color w:val="000000" w:themeColor="text1"/>
          <w:sz w:val="28"/>
          <w:szCs w:val="28"/>
        </w:rPr>
        <w:t>”</w:t>
      </w:r>
    </w:p>
    <w:p w14:paraId="4AC1F0D7" w14:textId="7A41B2AD" w:rsidR="0075302D" w:rsidRPr="00E94DEB" w:rsidRDefault="0075302D" w:rsidP="00942973">
      <w:pPr>
        <w:tabs>
          <w:tab w:val="left" w:pos="1276"/>
          <w:tab w:val="left" w:pos="1418"/>
          <w:tab w:val="left" w:pos="2127"/>
        </w:tabs>
        <w:rPr>
          <w:rFonts w:cs="Times New Roman"/>
          <w:color w:val="000000" w:themeColor="text1"/>
          <w:sz w:val="28"/>
          <w:szCs w:val="28"/>
        </w:rPr>
      </w:pPr>
      <w:r>
        <w:rPr>
          <w:rFonts w:cs="Times New Roman"/>
          <w:color w:val="000000" w:themeColor="text1"/>
          <w:sz w:val="28"/>
          <w:szCs w:val="28"/>
        </w:rPr>
        <w:t>BNA</w:t>
      </w:r>
      <w:r>
        <w:rPr>
          <w:rFonts w:cs="Times New Roman"/>
          <w:color w:val="000000" w:themeColor="text1"/>
          <w:sz w:val="28"/>
          <w:szCs w:val="28"/>
        </w:rPr>
        <w:tab/>
        <w:t>-</w:t>
      </w:r>
      <w:r>
        <w:rPr>
          <w:rFonts w:cs="Times New Roman"/>
          <w:color w:val="000000" w:themeColor="text1"/>
          <w:sz w:val="28"/>
          <w:szCs w:val="28"/>
        </w:rPr>
        <w:tab/>
      </w:r>
      <w:r>
        <w:rPr>
          <w:rFonts w:cs="Times New Roman"/>
          <w:color w:val="000000" w:themeColor="text1"/>
          <w:sz w:val="28"/>
          <w:szCs w:val="28"/>
        </w:rPr>
        <w:tab/>
        <w:t>Bioloģiski noārdāmi atkritumi</w:t>
      </w:r>
    </w:p>
    <w:p w14:paraId="033386AD" w14:textId="62AFE858" w:rsidR="00CD79DB" w:rsidRDefault="009C086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CFLA</w:t>
      </w:r>
      <w:r w:rsidRPr="00E94DEB">
        <w:rPr>
          <w:rFonts w:cs="Times New Roman"/>
          <w:color w:val="000000" w:themeColor="text1"/>
          <w:sz w:val="28"/>
          <w:szCs w:val="28"/>
        </w:rPr>
        <w:tab/>
        <w:t xml:space="preserve">- </w:t>
      </w:r>
      <w:r w:rsidRPr="00E94DEB">
        <w:rPr>
          <w:rFonts w:cs="Times New Roman"/>
          <w:color w:val="000000" w:themeColor="text1"/>
          <w:sz w:val="28"/>
          <w:szCs w:val="28"/>
        </w:rPr>
        <w:tab/>
        <w:t>Centrālā finanšu un līgumu aģentūra</w:t>
      </w:r>
    </w:p>
    <w:p w14:paraId="7606E40D" w14:textId="11850D88" w:rsidR="00921D77" w:rsidRDefault="00D50F86" w:rsidP="00942973">
      <w:pPr>
        <w:tabs>
          <w:tab w:val="left" w:pos="1276"/>
          <w:tab w:val="left" w:pos="1418"/>
          <w:tab w:val="left" w:pos="2127"/>
        </w:tabs>
        <w:rPr>
          <w:rFonts w:cs="Times New Roman"/>
          <w:color w:val="000000" w:themeColor="text1"/>
          <w:sz w:val="28"/>
          <w:szCs w:val="28"/>
        </w:rPr>
      </w:pPr>
      <w:r>
        <w:rPr>
          <w:rFonts w:cs="Times New Roman"/>
          <w:color w:val="000000" w:themeColor="text1"/>
          <w:sz w:val="28"/>
          <w:szCs w:val="28"/>
        </w:rPr>
        <w:t>CSP</w:t>
      </w:r>
      <w:r>
        <w:rPr>
          <w:rFonts w:cs="Times New Roman"/>
          <w:color w:val="000000" w:themeColor="text1"/>
          <w:sz w:val="28"/>
          <w:szCs w:val="28"/>
        </w:rPr>
        <w:tab/>
        <w:t>-</w:t>
      </w:r>
      <w:r>
        <w:rPr>
          <w:rFonts w:cs="Times New Roman"/>
          <w:color w:val="000000" w:themeColor="text1"/>
          <w:sz w:val="28"/>
          <w:szCs w:val="28"/>
        </w:rPr>
        <w:tab/>
      </w:r>
      <w:r>
        <w:rPr>
          <w:rFonts w:cs="Times New Roman"/>
          <w:color w:val="000000" w:themeColor="text1"/>
          <w:sz w:val="28"/>
          <w:szCs w:val="28"/>
        </w:rPr>
        <w:tab/>
        <w:t>Centrālā statistikas pārvalde</w:t>
      </w:r>
    </w:p>
    <w:p w14:paraId="4DFD0517" w14:textId="714CE2AD" w:rsidR="00177745" w:rsidRPr="00E94DEB" w:rsidRDefault="00177745" w:rsidP="00942973">
      <w:pPr>
        <w:tabs>
          <w:tab w:val="left" w:pos="1276"/>
          <w:tab w:val="left" w:pos="1418"/>
          <w:tab w:val="left" w:pos="2127"/>
        </w:tabs>
        <w:rPr>
          <w:rFonts w:cs="Times New Roman"/>
          <w:color w:val="000000" w:themeColor="text1"/>
          <w:sz w:val="28"/>
          <w:szCs w:val="28"/>
        </w:rPr>
      </w:pPr>
      <w:r>
        <w:rPr>
          <w:rFonts w:cs="Times New Roman"/>
          <w:color w:val="000000" w:themeColor="text1"/>
          <w:sz w:val="28"/>
          <w:szCs w:val="28"/>
        </w:rPr>
        <w:t>DI</w:t>
      </w:r>
      <w:r>
        <w:rPr>
          <w:rFonts w:cs="Times New Roman"/>
          <w:color w:val="000000" w:themeColor="text1"/>
          <w:sz w:val="28"/>
          <w:szCs w:val="28"/>
        </w:rPr>
        <w:tab/>
        <w:t>-</w:t>
      </w:r>
      <w:r>
        <w:rPr>
          <w:rFonts w:cs="Times New Roman"/>
          <w:color w:val="000000" w:themeColor="text1"/>
          <w:sz w:val="28"/>
          <w:szCs w:val="28"/>
        </w:rPr>
        <w:tab/>
      </w:r>
      <w:r>
        <w:rPr>
          <w:rFonts w:cs="Times New Roman"/>
          <w:color w:val="000000" w:themeColor="text1"/>
          <w:sz w:val="28"/>
          <w:szCs w:val="28"/>
        </w:rPr>
        <w:tab/>
        <w:t>Deinstitucionaliz</w:t>
      </w:r>
      <w:r w:rsidR="000B5717">
        <w:rPr>
          <w:rFonts w:cs="Times New Roman"/>
          <w:color w:val="000000" w:themeColor="text1"/>
          <w:sz w:val="28"/>
          <w:szCs w:val="28"/>
        </w:rPr>
        <w:t>ācija</w:t>
      </w:r>
    </w:p>
    <w:p w14:paraId="4BFB80F7" w14:textId="11369903" w:rsidR="009C0862" w:rsidRPr="00E94DEB" w:rsidRDefault="009C0862" w:rsidP="00B76345">
      <w:pPr>
        <w:tabs>
          <w:tab w:val="left" w:pos="1276"/>
          <w:tab w:val="left" w:pos="1418"/>
          <w:tab w:val="left" w:pos="2127"/>
        </w:tabs>
        <w:rPr>
          <w:rFonts w:eastAsia="EUAlbertina-Bold-Identity-H" w:cs="Times New Roman"/>
          <w:color w:val="000000" w:themeColor="text1"/>
          <w:sz w:val="28"/>
          <w:szCs w:val="28"/>
          <w:lang w:eastAsia="lv-LV"/>
        </w:rPr>
      </w:pPr>
      <w:r w:rsidRPr="00E94DEB">
        <w:rPr>
          <w:rFonts w:cs="Times New Roman"/>
          <w:color w:val="000000" w:themeColor="text1"/>
          <w:sz w:val="28"/>
          <w:szCs w:val="28"/>
        </w:rPr>
        <w:t>DP</w:t>
      </w:r>
      <w:r w:rsidRPr="00E94DEB">
        <w:rPr>
          <w:rFonts w:cs="Times New Roman"/>
          <w:color w:val="000000" w:themeColor="text1"/>
          <w:sz w:val="28"/>
          <w:szCs w:val="28"/>
        </w:rPr>
        <w:tab/>
        <w:t>-</w:t>
      </w:r>
      <w:r w:rsidRPr="00E94DEB">
        <w:rPr>
          <w:rFonts w:cs="Times New Roman"/>
          <w:color w:val="000000" w:themeColor="text1"/>
          <w:sz w:val="28"/>
          <w:szCs w:val="28"/>
        </w:rPr>
        <w:tab/>
      </w:r>
      <w:r w:rsidRPr="00E94DEB">
        <w:rPr>
          <w:rFonts w:cs="Times New Roman"/>
          <w:color w:val="000000" w:themeColor="text1"/>
          <w:sz w:val="28"/>
          <w:szCs w:val="28"/>
        </w:rPr>
        <w:tab/>
        <w:t>Darbības programma</w:t>
      </w:r>
      <w:r w:rsidR="00433F8D" w:rsidRPr="00E94DEB">
        <w:rPr>
          <w:rFonts w:cs="Times New Roman"/>
          <w:color w:val="000000" w:themeColor="text1"/>
          <w:sz w:val="28"/>
          <w:szCs w:val="28"/>
        </w:rPr>
        <w:t xml:space="preserve"> “Izaugsme un nodarbinātība”</w:t>
      </w:r>
    </w:p>
    <w:p w14:paraId="10AE3867" w14:textId="0CF8DEED" w:rsidR="009C0862" w:rsidRPr="00E94DEB" w:rsidRDefault="009C0862" w:rsidP="00D50F86">
      <w:pPr>
        <w:tabs>
          <w:tab w:val="left" w:pos="3686"/>
          <w:tab w:val="left" w:pos="3969"/>
        </w:tabs>
        <w:ind w:left="2127" w:hanging="2127"/>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EEZ/Norvēģijas finanšu instrumenti – 2009. – 2014</w:t>
      </w:r>
      <w:r w:rsidR="000870FE" w:rsidRPr="00E94DEB">
        <w:rPr>
          <w:rFonts w:eastAsia="EUAlbertina-Bold-Identity-H" w:cs="Times New Roman"/>
          <w:color w:val="000000" w:themeColor="text1"/>
          <w:sz w:val="28"/>
          <w:szCs w:val="28"/>
          <w:lang w:eastAsia="lv-LV"/>
        </w:rPr>
        <w:t>. gad</w:t>
      </w:r>
      <w:r w:rsidRPr="00E94DEB">
        <w:rPr>
          <w:rFonts w:eastAsia="EUAlbertina-Bold-Identity-H" w:cs="Times New Roman"/>
          <w:color w:val="000000" w:themeColor="text1"/>
          <w:sz w:val="28"/>
          <w:szCs w:val="28"/>
          <w:lang w:eastAsia="lv-LV"/>
        </w:rPr>
        <w:t>a</w:t>
      </w:r>
      <w:r w:rsidR="00896E2C" w:rsidRPr="00E94DEB">
        <w:rPr>
          <w:rFonts w:eastAsia="EUAlbertina-Bold-Identity-H" w:cs="Times New Roman"/>
          <w:color w:val="000000" w:themeColor="text1"/>
          <w:sz w:val="28"/>
          <w:szCs w:val="28"/>
          <w:lang w:eastAsia="lv-LV"/>
        </w:rPr>
        <w:t xml:space="preserve"> un 2014-2021</w:t>
      </w:r>
      <w:r w:rsidR="000870FE" w:rsidRPr="00E94DEB">
        <w:rPr>
          <w:rFonts w:eastAsia="EUAlbertina-Bold-Identity-H" w:cs="Times New Roman"/>
          <w:color w:val="000000" w:themeColor="text1"/>
          <w:sz w:val="28"/>
          <w:szCs w:val="28"/>
          <w:lang w:eastAsia="lv-LV"/>
        </w:rPr>
        <w:t>. gad</w:t>
      </w:r>
      <w:r w:rsidR="00896E2C" w:rsidRPr="00E94DEB">
        <w:rPr>
          <w:rFonts w:eastAsia="EUAlbertina-Bold-Identity-H" w:cs="Times New Roman"/>
          <w:color w:val="000000" w:themeColor="text1"/>
          <w:sz w:val="28"/>
          <w:szCs w:val="28"/>
          <w:lang w:eastAsia="lv-LV"/>
        </w:rPr>
        <w:t>a</w:t>
      </w:r>
      <w:r w:rsidRPr="00E94DEB">
        <w:rPr>
          <w:rFonts w:eastAsia="EUAlbertina-Bold-Identity-H" w:cs="Times New Roman"/>
          <w:color w:val="000000" w:themeColor="text1"/>
          <w:sz w:val="28"/>
          <w:szCs w:val="28"/>
          <w:lang w:eastAsia="lv-LV"/>
        </w:rPr>
        <w:t xml:space="preserve"> perioda Eiropas Ekonomikas zonas finanšu instruments</w:t>
      </w:r>
      <w:r w:rsidR="00183150" w:rsidRPr="00E94DEB">
        <w:rPr>
          <w:rFonts w:eastAsia="EUAlbertina-Bold-Identity-H" w:cs="Times New Roman"/>
          <w:color w:val="000000" w:themeColor="text1"/>
          <w:sz w:val="28"/>
          <w:szCs w:val="28"/>
          <w:lang w:eastAsia="lv-LV"/>
        </w:rPr>
        <w:t xml:space="preserve"> </w:t>
      </w:r>
      <w:r w:rsidRPr="00E94DEB">
        <w:rPr>
          <w:rFonts w:eastAsia="EUAlbertina-Bold-Identity-H" w:cs="Times New Roman"/>
          <w:color w:val="000000" w:themeColor="text1"/>
          <w:sz w:val="28"/>
          <w:szCs w:val="28"/>
          <w:lang w:eastAsia="lv-LV"/>
        </w:rPr>
        <w:t>un Norvēģijas finanšu</w:t>
      </w:r>
      <w:r w:rsidR="00896E2C" w:rsidRPr="00E94DEB">
        <w:rPr>
          <w:rFonts w:eastAsia="EUAlbertina-Bold-Identity-H" w:cs="Times New Roman"/>
          <w:color w:val="000000" w:themeColor="text1"/>
          <w:sz w:val="28"/>
          <w:szCs w:val="28"/>
          <w:lang w:eastAsia="lv-LV"/>
        </w:rPr>
        <w:t xml:space="preserve"> </w:t>
      </w:r>
      <w:r w:rsidRPr="00E94DEB">
        <w:rPr>
          <w:rFonts w:eastAsia="EUAlbertina-Bold-Identity-H" w:cs="Times New Roman"/>
          <w:color w:val="000000" w:themeColor="text1"/>
          <w:sz w:val="28"/>
          <w:szCs w:val="28"/>
          <w:lang w:eastAsia="lv-LV"/>
        </w:rPr>
        <w:t>instruments</w:t>
      </w:r>
    </w:p>
    <w:p w14:paraId="06B66FA9" w14:textId="365DC71A" w:rsidR="009C0862" w:rsidRPr="00E94DEB" w:rsidRDefault="009C0862"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EK</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t>Eiropas Komisija</w:t>
      </w:r>
    </w:p>
    <w:p w14:paraId="1FE64844" w14:textId="53E9C7C3"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ERAF</w:t>
      </w:r>
      <w:r w:rsidRPr="00E94DEB">
        <w:rPr>
          <w:rFonts w:cs="Times New Roman"/>
          <w:color w:val="000000" w:themeColor="text1"/>
          <w:sz w:val="28"/>
          <w:szCs w:val="28"/>
        </w:rPr>
        <w:tab/>
        <w:t xml:space="preserve">- </w:t>
      </w:r>
      <w:r w:rsidRPr="00E94DEB">
        <w:rPr>
          <w:rFonts w:cs="Times New Roman"/>
          <w:color w:val="000000" w:themeColor="text1"/>
          <w:sz w:val="28"/>
          <w:szCs w:val="28"/>
        </w:rPr>
        <w:tab/>
        <w:t>Eiropas Reģionālās attīstības fonds</w:t>
      </w:r>
    </w:p>
    <w:p w14:paraId="606F1013" w14:textId="0E995CC7"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ES</w:t>
      </w:r>
      <w:r w:rsidRPr="00E94DEB">
        <w:rPr>
          <w:rFonts w:cs="Times New Roman"/>
          <w:color w:val="000000" w:themeColor="text1"/>
          <w:sz w:val="28"/>
          <w:szCs w:val="28"/>
        </w:rPr>
        <w:tab/>
        <w:t xml:space="preserve">- </w:t>
      </w:r>
      <w:r w:rsidRPr="00E94DEB">
        <w:rPr>
          <w:rFonts w:cs="Times New Roman"/>
          <w:color w:val="000000" w:themeColor="text1"/>
          <w:sz w:val="28"/>
          <w:szCs w:val="28"/>
        </w:rPr>
        <w:tab/>
        <w:t>Eiropas Savienība</w:t>
      </w:r>
    </w:p>
    <w:p w14:paraId="1FC88BA9" w14:textId="5338B1AD" w:rsidR="009C0862" w:rsidRPr="00E94DEB" w:rsidRDefault="009C0862"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ESF</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t>Eiropas Sociālais fonds</w:t>
      </w:r>
    </w:p>
    <w:p w14:paraId="5746B30B" w14:textId="659BAD03" w:rsidR="009C0862" w:rsidRPr="00E94DEB" w:rsidRDefault="009C0862" w:rsidP="00942973">
      <w:pPr>
        <w:tabs>
          <w:tab w:val="left" w:pos="1276"/>
          <w:tab w:val="left" w:pos="1418"/>
          <w:tab w:val="left" w:pos="2127"/>
        </w:tabs>
        <w:ind w:left="2127" w:hanging="2127"/>
        <w:rPr>
          <w:rFonts w:eastAsia="EUAlbertina-Bold-Identity-H" w:cs="Times New Roman"/>
          <w:color w:val="000000" w:themeColor="text1"/>
          <w:sz w:val="28"/>
          <w:szCs w:val="28"/>
          <w:lang w:eastAsia="lv-LV"/>
        </w:rPr>
      </w:pPr>
      <w:r w:rsidRPr="00E94DEB">
        <w:rPr>
          <w:rFonts w:cs="Times New Roman"/>
          <w:color w:val="000000" w:themeColor="text1"/>
          <w:sz w:val="28"/>
          <w:szCs w:val="28"/>
        </w:rPr>
        <w:t>ES fondi</w:t>
      </w:r>
      <w:r w:rsidRPr="00E94DEB">
        <w:rPr>
          <w:rFonts w:cs="Times New Roman"/>
          <w:color w:val="000000" w:themeColor="text1"/>
          <w:sz w:val="28"/>
          <w:szCs w:val="28"/>
        </w:rPr>
        <w:tab/>
        <w:t xml:space="preserve">- </w:t>
      </w:r>
      <w:r w:rsidRPr="00E94DEB">
        <w:rPr>
          <w:rFonts w:cs="Times New Roman"/>
          <w:color w:val="000000" w:themeColor="text1"/>
          <w:sz w:val="28"/>
          <w:szCs w:val="28"/>
        </w:rPr>
        <w:tab/>
      </w:r>
      <w:r w:rsidRPr="00E94DEB">
        <w:rPr>
          <w:rFonts w:eastAsia="EUAlbertina-Bold-Identity-H" w:cs="Times New Roman"/>
          <w:color w:val="000000" w:themeColor="text1"/>
          <w:sz w:val="28"/>
          <w:szCs w:val="28"/>
          <w:lang w:eastAsia="lv-LV"/>
        </w:rPr>
        <w:t>Eiropas Sociālais</w:t>
      </w:r>
      <w:r w:rsidR="00B17E66" w:rsidRPr="00E94DEB">
        <w:rPr>
          <w:rFonts w:eastAsia="EUAlbertina-Bold-Identity-H" w:cs="Times New Roman"/>
          <w:color w:val="000000" w:themeColor="text1"/>
          <w:sz w:val="28"/>
          <w:szCs w:val="28"/>
          <w:lang w:eastAsia="lv-LV"/>
        </w:rPr>
        <w:t xml:space="preserve"> </w:t>
      </w:r>
      <w:r w:rsidRPr="00E94DEB">
        <w:rPr>
          <w:rFonts w:eastAsia="EUAlbertina-Bold-Identity-H" w:cs="Times New Roman"/>
          <w:color w:val="000000" w:themeColor="text1"/>
          <w:sz w:val="28"/>
          <w:szCs w:val="28"/>
          <w:lang w:eastAsia="lv-LV"/>
        </w:rPr>
        <w:t xml:space="preserve">fonds, </w:t>
      </w:r>
      <w:r w:rsidRPr="00E94DEB">
        <w:rPr>
          <w:rFonts w:cs="Times New Roman"/>
          <w:color w:val="000000" w:themeColor="text1"/>
          <w:sz w:val="28"/>
          <w:szCs w:val="28"/>
        </w:rPr>
        <w:t>Eiropas Reģionālās attīstības fonds</w:t>
      </w:r>
      <w:r w:rsidRPr="00E94DEB">
        <w:rPr>
          <w:rFonts w:eastAsia="EUAlbertina-Bold-Identity-H" w:cs="Times New Roman"/>
          <w:color w:val="000000" w:themeColor="text1"/>
          <w:sz w:val="28"/>
          <w:szCs w:val="28"/>
          <w:lang w:eastAsia="lv-LV"/>
        </w:rPr>
        <w:t xml:space="preserve"> un Kohēzijas fonds</w:t>
      </w:r>
    </w:p>
    <w:p w14:paraId="4E4F8171" w14:textId="755A03D8" w:rsidR="009C0862" w:rsidRPr="00E94DEB" w:rsidRDefault="009C0862"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EM</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t>Ekonomikas ministrija</w:t>
      </w:r>
    </w:p>
    <w:p w14:paraId="5B259AB9" w14:textId="302D7B56" w:rsidR="009C0862" w:rsidRPr="00E94DEB" w:rsidRDefault="009C0862"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FM</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t>Finanšu ministrija</w:t>
      </w:r>
    </w:p>
    <w:p w14:paraId="21722AFC" w14:textId="240C2A43" w:rsidR="001E273A" w:rsidRPr="00E94DEB" w:rsidRDefault="001E273A"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 xml:space="preserve">FS </w:t>
      </w:r>
      <w:r w:rsidRPr="00E94DEB">
        <w:rPr>
          <w:rFonts w:eastAsia="EUAlbertina-Bold-Identity-H" w:cs="Times New Roman"/>
          <w:color w:val="000000" w:themeColor="text1"/>
          <w:sz w:val="28"/>
          <w:szCs w:val="28"/>
          <w:lang w:eastAsia="lv-LV"/>
        </w:rPr>
        <w:tab/>
        <w:t>-</w:t>
      </w:r>
      <w:r w:rsidRPr="00E94DEB">
        <w:rPr>
          <w:rFonts w:eastAsia="EUAlbertina-Bold-Identity-H" w:cs="Times New Roman"/>
          <w:color w:val="000000" w:themeColor="text1"/>
          <w:sz w:val="28"/>
          <w:szCs w:val="28"/>
          <w:lang w:eastAsia="lv-LV"/>
        </w:rPr>
        <w:tab/>
      </w:r>
      <w:r w:rsidRPr="00E94DEB">
        <w:rPr>
          <w:rFonts w:eastAsia="EUAlbertina-Bold-Identity-H" w:cs="Times New Roman"/>
          <w:color w:val="000000" w:themeColor="text1"/>
          <w:sz w:val="28"/>
          <w:szCs w:val="28"/>
          <w:lang w:eastAsia="lv-LV"/>
        </w:rPr>
        <w:tab/>
        <w:t>Finansējuma saņēmējs</w:t>
      </w:r>
    </w:p>
    <w:p w14:paraId="4CADA0C5" w14:textId="7892EBB2" w:rsidR="009C0862" w:rsidRPr="00E94DEB" w:rsidRDefault="009C0862"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IKP</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t>Iekšzemes kopprodukts</w:t>
      </w:r>
    </w:p>
    <w:p w14:paraId="3EB9EB05" w14:textId="77E37F62" w:rsidR="00C4221B" w:rsidRPr="00E94DEB" w:rsidRDefault="00C4221B"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 xml:space="preserve">ITI </w:t>
      </w:r>
      <w:r w:rsidRPr="00E94DEB">
        <w:rPr>
          <w:rFonts w:eastAsia="EUAlbertina-Bold-Identity-H" w:cs="Times New Roman"/>
          <w:color w:val="000000" w:themeColor="text1"/>
          <w:sz w:val="28"/>
          <w:szCs w:val="28"/>
          <w:lang w:eastAsia="lv-LV"/>
        </w:rPr>
        <w:tab/>
        <w:t>-</w:t>
      </w:r>
      <w:r w:rsidRPr="00E94DEB">
        <w:rPr>
          <w:rFonts w:eastAsia="EUAlbertina-Bold-Identity-H" w:cs="Times New Roman"/>
          <w:color w:val="000000" w:themeColor="text1"/>
          <w:sz w:val="28"/>
          <w:szCs w:val="28"/>
          <w:lang w:eastAsia="lv-LV"/>
        </w:rPr>
        <w:tab/>
      </w:r>
      <w:r w:rsidRPr="00E94DEB">
        <w:rPr>
          <w:rFonts w:eastAsia="EUAlbertina-Bold-Identity-H" w:cs="Times New Roman"/>
          <w:color w:val="000000" w:themeColor="text1"/>
          <w:sz w:val="28"/>
          <w:szCs w:val="28"/>
          <w:lang w:eastAsia="lv-LV"/>
        </w:rPr>
        <w:tab/>
      </w:r>
      <w:r w:rsidRPr="00E94DEB">
        <w:rPr>
          <w:rFonts w:cs="Times New Roman"/>
          <w:sz w:val="28"/>
          <w:szCs w:val="28"/>
        </w:rPr>
        <w:t>Integrēt</w:t>
      </w:r>
      <w:r w:rsidR="00882D91" w:rsidRPr="00E94DEB">
        <w:rPr>
          <w:rFonts w:cs="Times New Roman"/>
          <w:sz w:val="28"/>
          <w:szCs w:val="28"/>
        </w:rPr>
        <w:t>ās</w:t>
      </w:r>
      <w:r w:rsidRPr="00E94DEB">
        <w:rPr>
          <w:rFonts w:cs="Times New Roman"/>
          <w:sz w:val="28"/>
          <w:szCs w:val="28"/>
        </w:rPr>
        <w:t xml:space="preserve"> </w:t>
      </w:r>
      <w:r w:rsidR="00882D91" w:rsidRPr="00E94DEB">
        <w:rPr>
          <w:rFonts w:cs="Times New Roman"/>
          <w:sz w:val="28"/>
          <w:szCs w:val="28"/>
        </w:rPr>
        <w:t xml:space="preserve">teritoriālās </w:t>
      </w:r>
      <w:r w:rsidRPr="00E94DEB">
        <w:rPr>
          <w:rFonts w:cs="Times New Roman"/>
          <w:sz w:val="28"/>
          <w:szCs w:val="28"/>
        </w:rPr>
        <w:t>investīcijas</w:t>
      </w:r>
    </w:p>
    <w:p w14:paraId="3BFD7F2E" w14:textId="7D42FA36" w:rsidR="009C0862" w:rsidRPr="00E94DEB" w:rsidRDefault="00037500"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IPIA</w:t>
      </w:r>
      <w:r w:rsidRPr="00E94DEB">
        <w:rPr>
          <w:rFonts w:eastAsia="EUAlbertina-Bold-Identity-H" w:cs="Times New Roman"/>
          <w:color w:val="000000" w:themeColor="text1"/>
          <w:sz w:val="28"/>
          <w:szCs w:val="28"/>
          <w:lang w:eastAsia="lv-LV"/>
        </w:rPr>
        <w:tab/>
        <w:t>-</w:t>
      </w:r>
      <w:r w:rsidRPr="00E94DEB">
        <w:rPr>
          <w:rFonts w:eastAsia="EUAlbertina-Bold-Identity-H" w:cs="Times New Roman"/>
          <w:color w:val="000000" w:themeColor="text1"/>
          <w:sz w:val="28"/>
          <w:szCs w:val="28"/>
          <w:lang w:eastAsia="lv-LV"/>
        </w:rPr>
        <w:tab/>
      </w:r>
      <w:r w:rsidRPr="00E94DEB">
        <w:rPr>
          <w:rFonts w:eastAsia="EUAlbertina-Bold-Identity-H" w:cs="Times New Roman"/>
          <w:color w:val="000000" w:themeColor="text1"/>
          <w:sz w:val="28"/>
          <w:szCs w:val="28"/>
          <w:lang w:eastAsia="lv-LV"/>
        </w:rPr>
        <w:tab/>
        <w:t>Ierobežotās projektu iesniegumu atlases</w:t>
      </w:r>
    </w:p>
    <w:p w14:paraId="0704EAD8" w14:textId="78048DDA"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eastAsia="EUAlbertina-Bold-Identity-H" w:cs="Times New Roman"/>
          <w:color w:val="000000" w:themeColor="text1"/>
          <w:sz w:val="28"/>
          <w:szCs w:val="28"/>
          <w:lang w:eastAsia="lv-LV"/>
        </w:rPr>
        <w:t>IZM</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r>
      <w:r w:rsidRPr="00E94DEB">
        <w:rPr>
          <w:rFonts w:cs="Times New Roman"/>
          <w:color w:val="000000" w:themeColor="text1"/>
          <w:sz w:val="28"/>
          <w:szCs w:val="28"/>
        </w:rPr>
        <w:t>Izglītības un zinātnes ministrija</w:t>
      </w:r>
    </w:p>
    <w:p w14:paraId="174068EB" w14:textId="4D9D9944" w:rsidR="00527590" w:rsidRPr="00E94DEB" w:rsidRDefault="00527590"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 xml:space="preserve">JNI </w:t>
      </w:r>
      <w:r w:rsidRPr="00E94DEB">
        <w:rPr>
          <w:rFonts w:cs="Times New Roman"/>
          <w:color w:val="000000" w:themeColor="text1"/>
          <w:sz w:val="28"/>
          <w:szCs w:val="28"/>
        </w:rPr>
        <w:tab/>
        <w:t>-</w:t>
      </w:r>
      <w:r w:rsidRPr="00E94DEB">
        <w:rPr>
          <w:rFonts w:cs="Times New Roman"/>
          <w:color w:val="000000" w:themeColor="text1"/>
          <w:sz w:val="28"/>
          <w:szCs w:val="28"/>
        </w:rPr>
        <w:tab/>
      </w:r>
      <w:r w:rsidRPr="00E94DEB">
        <w:rPr>
          <w:rFonts w:cs="Times New Roman"/>
          <w:color w:val="000000" w:themeColor="text1"/>
          <w:sz w:val="28"/>
          <w:szCs w:val="28"/>
        </w:rPr>
        <w:tab/>
      </w:r>
      <w:r w:rsidRPr="00E94DEB">
        <w:rPr>
          <w:rFonts w:cs="Times New Roman"/>
          <w:sz w:val="28"/>
          <w:szCs w:val="28"/>
          <w:lang w:eastAsia="lv-LV"/>
        </w:rPr>
        <w:t>Jauniešu nodarbinātības iniciatīvas</w:t>
      </w:r>
    </w:p>
    <w:p w14:paraId="38187F91" w14:textId="428CDDA6"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JASPERS</w:t>
      </w:r>
      <w:r w:rsidRPr="00E94DEB">
        <w:rPr>
          <w:rFonts w:cs="Times New Roman"/>
          <w:color w:val="000000" w:themeColor="text1"/>
          <w:sz w:val="28"/>
          <w:szCs w:val="28"/>
        </w:rPr>
        <w:tab/>
        <w:t>-</w:t>
      </w:r>
      <w:r w:rsidRPr="00E94DEB">
        <w:rPr>
          <w:rFonts w:cs="Times New Roman"/>
          <w:color w:val="000000" w:themeColor="text1"/>
          <w:sz w:val="28"/>
          <w:szCs w:val="28"/>
        </w:rPr>
        <w:tab/>
      </w:r>
      <w:r w:rsidRPr="00E94DEB">
        <w:rPr>
          <w:rFonts w:cs="Times New Roman"/>
          <w:color w:val="000000" w:themeColor="text1"/>
          <w:sz w:val="28"/>
          <w:szCs w:val="28"/>
        </w:rPr>
        <w:tab/>
      </w:r>
      <w:proofErr w:type="spellStart"/>
      <w:r w:rsidRPr="00E94DEB">
        <w:rPr>
          <w:rFonts w:cs="Times New Roman"/>
          <w:color w:val="000000" w:themeColor="text1"/>
          <w:sz w:val="28"/>
          <w:szCs w:val="28"/>
        </w:rPr>
        <w:t>Joint</w:t>
      </w:r>
      <w:proofErr w:type="spellEnd"/>
      <w:r w:rsidRPr="00E94DEB">
        <w:rPr>
          <w:rFonts w:cs="Times New Roman"/>
          <w:color w:val="000000" w:themeColor="text1"/>
          <w:sz w:val="28"/>
          <w:szCs w:val="28"/>
        </w:rPr>
        <w:t xml:space="preserve"> </w:t>
      </w:r>
      <w:proofErr w:type="spellStart"/>
      <w:r w:rsidRPr="00E94DEB">
        <w:rPr>
          <w:rFonts w:cs="Times New Roman"/>
          <w:color w:val="000000" w:themeColor="text1"/>
          <w:sz w:val="28"/>
          <w:szCs w:val="28"/>
        </w:rPr>
        <w:t>Assistance</w:t>
      </w:r>
      <w:proofErr w:type="spellEnd"/>
      <w:r w:rsidRPr="00E94DEB">
        <w:rPr>
          <w:rFonts w:cs="Times New Roman"/>
          <w:color w:val="000000" w:themeColor="text1"/>
          <w:sz w:val="28"/>
          <w:szCs w:val="28"/>
        </w:rPr>
        <w:t xml:space="preserve"> to </w:t>
      </w:r>
      <w:proofErr w:type="spellStart"/>
      <w:r w:rsidRPr="00E94DEB">
        <w:rPr>
          <w:rFonts w:cs="Times New Roman"/>
          <w:color w:val="000000" w:themeColor="text1"/>
          <w:sz w:val="28"/>
          <w:szCs w:val="28"/>
        </w:rPr>
        <w:t>Support</w:t>
      </w:r>
      <w:proofErr w:type="spellEnd"/>
      <w:r w:rsidRPr="00E94DEB">
        <w:rPr>
          <w:rFonts w:cs="Times New Roman"/>
          <w:color w:val="000000" w:themeColor="text1"/>
          <w:sz w:val="28"/>
          <w:szCs w:val="28"/>
        </w:rPr>
        <w:t xml:space="preserve"> </w:t>
      </w:r>
      <w:proofErr w:type="spellStart"/>
      <w:r w:rsidRPr="00E94DEB">
        <w:rPr>
          <w:rFonts w:cs="Times New Roman"/>
          <w:color w:val="000000" w:themeColor="text1"/>
          <w:sz w:val="28"/>
          <w:szCs w:val="28"/>
        </w:rPr>
        <w:t>Projects</w:t>
      </w:r>
      <w:proofErr w:type="spellEnd"/>
      <w:r w:rsidRPr="00E94DEB">
        <w:rPr>
          <w:rFonts w:cs="Times New Roman"/>
          <w:color w:val="000000" w:themeColor="text1"/>
          <w:sz w:val="28"/>
          <w:szCs w:val="28"/>
        </w:rPr>
        <w:t xml:space="preserve"> </w:t>
      </w:r>
      <w:proofErr w:type="spellStart"/>
      <w:r w:rsidRPr="00E94DEB">
        <w:rPr>
          <w:rFonts w:cs="Times New Roman"/>
          <w:color w:val="000000" w:themeColor="text1"/>
          <w:sz w:val="28"/>
          <w:szCs w:val="28"/>
        </w:rPr>
        <w:t>in</w:t>
      </w:r>
      <w:proofErr w:type="spellEnd"/>
      <w:r w:rsidR="002C3AE0" w:rsidRPr="00E94DEB">
        <w:rPr>
          <w:rFonts w:cs="Times New Roman"/>
          <w:i/>
          <w:color w:val="000000" w:themeColor="text1"/>
          <w:sz w:val="28"/>
          <w:szCs w:val="28"/>
        </w:rPr>
        <w:t> </w:t>
      </w:r>
      <w:proofErr w:type="spellStart"/>
      <w:r w:rsidR="002C3AE0" w:rsidRPr="00E94DEB">
        <w:rPr>
          <w:rFonts w:cs="Times New Roman"/>
          <w:color w:val="000000" w:themeColor="text1"/>
          <w:sz w:val="28"/>
          <w:szCs w:val="28"/>
        </w:rPr>
        <w:t>Euro</w:t>
      </w:r>
      <w:r w:rsidRPr="00E94DEB">
        <w:rPr>
          <w:rFonts w:cs="Times New Roman"/>
          <w:color w:val="000000" w:themeColor="text1"/>
          <w:sz w:val="28"/>
          <w:szCs w:val="28"/>
        </w:rPr>
        <w:t>pean</w:t>
      </w:r>
      <w:proofErr w:type="spellEnd"/>
      <w:r w:rsidRPr="00E94DEB">
        <w:rPr>
          <w:rFonts w:cs="Times New Roman"/>
          <w:color w:val="000000" w:themeColor="text1"/>
          <w:sz w:val="28"/>
          <w:szCs w:val="28"/>
        </w:rPr>
        <w:t xml:space="preserve"> </w:t>
      </w:r>
      <w:proofErr w:type="spellStart"/>
      <w:r w:rsidRPr="00E94DEB">
        <w:rPr>
          <w:rFonts w:cs="Times New Roman"/>
          <w:color w:val="000000" w:themeColor="text1"/>
          <w:sz w:val="28"/>
          <w:szCs w:val="28"/>
        </w:rPr>
        <w:t>Regions</w:t>
      </w:r>
      <w:proofErr w:type="spellEnd"/>
      <w:r w:rsidRPr="00E94DEB">
        <w:rPr>
          <w:rFonts w:cs="Times New Roman"/>
          <w:color w:val="000000" w:themeColor="text1"/>
          <w:sz w:val="28"/>
          <w:szCs w:val="28"/>
        </w:rPr>
        <w:t xml:space="preserve"> </w:t>
      </w:r>
    </w:p>
    <w:p w14:paraId="1EE2B8F1" w14:textId="77777777"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ab/>
      </w:r>
      <w:r w:rsidRPr="00E94DEB">
        <w:rPr>
          <w:rFonts w:cs="Times New Roman"/>
          <w:color w:val="000000" w:themeColor="text1"/>
          <w:sz w:val="28"/>
          <w:szCs w:val="28"/>
        </w:rPr>
        <w:tab/>
      </w:r>
      <w:r w:rsidRPr="00E94DEB">
        <w:rPr>
          <w:rFonts w:cs="Times New Roman"/>
          <w:color w:val="000000" w:themeColor="text1"/>
          <w:sz w:val="28"/>
          <w:szCs w:val="28"/>
        </w:rPr>
        <w:tab/>
        <w:t>(Kopējā palīdzība projektu sagatavošanai Eiropas reģionos)</w:t>
      </w:r>
    </w:p>
    <w:p w14:paraId="0DDBF3AB" w14:textId="7DE3EC41" w:rsidR="00527590" w:rsidRDefault="00527590"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KF</w:t>
      </w:r>
      <w:r w:rsidRPr="00E94DEB">
        <w:rPr>
          <w:rFonts w:cs="Times New Roman"/>
          <w:color w:val="000000" w:themeColor="text1"/>
          <w:sz w:val="28"/>
          <w:szCs w:val="28"/>
        </w:rPr>
        <w:tab/>
        <w:t xml:space="preserve">- </w:t>
      </w:r>
      <w:r w:rsidRPr="00E94DEB">
        <w:rPr>
          <w:rFonts w:cs="Times New Roman"/>
          <w:color w:val="000000" w:themeColor="text1"/>
          <w:sz w:val="28"/>
          <w:szCs w:val="28"/>
        </w:rPr>
        <w:tab/>
        <w:t>Kohēzijas fonds</w:t>
      </w:r>
    </w:p>
    <w:p w14:paraId="1F6F5BD9" w14:textId="7B4D2CFF" w:rsidR="000E681A" w:rsidRDefault="000E681A" w:rsidP="00942973">
      <w:pPr>
        <w:tabs>
          <w:tab w:val="left" w:pos="1276"/>
          <w:tab w:val="left" w:pos="1418"/>
          <w:tab w:val="left" w:pos="2127"/>
        </w:tabs>
        <w:rPr>
          <w:sz w:val="28"/>
        </w:rPr>
      </w:pPr>
      <w:r>
        <w:rPr>
          <w:rFonts w:cs="Times New Roman"/>
          <w:color w:val="000000" w:themeColor="text1"/>
          <w:sz w:val="28"/>
          <w:szCs w:val="28"/>
        </w:rPr>
        <w:t>KIGD</w:t>
      </w:r>
      <w:r>
        <w:rPr>
          <w:rFonts w:cs="Times New Roman"/>
          <w:color w:val="000000" w:themeColor="text1"/>
          <w:sz w:val="28"/>
          <w:szCs w:val="28"/>
        </w:rPr>
        <w:tab/>
        <w:t>-</w:t>
      </w:r>
      <w:r>
        <w:rPr>
          <w:rFonts w:cs="Times New Roman"/>
          <w:color w:val="000000" w:themeColor="text1"/>
          <w:sz w:val="28"/>
          <w:szCs w:val="28"/>
        </w:rPr>
        <w:tab/>
      </w:r>
      <w:r>
        <w:rPr>
          <w:rFonts w:cs="Times New Roman"/>
          <w:color w:val="000000" w:themeColor="text1"/>
          <w:sz w:val="28"/>
          <w:szCs w:val="28"/>
        </w:rPr>
        <w:tab/>
      </w:r>
      <w:r w:rsidRPr="000E681A">
        <w:rPr>
          <w:sz w:val="28"/>
        </w:rPr>
        <w:t>ES fondu Konsultatīvā izvērtēšanas darba grupa</w:t>
      </w:r>
    </w:p>
    <w:p w14:paraId="5AC41B29" w14:textId="1874B495" w:rsidR="00783F1D" w:rsidRPr="00E94DEB" w:rsidRDefault="00783F1D" w:rsidP="00942973">
      <w:pPr>
        <w:tabs>
          <w:tab w:val="left" w:pos="1276"/>
          <w:tab w:val="left" w:pos="1418"/>
          <w:tab w:val="left" w:pos="2127"/>
        </w:tabs>
        <w:rPr>
          <w:rFonts w:cs="Times New Roman"/>
          <w:color w:val="000000" w:themeColor="text1"/>
          <w:sz w:val="28"/>
          <w:szCs w:val="28"/>
        </w:rPr>
      </w:pPr>
      <w:r>
        <w:rPr>
          <w:sz w:val="28"/>
        </w:rPr>
        <w:t>KKF</w:t>
      </w:r>
      <w:r>
        <w:rPr>
          <w:sz w:val="28"/>
        </w:rPr>
        <w:tab/>
        <w:t>-</w:t>
      </w:r>
      <w:r>
        <w:rPr>
          <w:sz w:val="28"/>
        </w:rPr>
        <w:tab/>
      </w:r>
      <w:r>
        <w:rPr>
          <w:sz w:val="28"/>
        </w:rPr>
        <w:tab/>
        <w:t>Valsts Kultūrkapitāla fonds</w:t>
      </w:r>
    </w:p>
    <w:p w14:paraId="655F431D" w14:textId="37A6B79A" w:rsidR="00921D77" w:rsidRPr="00E94DEB" w:rsidRDefault="00527590"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KM</w:t>
      </w:r>
      <w:r w:rsidRPr="00E94DEB">
        <w:rPr>
          <w:rFonts w:cs="Times New Roman"/>
          <w:color w:val="000000" w:themeColor="text1"/>
          <w:sz w:val="28"/>
          <w:szCs w:val="28"/>
        </w:rPr>
        <w:tab/>
        <w:t xml:space="preserve">- </w:t>
      </w:r>
      <w:r w:rsidRPr="00E94DEB">
        <w:rPr>
          <w:rFonts w:cs="Times New Roman"/>
          <w:color w:val="000000" w:themeColor="text1"/>
          <w:sz w:val="28"/>
          <w:szCs w:val="28"/>
        </w:rPr>
        <w:tab/>
        <w:t>Kultūras ministrija</w:t>
      </w:r>
    </w:p>
    <w:p w14:paraId="211A5A06" w14:textId="23E9DAD7" w:rsidR="00D21542" w:rsidRPr="00E94DEB" w:rsidRDefault="00921D77" w:rsidP="00942973">
      <w:pPr>
        <w:tabs>
          <w:tab w:val="left" w:pos="1276"/>
          <w:tab w:val="left" w:pos="1418"/>
          <w:tab w:val="left" w:pos="2127"/>
        </w:tabs>
        <w:rPr>
          <w:rFonts w:cs="Times New Roman"/>
          <w:color w:val="000000" w:themeColor="text1"/>
          <w:sz w:val="28"/>
          <w:szCs w:val="28"/>
        </w:rPr>
      </w:pPr>
      <w:r>
        <w:rPr>
          <w:rFonts w:cs="Times New Roman"/>
          <w:color w:val="000000" w:themeColor="text1"/>
          <w:sz w:val="28"/>
          <w:szCs w:val="28"/>
        </w:rPr>
        <w:t>KP</w:t>
      </w:r>
      <w:r>
        <w:rPr>
          <w:rFonts w:cs="Times New Roman"/>
          <w:color w:val="000000" w:themeColor="text1"/>
          <w:sz w:val="28"/>
          <w:szCs w:val="28"/>
        </w:rPr>
        <w:tab/>
        <w:t>-</w:t>
      </w:r>
      <w:r>
        <w:rPr>
          <w:rFonts w:cs="Times New Roman"/>
          <w:color w:val="000000" w:themeColor="text1"/>
          <w:sz w:val="28"/>
          <w:szCs w:val="28"/>
        </w:rPr>
        <w:tab/>
      </w:r>
      <w:r>
        <w:rPr>
          <w:rFonts w:cs="Times New Roman"/>
          <w:color w:val="000000" w:themeColor="text1"/>
          <w:sz w:val="28"/>
          <w:szCs w:val="28"/>
        </w:rPr>
        <w:tab/>
        <w:t>Konkurences padome</w:t>
      </w:r>
    </w:p>
    <w:p w14:paraId="0FC28A23" w14:textId="6F9FCFB1" w:rsidR="006F6B35" w:rsidRPr="00E94DEB" w:rsidRDefault="006F6B35"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KP</w:t>
      </w:r>
      <w:r w:rsidR="00D50F86">
        <w:rPr>
          <w:rFonts w:cs="Times New Roman"/>
          <w:color w:val="000000" w:themeColor="text1"/>
          <w:sz w:val="28"/>
          <w:szCs w:val="28"/>
        </w:rPr>
        <w:t> </w:t>
      </w:r>
      <w:r w:rsidRPr="00E94DEB">
        <w:rPr>
          <w:rFonts w:cs="Times New Roman"/>
          <w:color w:val="000000" w:themeColor="text1"/>
          <w:sz w:val="28"/>
          <w:szCs w:val="28"/>
        </w:rPr>
        <w:t>VIS</w:t>
      </w:r>
      <w:r w:rsidRPr="00E94DEB">
        <w:rPr>
          <w:rFonts w:cs="Times New Roman"/>
          <w:color w:val="000000" w:themeColor="text1"/>
          <w:sz w:val="28"/>
          <w:szCs w:val="28"/>
        </w:rPr>
        <w:tab/>
        <w:t>-</w:t>
      </w:r>
      <w:r w:rsidRPr="00E94DEB">
        <w:rPr>
          <w:rFonts w:cs="Times New Roman"/>
          <w:color w:val="000000" w:themeColor="text1"/>
          <w:sz w:val="28"/>
          <w:szCs w:val="28"/>
        </w:rPr>
        <w:tab/>
      </w:r>
      <w:r w:rsidRPr="00E94DEB">
        <w:rPr>
          <w:rFonts w:cs="Times New Roman"/>
          <w:color w:val="000000" w:themeColor="text1"/>
          <w:sz w:val="28"/>
          <w:szCs w:val="28"/>
        </w:rPr>
        <w:tab/>
        <w:t>Kohēzijas politikas vadības informācijas sistēma</w:t>
      </w:r>
    </w:p>
    <w:p w14:paraId="476A932D" w14:textId="7981E717" w:rsidR="00527590" w:rsidRDefault="00527590"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LIAA</w:t>
      </w:r>
      <w:r w:rsidRPr="00E94DEB">
        <w:rPr>
          <w:rFonts w:cs="Times New Roman"/>
          <w:color w:val="000000" w:themeColor="text1"/>
          <w:sz w:val="28"/>
          <w:szCs w:val="28"/>
        </w:rPr>
        <w:tab/>
        <w:t xml:space="preserve">- </w:t>
      </w:r>
      <w:r w:rsidRPr="00E94DEB">
        <w:rPr>
          <w:rFonts w:cs="Times New Roman"/>
          <w:color w:val="000000" w:themeColor="text1"/>
          <w:sz w:val="28"/>
          <w:szCs w:val="28"/>
        </w:rPr>
        <w:tab/>
        <w:t>Latvijas Investīciju un attīstības aģentūra</w:t>
      </w:r>
    </w:p>
    <w:p w14:paraId="0A822349" w14:textId="35E2E7D1" w:rsidR="00921D77" w:rsidRPr="00E94DEB" w:rsidRDefault="00921D77" w:rsidP="00942973">
      <w:pPr>
        <w:tabs>
          <w:tab w:val="left" w:pos="1276"/>
          <w:tab w:val="left" w:pos="1418"/>
          <w:tab w:val="left" w:pos="2127"/>
        </w:tabs>
        <w:rPr>
          <w:rFonts w:eastAsia="EUAlbertina-Bold-Identity-H" w:cs="Times New Roman"/>
          <w:color w:val="000000" w:themeColor="text1"/>
          <w:sz w:val="28"/>
          <w:szCs w:val="28"/>
          <w:lang w:eastAsia="lv-LV"/>
        </w:rPr>
      </w:pPr>
      <w:r>
        <w:rPr>
          <w:rFonts w:cs="Times New Roman"/>
          <w:color w:val="000000" w:themeColor="text1"/>
          <w:sz w:val="28"/>
          <w:szCs w:val="28"/>
        </w:rPr>
        <w:t>LKA</w:t>
      </w:r>
      <w:r>
        <w:rPr>
          <w:rFonts w:cs="Times New Roman"/>
          <w:color w:val="000000" w:themeColor="text1"/>
          <w:sz w:val="28"/>
          <w:szCs w:val="28"/>
        </w:rPr>
        <w:tab/>
        <w:t>-</w:t>
      </w:r>
      <w:r>
        <w:rPr>
          <w:rFonts w:cs="Times New Roman"/>
          <w:color w:val="000000" w:themeColor="text1"/>
          <w:sz w:val="28"/>
          <w:szCs w:val="28"/>
        </w:rPr>
        <w:tab/>
      </w:r>
      <w:r>
        <w:rPr>
          <w:rFonts w:cs="Times New Roman"/>
          <w:color w:val="000000" w:themeColor="text1"/>
          <w:sz w:val="28"/>
          <w:szCs w:val="28"/>
        </w:rPr>
        <w:tab/>
        <w:t>Latvijas Kultūras akadēmija</w:t>
      </w:r>
    </w:p>
    <w:p w14:paraId="406FE508" w14:textId="4CE58896" w:rsidR="009C0862" w:rsidRPr="00E94DEB" w:rsidRDefault="009C0862" w:rsidP="00942973">
      <w:pPr>
        <w:tabs>
          <w:tab w:val="left" w:pos="1276"/>
          <w:tab w:val="left" w:pos="1418"/>
          <w:tab w:val="left" w:pos="2127"/>
          <w:tab w:val="left" w:pos="5556"/>
        </w:tabs>
        <w:rPr>
          <w:rFonts w:cs="Times New Roman"/>
          <w:color w:val="000000" w:themeColor="text1"/>
          <w:sz w:val="28"/>
          <w:szCs w:val="28"/>
        </w:rPr>
      </w:pPr>
      <w:r w:rsidRPr="00E94DEB">
        <w:rPr>
          <w:rFonts w:eastAsia="EUAlbertina-Bold-Identity-H" w:cs="Times New Roman"/>
          <w:color w:val="000000" w:themeColor="text1"/>
          <w:sz w:val="28"/>
          <w:szCs w:val="28"/>
          <w:lang w:eastAsia="lv-LV"/>
        </w:rPr>
        <w:t>LM</w:t>
      </w:r>
      <w:r w:rsidRPr="00E94DEB">
        <w:rPr>
          <w:rFonts w:eastAsia="EUAlbertina-Bold-Identity-H" w:cs="Times New Roman"/>
          <w:color w:val="000000" w:themeColor="text1"/>
          <w:sz w:val="28"/>
          <w:szCs w:val="28"/>
          <w:lang w:eastAsia="lv-LV"/>
        </w:rPr>
        <w:tab/>
        <w:t>-</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r>
      <w:r w:rsidRPr="00E94DEB">
        <w:rPr>
          <w:rFonts w:cs="Times New Roman"/>
          <w:color w:val="000000" w:themeColor="text1"/>
          <w:sz w:val="28"/>
          <w:szCs w:val="28"/>
        </w:rPr>
        <w:t>Labklājības ministrija</w:t>
      </w:r>
    </w:p>
    <w:p w14:paraId="1FB2397A" w14:textId="77777777"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 xml:space="preserve">MK </w:t>
      </w:r>
      <w:r w:rsidRPr="00E94DEB">
        <w:rPr>
          <w:rFonts w:cs="Times New Roman"/>
          <w:color w:val="000000" w:themeColor="text1"/>
          <w:sz w:val="28"/>
          <w:szCs w:val="28"/>
        </w:rPr>
        <w:tab/>
        <w:t>-</w:t>
      </w:r>
      <w:r w:rsidRPr="00E94DEB">
        <w:rPr>
          <w:rFonts w:cs="Times New Roman"/>
          <w:color w:val="000000" w:themeColor="text1"/>
          <w:sz w:val="28"/>
          <w:szCs w:val="28"/>
        </w:rPr>
        <w:tab/>
        <w:t xml:space="preserve"> </w:t>
      </w:r>
      <w:r w:rsidRPr="00E94DEB">
        <w:rPr>
          <w:rFonts w:cs="Times New Roman"/>
          <w:color w:val="000000" w:themeColor="text1"/>
          <w:sz w:val="28"/>
          <w:szCs w:val="28"/>
        </w:rPr>
        <w:tab/>
        <w:t>Ministru kabinets</w:t>
      </w:r>
    </w:p>
    <w:p w14:paraId="51D66E1F" w14:textId="2A8DB492" w:rsidR="005D16C7" w:rsidRPr="00E94DEB" w:rsidRDefault="00EE32FB"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NVA</w:t>
      </w:r>
      <w:r w:rsidRPr="00E94DEB">
        <w:rPr>
          <w:rFonts w:cs="Times New Roman"/>
          <w:color w:val="000000" w:themeColor="text1"/>
          <w:sz w:val="28"/>
          <w:szCs w:val="28"/>
        </w:rPr>
        <w:tab/>
        <w:t xml:space="preserve">- </w:t>
      </w:r>
      <w:r w:rsidRPr="00E94DEB">
        <w:rPr>
          <w:rFonts w:cs="Times New Roman"/>
          <w:color w:val="000000" w:themeColor="text1"/>
          <w:sz w:val="28"/>
          <w:szCs w:val="28"/>
        </w:rPr>
        <w:tab/>
        <w:t>Nodarbinātības valsts aģentūra</w:t>
      </w:r>
    </w:p>
    <w:p w14:paraId="5154CCC6" w14:textId="3EDD4568"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NVO</w:t>
      </w:r>
      <w:r w:rsidRPr="00E94DEB">
        <w:rPr>
          <w:rFonts w:cs="Times New Roman"/>
          <w:color w:val="000000" w:themeColor="text1"/>
          <w:sz w:val="28"/>
          <w:szCs w:val="28"/>
        </w:rPr>
        <w:tab/>
        <w:t xml:space="preserve">- </w:t>
      </w:r>
      <w:r w:rsidRPr="00E94DEB">
        <w:rPr>
          <w:rFonts w:cs="Times New Roman"/>
          <w:color w:val="000000" w:themeColor="text1"/>
          <w:sz w:val="28"/>
          <w:szCs w:val="28"/>
        </w:rPr>
        <w:tab/>
        <w:t>Nevalstiskā organizācija</w:t>
      </w:r>
    </w:p>
    <w:p w14:paraId="07FF32AC" w14:textId="3636FDFF" w:rsidR="00E3650E" w:rsidRPr="00E94DEB" w:rsidRDefault="00E3650E" w:rsidP="00942973">
      <w:pPr>
        <w:tabs>
          <w:tab w:val="left" w:pos="1276"/>
          <w:tab w:val="left" w:pos="1985"/>
          <w:tab w:val="left" w:pos="2268"/>
        </w:tabs>
        <w:ind w:left="2127" w:hanging="2127"/>
        <w:rPr>
          <w:rFonts w:cs="Times New Roman"/>
          <w:color w:val="000000" w:themeColor="text1"/>
          <w:sz w:val="28"/>
          <w:szCs w:val="28"/>
        </w:rPr>
      </w:pPr>
      <w:r w:rsidRPr="00E94DEB">
        <w:rPr>
          <w:rFonts w:cs="Times New Roman"/>
          <w:color w:val="000000" w:themeColor="text1"/>
          <w:sz w:val="28"/>
          <w:szCs w:val="28"/>
        </w:rPr>
        <w:t>N+3</w:t>
      </w:r>
      <w:r w:rsidRPr="00E94DEB">
        <w:rPr>
          <w:rFonts w:cs="Times New Roman"/>
          <w:color w:val="000000" w:themeColor="text1"/>
          <w:sz w:val="28"/>
          <w:szCs w:val="28"/>
        </w:rPr>
        <w:tab/>
        <w:t>-</w:t>
      </w:r>
      <w:r w:rsidRPr="00E94DEB">
        <w:rPr>
          <w:rFonts w:cs="Times New Roman"/>
          <w:color w:val="000000" w:themeColor="text1"/>
          <w:sz w:val="28"/>
          <w:szCs w:val="28"/>
        </w:rPr>
        <w:tab/>
      </w:r>
      <w:r w:rsidRPr="00E94DEB">
        <w:rPr>
          <w:rFonts w:cs="Times New Roman"/>
          <w:color w:val="000000" w:themeColor="text1"/>
          <w:sz w:val="28"/>
          <w:szCs w:val="28"/>
        </w:rPr>
        <w:tab/>
        <w:t>saistību atcelšana attiecībā uz maksājumu pieteikumos</w:t>
      </w:r>
      <w:r w:rsidR="00032662" w:rsidRPr="00E94DEB">
        <w:rPr>
          <w:rFonts w:cs="Times New Roman"/>
          <w:color w:val="000000" w:themeColor="text1"/>
          <w:sz w:val="28"/>
          <w:szCs w:val="28"/>
        </w:rPr>
        <w:t xml:space="preserve"> </w:t>
      </w:r>
      <w:r w:rsidRPr="00E94DEB">
        <w:rPr>
          <w:rFonts w:cs="Times New Roman"/>
          <w:color w:val="000000" w:themeColor="text1"/>
          <w:sz w:val="28"/>
          <w:szCs w:val="28"/>
        </w:rPr>
        <w:t>Eiropas Komisijai pieprasāmo summu</w:t>
      </w:r>
    </w:p>
    <w:p w14:paraId="48C571EC" w14:textId="0E4CDEE3" w:rsidR="007004CA" w:rsidRPr="00E94DEB" w:rsidRDefault="00433F8D"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 xml:space="preserve">PL </w:t>
      </w:r>
      <w:r w:rsidR="00E3650E" w:rsidRPr="00E94DEB">
        <w:rPr>
          <w:rFonts w:cs="Times New Roman"/>
          <w:color w:val="000000" w:themeColor="text1"/>
          <w:sz w:val="28"/>
          <w:szCs w:val="28"/>
        </w:rPr>
        <w:tab/>
        <w:t xml:space="preserve">- </w:t>
      </w:r>
      <w:r w:rsidR="00E3650E" w:rsidRPr="00E94DEB">
        <w:rPr>
          <w:rFonts w:cs="Times New Roman"/>
          <w:color w:val="000000" w:themeColor="text1"/>
          <w:sz w:val="28"/>
          <w:szCs w:val="28"/>
        </w:rPr>
        <w:tab/>
      </w:r>
      <w:r w:rsidRPr="00E94DEB">
        <w:rPr>
          <w:rFonts w:cs="Times New Roman"/>
          <w:color w:val="000000" w:themeColor="text1"/>
          <w:sz w:val="28"/>
          <w:szCs w:val="28"/>
        </w:rPr>
        <w:t>Partnerības līgums</w:t>
      </w:r>
    </w:p>
    <w:p w14:paraId="2F217EE5" w14:textId="27974746" w:rsidR="00714312" w:rsidRPr="00E94DEB" w:rsidRDefault="0071431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lastRenderedPageBreak/>
        <w:t xml:space="preserve">PV </w:t>
      </w:r>
      <w:r w:rsidRPr="00E94DEB">
        <w:rPr>
          <w:rFonts w:cs="Times New Roman"/>
          <w:color w:val="000000" w:themeColor="text1"/>
          <w:sz w:val="28"/>
          <w:szCs w:val="28"/>
        </w:rPr>
        <w:tab/>
        <w:t xml:space="preserve">- </w:t>
      </w:r>
      <w:r w:rsidRPr="00E94DEB">
        <w:rPr>
          <w:rFonts w:cs="Times New Roman"/>
          <w:color w:val="000000" w:themeColor="text1"/>
          <w:sz w:val="28"/>
          <w:szCs w:val="28"/>
        </w:rPr>
        <w:tab/>
        <w:t>Prioritārais virziens</w:t>
      </w:r>
    </w:p>
    <w:p w14:paraId="705D3814" w14:textId="5C46605C" w:rsidR="006C4543" w:rsidRPr="00E94DEB" w:rsidRDefault="00D50F86" w:rsidP="00942973">
      <w:pPr>
        <w:tabs>
          <w:tab w:val="left" w:pos="1276"/>
          <w:tab w:val="left" w:pos="1418"/>
          <w:tab w:val="left" w:pos="2127"/>
        </w:tabs>
        <w:rPr>
          <w:rFonts w:cs="Times New Roman"/>
          <w:color w:val="000000" w:themeColor="text1"/>
          <w:sz w:val="28"/>
          <w:szCs w:val="28"/>
        </w:rPr>
      </w:pPr>
      <w:r>
        <w:rPr>
          <w:rFonts w:cs="Times New Roman"/>
          <w:color w:val="000000" w:themeColor="text1"/>
          <w:sz w:val="28"/>
          <w:szCs w:val="28"/>
        </w:rPr>
        <w:t>PVN</w:t>
      </w:r>
      <w:r>
        <w:rPr>
          <w:rFonts w:cs="Times New Roman"/>
          <w:color w:val="000000" w:themeColor="text1"/>
          <w:sz w:val="28"/>
          <w:szCs w:val="28"/>
        </w:rPr>
        <w:tab/>
        <w:t>-</w:t>
      </w:r>
      <w:r>
        <w:rPr>
          <w:rFonts w:cs="Times New Roman"/>
          <w:color w:val="000000" w:themeColor="text1"/>
          <w:sz w:val="28"/>
          <w:szCs w:val="28"/>
        </w:rPr>
        <w:tab/>
      </w:r>
      <w:r>
        <w:rPr>
          <w:rFonts w:cs="Times New Roman"/>
          <w:color w:val="000000" w:themeColor="text1"/>
          <w:sz w:val="28"/>
          <w:szCs w:val="28"/>
        </w:rPr>
        <w:tab/>
        <w:t>Pievienotās vērtības nodoklis</w:t>
      </w:r>
    </w:p>
    <w:p w14:paraId="77027717" w14:textId="75A91461" w:rsidR="009C0862" w:rsidRPr="00E94DEB" w:rsidRDefault="009C0862" w:rsidP="00942973">
      <w:pPr>
        <w:tabs>
          <w:tab w:val="left" w:pos="1418"/>
          <w:tab w:val="left" w:pos="1843"/>
          <w:tab w:val="left" w:pos="2127"/>
        </w:tabs>
        <w:ind w:left="2127" w:hanging="2127"/>
        <w:rPr>
          <w:rFonts w:cs="Times New Roman"/>
          <w:color w:val="000000" w:themeColor="text1"/>
          <w:sz w:val="28"/>
          <w:szCs w:val="28"/>
        </w:rPr>
      </w:pPr>
      <w:r w:rsidRPr="00E94DEB">
        <w:rPr>
          <w:rFonts w:cs="Times New Roman"/>
          <w:color w:val="000000" w:themeColor="text1"/>
          <w:sz w:val="28"/>
          <w:szCs w:val="28"/>
        </w:rPr>
        <w:t>RI</w:t>
      </w:r>
      <w:r w:rsidR="00B76345">
        <w:rPr>
          <w:rFonts w:cs="Times New Roman"/>
          <w:color w:val="000000" w:themeColor="text1"/>
          <w:sz w:val="28"/>
          <w:szCs w:val="28"/>
        </w:rPr>
        <w:t xml:space="preserve">              </w:t>
      </w:r>
      <w:r w:rsidRPr="00E94DEB">
        <w:rPr>
          <w:rFonts w:cs="Times New Roman"/>
          <w:color w:val="000000" w:themeColor="text1"/>
          <w:sz w:val="28"/>
          <w:szCs w:val="28"/>
        </w:rPr>
        <w:t>-</w:t>
      </w:r>
      <w:r w:rsidRPr="00E94DEB">
        <w:rPr>
          <w:rFonts w:cs="Times New Roman"/>
          <w:color w:val="000000" w:themeColor="text1"/>
          <w:sz w:val="28"/>
          <w:szCs w:val="28"/>
        </w:rPr>
        <w:tab/>
      </w:r>
      <w:r w:rsidRPr="00E94DEB">
        <w:rPr>
          <w:rFonts w:cs="Times New Roman"/>
          <w:color w:val="000000" w:themeColor="text1"/>
          <w:sz w:val="28"/>
          <w:szCs w:val="28"/>
        </w:rPr>
        <w:tab/>
      </w:r>
      <w:r w:rsidR="00B76345">
        <w:rPr>
          <w:rFonts w:cs="Times New Roman"/>
          <w:color w:val="000000" w:themeColor="text1"/>
          <w:sz w:val="28"/>
          <w:szCs w:val="28"/>
        </w:rPr>
        <w:tab/>
      </w:r>
      <w:r w:rsidRPr="00E94DEB">
        <w:rPr>
          <w:rFonts w:cs="Times New Roman"/>
          <w:color w:val="000000" w:themeColor="text1"/>
          <w:sz w:val="28"/>
          <w:szCs w:val="28"/>
        </w:rPr>
        <w:t xml:space="preserve">ES fondu, </w:t>
      </w:r>
      <w:r w:rsidRPr="00E94DEB">
        <w:rPr>
          <w:rFonts w:eastAsia="EUAlbertina-Bold-Identity-H" w:cs="Times New Roman"/>
          <w:color w:val="000000" w:themeColor="text1"/>
          <w:sz w:val="28"/>
          <w:szCs w:val="28"/>
          <w:lang w:eastAsia="lv-LV"/>
        </w:rPr>
        <w:t>EEZ/Norvēģijas finanšu instrumentu</w:t>
      </w:r>
      <w:r w:rsidRPr="00E94DEB">
        <w:rPr>
          <w:rFonts w:cs="Times New Roman"/>
          <w:color w:val="000000" w:themeColor="text1"/>
          <w:sz w:val="28"/>
          <w:szCs w:val="28"/>
        </w:rPr>
        <w:t xml:space="preserve"> revīzijas</w:t>
      </w:r>
      <w:r w:rsidR="00E3650E" w:rsidRPr="00E94DEB">
        <w:rPr>
          <w:rFonts w:cs="Times New Roman"/>
          <w:color w:val="000000" w:themeColor="text1"/>
          <w:sz w:val="28"/>
          <w:szCs w:val="28"/>
        </w:rPr>
        <w:t xml:space="preserve"> </w:t>
      </w:r>
      <w:r w:rsidRPr="00E94DEB">
        <w:rPr>
          <w:rFonts w:cs="Times New Roman"/>
          <w:color w:val="000000" w:themeColor="text1"/>
          <w:sz w:val="28"/>
          <w:szCs w:val="28"/>
        </w:rPr>
        <w:t>iestāde</w:t>
      </w:r>
    </w:p>
    <w:p w14:paraId="01F78188" w14:textId="11F0F82A" w:rsidR="00325675" w:rsidRPr="00E94DEB" w:rsidRDefault="00B76345" w:rsidP="00942973">
      <w:pPr>
        <w:tabs>
          <w:tab w:val="left" w:pos="1418"/>
          <w:tab w:val="left" w:pos="1843"/>
          <w:tab w:val="left" w:pos="2127"/>
        </w:tabs>
        <w:ind w:left="2127" w:hanging="2127"/>
        <w:rPr>
          <w:rFonts w:cs="Times New Roman"/>
          <w:color w:val="000000" w:themeColor="text1"/>
          <w:sz w:val="28"/>
          <w:szCs w:val="28"/>
        </w:rPr>
      </w:pPr>
      <w:r>
        <w:rPr>
          <w:rFonts w:cs="Times New Roman"/>
          <w:color w:val="000000" w:themeColor="text1"/>
          <w:sz w:val="28"/>
          <w:szCs w:val="28"/>
        </w:rPr>
        <w:t xml:space="preserve">RPSIA       </w:t>
      </w:r>
      <w:r w:rsidR="00325675" w:rsidRPr="00E94DEB">
        <w:rPr>
          <w:rFonts w:cs="Times New Roman"/>
          <w:color w:val="000000" w:themeColor="text1"/>
          <w:sz w:val="28"/>
          <w:szCs w:val="28"/>
        </w:rPr>
        <w:t>-</w:t>
      </w:r>
      <w:r w:rsidR="00325675" w:rsidRPr="00E94DEB">
        <w:rPr>
          <w:rFonts w:cs="Times New Roman"/>
          <w:color w:val="000000" w:themeColor="text1"/>
          <w:sz w:val="28"/>
          <w:szCs w:val="28"/>
        </w:rPr>
        <w:tab/>
      </w:r>
      <w:r w:rsidR="00325675" w:rsidRPr="00E94DEB">
        <w:rPr>
          <w:rFonts w:cs="Times New Roman"/>
          <w:color w:val="000000" w:themeColor="text1"/>
          <w:sz w:val="28"/>
          <w:szCs w:val="28"/>
        </w:rPr>
        <w:tab/>
      </w:r>
      <w:r>
        <w:rPr>
          <w:rFonts w:cs="Times New Roman"/>
          <w:color w:val="000000" w:themeColor="text1"/>
          <w:sz w:val="28"/>
          <w:szCs w:val="28"/>
        </w:rPr>
        <w:tab/>
      </w:r>
      <w:r w:rsidR="00325675" w:rsidRPr="00E94DEB">
        <w:rPr>
          <w:rFonts w:cs="Times New Roman"/>
          <w:color w:val="000000" w:themeColor="text1"/>
          <w:sz w:val="28"/>
          <w:szCs w:val="28"/>
        </w:rPr>
        <w:t>Rīgas pašvaldības sabiedrība ar ierobežotu atbildību</w:t>
      </w:r>
    </w:p>
    <w:p w14:paraId="349FAE75" w14:textId="77777777"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 xml:space="preserve">SAM </w:t>
      </w:r>
      <w:r w:rsidRPr="00E94DEB">
        <w:rPr>
          <w:rFonts w:cs="Times New Roman"/>
          <w:color w:val="000000" w:themeColor="text1"/>
          <w:sz w:val="28"/>
          <w:szCs w:val="28"/>
        </w:rPr>
        <w:tab/>
        <w:t>-</w:t>
      </w:r>
      <w:r w:rsidRPr="00E94DEB">
        <w:rPr>
          <w:rFonts w:cs="Times New Roman"/>
          <w:color w:val="000000" w:themeColor="text1"/>
          <w:sz w:val="28"/>
          <w:szCs w:val="28"/>
        </w:rPr>
        <w:tab/>
      </w:r>
      <w:r w:rsidRPr="00E94DEB">
        <w:rPr>
          <w:rFonts w:cs="Times New Roman"/>
          <w:color w:val="000000" w:themeColor="text1"/>
          <w:sz w:val="28"/>
          <w:szCs w:val="28"/>
        </w:rPr>
        <w:tab/>
        <w:t>Specifiskais atbalsta mērķis</w:t>
      </w:r>
    </w:p>
    <w:p w14:paraId="6CF49724" w14:textId="13D123E0" w:rsidR="009C0862" w:rsidRPr="00E94DEB" w:rsidRDefault="009C0862"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SM</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t>Satiksmes ministrija</w:t>
      </w:r>
    </w:p>
    <w:p w14:paraId="09C1B1E5" w14:textId="382772CE"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eastAsia="EUAlbertina-Bold-Identity-H" w:cs="Times New Roman"/>
          <w:color w:val="000000" w:themeColor="text1"/>
          <w:sz w:val="28"/>
          <w:szCs w:val="28"/>
          <w:lang w:eastAsia="lv-LV"/>
        </w:rPr>
        <w:t xml:space="preserve">SI </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t>ES fondu sadarbības iestāde</w:t>
      </w:r>
    </w:p>
    <w:p w14:paraId="66D2545D" w14:textId="77777777" w:rsidR="009C0862" w:rsidRPr="00E94DEB" w:rsidRDefault="009C0862" w:rsidP="00942973">
      <w:pPr>
        <w:tabs>
          <w:tab w:val="left" w:pos="2694"/>
          <w:tab w:val="left" w:pos="3261"/>
        </w:tabs>
        <w:rPr>
          <w:rFonts w:cs="Times New Roman"/>
          <w:color w:val="000000" w:themeColor="text1"/>
          <w:sz w:val="28"/>
          <w:szCs w:val="28"/>
        </w:rPr>
      </w:pPr>
      <w:r w:rsidRPr="00E94DEB">
        <w:rPr>
          <w:rFonts w:cs="Times New Roman"/>
          <w:color w:val="000000" w:themeColor="text1"/>
          <w:sz w:val="28"/>
          <w:szCs w:val="28"/>
        </w:rPr>
        <w:t xml:space="preserve">Šveices programma </w:t>
      </w:r>
      <w:r w:rsidRPr="00E94DEB">
        <w:rPr>
          <w:rFonts w:cs="Times New Roman"/>
          <w:color w:val="000000" w:themeColor="text1"/>
          <w:sz w:val="28"/>
          <w:szCs w:val="28"/>
        </w:rPr>
        <w:tab/>
        <w:t>-</w:t>
      </w:r>
      <w:r w:rsidRPr="00E94DEB">
        <w:rPr>
          <w:rFonts w:cs="Times New Roman"/>
          <w:color w:val="000000" w:themeColor="text1"/>
          <w:sz w:val="28"/>
          <w:szCs w:val="28"/>
        </w:rPr>
        <w:tab/>
        <w:t>Latvijas un Šveices sadarbības programma</w:t>
      </w:r>
    </w:p>
    <w:p w14:paraId="2DFB5A23" w14:textId="7F53DAF4" w:rsidR="009C0862" w:rsidRPr="00E94DEB" w:rsidRDefault="009C0862"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TM</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t>Tieslietu ministrija</w:t>
      </w:r>
    </w:p>
    <w:p w14:paraId="1EBDCF34" w14:textId="6E7AC72E"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eastAsia="EUAlbertina-Bold-Identity-H" w:cs="Times New Roman"/>
          <w:color w:val="000000" w:themeColor="text1"/>
          <w:sz w:val="28"/>
          <w:szCs w:val="28"/>
          <w:lang w:eastAsia="lv-LV"/>
        </w:rPr>
        <w:t>TP</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r>
      <w:r w:rsidRPr="00E94DEB">
        <w:rPr>
          <w:rFonts w:cs="Times New Roman"/>
          <w:color w:val="000000" w:themeColor="text1"/>
          <w:sz w:val="28"/>
          <w:szCs w:val="28"/>
        </w:rPr>
        <w:t xml:space="preserve">ES fondu tehniskā palīdzība </w:t>
      </w:r>
    </w:p>
    <w:p w14:paraId="72C2B33D" w14:textId="555271E3" w:rsidR="009C0862" w:rsidRPr="00E94DEB" w:rsidRDefault="009C0862" w:rsidP="00942973">
      <w:pPr>
        <w:tabs>
          <w:tab w:val="left" w:pos="1276"/>
          <w:tab w:val="left" w:pos="1418"/>
          <w:tab w:val="left" w:pos="2127"/>
        </w:tabs>
        <w:rPr>
          <w:rFonts w:cs="Times New Roman"/>
          <w:color w:val="000000" w:themeColor="text1"/>
          <w:sz w:val="28"/>
          <w:szCs w:val="28"/>
        </w:rPr>
      </w:pPr>
      <w:r w:rsidRPr="00E94DEB">
        <w:rPr>
          <w:rFonts w:cs="Times New Roman"/>
          <w:color w:val="000000" w:themeColor="text1"/>
          <w:sz w:val="28"/>
          <w:szCs w:val="28"/>
        </w:rPr>
        <w:t xml:space="preserve">UK </w:t>
      </w:r>
      <w:r w:rsidRPr="00E94DEB">
        <w:rPr>
          <w:rFonts w:cs="Times New Roman"/>
          <w:color w:val="000000" w:themeColor="text1"/>
          <w:sz w:val="28"/>
          <w:szCs w:val="28"/>
        </w:rPr>
        <w:tab/>
        <w:t xml:space="preserve">- </w:t>
      </w:r>
      <w:r w:rsidRPr="00E94DEB">
        <w:rPr>
          <w:rFonts w:cs="Times New Roman"/>
          <w:color w:val="000000" w:themeColor="text1"/>
          <w:sz w:val="28"/>
          <w:szCs w:val="28"/>
        </w:rPr>
        <w:tab/>
        <w:t>Uzraudzības komiteja</w:t>
      </w:r>
    </w:p>
    <w:p w14:paraId="32631197" w14:textId="46027EE5" w:rsidR="009C0862" w:rsidRDefault="009C0862" w:rsidP="00942973">
      <w:pPr>
        <w:tabs>
          <w:tab w:val="left" w:pos="1276"/>
          <w:tab w:val="left" w:pos="1418"/>
          <w:tab w:val="left" w:pos="2127"/>
        </w:tabs>
        <w:rPr>
          <w:rFonts w:cs="Times New Roman"/>
          <w:color w:val="000000" w:themeColor="text1"/>
          <w:sz w:val="28"/>
          <w:szCs w:val="28"/>
        </w:rPr>
      </w:pPr>
      <w:r w:rsidRPr="00E94DEB">
        <w:rPr>
          <w:rFonts w:eastAsia="EUAlbertina-Bold-Identity-H" w:cs="Times New Roman"/>
          <w:color w:val="000000" w:themeColor="text1"/>
          <w:sz w:val="28"/>
          <w:szCs w:val="28"/>
          <w:lang w:eastAsia="lv-LV"/>
        </w:rPr>
        <w:t>VARAM</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r>
      <w:r w:rsidRPr="00E94DEB">
        <w:rPr>
          <w:rFonts w:cs="Times New Roman"/>
          <w:color w:val="000000" w:themeColor="text1"/>
          <w:sz w:val="28"/>
          <w:szCs w:val="28"/>
        </w:rPr>
        <w:t>Vides aizsardzības un reģionālās attīstības ministrija</w:t>
      </w:r>
    </w:p>
    <w:p w14:paraId="68CAFA8B" w14:textId="31C9E0B1" w:rsidR="00B01A81" w:rsidRPr="00E94DEB" w:rsidRDefault="00B01A81" w:rsidP="00942973">
      <w:pPr>
        <w:tabs>
          <w:tab w:val="left" w:pos="1276"/>
          <w:tab w:val="left" w:pos="1418"/>
          <w:tab w:val="left" w:pos="2127"/>
        </w:tabs>
        <w:rPr>
          <w:rFonts w:cs="Times New Roman"/>
          <w:color w:val="000000" w:themeColor="text1"/>
          <w:sz w:val="28"/>
          <w:szCs w:val="28"/>
        </w:rPr>
      </w:pPr>
      <w:r>
        <w:rPr>
          <w:rFonts w:cs="Times New Roman"/>
          <w:color w:val="000000" w:themeColor="text1"/>
          <w:sz w:val="28"/>
          <w:szCs w:val="28"/>
        </w:rPr>
        <w:t>VAS</w:t>
      </w:r>
      <w:r>
        <w:rPr>
          <w:rFonts w:cs="Times New Roman"/>
          <w:color w:val="000000" w:themeColor="text1"/>
          <w:sz w:val="28"/>
          <w:szCs w:val="28"/>
        </w:rPr>
        <w:tab/>
        <w:t>-</w:t>
      </w:r>
      <w:r>
        <w:rPr>
          <w:rFonts w:cs="Times New Roman"/>
          <w:color w:val="000000" w:themeColor="text1"/>
          <w:sz w:val="28"/>
          <w:szCs w:val="28"/>
        </w:rPr>
        <w:tab/>
      </w:r>
      <w:r>
        <w:rPr>
          <w:rFonts w:cs="Times New Roman"/>
          <w:color w:val="000000" w:themeColor="text1"/>
          <w:sz w:val="28"/>
          <w:szCs w:val="28"/>
        </w:rPr>
        <w:tab/>
        <w:t>Valsts akciju sabiedrība</w:t>
      </w:r>
    </w:p>
    <w:p w14:paraId="197CD761" w14:textId="50B49F3C" w:rsidR="009C0862" w:rsidRDefault="009C0862" w:rsidP="0075302D">
      <w:pPr>
        <w:tabs>
          <w:tab w:val="left" w:pos="993"/>
          <w:tab w:val="left" w:pos="2127"/>
        </w:tabs>
        <w:ind w:left="2127" w:hanging="2127"/>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VI</w:t>
      </w:r>
      <w:r w:rsidR="0075302D">
        <w:rPr>
          <w:rFonts w:eastAsia="EUAlbertina-Bold-Identity-H" w:cs="Times New Roman"/>
          <w:color w:val="000000" w:themeColor="text1"/>
          <w:sz w:val="28"/>
          <w:szCs w:val="28"/>
          <w:lang w:eastAsia="lv-LV"/>
        </w:rPr>
        <w:tab/>
      </w:r>
      <w:r w:rsidR="00B76345">
        <w:rPr>
          <w:rFonts w:eastAsia="EUAlbertina-Bold-Identity-H" w:cs="Times New Roman"/>
          <w:color w:val="000000" w:themeColor="text1"/>
          <w:sz w:val="28"/>
          <w:szCs w:val="28"/>
          <w:lang w:eastAsia="lv-LV"/>
        </w:rPr>
        <w:t xml:space="preserve">    </w:t>
      </w:r>
      <w:r w:rsidR="0075302D">
        <w:rPr>
          <w:rFonts w:eastAsia="EUAlbertina-Bold-Identity-H" w:cs="Times New Roman"/>
          <w:color w:val="000000" w:themeColor="text1"/>
          <w:sz w:val="28"/>
          <w:szCs w:val="28"/>
          <w:lang w:eastAsia="lv-LV"/>
        </w:rPr>
        <w:t>-</w:t>
      </w:r>
      <w:r w:rsidR="0075302D">
        <w:rPr>
          <w:rFonts w:eastAsia="EUAlbertina-Bold-Identity-H" w:cs="Times New Roman"/>
          <w:color w:val="000000" w:themeColor="text1"/>
          <w:sz w:val="28"/>
          <w:szCs w:val="28"/>
          <w:lang w:eastAsia="lv-LV"/>
        </w:rPr>
        <w:tab/>
      </w:r>
      <w:r w:rsidRPr="00E94DEB">
        <w:rPr>
          <w:rFonts w:eastAsia="EUAlbertina-Bold-Identity-H" w:cs="Times New Roman"/>
          <w:color w:val="000000" w:themeColor="text1"/>
          <w:sz w:val="28"/>
          <w:szCs w:val="28"/>
          <w:lang w:eastAsia="lv-LV"/>
        </w:rPr>
        <w:t>ES fondu,</w:t>
      </w:r>
      <w:r w:rsidRPr="00E94DEB">
        <w:rPr>
          <w:rFonts w:cs="Times New Roman"/>
          <w:color w:val="000000" w:themeColor="text1"/>
          <w:sz w:val="28"/>
          <w:szCs w:val="28"/>
        </w:rPr>
        <w:t xml:space="preserve"> EEZ/Norvēģijas finanšu instrumentu un Šveices</w:t>
      </w:r>
      <w:r w:rsidR="0075302D">
        <w:rPr>
          <w:rFonts w:cs="Times New Roman"/>
          <w:color w:val="000000" w:themeColor="text1"/>
          <w:sz w:val="28"/>
          <w:szCs w:val="28"/>
        </w:rPr>
        <w:t xml:space="preserve"> </w:t>
      </w:r>
      <w:r w:rsidRPr="00E94DEB">
        <w:rPr>
          <w:rFonts w:cs="Times New Roman"/>
          <w:color w:val="000000" w:themeColor="text1"/>
          <w:sz w:val="28"/>
          <w:szCs w:val="28"/>
        </w:rPr>
        <w:t>programmas</w:t>
      </w:r>
      <w:r w:rsidRPr="00E94DEB">
        <w:rPr>
          <w:rFonts w:eastAsia="EUAlbertina-Bold-Identity-H" w:cs="Times New Roman"/>
          <w:color w:val="000000" w:themeColor="text1"/>
          <w:sz w:val="28"/>
          <w:szCs w:val="28"/>
          <w:lang w:eastAsia="lv-LV"/>
        </w:rPr>
        <w:t xml:space="preserve"> vadošā iestāde</w:t>
      </w:r>
    </w:p>
    <w:p w14:paraId="5CE4D39D" w14:textId="10CA851E" w:rsidR="00376C9E" w:rsidRPr="00E94DEB" w:rsidRDefault="00376C9E" w:rsidP="0075302D">
      <w:pPr>
        <w:tabs>
          <w:tab w:val="left" w:pos="993"/>
          <w:tab w:val="left" w:pos="2127"/>
        </w:tabs>
        <w:ind w:left="2127" w:hanging="2127"/>
        <w:rPr>
          <w:rFonts w:eastAsia="EUAlbertina-Bold-Identity-H" w:cs="Times New Roman"/>
          <w:color w:val="000000" w:themeColor="text1"/>
          <w:sz w:val="28"/>
          <w:szCs w:val="28"/>
          <w:lang w:eastAsia="lv-LV"/>
        </w:rPr>
      </w:pPr>
      <w:r>
        <w:rPr>
          <w:rFonts w:eastAsia="EUAlbertina-Bold-Identity-H" w:cs="Times New Roman"/>
          <w:color w:val="000000" w:themeColor="text1"/>
          <w:sz w:val="28"/>
          <w:szCs w:val="28"/>
          <w:lang w:eastAsia="lv-LV"/>
        </w:rPr>
        <w:t>VIAA</w:t>
      </w:r>
      <w:r>
        <w:rPr>
          <w:rFonts w:eastAsia="EUAlbertina-Bold-Identity-H" w:cs="Times New Roman"/>
          <w:color w:val="000000" w:themeColor="text1"/>
          <w:sz w:val="28"/>
          <w:szCs w:val="28"/>
          <w:lang w:eastAsia="lv-LV"/>
        </w:rPr>
        <w:tab/>
      </w:r>
      <w:r w:rsidR="00B76345">
        <w:rPr>
          <w:rFonts w:eastAsia="EUAlbertina-Bold-Identity-H" w:cs="Times New Roman"/>
          <w:color w:val="000000" w:themeColor="text1"/>
          <w:sz w:val="28"/>
          <w:szCs w:val="28"/>
          <w:lang w:eastAsia="lv-LV"/>
        </w:rPr>
        <w:t xml:space="preserve">    </w:t>
      </w:r>
      <w:r>
        <w:rPr>
          <w:rFonts w:eastAsia="EUAlbertina-Bold-Identity-H" w:cs="Times New Roman"/>
          <w:color w:val="000000" w:themeColor="text1"/>
          <w:sz w:val="28"/>
          <w:szCs w:val="28"/>
          <w:lang w:eastAsia="lv-LV"/>
        </w:rPr>
        <w:t>-</w:t>
      </w:r>
      <w:r>
        <w:rPr>
          <w:rFonts w:eastAsia="EUAlbertina-Bold-Identity-H" w:cs="Times New Roman"/>
          <w:color w:val="000000" w:themeColor="text1"/>
          <w:sz w:val="28"/>
          <w:szCs w:val="28"/>
          <w:lang w:eastAsia="lv-LV"/>
        </w:rPr>
        <w:tab/>
        <w:t>Valsts izglītības attīstības aģentūra</w:t>
      </w:r>
    </w:p>
    <w:p w14:paraId="68AB6421" w14:textId="317B41EE" w:rsidR="00ED6D60" w:rsidRPr="00E94DEB" w:rsidRDefault="00ED6D60" w:rsidP="00942973">
      <w:pPr>
        <w:tabs>
          <w:tab w:val="left" w:pos="1276"/>
          <w:tab w:val="left" w:pos="2127"/>
        </w:tabs>
        <w:ind w:left="1275" w:hanging="1275"/>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VID</w:t>
      </w:r>
      <w:r w:rsidRPr="00E94DEB">
        <w:rPr>
          <w:rFonts w:eastAsia="EUAlbertina-Bold-Identity-H" w:cs="Times New Roman"/>
          <w:color w:val="000000" w:themeColor="text1"/>
          <w:sz w:val="28"/>
          <w:szCs w:val="28"/>
          <w:lang w:eastAsia="lv-LV"/>
        </w:rPr>
        <w:tab/>
        <w:t>-</w:t>
      </w:r>
      <w:r w:rsidRPr="00E94DEB">
        <w:rPr>
          <w:rFonts w:eastAsia="EUAlbertina-Bold-Identity-H" w:cs="Times New Roman"/>
          <w:color w:val="000000" w:themeColor="text1"/>
          <w:sz w:val="28"/>
          <w:szCs w:val="28"/>
          <w:lang w:eastAsia="lv-LV"/>
        </w:rPr>
        <w:tab/>
        <w:t>Valsts ieņēmumu dienests</w:t>
      </w:r>
    </w:p>
    <w:p w14:paraId="54911828" w14:textId="7824B69B" w:rsidR="00BB3EE9" w:rsidRPr="00E94DEB" w:rsidRDefault="00BB3EE9" w:rsidP="00942973">
      <w:pPr>
        <w:tabs>
          <w:tab w:val="left" w:pos="1276"/>
          <w:tab w:val="left" w:pos="2127"/>
        </w:tabs>
        <w:ind w:left="1275" w:hanging="1275"/>
        <w:rPr>
          <w:rFonts w:cs="Times New Roman"/>
          <w:color w:val="000000" w:themeColor="text1"/>
          <w:sz w:val="28"/>
          <w:szCs w:val="28"/>
        </w:rPr>
      </w:pPr>
      <w:r w:rsidRPr="00E94DEB">
        <w:rPr>
          <w:rFonts w:eastAsia="EUAlbertina-Bold-Identity-H" w:cs="Times New Roman"/>
          <w:color w:val="000000" w:themeColor="text1"/>
          <w:sz w:val="28"/>
          <w:szCs w:val="28"/>
          <w:lang w:eastAsia="lv-LV"/>
        </w:rPr>
        <w:t xml:space="preserve">VSIA </w:t>
      </w:r>
      <w:r w:rsidRPr="00E94DEB">
        <w:rPr>
          <w:rFonts w:eastAsia="EUAlbertina-Bold-Identity-H" w:cs="Times New Roman"/>
          <w:color w:val="000000" w:themeColor="text1"/>
          <w:sz w:val="28"/>
          <w:szCs w:val="28"/>
          <w:lang w:eastAsia="lv-LV"/>
        </w:rPr>
        <w:tab/>
        <w:t>-</w:t>
      </w:r>
      <w:r w:rsidRPr="00E94DEB">
        <w:rPr>
          <w:rFonts w:cs="Times New Roman"/>
          <w:color w:val="000000" w:themeColor="text1"/>
          <w:sz w:val="28"/>
          <w:szCs w:val="28"/>
        </w:rPr>
        <w:tab/>
        <w:t>Valsts sabiedrība ar ierobežotu atbildību</w:t>
      </w:r>
    </w:p>
    <w:p w14:paraId="337E4987" w14:textId="4127E8C5" w:rsidR="00E57C26" w:rsidRPr="00E94DEB" w:rsidRDefault="00E57C26" w:rsidP="00942973">
      <w:pPr>
        <w:tabs>
          <w:tab w:val="left" w:pos="1276"/>
          <w:tab w:val="left" w:pos="2127"/>
        </w:tabs>
        <w:ind w:left="1275" w:hanging="1275"/>
        <w:rPr>
          <w:rFonts w:cs="Times New Roman"/>
          <w:color w:val="000000" w:themeColor="text1"/>
          <w:sz w:val="28"/>
          <w:szCs w:val="28"/>
        </w:rPr>
      </w:pPr>
      <w:r w:rsidRPr="00E94DEB">
        <w:rPr>
          <w:rFonts w:eastAsia="EUAlbertina-Bold-Identity-H" w:cs="Times New Roman"/>
          <w:color w:val="000000" w:themeColor="text1"/>
          <w:sz w:val="28"/>
          <w:szCs w:val="28"/>
          <w:lang w:eastAsia="lv-LV"/>
        </w:rPr>
        <w:t>VSS</w:t>
      </w:r>
      <w:r w:rsidRPr="00E94DEB">
        <w:rPr>
          <w:rFonts w:eastAsia="EUAlbertina-Bold-Identity-H" w:cs="Times New Roman"/>
          <w:color w:val="000000" w:themeColor="text1"/>
          <w:sz w:val="28"/>
          <w:szCs w:val="28"/>
          <w:lang w:eastAsia="lv-LV"/>
        </w:rPr>
        <w:tab/>
        <w:t>-</w:t>
      </w:r>
      <w:r w:rsidRPr="00E94DEB">
        <w:rPr>
          <w:rFonts w:cs="Times New Roman"/>
          <w:color w:val="000000" w:themeColor="text1"/>
          <w:sz w:val="28"/>
          <w:szCs w:val="28"/>
        </w:rPr>
        <w:tab/>
        <w:t>Valsts sekretāru sanāksme</w:t>
      </w:r>
    </w:p>
    <w:p w14:paraId="037442A9" w14:textId="567D5335" w:rsidR="009C0862" w:rsidRPr="00E94DEB" w:rsidRDefault="009C0862"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VM</w:t>
      </w:r>
      <w:r w:rsidRPr="00E94DEB">
        <w:rPr>
          <w:rFonts w:eastAsia="EUAlbertina-Bold-Identity-H" w:cs="Times New Roman"/>
          <w:color w:val="000000" w:themeColor="text1"/>
          <w:sz w:val="28"/>
          <w:szCs w:val="28"/>
          <w:lang w:eastAsia="lv-LV"/>
        </w:rPr>
        <w:tab/>
        <w:t xml:space="preserve">- </w:t>
      </w:r>
      <w:r w:rsidRPr="00E94DEB">
        <w:rPr>
          <w:rFonts w:eastAsia="EUAlbertina-Bold-Identity-H" w:cs="Times New Roman"/>
          <w:color w:val="000000" w:themeColor="text1"/>
          <w:sz w:val="28"/>
          <w:szCs w:val="28"/>
          <w:lang w:eastAsia="lv-LV"/>
        </w:rPr>
        <w:tab/>
        <w:t>Veselības ministrija</w:t>
      </w:r>
    </w:p>
    <w:p w14:paraId="59AEB692" w14:textId="751B3F4B" w:rsidR="000E0D68" w:rsidRPr="00E94DEB" w:rsidRDefault="000E0D68" w:rsidP="00942973">
      <w:pPr>
        <w:tabs>
          <w:tab w:val="left" w:pos="1276"/>
          <w:tab w:val="left" w:pos="1418"/>
          <w:tab w:val="left" w:pos="2127"/>
        </w:tabs>
        <w:rPr>
          <w:rFonts w:eastAsia="EUAlbertina-Bold-Identity-H" w:cs="Times New Roman"/>
          <w:color w:val="000000" w:themeColor="text1"/>
          <w:sz w:val="28"/>
          <w:szCs w:val="28"/>
          <w:lang w:eastAsia="lv-LV"/>
        </w:rPr>
      </w:pPr>
      <w:r w:rsidRPr="00E94DEB">
        <w:rPr>
          <w:rFonts w:eastAsia="EUAlbertina-Bold-Identity-H" w:cs="Times New Roman"/>
          <w:color w:val="000000" w:themeColor="text1"/>
          <w:sz w:val="28"/>
          <w:szCs w:val="28"/>
          <w:lang w:eastAsia="lv-LV"/>
        </w:rPr>
        <w:t>ZM</w:t>
      </w:r>
      <w:r w:rsidRPr="00E94DEB">
        <w:rPr>
          <w:rFonts w:eastAsia="EUAlbertina-Bold-Identity-H" w:cs="Times New Roman"/>
          <w:color w:val="000000" w:themeColor="text1"/>
          <w:sz w:val="28"/>
          <w:szCs w:val="28"/>
          <w:lang w:eastAsia="lv-LV"/>
        </w:rPr>
        <w:tab/>
        <w:t>-</w:t>
      </w:r>
      <w:r w:rsidRPr="00E94DEB">
        <w:rPr>
          <w:rFonts w:eastAsia="EUAlbertina-Bold-Identity-H" w:cs="Times New Roman"/>
          <w:color w:val="000000" w:themeColor="text1"/>
          <w:sz w:val="28"/>
          <w:szCs w:val="28"/>
          <w:lang w:eastAsia="lv-LV"/>
        </w:rPr>
        <w:tab/>
      </w:r>
      <w:r w:rsidRPr="00E94DEB">
        <w:rPr>
          <w:rFonts w:eastAsia="EUAlbertina-Bold-Identity-H" w:cs="Times New Roman"/>
          <w:color w:val="000000" w:themeColor="text1"/>
          <w:sz w:val="28"/>
          <w:szCs w:val="28"/>
          <w:lang w:eastAsia="lv-LV"/>
        </w:rPr>
        <w:tab/>
        <w:t>Zemkopības ministrija</w:t>
      </w:r>
    </w:p>
    <w:p w14:paraId="169FC045" w14:textId="099FDC74" w:rsidR="00C17ABE" w:rsidRPr="00E94DEB" w:rsidRDefault="00C17ABE" w:rsidP="00942973">
      <w:pPr>
        <w:rPr>
          <w:rFonts w:eastAsia="EUAlbertina-Bold-Identity-H" w:cs="Times New Roman"/>
          <w:color w:val="000000" w:themeColor="text1"/>
          <w:sz w:val="28"/>
          <w:szCs w:val="28"/>
          <w:highlight w:val="yellow"/>
          <w:lang w:eastAsia="lv-LV"/>
        </w:rPr>
      </w:pPr>
      <w:r w:rsidRPr="00E94DEB">
        <w:rPr>
          <w:rFonts w:eastAsia="EUAlbertina-Bold-Identity-H" w:cs="Times New Roman"/>
          <w:color w:val="000000" w:themeColor="text1"/>
          <w:sz w:val="28"/>
          <w:szCs w:val="28"/>
          <w:highlight w:val="yellow"/>
          <w:lang w:eastAsia="lv-LV"/>
        </w:rPr>
        <w:br w:type="page"/>
      </w:r>
    </w:p>
    <w:p w14:paraId="1E2E1122" w14:textId="5DFD7642" w:rsidR="009C0862" w:rsidRPr="001D6218" w:rsidRDefault="002B6111" w:rsidP="00942973">
      <w:pPr>
        <w:pStyle w:val="1lmenis"/>
        <w:spacing w:line="240" w:lineRule="auto"/>
      </w:pPr>
      <w:bookmarkStart w:id="2" w:name="_Toc504564210"/>
      <w:r w:rsidRPr="001D6218">
        <w:lastRenderedPageBreak/>
        <w:t xml:space="preserve">1. </w:t>
      </w:r>
      <w:r w:rsidR="009C0862" w:rsidRPr="001D6218">
        <w:t>Kopsavilkums</w:t>
      </w:r>
      <w:bookmarkEnd w:id="2"/>
    </w:p>
    <w:p w14:paraId="317747E8" w14:textId="1945B0EB" w:rsidR="002B44AF" w:rsidRPr="00E94DEB" w:rsidRDefault="00F409E4" w:rsidP="00942973">
      <w:pPr>
        <w:spacing w:before="120" w:after="120"/>
        <w:ind w:firstLine="720"/>
        <w:jc w:val="both"/>
        <w:rPr>
          <w:rFonts w:cs="Times New Roman"/>
          <w:sz w:val="28"/>
          <w:szCs w:val="28"/>
          <w:highlight w:val="yellow"/>
          <w:lang w:eastAsia="lv-LV"/>
        </w:rPr>
      </w:pPr>
      <w:r w:rsidRPr="0007530A">
        <w:rPr>
          <w:rFonts w:cs="Times New Roman"/>
          <w:sz w:val="28"/>
          <w:szCs w:val="28"/>
          <w:lang w:eastAsia="lv-LV"/>
        </w:rPr>
        <w:t>2017.</w:t>
      </w:r>
      <w:r w:rsidR="00797560">
        <w:rPr>
          <w:rFonts w:cs="Times New Roman"/>
          <w:sz w:val="28"/>
          <w:szCs w:val="28"/>
          <w:lang w:eastAsia="lv-LV"/>
        </w:rPr>
        <w:t> </w:t>
      </w:r>
      <w:r>
        <w:rPr>
          <w:rFonts w:cs="Times New Roman"/>
          <w:sz w:val="28"/>
          <w:szCs w:val="28"/>
          <w:lang w:eastAsia="lv-LV"/>
        </w:rPr>
        <w:t>gada</w:t>
      </w:r>
      <w:r w:rsidRPr="0007530A">
        <w:rPr>
          <w:rFonts w:cs="Times New Roman"/>
          <w:sz w:val="28"/>
          <w:szCs w:val="28"/>
          <w:lang w:eastAsia="lv-LV"/>
        </w:rPr>
        <w:t xml:space="preserve"> </w:t>
      </w:r>
      <w:r>
        <w:rPr>
          <w:rFonts w:cs="Times New Roman"/>
          <w:sz w:val="28"/>
          <w:szCs w:val="28"/>
          <w:lang w:eastAsia="lv-LV"/>
        </w:rPr>
        <w:t xml:space="preserve">pirmajos trīs </w:t>
      </w:r>
      <w:r w:rsidR="007F3BF6">
        <w:rPr>
          <w:rFonts w:cs="Times New Roman"/>
          <w:sz w:val="28"/>
          <w:szCs w:val="28"/>
          <w:lang w:eastAsia="lv-LV"/>
        </w:rPr>
        <w:t>ceturkšņos</w:t>
      </w:r>
      <w:r w:rsidRPr="0007530A">
        <w:rPr>
          <w:rFonts w:cs="Times New Roman"/>
          <w:sz w:val="28"/>
          <w:szCs w:val="28"/>
          <w:lang w:eastAsia="lv-LV"/>
        </w:rPr>
        <w:t xml:space="preserve"> iekšzemes kopprodukta</w:t>
      </w:r>
      <w:r w:rsidR="00886E2F">
        <w:rPr>
          <w:rFonts w:cs="Times New Roman"/>
          <w:sz w:val="28"/>
          <w:szCs w:val="28"/>
          <w:lang w:eastAsia="lv-LV"/>
        </w:rPr>
        <w:t xml:space="preserve"> </w:t>
      </w:r>
      <w:r w:rsidRPr="0007530A">
        <w:rPr>
          <w:rFonts w:cs="Times New Roman"/>
          <w:sz w:val="28"/>
          <w:szCs w:val="28"/>
          <w:lang w:eastAsia="lv-LV"/>
        </w:rPr>
        <w:t>pieaugums ir kļuvis b</w:t>
      </w:r>
      <w:r>
        <w:rPr>
          <w:rFonts w:cs="Times New Roman"/>
          <w:sz w:val="28"/>
          <w:szCs w:val="28"/>
          <w:lang w:eastAsia="lv-LV"/>
        </w:rPr>
        <w:t>ūtiski straujāks, sasniedzot 4,7</w:t>
      </w:r>
      <w:r w:rsidR="00797560">
        <w:rPr>
          <w:rFonts w:cs="Times New Roman"/>
          <w:sz w:val="28"/>
          <w:szCs w:val="28"/>
          <w:lang w:eastAsia="lv-LV"/>
        </w:rPr>
        <w:t> </w:t>
      </w:r>
      <w:r w:rsidRPr="0007530A">
        <w:rPr>
          <w:rFonts w:cs="Times New Roman"/>
          <w:sz w:val="28"/>
          <w:szCs w:val="28"/>
          <w:lang w:eastAsia="lv-LV"/>
        </w:rPr>
        <w:t>%, salīdzinājumā ar 2,</w:t>
      </w:r>
      <w:r>
        <w:rPr>
          <w:rFonts w:cs="Times New Roman"/>
          <w:sz w:val="28"/>
          <w:szCs w:val="28"/>
          <w:lang w:eastAsia="lv-LV"/>
        </w:rPr>
        <w:t>1</w:t>
      </w:r>
      <w:r w:rsidR="00797560">
        <w:rPr>
          <w:rFonts w:cs="Times New Roman"/>
          <w:sz w:val="28"/>
          <w:szCs w:val="28"/>
          <w:lang w:eastAsia="lv-LV"/>
        </w:rPr>
        <w:t> </w:t>
      </w:r>
      <w:r w:rsidRPr="0007530A">
        <w:rPr>
          <w:rFonts w:cs="Times New Roman"/>
          <w:sz w:val="28"/>
          <w:szCs w:val="28"/>
          <w:lang w:eastAsia="lv-LV"/>
        </w:rPr>
        <w:t xml:space="preserve">% </w:t>
      </w:r>
      <w:r w:rsidRPr="00F842B9">
        <w:rPr>
          <w:rFonts w:cs="Times New Roman"/>
          <w:sz w:val="28"/>
          <w:szCs w:val="28"/>
          <w:lang w:eastAsia="lv-LV"/>
        </w:rPr>
        <w:t>izaugsmi 2016.</w:t>
      </w:r>
      <w:r w:rsidR="00797560">
        <w:rPr>
          <w:rFonts w:cs="Times New Roman"/>
          <w:sz w:val="28"/>
          <w:szCs w:val="28"/>
          <w:lang w:eastAsia="lv-LV"/>
        </w:rPr>
        <w:t> </w:t>
      </w:r>
      <w:r w:rsidRPr="00F842B9">
        <w:rPr>
          <w:rFonts w:cs="Times New Roman"/>
          <w:sz w:val="28"/>
          <w:szCs w:val="28"/>
          <w:lang w:eastAsia="lv-LV"/>
        </w:rPr>
        <w:t xml:space="preserve">gadā kopā. </w:t>
      </w:r>
      <w:r w:rsidRPr="00F842B9">
        <w:rPr>
          <w:rFonts w:cs="Times New Roman"/>
          <w:sz w:val="28"/>
          <w:szCs w:val="28"/>
        </w:rPr>
        <w:t>Pēc pašreizējā Finanšu ministrijas novērtējuma, aptuven</w:t>
      </w:r>
      <w:r w:rsidR="00797560">
        <w:rPr>
          <w:rFonts w:cs="Times New Roman"/>
          <w:sz w:val="28"/>
          <w:szCs w:val="28"/>
        </w:rPr>
        <w:t>i tāda pati ekonomikas izaugsme – </w:t>
      </w:r>
      <w:r w:rsidRPr="00F842B9">
        <w:rPr>
          <w:rFonts w:cs="Times New Roman"/>
          <w:sz w:val="28"/>
          <w:szCs w:val="28"/>
        </w:rPr>
        <w:t>4,7</w:t>
      </w:r>
      <w:r w:rsidR="00797560">
        <w:rPr>
          <w:rFonts w:cs="Times New Roman"/>
          <w:sz w:val="28"/>
          <w:szCs w:val="28"/>
        </w:rPr>
        <w:t> </w:t>
      </w:r>
      <w:r w:rsidRPr="00F842B9">
        <w:rPr>
          <w:rFonts w:cs="Times New Roman"/>
          <w:sz w:val="28"/>
          <w:szCs w:val="28"/>
        </w:rPr>
        <w:t>%, varētu būt bijusi arī 2017.</w:t>
      </w:r>
      <w:r w:rsidR="00797560">
        <w:rPr>
          <w:rFonts w:cs="Times New Roman"/>
          <w:sz w:val="28"/>
          <w:szCs w:val="28"/>
        </w:rPr>
        <w:t> </w:t>
      </w:r>
      <w:r w:rsidRPr="00F842B9">
        <w:rPr>
          <w:rFonts w:cs="Times New Roman"/>
          <w:sz w:val="28"/>
          <w:szCs w:val="28"/>
        </w:rPr>
        <w:t xml:space="preserve">gadā kopā. </w:t>
      </w:r>
      <w:r w:rsidRPr="0007530A">
        <w:rPr>
          <w:rFonts w:cs="Times New Roman"/>
          <w:sz w:val="28"/>
          <w:szCs w:val="28"/>
        </w:rPr>
        <w:t xml:space="preserve">Izaugsmes tempu </w:t>
      </w:r>
      <w:r>
        <w:rPr>
          <w:rFonts w:cs="Times New Roman"/>
          <w:sz w:val="28"/>
          <w:szCs w:val="28"/>
        </w:rPr>
        <w:t>paātrināšanos 2017</w:t>
      </w:r>
      <w:r w:rsidRPr="0007530A">
        <w:rPr>
          <w:rFonts w:cs="Times New Roman"/>
          <w:sz w:val="28"/>
          <w:szCs w:val="28"/>
        </w:rPr>
        <w:t>.</w:t>
      </w:r>
      <w:r w:rsidR="00797560">
        <w:rPr>
          <w:rFonts w:cs="Times New Roman"/>
          <w:sz w:val="28"/>
          <w:szCs w:val="28"/>
        </w:rPr>
        <w:t> </w:t>
      </w:r>
      <w:r w:rsidRPr="0007530A">
        <w:rPr>
          <w:rFonts w:cs="Times New Roman"/>
          <w:sz w:val="28"/>
          <w:szCs w:val="28"/>
        </w:rPr>
        <w:t>gadā</w:t>
      </w:r>
      <w:r>
        <w:rPr>
          <w:rFonts w:cs="Times New Roman"/>
          <w:sz w:val="28"/>
          <w:szCs w:val="28"/>
        </w:rPr>
        <w:t xml:space="preserve"> noteica</w:t>
      </w:r>
      <w:r w:rsidRPr="003E4F8E">
        <w:rPr>
          <w:rFonts w:cs="Times New Roman"/>
          <w:sz w:val="28"/>
          <w:szCs w:val="28"/>
        </w:rPr>
        <w:t xml:space="preserve"> labvēlīgā situācija ārējos tirgos, kā arī investīciju un būvniecības nozares straujā atgūšanās, ekonomikā straujāk ieplūstot ES fondu investīcijām.</w:t>
      </w:r>
      <w:r>
        <w:rPr>
          <w:rFonts w:cs="Times New Roman"/>
          <w:sz w:val="28"/>
          <w:szCs w:val="28"/>
        </w:rPr>
        <w:t xml:space="preserve"> Visbūtiskāko devumu ekonomikas izaugsmē 2017.</w:t>
      </w:r>
      <w:r w:rsidR="00797560">
        <w:rPr>
          <w:rFonts w:cs="Times New Roman"/>
          <w:sz w:val="28"/>
          <w:szCs w:val="28"/>
        </w:rPr>
        <w:t> </w:t>
      </w:r>
      <w:r>
        <w:rPr>
          <w:rFonts w:cs="Times New Roman"/>
          <w:sz w:val="28"/>
          <w:szCs w:val="28"/>
        </w:rPr>
        <w:t>gada trīs ceturkšņos deva investīcijas pamatkapitālā, kas salīdzinājumā ar 2016.</w:t>
      </w:r>
      <w:r w:rsidR="00797560">
        <w:rPr>
          <w:rFonts w:cs="Times New Roman"/>
          <w:sz w:val="28"/>
          <w:szCs w:val="28"/>
        </w:rPr>
        <w:t> </w:t>
      </w:r>
      <w:r>
        <w:rPr>
          <w:rFonts w:cs="Times New Roman"/>
          <w:sz w:val="28"/>
          <w:szCs w:val="28"/>
        </w:rPr>
        <w:t>gada attiecīgo periodu palielinājās par 18,4</w:t>
      </w:r>
      <w:r w:rsidR="00797560">
        <w:rPr>
          <w:rFonts w:cs="Times New Roman"/>
          <w:sz w:val="28"/>
          <w:szCs w:val="28"/>
        </w:rPr>
        <w:t> </w:t>
      </w:r>
      <w:r>
        <w:rPr>
          <w:rFonts w:cs="Times New Roman"/>
          <w:sz w:val="28"/>
          <w:szCs w:val="28"/>
        </w:rPr>
        <w:t>%. Strauji pieauga arī privātais patēriņš, sasniedzot 5,0</w:t>
      </w:r>
      <w:r w:rsidR="00797560">
        <w:rPr>
          <w:rFonts w:cs="Times New Roman"/>
          <w:sz w:val="28"/>
          <w:szCs w:val="28"/>
        </w:rPr>
        <w:t> </w:t>
      </w:r>
      <w:r>
        <w:rPr>
          <w:rFonts w:cs="Times New Roman"/>
          <w:sz w:val="28"/>
          <w:szCs w:val="28"/>
        </w:rPr>
        <w:t>% kāpumu, un preču un pakalpojumu eksports palielinājās par 4,3</w:t>
      </w:r>
      <w:r w:rsidR="00797560">
        <w:rPr>
          <w:rFonts w:cs="Times New Roman"/>
          <w:sz w:val="28"/>
          <w:szCs w:val="28"/>
        </w:rPr>
        <w:t> </w:t>
      </w:r>
      <w:r>
        <w:rPr>
          <w:rFonts w:cs="Times New Roman"/>
          <w:sz w:val="28"/>
          <w:szCs w:val="28"/>
        </w:rPr>
        <w:t>%.</w:t>
      </w:r>
    </w:p>
    <w:p w14:paraId="75D77689" w14:textId="32416E12" w:rsidR="001C171B" w:rsidRPr="00886E2F" w:rsidRDefault="00CB4470" w:rsidP="00942973">
      <w:pPr>
        <w:spacing w:before="120" w:after="120"/>
        <w:ind w:firstLine="709"/>
        <w:jc w:val="both"/>
        <w:rPr>
          <w:rFonts w:cs="Times New Roman"/>
          <w:sz w:val="28"/>
          <w:szCs w:val="28"/>
        </w:rPr>
      </w:pPr>
      <w:r w:rsidRPr="00886E2F">
        <w:rPr>
          <w:rFonts w:cs="Times New Roman"/>
          <w:b/>
          <w:sz w:val="28"/>
          <w:szCs w:val="28"/>
        </w:rPr>
        <w:t>Kohēzijas politikas ES fondu 2014. – 2020. gada plānošanas perioda ietvaros</w:t>
      </w:r>
      <w:r w:rsidRPr="00886E2F">
        <w:rPr>
          <w:rFonts w:cs="Times New Roman"/>
          <w:sz w:val="28"/>
          <w:szCs w:val="28"/>
        </w:rPr>
        <w:t xml:space="preserve"> </w:t>
      </w:r>
      <w:r w:rsidR="000D7B8A">
        <w:rPr>
          <w:rFonts w:cs="Times New Roman"/>
          <w:sz w:val="28"/>
          <w:szCs w:val="28"/>
        </w:rPr>
        <w:t>intensīvi</w:t>
      </w:r>
      <w:r w:rsidR="00385B09" w:rsidRPr="00886E2F">
        <w:rPr>
          <w:rFonts w:cs="Times New Roman"/>
          <w:sz w:val="28"/>
          <w:szCs w:val="28"/>
        </w:rPr>
        <w:t xml:space="preserve"> turpinās darbs pie </w:t>
      </w:r>
      <w:r w:rsidRPr="00886E2F">
        <w:rPr>
          <w:rFonts w:cs="Times New Roman"/>
          <w:sz w:val="28"/>
          <w:szCs w:val="28"/>
        </w:rPr>
        <w:t>projektu iesniegšan</w:t>
      </w:r>
      <w:r w:rsidR="009D0EC3" w:rsidRPr="00886E2F">
        <w:rPr>
          <w:rFonts w:cs="Times New Roman"/>
          <w:sz w:val="28"/>
          <w:szCs w:val="28"/>
        </w:rPr>
        <w:t>as</w:t>
      </w:r>
      <w:r w:rsidRPr="00886E2F">
        <w:rPr>
          <w:rFonts w:cs="Times New Roman"/>
          <w:sz w:val="28"/>
          <w:szCs w:val="28"/>
        </w:rPr>
        <w:t>, to vērtēšan</w:t>
      </w:r>
      <w:r w:rsidR="009D0EC3" w:rsidRPr="00886E2F">
        <w:rPr>
          <w:rFonts w:cs="Times New Roman"/>
          <w:sz w:val="28"/>
          <w:szCs w:val="28"/>
        </w:rPr>
        <w:t>as</w:t>
      </w:r>
      <w:r w:rsidRPr="00886E2F">
        <w:rPr>
          <w:rFonts w:cs="Times New Roman"/>
          <w:sz w:val="28"/>
          <w:szCs w:val="28"/>
        </w:rPr>
        <w:t>, kā arī līgumu slēgšan</w:t>
      </w:r>
      <w:r w:rsidR="009D0EC3" w:rsidRPr="00886E2F">
        <w:rPr>
          <w:rFonts w:cs="Times New Roman"/>
          <w:sz w:val="28"/>
          <w:szCs w:val="28"/>
        </w:rPr>
        <w:t>as</w:t>
      </w:r>
      <w:r w:rsidRPr="00886E2F">
        <w:rPr>
          <w:rFonts w:cs="Times New Roman"/>
          <w:sz w:val="28"/>
          <w:szCs w:val="28"/>
        </w:rPr>
        <w:t xml:space="preserve">. </w:t>
      </w:r>
      <w:r w:rsidR="009801EF" w:rsidRPr="00886E2F">
        <w:rPr>
          <w:rFonts w:cs="Times New Roman"/>
          <w:sz w:val="28"/>
          <w:szCs w:val="28"/>
        </w:rPr>
        <w:t xml:space="preserve">Projektu ieviešana jau notiek visās jomās un visos Latvijas reģionos. Praktiskās īstenošanas posms kļūst aktīvāks. </w:t>
      </w:r>
      <w:r w:rsidRPr="00886E2F">
        <w:rPr>
          <w:rFonts w:cs="Times New Roman"/>
          <w:sz w:val="28"/>
          <w:szCs w:val="28"/>
        </w:rPr>
        <w:t>Līdz 2017. gada 3</w:t>
      </w:r>
      <w:r w:rsidR="00886E2F">
        <w:rPr>
          <w:rFonts w:cs="Times New Roman"/>
          <w:sz w:val="28"/>
          <w:szCs w:val="28"/>
        </w:rPr>
        <w:t>1</w:t>
      </w:r>
      <w:r w:rsidRPr="00886E2F">
        <w:rPr>
          <w:rFonts w:cs="Times New Roman"/>
          <w:sz w:val="28"/>
          <w:szCs w:val="28"/>
        </w:rPr>
        <w:t>. </w:t>
      </w:r>
      <w:r w:rsidR="00886E2F">
        <w:rPr>
          <w:rFonts w:cs="Times New Roman"/>
          <w:sz w:val="28"/>
          <w:szCs w:val="28"/>
        </w:rPr>
        <w:t>decembrim</w:t>
      </w:r>
      <w:r w:rsidRPr="00886E2F">
        <w:rPr>
          <w:rFonts w:cs="Times New Roman"/>
          <w:sz w:val="28"/>
          <w:szCs w:val="28"/>
        </w:rPr>
        <w:t xml:space="preserve"> ir noslēgti </w:t>
      </w:r>
      <w:r w:rsidR="00692EDD">
        <w:rPr>
          <w:rFonts w:cs="Times New Roman"/>
          <w:sz w:val="28"/>
          <w:szCs w:val="28"/>
        </w:rPr>
        <w:t>704</w:t>
      </w:r>
      <w:r w:rsidR="000B5717">
        <w:rPr>
          <w:rFonts w:cs="Times New Roman"/>
          <w:sz w:val="28"/>
          <w:szCs w:val="28"/>
        </w:rPr>
        <w:t> </w:t>
      </w:r>
      <w:r w:rsidRPr="00886E2F">
        <w:rPr>
          <w:rFonts w:cs="Times New Roman"/>
          <w:sz w:val="28"/>
          <w:szCs w:val="28"/>
        </w:rPr>
        <w:t xml:space="preserve">projektu līgumi par </w:t>
      </w:r>
      <w:r w:rsidR="000D7B8A">
        <w:rPr>
          <w:rFonts w:cs="Times New Roman"/>
          <w:sz w:val="28"/>
          <w:szCs w:val="28"/>
        </w:rPr>
        <w:t>2,4</w:t>
      </w:r>
      <w:r w:rsidR="00530C5E" w:rsidRPr="00886E2F">
        <w:rPr>
          <w:rFonts w:cs="Times New Roman"/>
          <w:sz w:val="28"/>
          <w:szCs w:val="28"/>
        </w:rPr>
        <w:t> </w:t>
      </w:r>
      <w:r w:rsidRPr="00886E2F">
        <w:rPr>
          <w:rFonts w:cs="Times New Roman"/>
          <w:sz w:val="28"/>
          <w:szCs w:val="28"/>
        </w:rPr>
        <w:t>mljrd.</w:t>
      </w:r>
      <w:r w:rsidR="00530C5E" w:rsidRPr="00886E2F">
        <w:rPr>
          <w:rFonts w:cs="Times New Roman"/>
          <w:sz w:val="28"/>
          <w:szCs w:val="28"/>
        </w:rPr>
        <w:t> </w:t>
      </w:r>
      <w:r w:rsidRPr="00886E2F">
        <w:rPr>
          <w:rFonts w:cs="Times New Roman"/>
          <w:i/>
          <w:sz w:val="28"/>
          <w:szCs w:val="28"/>
        </w:rPr>
        <w:t>euro</w:t>
      </w:r>
      <w:r w:rsidRPr="00886E2F">
        <w:rPr>
          <w:rFonts w:cs="Times New Roman"/>
          <w:sz w:val="28"/>
          <w:szCs w:val="28"/>
        </w:rPr>
        <w:t xml:space="preserve"> ES fondu finansējuma, kas </w:t>
      </w:r>
      <w:r w:rsidR="00EF6CD8" w:rsidRPr="00886E2F">
        <w:rPr>
          <w:rFonts w:cs="Times New Roman"/>
          <w:sz w:val="28"/>
          <w:szCs w:val="28"/>
        </w:rPr>
        <w:t xml:space="preserve">ir </w:t>
      </w:r>
      <w:r w:rsidR="000D7B8A">
        <w:rPr>
          <w:rFonts w:cs="Times New Roman"/>
          <w:sz w:val="28"/>
          <w:szCs w:val="28"/>
        </w:rPr>
        <w:t>vairāk kā</w:t>
      </w:r>
      <w:r w:rsidR="00477774" w:rsidRPr="00886E2F">
        <w:rPr>
          <w:rFonts w:cs="Times New Roman"/>
          <w:sz w:val="28"/>
          <w:szCs w:val="28"/>
        </w:rPr>
        <w:t xml:space="preserve"> puse no kopējā plānošanas perioda ES finansējuma 4,4</w:t>
      </w:r>
      <w:r w:rsidR="00530C5E" w:rsidRPr="00886E2F">
        <w:rPr>
          <w:rFonts w:cs="Times New Roman"/>
          <w:sz w:val="28"/>
          <w:szCs w:val="28"/>
        </w:rPr>
        <w:t> </w:t>
      </w:r>
      <w:r w:rsidR="00477774" w:rsidRPr="00886E2F">
        <w:rPr>
          <w:rFonts w:cs="Times New Roman"/>
          <w:sz w:val="28"/>
          <w:szCs w:val="28"/>
        </w:rPr>
        <w:t>mljrd.</w:t>
      </w:r>
      <w:r w:rsidR="00530C5E" w:rsidRPr="00886E2F">
        <w:rPr>
          <w:rFonts w:cs="Times New Roman"/>
          <w:sz w:val="28"/>
          <w:szCs w:val="28"/>
        </w:rPr>
        <w:t> </w:t>
      </w:r>
      <w:r w:rsidR="00477774" w:rsidRPr="00886E2F">
        <w:rPr>
          <w:rFonts w:cs="Times New Roman"/>
          <w:i/>
          <w:sz w:val="28"/>
          <w:szCs w:val="28"/>
        </w:rPr>
        <w:t>euro</w:t>
      </w:r>
      <w:r w:rsidR="000D7B8A">
        <w:rPr>
          <w:rFonts w:cs="Times New Roman"/>
          <w:i/>
          <w:sz w:val="28"/>
          <w:szCs w:val="28"/>
        </w:rPr>
        <w:t xml:space="preserve"> </w:t>
      </w:r>
      <w:r w:rsidR="000D7B8A">
        <w:rPr>
          <w:b/>
          <w:sz w:val="28"/>
        </w:rPr>
        <w:t>–</w:t>
      </w:r>
      <w:r w:rsidR="000D7B8A" w:rsidRPr="00B077E5">
        <w:rPr>
          <w:b/>
          <w:sz w:val="28"/>
        </w:rPr>
        <w:t xml:space="preserve"> </w:t>
      </w:r>
      <w:r w:rsidR="000D7B8A">
        <w:rPr>
          <w:b/>
          <w:sz w:val="28"/>
        </w:rPr>
        <w:t xml:space="preserve">par vienu gadu ātrāk izpildīts </w:t>
      </w:r>
      <w:proofErr w:type="spellStart"/>
      <w:r w:rsidR="000D7B8A">
        <w:rPr>
          <w:b/>
          <w:sz w:val="28"/>
        </w:rPr>
        <w:t>M.Kučinska</w:t>
      </w:r>
      <w:proofErr w:type="spellEnd"/>
      <w:r w:rsidR="000D7B8A">
        <w:rPr>
          <w:b/>
          <w:sz w:val="28"/>
        </w:rPr>
        <w:t xml:space="preserve"> Valdības rīcības plāna uzdevums</w:t>
      </w:r>
      <w:r w:rsidR="000D7B8A">
        <w:rPr>
          <w:rStyle w:val="FootnoteReference"/>
          <w:b/>
          <w:sz w:val="28"/>
        </w:rPr>
        <w:footnoteReference w:id="2"/>
      </w:r>
      <w:r w:rsidR="00477774" w:rsidRPr="00886E2F">
        <w:rPr>
          <w:rFonts w:cs="Times New Roman"/>
          <w:i/>
          <w:sz w:val="28"/>
          <w:szCs w:val="28"/>
        </w:rPr>
        <w:t>.</w:t>
      </w:r>
      <w:r w:rsidR="00477774" w:rsidRPr="00886E2F">
        <w:rPr>
          <w:rFonts w:cs="Times New Roman"/>
          <w:sz w:val="28"/>
          <w:szCs w:val="28"/>
        </w:rPr>
        <w:t xml:space="preserve"> Tāpat ir jau </w:t>
      </w:r>
      <w:r w:rsidRPr="00886E2F">
        <w:rPr>
          <w:rFonts w:cs="Times New Roman"/>
          <w:sz w:val="28"/>
          <w:szCs w:val="28"/>
        </w:rPr>
        <w:t>pabeigti 1</w:t>
      </w:r>
      <w:r w:rsidR="000D7B8A">
        <w:rPr>
          <w:rFonts w:cs="Times New Roman"/>
          <w:sz w:val="28"/>
          <w:szCs w:val="28"/>
        </w:rPr>
        <w:t>9</w:t>
      </w:r>
      <w:r w:rsidR="00845F9E">
        <w:rPr>
          <w:rFonts w:cs="Times New Roman"/>
          <w:sz w:val="28"/>
          <w:szCs w:val="28"/>
        </w:rPr>
        <w:t> </w:t>
      </w:r>
      <w:r w:rsidRPr="00886E2F">
        <w:rPr>
          <w:rFonts w:cs="Times New Roman"/>
          <w:sz w:val="28"/>
          <w:szCs w:val="28"/>
        </w:rPr>
        <w:t xml:space="preserve">projekti par </w:t>
      </w:r>
      <w:r w:rsidR="000D7B8A">
        <w:rPr>
          <w:rFonts w:cs="Times New Roman"/>
          <w:sz w:val="28"/>
          <w:szCs w:val="28"/>
        </w:rPr>
        <w:t>102,5</w:t>
      </w:r>
      <w:r w:rsidR="00530C5E" w:rsidRPr="00886E2F">
        <w:rPr>
          <w:rFonts w:cs="Times New Roman"/>
          <w:sz w:val="28"/>
          <w:szCs w:val="28"/>
        </w:rPr>
        <w:t> </w:t>
      </w:r>
      <w:r w:rsidRPr="00886E2F">
        <w:rPr>
          <w:rFonts w:cs="Times New Roman"/>
          <w:sz w:val="28"/>
          <w:szCs w:val="28"/>
        </w:rPr>
        <w:t>milj.</w:t>
      </w:r>
      <w:r w:rsidR="00530C5E" w:rsidRPr="00886E2F">
        <w:rPr>
          <w:rFonts w:cs="Times New Roman"/>
          <w:sz w:val="28"/>
          <w:szCs w:val="28"/>
        </w:rPr>
        <w:t> </w:t>
      </w:r>
      <w:r w:rsidRPr="00886E2F">
        <w:rPr>
          <w:rFonts w:cs="Times New Roman"/>
          <w:i/>
          <w:sz w:val="28"/>
          <w:szCs w:val="28"/>
        </w:rPr>
        <w:t>euro</w:t>
      </w:r>
      <w:r w:rsidRPr="00886E2F">
        <w:rPr>
          <w:rFonts w:cs="Times New Roman"/>
          <w:sz w:val="28"/>
          <w:szCs w:val="28"/>
        </w:rPr>
        <w:t xml:space="preserve"> ES fondu finansējuma, galvenokārt transporta jomā. </w:t>
      </w:r>
      <w:r w:rsidR="001C171B">
        <w:rPr>
          <w:rFonts w:cs="Times New Roman"/>
          <w:sz w:val="28"/>
          <w:szCs w:val="28"/>
        </w:rPr>
        <w:t xml:space="preserve">2018.gads būs īpaši aktīvs ar Kohēzijas politikas projektu īstenošanu visos </w:t>
      </w:r>
      <w:r w:rsidR="00B62445">
        <w:rPr>
          <w:rFonts w:cs="Times New Roman"/>
          <w:sz w:val="28"/>
          <w:szCs w:val="28"/>
        </w:rPr>
        <w:t>L</w:t>
      </w:r>
      <w:r w:rsidR="001C171B">
        <w:rPr>
          <w:rFonts w:cs="Times New Roman"/>
          <w:sz w:val="28"/>
          <w:szCs w:val="28"/>
        </w:rPr>
        <w:t xml:space="preserve">atvijas reģionos un dažādās jomās. Tāpat 2018.gadā ir izaicinājums sasniegt darbības programmā paredzētos starpposma mērķus. Tādēļ kritiski svarīga loma ir pārdomātai projektu ieviešanas risku pārvaldībai un finanšu disciplīnai, ko ir plānots uzlabot un stiprināt visos līmeņos. </w:t>
      </w:r>
    </w:p>
    <w:p w14:paraId="5787A120" w14:textId="68D03327" w:rsidR="004A6AB9" w:rsidRDefault="00776D04" w:rsidP="00942973">
      <w:pPr>
        <w:shd w:val="clear" w:color="auto" w:fill="FFFFFF"/>
        <w:spacing w:beforeLines="50" w:before="120" w:after="120"/>
        <w:ind w:firstLine="720"/>
        <w:jc w:val="both"/>
        <w:rPr>
          <w:rFonts w:cs="Times New Roman"/>
          <w:color w:val="212121"/>
          <w:sz w:val="28"/>
          <w:szCs w:val="28"/>
          <w:shd w:val="clear" w:color="auto" w:fill="FFFFFF"/>
        </w:rPr>
      </w:pPr>
      <w:r w:rsidRPr="00886E2F">
        <w:rPr>
          <w:rFonts w:cs="Times New Roman"/>
          <w:sz w:val="28"/>
          <w:szCs w:val="28"/>
          <w:shd w:val="clear" w:color="auto" w:fill="FFFFFF"/>
        </w:rPr>
        <w:t xml:space="preserve">Lai nodrošinātu valdības un plašākas sabiedrības informētību par </w:t>
      </w:r>
      <w:r w:rsidR="00C64CAC" w:rsidRPr="00886E2F">
        <w:rPr>
          <w:rFonts w:cs="Times New Roman"/>
          <w:sz w:val="28"/>
          <w:szCs w:val="28"/>
          <w:shd w:val="clear" w:color="auto" w:fill="FFFFFF"/>
        </w:rPr>
        <w:t xml:space="preserve">Kohēzijas politikas </w:t>
      </w:r>
      <w:r w:rsidR="004A6AB9" w:rsidRPr="00886E2F">
        <w:rPr>
          <w:rFonts w:cs="Times New Roman"/>
          <w:sz w:val="28"/>
          <w:szCs w:val="28"/>
          <w:shd w:val="clear" w:color="auto" w:fill="FFFFFF"/>
        </w:rPr>
        <w:t xml:space="preserve">ES fondu </w:t>
      </w:r>
      <w:r w:rsidRPr="00886E2F">
        <w:rPr>
          <w:rFonts w:cs="Times New Roman"/>
          <w:sz w:val="28"/>
          <w:szCs w:val="28"/>
          <w:shd w:val="clear" w:color="auto" w:fill="FFFFFF"/>
        </w:rPr>
        <w:t>ieviešana</w:t>
      </w:r>
      <w:r w:rsidR="00185E05" w:rsidRPr="00886E2F">
        <w:rPr>
          <w:rFonts w:cs="Times New Roman"/>
          <w:sz w:val="28"/>
          <w:szCs w:val="28"/>
          <w:shd w:val="clear" w:color="auto" w:fill="FFFFFF"/>
        </w:rPr>
        <w:t>s</w:t>
      </w:r>
      <w:r w:rsidRPr="00886E2F">
        <w:rPr>
          <w:rFonts w:cs="Times New Roman"/>
          <w:sz w:val="28"/>
          <w:szCs w:val="28"/>
          <w:shd w:val="clear" w:color="auto" w:fill="FFFFFF"/>
        </w:rPr>
        <w:t xml:space="preserve"> gaitu</w:t>
      </w:r>
      <w:r w:rsidR="0019100E" w:rsidRPr="00886E2F">
        <w:rPr>
          <w:rFonts w:cs="Times New Roman"/>
          <w:sz w:val="28"/>
          <w:szCs w:val="28"/>
          <w:shd w:val="clear" w:color="auto" w:fill="FFFFFF"/>
        </w:rPr>
        <w:t xml:space="preserve"> un investīciju rezultātiem, kā arī, lai nodrošinātu iespējami efektīvāku publisko līdzekļu pārvaldību</w:t>
      </w:r>
      <w:r w:rsidRPr="00886E2F">
        <w:rPr>
          <w:rFonts w:cs="Times New Roman"/>
          <w:sz w:val="28"/>
          <w:szCs w:val="28"/>
          <w:shd w:val="clear" w:color="auto" w:fill="FFFFFF"/>
        </w:rPr>
        <w:t xml:space="preserve">, </w:t>
      </w:r>
      <w:r w:rsidR="00DA550E" w:rsidRPr="00886E2F">
        <w:rPr>
          <w:rFonts w:cs="Times New Roman"/>
          <w:sz w:val="28"/>
          <w:szCs w:val="28"/>
          <w:shd w:val="clear" w:color="auto" w:fill="FFFFFF"/>
        </w:rPr>
        <w:t>F</w:t>
      </w:r>
      <w:r w:rsidR="00980828" w:rsidRPr="00886E2F">
        <w:rPr>
          <w:rFonts w:cs="Times New Roman"/>
          <w:sz w:val="28"/>
          <w:szCs w:val="28"/>
          <w:shd w:val="clear" w:color="auto" w:fill="FFFFFF"/>
        </w:rPr>
        <w:t>inanšu ministrija</w:t>
      </w:r>
      <w:r w:rsidR="004A6AB9" w:rsidRPr="00886E2F">
        <w:rPr>
          <w:rFonts w:cs="Times New Roman"/>
          <w:sz w:val="28"/>
          <w:szCs w:val="28"/>
          <w:shd w:val="clear" w:color="auto" w:fill="FFFFFF"/>
        </w:rPr>
        <w:t xml:space="preserve"> </w:t>
      </w:r>
      <w:r w:rsidR="00C64CAC" w:rsidRPr="00886E2F">
        <w:rPr>
          <w:rFonts w:cs="Times New Roman"/>
          <w:sz w:val="28"/>
          <w:szCs w:val="28"/>
          <w:shd w:val="clear" w:color="auto" w:fill="FFFFFF"/>
        </w:rPr>
        <w:t>turpin</w:t>
      </w:r>
      <w:r w:rsidR="009D0EC3" w:rsidRPr="00886E2F">
        <w:rPr>
          <w:rFonts w:cs="Times New Roman"/>
          <w:sz w:val="28"/>
          <w:szCs w:val="28"/>
          <w:shd w:val="clear" w:color="auto" w:fill="FFFFFF"/>
        </w:rPr>
        <w:t>a</w:t>
      </w:r>
      <w:r w:rsidR="00C64CAC" w:rsidRPr="00886E2F">
        <w:rPr>
          <w:rFonts w:cs="Times New Roman"/>
          <w:sz w:val="28"/>
          <w:szCs w:val="28"/>
          <w:shd w:val="clear" w:color="auto" w:fill="FFFFFF"/>
        </w:rPr>
        <w:t xml:space="preserve"> </w:t>
      </w:r>
      <w:r w:rsidR="004A6AB9" w:rsidRPr="00886E2F">
        <w:rPr>
          <w:rFonts w:cs="Times New Roman"/>
          <w:sz w:val="28"/>
          <w:szCs w:val="28"/>
          <w:shd w:val="clear" w:color="auto" w:fill="FFFFFF"/>
        </w:rPr>
        <w:t>snie</w:t>
      </w:r>
      <w:r w:rsidR="00C64CAC" w:rsidRPr="00886E2F">
        <w:rPr>
          <w:rFonts w:cs="Times New Roman"/>
          <w:sz w:val="28"/>
          <w:szCs w:val="28"/>
          <w:shd w:val="clear" w:color="auto" w:fill="FFFFFF"/>
        </w:rPr>
        <w:t>gt</w:t>
      </w:r>
      <w:r w:rsidR="004A6AB9" w:rsidRPr="00886E2F">
        <w:rPr>
          <w:rFonts w:cs="Times New Roman"/>
          <w:sz w:val="28"/>
          <w:szCs w:val="28"/>
          <w:shd w:val="clear" w:color="auto" w:fill="FFFFFF"/>
        </w:rPr>
        <w:t xml:space="preserve"> </w:t>
      </w:r>
      <w:r w:rsidR="00DA550E" w:rsidRPr="00886E2F">
        <w:rPr>
          <w:rFonts w:cs="Times New Roman"/>
          <w:sz w:val="28"/>
          <w:szCs w:val="28"/>
          <w:shd w:val="clear" w:color="auto" w:fill="FFFFFF"/>
        </w:rPr>
        <w:t>M</w:t>
      </w:r>
      <w:r w:rsidR="00980828" w:rsidRPr="00886E2F">
        <w:rPr>
          <w:rFonts w:cs="Times New Roman"/>
          <w:sz w:val="28"/>
          <w:szCs w:val="28"/>
          <w:shd w:val="clear" w:color="auto" w:fill="FFFFFF"/>
        </w:rPr>
        <w:t>inistru kabinetā</w:t>
      </w:r>
      <w:r w:rsidR="004A6AB9" w:rsidRPr="00886E2F">
        <w:rPr>
          <w:rFonts w:cs="Times New Roman"/>
          <w:sz w:val="28"/>
          <w:szCs w:val="28"/>
          <w:shd w:val="clear" w:color="auto" w:fill="FFFFFF"/>
        </w:rPr>
        <w:t xml:space="preserve"> ikmēneša operatīvo informāciju </w:t>
      </w:r>
      <w:r w:rsidR="008C11B4" w:rsidRPr="00886E2F">
        <w:rPr>
          <w:rFonts w:cs="Times New Roman"/>
          <w:sz w:val="28"/>
          <w:szCs w:val="28"/>
          <w:shd w:val="clear" w:color="auto" w:fill="FFFFFF"/>
        </w:rPr>
        <w:t xml:space="preserve">par </w:t>
      </w:r>
      <w:r w:rsidR="004A6AB9" w:rsidRPr="00886E2F">
        <w:rPr>
          <w:rFonts w:cs="Times New Roman"/>
          <w:sz w:val="28"/>
          <w:szCs w:val="28"/>
          <w:shd w:val="clear" w:color="auto" w:fill="FFFFFF"/>
        </w:rPr>
        <w:t>ieviešanas plānu izpildi, kā arī reizi pusgadā</w:t>
      </w:r>
      <w:r w:rsidR="00530C5E" w:rsidRPr="00886E2F">
        <w:rPr>
          <w:rFonts w:cs="Times New Roman"/>
          <w:sz w:val="28"/>
          <w:szCs w:val="28"/>
          <w:shd w:val="clear" w:color="auto" w:fill="FFFFFF"/>
        </w:rPr>
        <w:t> </w:t>
      </w:r>
      <w:r w:rsidR="004A6AB9" w:rsidRPr="00886E2F">
        <w:rPr>
          <w:rFonts w:cs="Times New Roman"/>
          <w:sz w:val="28"/>
          <w:szCs w:val="28"/>
          <w:shd w:val="clear" w:color="auto" w:fill="FFFFFF"/>
        </w:rPr>
        <w:t>- </w:t>
      </w:r>
      <w:r w:rsidR="00C64CAC" w:rsidRPr="00886E2F">
        <w:rPr>
          <w:rFonts w:cs="Times New Roman"/>
          <w:sz w:val="28"/>
          <w:szCs w:val="28"/>
          <w:shd w:val="clear" w:color="auto" w:fill="FFFFFF"/>
        </w:rPr>
        <w:t xml:space="preserve">plašāku </w:t>
      </w:r>
      <w:r w:rsidR="004A6AB9" w:rsidRPr="00886E2F">
        <w:rPr>
          <w:rFonts w:cs="Times New Roman"/>
          <w:sz w:val="28"/>
          <w:szCs w:val="28"/>
          <w:shd w:val="clear" w:color="auto" w:fill="FFFFFF"/>
        </w:rPr>
        <w:t>ziņojumu par investīciju progresu</w:t>
      </w:r>
      <w:r w:rsidR="00C64CAC" w:rsidRPr="00886E2F">
        <w:rPr>
          <w:rFonts w:cs="Times New Roman"/>
          <w:sz w:val="28"/>
          <w:szCs w:val="28"/>
          <w:shd w:val="clear" w:color="auto" w:fill="FFFFFF"/>
        </w:rPr>
        <w:t xml:space="preserve"> un risku novērtējumu</w:t>
      </w:r>
      <w:r w:rsidR="004A6AB9" w:rsidRPr="00886E2F">
        <w:rPr>
          <w:rFonts w:cs="Times New Roman"/>
          <w:sz w:val="28"/>
          <w:szCs w:val="28"/>
          <w:shd w:val="clear" w:color="auto" w:fill="FFFFFF"/>
        </w:rPr>
        <w:t>,</w:t>
      </w:r>
      <w:r w:rsidR="00C64CAC" w:rsidRPr="00886E2F">
        <w:rPr>
          <w:rFonts w:cs="Times New Roman"/>
          <w:sz w:val="28"/>
          <w:szCs w:val="28"/>
          <w:shd w:val="clear" w:color="auto" w:fill="FFFFFF"/>
        </w:rPr>
        <w:t xml:space="preserve"> nepieciešamības gadījumā </w:t>
      </w:r>
      <w:r w:rsidR="004A6AB9" w:rsidRPr="00886E2F">
        <w:rPr>
          <w:rFonts w:cs="Times New Roman"/>
          <w:sz w:val="28"/>
          <w:szCs w:val="28"/>
          <w:shd w:val="clear" w:color="auto" w:fill="FFFFFF"/>
        </w:rPr>
        <w:t>sniedzot priekšlikumus</w:t>
      </w:r>
      <w:r w:rsidR="00AE160D" w:rsidRPr="00886E2F">
        <w:rPr>
          <w:rStyle w:val="FootnoteReference"/>
          <w:rFonts w:cs="Times New Roman"/>
          <w:sz w:val="28"/>
          <w:szCs w:val="28"/>
          <w:shd w:val="clear" w:color="auto" w:fill="FFFFFF"/>
        </w:rPr>
        <w:footnoteReference w:id="3"/>
      </w:r>
      <w:r w:rsidR="004A6AB9" w:rsidRPr="00886E2F">
        <w:rPr>
          <w:rFonts w:cs="Times New Roman"/>
          <w:color w:val="212121"/>
          <w:sz w:val="28"/>
          <w:szCs w:val="28"/>
          <w:shd w:val="clear" w:color="auto" w:fill="FFFFFF"/>
        </w:rPr>
        <w:t>.</w:t>
      </w:r>
      <w:r w:rsidR="00BD3346" w:rsidRPr="00886E2F">
        <w:rPr>
          <w:rFonts w:cs="Times New Roman"/>
          <w:color w:val="212121"/>
          <w:sz w:val="28"/>
          <w:szCs w:val="28"/>
          <w:shd w:val="clear" w:color="auto" w:fill="FFFFFF"/>
        </w:rPr>
        <w:t xml:space="preserve"> </w:t>
      </w:r>
      <w:r w:rsidR="00BD3346" w:rsidRPr="00886E2F">
        <w:rPr>
          <w:rFonts w:cs="Times New Roman"/>
          <w:sz w:val="28"/>
          <w:szCs w:val="28"/>
          <w:shd w:val="clear" w:color="auto" w:fill="FFFFFF"/>
        </w:rPr>
        <w:t xml:space="preserve">Papildus </w:t>
      </w:r>
      <w:r w:rsidR="0019100E" w:rsidRPr="00886E2F">
        <w:rPr>
          <w:rFonts w:cs="Times New Roman"/>
          <w:sz w:val="28"/>
          <w:szCs w:val="28"/>
          <w:shd w:val="clear" w:color="auto" w:fill="FFFFFF"/>
        </w:rPr>
        <w:t xml:space="preserve">Finanšu ministrija </w:t>
      </w:r>
      <w:r w:rsidR="004A6AB9" w:rsidRPr="00886E2F">
        <w:rPr>
          <w:rFonts w:cs="Times New Roman"/>
          <w:sz w:val="28"/>
          <w:szCs w:val="28"/>
          <w:shd w:val="clear" w:color="auto" w:fill="FFFFFF"/>
        </w:rPr>
        <w:t xml:space="preserve">katru </w:t>
      </w:r>
      <w:r w:rsidR="00B568EF" w:rsidRPr="00886E2F">
        <w:rPr>
          <w:rFonts w:cs="Times New Roman"/>
          <w:sz w:val="28"/>
          <w:szCs w:val="28"/>
          <w:shd w:val="clear" w:color="auto" w:fill="FFFFFF"/>
        </w:rPr>
        <w:t>mēnesi iesniedz</w:t>
      </w:r>
      <w:r w:rsidR="00C536F5" w:rsidRPr="00886E2F">
        <w:rPr>
          <w:rFonts w:cs="Times New Roman"/>
          <w:sz w:val="28"/>
          <w:szCs w:val="28"/>
          <w:shd w:val="clear" w:color="auto" w:fill="FFFFFF"/>
        </w:rPr>
        <w:t xml:space="preserve"> </w:t>
      </w:r>
      <w:r w:rsidR="004A6AB9" w:rsidRPr="00886E2F">
        <w:rPr>
          <w:rFonts w:cs="Times New Roman"/>
          <w:sz w:val="28"/>
          <w:szCs w:val="28"/>
          <w:shd w:val="clear" w:color="auto" w:fill="FFFFFF"/>
        </w:rPr>
        <w:t xml:space="preserve">pārskatus par ES fondu investīciju progresu Saeimas </w:t>
      </w:r>
      <w:r w:rsidR="00AB5986" w:rsidRPr="00886E2F">
        <w:rPr>
          <w:rFonts w:cs="Times New Roman"/>
          <w:sz w:val="28"/>
          <w:szCs w:val="28"/>
          <w:shd w:val="clear" w:color="auto" w:fill="FFFFFF"/>
        </w:rPr>
        <w:t xml:space="preserve">Tautsaimniecības, </w:t>
      </w:r>
      <w:r w:rsidR="00AB5986" w:rsidRPr="00886E2F">
        <w:rPr>
          <w:rFonts w:cs="Times New Roman"/>
          <w:bCs/>
          <w:sz w:val="28"/>
          <w:szCs w:val="28"/>
          <w:shd w:val="clear" w:color="auto" w:fill="FFFFFF"/>
        </w:rPr>
        <w:t>agrārās, vides un reģionālās politikas komisijai</w:t>
      </w:r>
      <w:r w:rsidR="00AB5986" w:rsidRPr="00886E2F">
        <w:rPr>
          <w:rStyle w:val="FootnoteReference"/>
          <w:rFonts w:cs="Times New Roman"/>
          <w:bCs/>
          <w:sz w:val="28"/>
          <w:szCs w:val="28"/>
          <w:shd w:val="clear" w:color="auto" w:fill="FFFFFF"/>
        </w:rPr>
        <w:footnoteReference w:id="4"/>
      </w:r>
      <w:r w:rsidR="00AB5986" w:rsidRPr="00886E2F">
        <w:rPr>
          <w:rFonts w:cs="Times New Roman"/>
          <w:sz w:val="28"/>
          <w:szCs w:val="28"/>
          <w:shd w:val="clear" w:color="auto" w:fill="FFFFFF"/>
        </w:rPr>
        <w:t>, kā arī ceturkšņa pārskatus</w:t>
      </w:r>
      <w:r w:rsidR="00530C5E" w:rsidRPr="00886E2F">
        <w:rPr>
          <w:rFonts w:cs="Times New Roman"/>
          <w:sz w:val="28"/>
          <w:szCs w:val="28"/>
          <w:shd w:val="clear" w:color="auto" w:fill="FFFFFF"/>
        </w:rPr>
        <w:t> </w:t>
      </w:r>
      <w:r w:rsidR="00845F9E">
        <w:rPr>
          <w:rFonts w:cs="Times New Roman"/>
          <w:sz w:val="28"/>
          <w:szCs w:val="28"/>
          <w:shd w:val="clear" w:color="auto" w:fill="FFFFFF"/>
        </w:rPr>
        <w:t>–</w:t>
      </w:r>
      <w:r w:rsidR="00530C5E" w:rsidRPr="00886E2F">
        <w:rPr>
          <w:rFonts w:cs="Times New Roman"/>
          <w:sz w:val="28"/>
          <w:szCs w:val="28"/>
          <w:shd w:val="clear" w:color="auto" w:fill="FFFFFF"/>
        </w:rPr>
        <w:t> </w:t>
      </w:r>
      <w:r w:rsidR="00AB5986" w:rsidRPr="00886E2F">
        <w:rPr>
          <w:rFonts w:cs="Times New Roman"/>
          <w:sz w:val="28"/>
          <w:szCs w:val="28"/>
          <w:shd w:val="clear" w:color="auto" w:fill="FFFFFF"/>
        </w:rPr>
        <w:t xml:space="preserve">Saeimas </w:t>
      </w:r>
      <w:r w:rsidR="004A6AB9" w:rsidRPr="00886E2F">
        <w:rPr>
          <w:rFonts w:cs="Times New Roman"/>
          <w:sz w:val="28"/>
          <w:szCs w:val="28"/>
          <w:shd w:val="clear" w:color="auto" w:fill="FFFFFF"/>
        </w:rPr>
        <w:t>Publisko izdevumu un revīzijas komisijai</w:t>
      </w:r>
      <w:r w:rsidR="00AE160D" w:rsidRPr="00886E2F">
        <w:rPr>
          <w:rStyle w:val="FootnoteReference"/>
          <w:rFonts w:cs="Times New Roman"/>
          <w:sz w:val="28"/>
          <w:szCs w:val="28"/>
          <w:shd w:val="clear" w:color="auto" w:fill="FFFFFF"/>
        </w:rPr>
        <w:footnoteReference w:id="5"/>
      </w:r>
      <w:r w:rsidR="002C171C" w:rsidRPr="00886E2F">
        <w:rPr>
          <w:rFonts w:cs="Times New Roman"/>
          <w:color w:val="212121"/>
          <w:sz w:val="28"/>
          <w:szCs w:val="28"/>
          <w:shd w:val="clear" w:color="auto" w:fill="FFFFFF"/>
        </w:rPr>
        <w:t>, vienlaikus informējot arī Saeimas Eiropas lietu komisiju un Saeimas Budžeta</w:t>
      </w:r>
      <w:r w:rsidR="00DA550E" w:rsidRPr="00886E2F">
        <w:rPr>
          <w:rFonts w:cs="Times New Roman"/>
          <w:color w:val="212121"/>
          <w:sz w:val="28"/>
          <w:szCs w:val="28"/>
          <w:shd w:val="clear" w:color="auto" w:fill="FFFFFF"/>
        </w:rPr>
        <w:t xml:space="preserve"> un finanšu</w:t>
      </w:r>
      <w:r w:rsidR="002C171C" w:rsidRPr="00886E2F">
        <w:rPr>
          <w:rFonts w:cs="Times New Roman"/>
          <w:color w:val="212121"/>
          <w:sz w:val="28"/>
          <w:szCs w:val="28"/>
          <w:shd w:val="clear" w:color="auto" w:fill="FFFFFF"/>
        </w:rPr>
        <w:t xml:space="preserve"> komisiju</w:t>
      </w:r>
      <w:r w:rsidR="00DA550E" w:rsidRPr="00886E2F">
        <w:rPr>
          <w:rFonts w:cs="Times New Roman"/>
          <w:color w:val="212121"/>
          <w:sz w:val="28"/>
          <w:szCs w:val="28"/>
          <w:shd w:val="clear" w:color="auto" w:fill="FFFFFF"/>
        </w:rPr>
        <w:t>.</w:t>
      </w:r>
      <w:r w:rsidR="004A6AB9" w:rsidRPr="00886E2F">
        <w:rPr>
          <w:rFonts w:cs="Times New Roman"/>
          <w:color w:val="212121"/>
          <w:sz w:val="28"/>
          <w:szCs w:val="28"/>
          <w:shd w:val="clear" w:color="auto" w:fill="FFFFFF"/>
        </w:rPr>
        <w:t xml:space="preserve"> </w:t>
      </w:r>
    </w:p>
    <w:p w14:paraId="61428528" w14:textId="5FFEE18C" w:rsidR="0012328A" w:rsidRDefault="0012328A" w:rsidP="00942973">
      <w:pPr>
        <w:shd w:val="clear" w:color="auto" w:fill="FFFFFF"/>
        <w:spacing w:beforeLines="50" w:before="120" w:after="120"/>
        <w:ind w:firstLine="720"/>
        <w:jc w:val="both"/>
        <w:rPr>
          <w:rFonts w:cs="Times New Roman"/>
          <w:sz w:val="28"/>
          <w:szCs w:val="28"/>
          <w:shd w:val="clear" w:color="auto" w:fill="FFFFFF"/>
        </w:rPr>
      </w:pPr>
      <w:r w:rsidRPr="0062255B">
        <w:rPr>
          <w:rFonts w:cs="Times New Roman"/>
          <w:sz w:val="28"/>
          <w:szCs w:val="28"/>
          <w:shd w:val="clear" w:color="auto" w:fill="FFFFFF"/>
        </w:rPr>
        <w:lastRenderedPageBreak/>
        <w:t xml:space="preserve">Ziņojumā </w:t>
      </w:r>
      <w:r w:rsidR="00FB7573" w:rsidRPr="0062255B">
        <w:rPr>
          <w:rFonts w:cs="Times New Roman"/>
          <w:sz w:val="28"/>
          <w:szCs w:val="28"/>
          <w:shd w:val="clear" w:color="auto" w:fill="FFFFFF"/>
        </w:rPr>
        <w:t xml:space="preserve">ir izmantoti </w:t>
      </w:r>
      <w:r w:rsidR="00921D77" w:rsidRPr="0062255B">
        <w:rPr>
          <w:rFonts w:cs="Times New Roman"/>
          <w:sz w:val="28"/>
          <w:szCs w:val="28"/>
          <w:shd w:val="clear" w:color="auto" w:fill="FFFFFF"/>
        </w:rPr>
        <w:t>specifisko atbalsta mērķu</w:t>
      </w:r>
      <w:r w:rsidR="00C223C1" w:rsidRPr="0062255B">
        <w:rPr>
          <w:rFonts w:cs="Times New Roman"/>
          <w:sz w:val="28"/>
          <w:szCs w:val="28"/>
          <w:shd w:val="clear" w:color="auto" w:fill="FFFFFF"/>
        </w:rPr>
        <w:t xml:space="preserve"> un to pasākumu</w:t>
      </w:r>
      <w:r w:rsidR="00921D77" w:rsidRPr="0062255B">
        <w:rPr>
          <w:rFonts w:cs="Times New Roman"/>
          <w:sz w:val="28"/>
          <w:szCs w:val="28"/>
          <w:shd w:val="clear" w:color="auto" w:fill="FFFFFF"/>
        </w:rPr>
        <w:t xml:space="preserve"> </w:t>
      </w:r>
      <w:r w:rsidRPr="0062255B">
        <w:rPr>
          <w:rFonts w:cs="Times New Roman"/>
          <w:sz w:val="28"/>
          <w:szCs w:val="28"/>
          <w:shd w:val="clear" w:color="auto" w:fill="FFFFFF"/>
        </w:rPr>
        <w:t>sa</w:t>
      </w:r>
      <w:r w:rsidR="00FB7573" w:rsidRPr="0062255B">
        <w:rPr>
          <w:rFonts w:cs="Times New Roman"/>
          <w:sz w:val="28"/>
          <w:szCs w:val="28"/>
          <w:shd w:val="clear" w:color="auto" w:fill="FFFFFF"/>
        </w:rPr>
        <w:t xml:space="preserve">īsinātie nosaukumi. Ar pilnajiem nosaukumiem un to saīsinātajiem nosaukumiem var iepazīties ES fondu </w:t>
      </w:r>
      <w:r w:rsidR="00F13A29" w:rsidRPr="0062255B">
        <w:rPr>
          <w:rFonts w:cs="Times New Roman"/>
          <w:sz w:val="28"/>
          <w:szCs w:val="28"/>
          <w:shd w:val="clear" w:color="auto" w:fill="FFFFFF"/>
        </w:rPr>
        <w:t>tīmekļa vietnē</w:t>
      </w:r>
      <w:r w:rsidR="00F13A29" w:rsidRPr="0062255B">
        <w:rPr>
          <w:rStyle w:val="FootnoteReference"/>
          <w:rFonts w:cs="Times New Roman"/>
          <w:sz w:val="28"/>
          <w:szCs w:val="28"/>
          <w:shd w:val="clear" w:color="auto" w:fill="FFFFFF"/>
        </w:rPr>
        <w:footnoteReference w:id="6"/>
      </w:r>
      <w:r w:rsidR="00F13A29" w:rsidRPr="0062255B">
        <w:rPr>
          <w:rFonts w:cs="Times New Roman"/>
          <w:sz w:val="28"/>
          <w:szCs w:val="28"/>
          <w:shd w:val="clear" w:color="auto" w:fill="FFFFFF"/>
        </w:rPr>
        <w:t>.</w:t>
      </w:r>
    </w:p>
    <w:p w14:paraId="501FA2DB" w14:textId="255FC760" w:rsidR="00EC3315" w:rsidRPr="0062255B" w:rsidRDefault="00EC3315" w:rsidP="00EC3315">
      <w:pPr>
        <w:autoSpaceDE w:val="0"/>
        <w:autoSpaceDN w:val="0"/>
        <w:adjustRightInd w:val="0"/>
        <w:spacing w:before="120" w:after="120"/>
        <w:jc w:val="both"/>
        <w:rPr>
          <w:rFonts w:cs="Times New Roman"/>
          <w:sz w:val="28"/>
          <w:szCs w:val="28"/>
          <w:shd w:val="clear" w:color="auto" w:fill="FFFFFF"/>
        </w:rPr>
      </w:pPr>
      <w:r>
        <w:rPr>
          <w:rFonts w:eastAsia="Times New Roman" w:cs="Times New Roman"/>
          <w:color w:val="000000"/>
          <w:sz w:val="28"/>
          <w:szCs w:val="28"/>
          <w:lang w:eastAsia="lv-LV"/>
        </w:rPr>
        <w:t>Informatīvajā ziņojumā ir iekļauta arī informācija par EEZ/Norvēģijas finanšu instrumentu un Šveices programmas ieviešanu.</w:t>
      </w:r>
    </w:p>
    <w:p w14:paraId="69CDD165" w14:textId="6EACF693" w:rsidR="006273E4" w:rsidRPr="00107088" w:rsidRDefault="006273E4" w:rsidP="00942973">
      <w:pPr>
        <w:pStyle w:val="Default"/>
        <w:spacing w:line="240" w:lineRule="auto"/>
        <w:ind w:firstLine="720"/>
        <w:rPr>
          <w:b/>
          <w:i/>
          <w:color w:val="auto"/>
          <w:sz w:val="28"/>
          <w:szCs w:val="28"/>
        </w:rPr>
      </w:pPr>
      <w:r w:rsidRPr="00107088">
        <w:rPr>
          <w:b/>
          <w:i/>
          <w:color w:val="auto"/>
          <w:sz w:val="28"/>
          <w:szCs w:val="28"/>
        </w:rPr>
        <w:t>EEZ/Norvēģijas finanšu instrumentu un Šveices programmas ieviešana</w:t>
      </w:r>
    </w:p>
    <w:p w14:paraId="7CE0E076" w14:textId="2C862FE1" w:rsidR="00F50606" w:rsidRPr="00107088" w:rsidRDefault="00F50606" w:rsidP="00942973">
      <w:pPr>
        <w:autoSpaceDE w:val="0"/>
        <w:autoSpaceDN w:val="0"/>
        <w:adjustRightInd w:val="0"/>
        <w:spacing w:before="120" w:after="120"/>
        <w:ind w:firstLine="720"/>
        <w:jc w:val="both"/>
        <w:rPr>
          <w:rFonts w:eastAsia="Times New Roman" w:cs="Times New Roman"/>
          <w:color w:val="000000"/>
          <w:sz w:val="28"/>
          <w:szCs w:val="28"/>
          <w:lang w:eastAsia="lv-LV"/>
        </w:rPr>
      </w:pPr>
      <w:r w:rsidRPr="00107088">
        <w:rPr>
          <w:rFonts w:eastAsia="Times New Roman" w:cs="Times New Roman"/>
          <w:color w:val="000000"/>
          <w:sz w:val="28"/>
          <w:szCs w:val="28"/>
          <w:lang w:eastAsia="lv-LV"/>
        </w:rPr>
        <w:t>2017. gada 31. decembrī Latvijā noslēdzās septiņas programmas, efektīvi investējot 67,6 milj.</w:t>
      </w:r>
      <w:r w:rsidRPr="00107088">
        <w:rPr>
          <w:rFonts w:eastAsia="Times New Roman" w:cs="Times New Roman"/>
          <w:i/>
          <w:color w:val="000000"/>
          <w:sz w:val="28"/>
          <w:szCs w:val="28"/>
          <w:lang w:eastAsia="lv-LV"/>
        </w:rPr>
        <w:t> euro</w:t>
      </w:r>
      <w:r w:rsidRPr="00107088">
        <w:rPr>
          <w:rFonts w:eastAsia="Times New Roman" w:cs="Times New Roman"/>
          <w:color w:val="000000"/>
          <w:sz w:val="28"/>
          <w:szCs w:val="28"/>
          <w:lang w:eastAsia="lv-LV"/>
        </w:rPr>
        <w:t xml:space="preserve"> tādās jomās kā klimata politika, pilsoniskā sabiedrība, kultūras mantojuma saglabāšana, pētniecība un stipendijas, inovācijas, pašvaldību kapacitātes stiprināšana un korekcijas dienestu reform</w:t>
      </w:r>
      <w:r w:rsidR="000D7B8A">
        <w:rPr>
          <w:rFonts w:eastAsia="Times New Roman" w:cs="Times New Roman"/>
          <w:color w:val="000000"/>
          <w:sz w:val="28"/>
          <w:szCs w:val="28"/>
          <w:lang w:eastAsia="lv-LV"/>
        </w:rPr>
        <w:t>ā</w:t>
      </w:r>
      <w:r w:rsidRPr="00107088">
        <w:rPr>
          <w:rFonts w:eastAsia="Times New Roman" w:cs="Times New Roman"/>
          <w:color w:val="000000"/>
          <w:sz w:val="28"/>
          <w:szCs w:val="28"/>
          <w:lang w:eastAsia="lv-LV"/>
        </w:rPr>
        <w:t>. Programmu ietvaros tika nozīmīgi stiprinātas divpusējās attiecības starp donorvalstīm un Latviju, kur gandrīz 35</w:t>
      </w:r>
      <w:r w:rsidR="00797560">
        <w:rPr>
          <w:rFonts w:eastAsia="Times New Roman" w:cs="Times New Roman"/>
          <w:color w:val="000000"/>
          <w:sz w:val="28"/>
          <w:szCs w:val="28"/>
          <w:lang w:eastAsia="lv-LV"/>
        </w:rPr>
        <w:t> </w:t>
      </w:r>
      <w:r w:rsidRPr="00107088">
        <w:rPr>
          <w:rFonts w:eastAsia="Times New Roman" w:cs="Times New Roman"/>
          <w:color w:val="000000"/>
          <w:sz w:val="28"/>
          <w:szCs w:val="28"/>
          <w:lang w:eastAsia="lv-LV"/>
        </w:rPr>
        <w:t>% no visiem programmās īstenotajiem projektiem notika sadarbībā ar donorvalstu partneriem.</w:t>
      </w:r>
    </w:p>
    <w:p w14:paraId="35C74B2F" w14:textId="3FF7BCB4" w:rsidR="00F50606" w:rsidRPr="00107088" w:rsidRDefault="00F50606" w:rsidP="00942973">
      <w:pPr>
        <w:autoSpaceDE w:val="0"/>
        <w:autoSpaceDN w:val="0"/>
        <w:adjustRightInd w:val="0"/>
        <w:spacing w:before="120" w:after="120"/>
        <w:ind w:firstLine="720"/>
        <w:jc w:val="both"/>
        <w:rPr>
          <w:rFonts w:eastAsia="Times New Roman" w:cs="Times New Roman"/>
          <w:color w:val="000000"/>
          <w:sz w:val="28"/>
          <w:szCs w:val="28"/>
          <w:lang w:eastAsia="lv-LV" w:bidi="lv-LV"/>
        </w:rPr>
      </w:pPr>
      <w:r w:rsidRPr="00107088">
        <w:rPr>
          <w:rFonts w:eastAsia="Times New Roman" w:cs="Times New Roman"/>
          <w:color w:val="000000"/>
          <w:sz w:val="28"/>
          <w:szCs w:val="28"/>
          <w:lang w:eastAsia="lv-LV"/>
        </w:rPr>
        <w:t>Paralēli 2009.</w:t>
      </w:r>
      <w:r w:rsidR="00797560">
        <w:rPr>
          <w:rFonts w:eastAsia="Times New Roman" w:cs="Times New Roman"/>
          <w:color w:val="000000"/>
          <w:sz w:val="28"/>
          <w:szCs w:val="28"/>
          <w:lang w:eastAsia="lv-LV"/>
        </w:rPr>
        <w:t> – </w:t>
      </w:r>
      <w:r w:rsidRPr="00107088">
        <w:rPr>
          <w:rFonts w:eastAsia="Times New Roman" w:cs="Times New Roman"/>
          <w:color w:val="000000"/>
          <w:sz w:val="28"/>
          <w:szCs w:val="28"/>
          <w:lang w:eastAsia="lv-LV"/>
        </w:rPr>
        <w:t>2014.</w:t>
      </w:r>
      <w:r w:rsidR="00797560">
        <w:rPr>
          <w:rFonts w:eastAsia="Times New Roman" w:cs="Times New Roman"/>
          <w:color w:val="000000"/>
          <w:sz w:val="28"/>
          <w:szCs w:val="28"/>
          <w:lang w:eastAsia="lv-LV"/>
        </w:rPr>
        <w:t> </w:t>
      </w:r>
      <w:r w:rsidRPr="00107088">
        <w:rPr>
          <w:rFonts w:eastAsia="Times New Roman" w:cs="Times New Roman"/>
          <w:color w:val="000000"/>
          <w:sz w:val="28"/>
          <w:szCs w:val="28"/>
          <w:lang w:eastAsia="lv-LV"/>
        </w:rPr>
        <w:t>gada perioda slēgšanai, 2017.</w:t>
      </w:r>
      <w:r w:rsidR="00797560">
        <w:rPr>
          <w:rFonts w:eastAsia="Times New Roman" w:cs="Times New Roman"/>
          <w:color w:val="000000"/>
          <w:sz w:val="28"/>
          <w:szCs w:val="28"/>
          <w:lang w:eastAsia="lv-LV"/>
        </w:rPr>
        <w:t> </w:t>
      </w:r>
      <w:r w:rsidRPr="00107088">
        <w:rPr>
          <w:rFonts w:eastAsia="Times New Roman" w:cs="Times New Roman"/>
          <w:color w:val="000000"/>
          <w:sz w:val="28"/>
          <w:szCs w:val="28"/>
          <w:lang w:eastAsia="lv-LV"/>
        </w:rPr>
        <w:t>gada 14.</w:t>
      </w:r>
      <w:r w:rsidR="00797560">
        <w:rPr>
          <w:rFonts w:eastAsia="Times New Roman" w:cs="Times New Roman"/>
          <w:color w:val="000000"/>
          <w:sz w:val="28"/>
          <w:szCs w:val="28"/>
          <w:lang w:eastAsia="lv-LV"/>
        </w:rPr>
        <w:t> </w:t>
      </w:r>
      <w:r w:rsidRPr="00107088">
        <w:rPr>
          <w:rFonts w:eastAsia="Times New Roman" w:cs="Times New Roman"/>
          <w:color w:val="000000"/>
          <w:sz w:val="28"/>
          <w:szCs w:val="28"/>
          <w:lang w:eastAsia="lv-LV"/>
        </w:rPr>
        <w:t xml:space="preserve">decembrī ar donorvalstu pārstāvjiem tika parakstīti Saprašanās </w:t>
      </w:r>
      <w:r w:rsidR="000A2999">
        <w:rPr>
          <w:rFonts w:eastAsia="Times New Roman" w:cs="Times New Roman"/>
          <w:color w:val="000000"/>
          <w:sz w:val="28"/>
          <w:szCs w:val="28"/>
          <w:lang w:eastAsia="lv-LV"/>
        </w:rPr>
        <w:t>m</w:t>
      </w:r>
      <w:r w:rsidRPr="00107088">
        <w:rPr>
          <w:rFonts w:eastAsia="Times New Roman" w:cs="Times New Roman"/>
          <w:color w:val="000000"/>
          <w:sz w:val="28"/>
          <w:szCs w:val="28"/>
          <w:lang w:eastAsia="lv-LV"/>
        </w:rPr>
        <w:t xml:space="preserve">emorandi par EEZ/Norvēģijas finanšu instrumentu 2014. – 2021. gada perioda ieviešanu, kur Latvijai </w:t>
      </w:r>
      <w:r w:rsidR="005256E0">
        <w:rPr>
          <w:rFonts w:eastAsia="Times New Roman" w:cs="Times New Roman"/>
          <w:color w:val="000000"/>
          <w:sz w:val="28"/>
          <w:szCs w:val="28"/>
          <w:lang w:eastAsia="lv-LV"/>
        </w:rPr>
        <w:t>8</w:t>
      </w:r>
      <w:r w:rsidR="00797560">
        <w:rPr>
          <w:rFonts w:eastAsia="Times New Roman" w:cs="Times New Roman"/>
          <w:color w:val="000000"/>
          <w:sz w:val="28"/>
          <w:szCs w:val="28"/>
          <w:lang w:eastAsia="lv-LV"/>
        </w:rPr>
        <w:t> </w:t>
      </w:r>
      <w:r w:rsidRPr="00107088">
        <w:rPr>
          <w:rFonts w:eastAsia="Times New Roman" w:cs="Times New Roman"/>
          <w:color w:val="000000"/>
          <w:sz w:val="28"/>
          <w:szCs w:val="28"/>
          <w:lang w:eastAsia="lv-LV"/>
        </w:rPr>
        <w:t>programmu ieviešanai pieejamais bruto finansējums ir 102,1 milj.</w:t>
      </w:r>
      <w:r w:rsidRPr="00107088">
        <w:rPr>
          <w:rFonts w:eastAsia="Times New Roman" w:cs="Times New Roman"/>
          <w:i/>
          <w:iCs/>
          <w:color w:val="000000"/>
          <w:sz w:val="28"/>
          <w:szCs w:val="28"/>
          <w:lang w:eastAsia="lv-LV"/>
        </w:rPr>
        <w:t> euro</w:t>
      </w:r>
      <w:r w:rsidRPr="00107088">
        <w:rPr>
          <w:rFonts w:eastAsia="Times New Roman" w:cs="Times New Roman"/>
          <w:iCs/>
          <w:color w:val="000000"/>
          <w:sz w:val="28"/>
          <w:szCs w:val="28"/>
          <w:lang w:eastAsia="lv-LV" w:bidi="lv-LV"/>
        </w:rPr>
        <w:t xml:space="preserve">. </w:t>
      </w:r>
      <w:r w:rsidR="007337A7">
        <w:rPr>
          <w:rFonts w:eastAsia="Times New Roman" w:cs="Times New Roman"/>
          <w:iCs/>
          <w:color w:val="000000"/>
          <w:sz w:val="28"/>
          <w:szCs w:val="28"/>
          <w:lang w:eastAsia="lv-LV" w:bidi="lv-LV"/>
        </w:rPr>
        <w:t>2018.gads būs īpaši aktīvs programmu izstrādē, lai turpmākos gadus Latvija varētu baudīt jaunu investīciju ieplūdumu fokusētās jomās un turpināt stiprināt bilaterālās attiecības ar donorvalstīm.</w:t>
      </w:r>
    </w:p>
    <w:p w14:paraId="399C14A1" w14:textId="34DD9B0F" w:rsidR="00F50606" w:rsidRDefault="007337A7" w:rsidP="00942973">
      <w:pPr>
        <w:autoSpaceDE w:val="0"/>
        <w:autoSpaceDN w:val="0"/>
        <w:adjustRightInd w:val="0"/>
        <w:spacing w:before="120" w:after="120"/>
        <w:ind w:firstLine="720"/>
        <w:jc w:val="both"/>
        <w:rPr>
          <w:rFonts w:eastAsia="Times New Roman" w:cs="Times New Roman"/>
          <w:color w:val="000000"/>
          <w:sz w:val="28"/>
          <w:szCs w:val="28"/>
          <w:lang w:eastAsia="lv-LV"/>
        </w:rPr>
      </w:pPr>
      <w:r>
        <w:rPr>
          <w:rFonts w:eastAsia="Times New Roman" w:cs="Times New Roman"/>
          <w:color w:val="000000"/>
          <w:sz w:val="28"/>
          <w:szCs w:val="28"/>
          <w:lang w:eastAsia="lv-LV"/>
        </w:rPr>
        <w:t xml:space="preserve">10 gadus ilgais </w:t>
      </w:r>
      <w:r w:rsidR="00F50606" w:rsidRPr="00107088">
        <w:rPr>
          <w:rFonts w:eastAsia="Times New Roman" w:cs="Times New Roman"/>
          <w:color w:val="000000"/>
          <w:sz w:val="28"/>
          <w:szCs w:val="28"/>
          <w:lang w:eastAsia="lv-LV"/>
        </w:rPr>
        <w:t>Šveices programma</w:t>
      </w:r>
      <w:r>
        <w:rPr>
          <w:rFonts w:eastAsia="Times New Roman" w:cs="Times New Roman"/>
          <w:color w:val="000000"/>
          <w:sz w:val="28"/>
          <w:szCs w:val="28"/>
          <w:lang w:eastAsia="lv-LV"/>
        </w:rPr>
        <w:t>s investīciju ieviešanas posms ir</w:t>
      </w:r>
      <w:r w:rsidR="00F50606" w:rsidRPr="00107088">
        <w:rPr>
          <w:rFonts w:eastAsia="Times New Roman" w:cs="Times New Roman"/>
          <w:color w:val="000000"/>
          <w:sz w:val="28"/>
          <w:szCs w:val="28"/>
          <w:lang w:eastAsia="lv-LV"/>
        </w:rPr>
        <w:t xml:space="preserve"> </w:t>
      </w:r>
      <w:r>
        <w:rPr>
          <w:rFonts w:eastAsia="Times New Roman" w:cs="Times New Roman"/>
          <w:color w:val="000000"/>
          <w:sz w:val="28"/>
          <w:szCs w:val="28"/>
          <w:lang w:eastAsia="lv-LV"/>
        </w:rPr>
        <w:t xml:space="preserve">sekmīgi </w:t>
      </w:r>
      <w:r w:rsidR="00F50606" w:rsidRPr="00107088">
        <w:rPr>
          <w:rFonts w:eastAsia="Times New Roman" w:cs="Times New Roman"/>
          <w:color w:val="000000"/>
          <w:sz w:val="28"/>
          <w:szCs w:val="28"/>
          <w:lang w:eastAsia="lv-LV"/>
        </w:rPr>
        <w:t>noslēgt</w:t>
      </w:r>
      <w:r>
        <w:rPr>
          <w:rFonts w:eastAsia="Times New Roman" w:cs="Times New Roman"/>
          <w:color w:val="000000"/>
          <w:sz w:val="28"/>
          <w:szCs w:val="28"/>
          <w:lang w:eastAsia="lv-LV"/>
        </w:rPr>
        <w:t xml:space="preserve">s. </w:t>
      </w:r>
      <w:r w:rsidRPr="00107088">
        <w:rPr>
          <w:rFonts w:eastAsia="Times New Roman" w:cs="Times New Roman"/>
          <w:color w:val="000000"/>
          <w:sz w:val="28"/>
          <w:szCs w:val="28"/>
          <w:lang w:eastAsia="lv-LV"/>
        </w:rPr>
        <w:t>Šveices kompetentās iestādes 2017.</w:t>
      </w:r>
      <w:r>
        <w:rPr>
          <w:rFonts w:eastAsia="Times New Roman" w:cs="Times New Roman"/>
          <w:color w:val="000000"/>
          <w:sz w:val="28"/>
          <w:szCs w:val="28"/>
          <w:lang w:eastAsia="lv-LV"/>
        </w:rPr>
        <w:t> </w:t>
      </w:r>
      <w:r w:rsidRPr="00107088">
        <w:rPr>
          <w:rFonts w:eastAsia="Times New Roman" w:cs="Times New Roman"/>
          <w:color w:val="000000"/>
          <w:sz w:val="28"/>
          <w:szCs w:val="28"/>
          <w:lang w:eastAsia="lv-LV"/>
        </w:rPr>
        <w:t>gada decembrī apstiprināja noslēguma ziņojumu</w:t>
      </w:r>
      <w:r>
        <w:rPr>
          <w:rFonts w:eastAsia="Times New Roman" w:cs="Times New Roman"/>
          <w:color w:val="000000"/>
          <w:sz w:val="28"/>
          <w:szCs w:val="28"/>
          <w:lang w:eastAsia="lv-LV"/>
        </w:rPr>
        <w:t xml:space="preserve">, atzinīgi novērtējot </w:t>
      </w:r>
      <w:r w:rsidR="00FE436B">
        <w:rPr>
          <w:rFonts w:eastAsia="Times New Roman" w:cs="Times New Roman"/>
          <w:color w:val="000000"/>
          <w:sz w:val="28"/>
          <w:szCs w:val="28"/>
          <w:lang w:eastAsia="lv-LV"/>
        </w:rPr>
        <w:t xml:space="preserve">programmas mērķu un </w:t>
      </w:r>
      <w:r>
        <w:rPr>
          <w:rFonts w:eastAsia="Times New Roman" w:cs="Times New Roman"/>
          <w:color w:val="000000"/>
          <w:sz w:val="28"/>
          <w:szCs w:val="28"/>
          <w:lang w:eastAsia="lv-LV"/>
        </w:rPr>
        <w:t>investīciju rezultātu</w:t>
      </w:r>
      <w:r w:rsidR="00FE436B">
        <w:rPr>
          <w:rFonts w:eastAsia="Times New Roman" w:cs="Times New Roman"/>
          <w:color w:val="000000"/>
          <w:sz w:val="28"/>
          <w:szCs w:val="28"/>
          <w:lang w:eastAsia="lv-LV"/>
        </w:rPr>
        <w:t xml:space="preserve"> sasniegšanu, kā arī abpusējus ieguvumus no </w:t>
      </w:r>
      <w:r>
        <w:rPr>
          <w:rFonts w:eastAsia="Times New Roman" w:cs="Times New Roman"/>
          <w:color w:val="000000"/>
          <w:sz w:val="28"/>
          <w:szCs w:val="28"/>
          <w:lang w:eastAsia="lv-LV"/>
        </w:rPr>
        <w:t>bilaterālo attiecību</w:t>
      </w:r>
      <w:r w:rsidR="00FE436B">
        <w:rPr>
          <w:rFonts w:eastAsia="Times New Roman" w:cs="Times New Roman"/>
          <w:color w:val="000000"/>
          <w:sz w:val="28"/>
          <w:szCs w:val="28"/>
          <w:lang w:eastAsia="lv-LV"/>
        </w:rPr>
        <w:t xml:space="preserve"> veicināšanas pasākumiem</w:t>
      </w:r>
      <w:r w:rsidR="00F50606" w:rsidRPr="00107088">
        <w:rPr>
          <w:rFonts w:eastAsia="Times New Roman" w:cs="Times New Roman"/>
          <w:color w:val="000000"/>
          <w:sz w:val="28"/>
          <w:szCs w:val="28"/>
          <w:lang w:eastAsia="lv-LV"/>
        </w:rPr>
        <w:t xml:space="preserve">. Šveices programmā kopumā </w:t>
      </w:r>
      <w:r>
        <w:rPr>
          <w:rFonts w:eastAsia="Times New Roman" w:cs="Times New Roman"/>
          <w:color w:val="000000"/>
          <w:sz w:val="28"/>
          <w:szCs w:val="28"/>
          <w:lang w:eastAsia="lv-LV"/>
        </w:rPr>
        <w:t xml:space="preserve">sekmīgi </w:t>
      </w:r>
      <w:r w:rsidR="00F50606" w:rsidRPr="00107088">
        <w:rPr>
          <w:rFonts w:eastAsia="Times New Roman" w:cs="Times New Roman"/>
          <w:color w:val="000000"/>
          <w:sz w:val="28"/>
          <w:szCs w:val="28"/>
          <w:lang w:eastAsia="lv-LV"/>
        </w:rPr>
        <w:t>īstenoti 10</w:t>
      </w:r>
      <w:r w:rsidR="00797560">
        <w:rPr>
          <w:rFonts w:eastAsia="Times New Roman" w:cs="Times New Roman"/>
          <w:color w:val="000000"/>
          <w:sz w:val="28"/>
          <w:szCs w:val="28"/>
          <w:lang w:eastAsia="lv-LV"/>
        </w:rPr>
        <w:t> </w:t>
      </w:r>
      <w:r w:rsidR="00F50606" w:rsidRPr="00107088">
        <w:rPr>
          <w:rFonts w:eastAsia="Times New Roman" w:cs="Times New Roman"/>
          <w:color w:val="000000"/>
          <w:sz w:val="28"/>
          <w:szCs w:val="28"/>
          <w:lang w:eastAsia="lv-LV"/>
        </w:rPr>
        <w:t>projekti, kuru ietvaros investīcijām izmantotais finansējums sasniedza 47,3</w:t>
      </w:r>
      <w:r w:rsidR="00797560">
        <w:rPr>
          <w:rFonts w:eastAsia="Times New Roman" w:cs="Times New Roman"/>
          <w:color w:val="000000"/>
          <w:sz w:val="28"/>
          <w:szCs w:val="28"/>
          <w:lang w:eastAsia="lv-LV"/>
        </w:rPr>
        <w:t> </w:t>
      </w:r>
      <w:r w:rsidR="00F50606" w:rsidRPr="00107088">
        <w:rPr>
          <w:rFonts w:eastAsia="Times New Roman" w:cs="Times New Roman"/>
          <w:color w:val="000000"/>
          <w:sz w:val="28"/>
          <w:szCs w:val="28"/>
          <w:lang w:eastAsia="lv-LV"/>
        </w:rPr>
        <w:t>milj.</w:t>
      </w:r>
      <w:r w:rsidR="00F50606" w:rsidRPr="00107088">
        <w:rPr>
          <w:rFonts w:eastAsia="Times New Roman" w:cs="Times New Roman"/>
          <w:i/>
          <w:color w:val="000000"/>
          <w:sz w:val="28"/>
          <w:szCs w:val="28"/>
          <w:lang w:eastAsia="lv-LV"/>
        </w:rPr>
        <w:t> euro</w:t>
      </w:r>
      <w:r w:rsidR="00F50606" w:rsidRPr="00107088">
        <w:rPr>
          <w:rFonts w:eastAsia="Times New Roman" w:cs="Times New Roman"/>
          <w:i/>
          <w:color w:val="000000"/>
          <w:sz w:val="28"/>
          <w:szCs w:val="28"/>
          <w:vertAlign w:val="superscript"/>
          <w:lang w:eastAsia="lv-LV"/>
        </w:rPr>
        <w:footnoteReference w:id="7"/>
      </w:r>
      <w:r w:rsidR="00F50606" w:rsidRPr="00107088">
        <w:rPr>
          <w:rFonts w:eastAsia="Times New Roman" w:cs="Times New Roman"/>
          <w:color w:val="000000"/>
          <w:sz w:val="28"/>
          <w:szCs w:val="28"/>
          <w:lang w:eastAsia="lv-LV"/>
        </w:rPr>
        <w:t xml:space="preserve"> jeb 97,6 % no Šveices programmas kopējā finansējuma.</w:t>
      </w:r>
    </w:p>
    <w:p w14:paraId="6E29FC47" w14:textId="0536DCE7" w:rsidR="009C0862" w:rsidRPr="00F409E4" w:rsidRDefault="00113F03" w:rsidP="00942973">
      <w:pPr>
        <w:pStyle w:val="1lmenis"/>
        <w:spacing w:line="240" w:lineRule="auto"/>
        <w:rPr>
          <w:rFonts w:eastAsia="Calibri"/>
          <w:lang w:eastAsia="lv-LV"/>
        </w:rPr>
      </w:pPr>
      <w:bookmarkStart w:id="3" w:name="_Toc504564211"/>
      <w:r w:rsidRPr="00F409E4">
        <w:t xml:space="preserve">2. </w:t>
      </w:r>
      <w:r w:rsidR="009C0862" w:rsidRPr="00F409E4">
        <w:t>ES fondu finansējuma ietekme uz Latvijas tautsaimniecības attīstību</w:t>
      </w:r>
      <w:r w:rsidR="009C0862" w:rsidRPr="00F409E4">
        <w:rPr>
          <w:rStyle w:val="FootnoteReference"/>
        </w:rPr>
        <w:footnoteReference w:id="8"/>
      </w:r>
      <w:bookmarkStart w:id="4" w:name="_Toc378254572"/>
      <w:bookmarkStart w:id="5" w:name="_Toc378256172"/>
      <w:bookmarkEnd w:id="3"/>
    </w:p>
    <w:p w14:paraId="3BC9C00E" w14:textId="7698D03E" w:rsidR="00F409E4" w:rsidRDefault="00F409E4" w:rsidP="001D6218">
      <w:pPr>
        <w:spacing w:before="120" w:after="120"/>
        <w:ind w:firstLine="720"/>
        <w:jc w:val="both"/>
        <w:rPr>
          <w:rFonts w:cs="Times New Roman"/>
          <w:sz w:val="28"/>
          <w:szCs w:val="28"/>
        </w:rPr>
      </w:pPr>
      <w:r w:rsidRPr="00DC0FAF">
        <w:rPr>
          <w:rFonts w:cs="Times New Roman"/>
          <w:sz w:val="28"/>
          <w:szCs w:val="28"/>
        </w:rPr>
        <w:t>Ņemot vērā statistikas publicēšanas periodiskumu, šī ziņojuma ietvaros tiek sniegts apskats par makroekonomiskās sit</w:t>
      </w:r>
      <w:r>
        <w:rPr>
          <w:rFonts w:cs="Times New Roman"/>
          <w:sz w:val="28"/>
          <w:szCs w:val="28"/>
        </w:rPr>
        <w:t>uācijas attīstību, ietverot 2017</w:t>
      </w:r>
      <w:r w:rsidRPr="00DC0FAF">
        <w:rPr>
          <w:rFonts w:cs="Times New Roman"/>
          <w:sz w:val="28"/>
          <w:szCs w:val="28"/>
        </w:rPr>
        <w:t>.</w:t>
      </w:r>
      <w:r w:rsidR="00797560">
        <w:rPr>
          <w:rFonts w:cs="Times New Roman"/>
          <w:sz w:val="28"/>
          <w:szCs w:val="28"/>
        </w:rPr>
        <w:t> </w:t>
      </w:r>
      <w:r w:rsidRPr="00DC0FAF">
        <w:rPr>
          <w:rFonts w:cs="Times New Roman"/>
          <w:sz w:val="28"/>
          <w:szCs w:val="28"/>
        </w:rPr>
        <w:t xml:space="preserve">gada </w:t>
      </w:r>
      <w:r w:rsidR="00797560">
        <w:rPr>
          <w:rFonts w:cs="Times New Roman"/>
          <w:sz w:val="28"/>
          <w:szCs w:val="28"/>
        </w:rPr>
        <w:t>III </w:t>
      </w:r>
      <w:r>
        <w:rPr>
          <w:rFonts w:cs="Times New Roman"/>
          <w:sz w:val="28"/>
          <w:szCs w:val="28"/>
        </w:rPr>
        <w:t>ceturksni un pēdējos pieejamos datus par 2017.</w:t>
      </w:r>
      <w:r w:rsidR="00797560">
        <w:rPr>
          <w:rFonts w:cs="Times New Roman"/>
          <w:sz w:val="28"/>
          <w:szCs w:val="28"/>
        </w:rPr>
        <w:t> gada IV </w:t>
      </w:r>
      <w:r>
        <w:rPr>
          <w:rFonts w:cs="Times New Roman"/>
          <w:sz w:val="28"/>
          <w:szCs w:val="28"/>
        </w:rPr>
        <w:t xml:space="preserve">ceturksni. </w:t>
      </w:r>
    </w:p>
    <w:p w14:paraId="45D9A669" w14:textId="66706A31" w:rsidR="00F409E4" w:rsidRDefault="00F409E4" w:rsidP="00415E1E">
      <w:pPr>
        <w:spacing w:before="120" w:after="120"/>
        <w:ind w:firstLine="720"/>
        <w:jc w:val="both"/>
        <w:rPr>
          <w:rFonts w:cs="Times New Roman"/>
          <w:sz w:val="28"/>
          <w:szCs w:val="28"/>
        </w:rPr>
      </w:pPr>
      <w:r w:rsidRPr="00F842B9">
        <w:rPr>
          <w:rFonts w:cs="Times New Roman"/>
          <w:sz w:val="28"/>
          <w:szCs w:val="28"/>
        </w:rPr>
        <w:t>Saskaņā ar CSP datiem Latvijas IKP 2017.</w:t>
      </w:r>
      <w:r w:rsidR="00797560">
        <w:rPr>
          <w:rFonts w:cs="Times New Roman"/>
          <w:sz w:val="28"/>
          <w:szCs w:val="28"/>
        </w:rPr>
        <w:t> </w:t>
      </w:r>
      <w:r w:rsidRPr="00F842B9">
        <w:rPr>
          <w:rFonts w:cs="Times New Roman"/>
          <w:sz w:val="28"/>
          <w:szCs w:val="28"/>
        </w:rPr>
        <w:t>gada pirmajos trīs ceturkšņos, salīdzinot ar attiecīgo periodu pirms gada, palielinājās par 4,7</w:t>
      </w:r>
      <w:r w:rsidR="00797560">
        <w:rPr>
          <w:rFonts w:cs="Times New Roman"/>
          <w:sz w:val="28"/>
          <w:szCs w:val="28"/>
        </w:rPr>
        <w:t> </w:t>
      </w:r>
      <w:r w:rsidRPr="00F842B9">
        <w:rPr>
          <w:rFonts w:cs="Times New Roman"/>
          <w:sz w:val="28"/>
          <w:szCs w:val="28"/>
        </w:rPr>
        <w:t>%. Pē</w:t>
      </w:r>
      <w:r w:rsidR="00797560">
        <w:rPr>
          <w:rFonts w:cs="Times New Roman"/>
          <w:sz w:val="28"/>
          <w:szCs w:val="28"/>
        </w:rPr>
        <w:t>c pašreizējā FM</w:t>
      </w:r>
      <w:r w:rsidRPr="00F842B9">
        <w:rPr>
          <w:rFonts w:cs="Times New Roman"/>
          <w:sz w:val="28"/>
          <w:szCs w:val="28"/>
        </w:rPr>
        <w:t xml:space="preserve"> novērtējuma, aptuveni tāda pati ekonomikas </w:t>
      </w:r>
      <w:r w:rsidR="00797560">
        <w:rPr>
          <w:rFonts w:cs="Times New Roman"/>
          <w:sz w:val="28"/>
          <w:szCs w:val="28"/>
        </w:rPr>
        <w:t>izaugsme – </w:t>
      </w:r>
      <w:r w:rsidRPr="00F842B9">
        <w:rPr>
          <w:rFonts w:cs="Times New Roman"/>
          <w:sz w:val="28"/>
          <w:szCs w:val="28"/>
        </w:rPr>
        <w:t>4,7</w:t>
      </w:r>
      <w:r w:rsidR="00797560">
        <w:rPr>
          <w:rFonts w:cs="Times New Roman"/>
          <w:sz w:val="28"/>
          <w:szCs w:val="28"/>
        </w:rPr>
        <w:t> </w:t>
      </w:r>
      <w:r w:rsidRPr="00F842B9">
        <w:rPr>
          <w:rFonts w:cs="Times New Roman"/>
          <w:sz w:val="28"/>
          <w:szCs w:val="28"/>
        </w:rPr>
        <w:t xml:space="preserve">%, varētu būt </w:t>
      </w:r>
      <w:r w:rsidRPr="00F842B9">
        <w:rPr>
          <w:rFonts w:cs="Times New Roman"/>
          <w:sz w:val="28"/>
          <w:szCs w:val="28"/>
        </w:rPr>
        <w:lastRenderedPageBreak/>
        <w:t>bijusi arī 2017.</w:t>
      </w:r>
      <w:r w:rsidR="00797560">
        <w:rPr>
          <w:rFonts w:cs="Times New Roman"/>
          <w:sz w:val="28"/>
          <w:szCs w:val="28"/>
        </w:rPr>
        <w:t> </w:t>
      </w:r>
      <w:r w:rsidRPr="00F842B9">
        <w:rPr>
          <w:rFonts w:cs="Times New Roman"/>
          <w:sz w:val="28"/>
          <w:szCs w:val="28"/>
        </w:rPr>
        <w:t>gadā kopā. Ekonomikas izaugsme 2017.</w:t>
      </w:r>
      <w:r w:rsidR="00797560">
        <w:rPr>
          <w:rFonts w:cs="Times New Roman"/>
          <w:sz w:val="28"/>
          <w:szCs w:val="28"/>
        </w:rPr>
        <w:t> </w:t>
      </w:r>
      <w:r w:rsidRPr="00F842B9">
        <w:rPr>
          <w:rFonts w:cs="Times New Roman"/>
          <w:sz w:val="28"/>
          <w:szCs w:val="28"/>
        </w:rPr>
        <w:t>gadā ir kļuvusi būtiski straujāka nekā 2016.</w:t>
      </w:r>
      <w:r w:rsidR="00797560">
        <w:rPr>
          <w:rFonts w:cs="Times New Roman"/>
          <w:sz w:val="28"/>
          <w:szCs w:val="28"/>
        </w:rPr>
        <w:t> </w:t>
      </w:r>
      <w:r w:rsidRPr="00F842B9">
        <w:rPr>
          <w:rFonts w:cs="Times New Roman"/>
          <w:sz w:val="28"/>
          <w:szCs w:val="28"/>
        </w:rPr>
        <w:t>gadā, kad IKP palielinājās par 2,1</w:t>
      </w:r>
      <w:r w:rsidR="00797560">
        <w:rPr>
          <w:rFonts w:cs="Times New Roman"/>
          <w:sz w:val="28"/>
          <w:szCs w:val="28"/>
        </w:rPr>
        <w:t> </w:t>
      </w:r>
      <w:r w:rsidRPr="00F842B9">
        <w:rPr>
          <w:rFonts w:cs="Times New Roman"/>
          <w:sz w:val="28"/>
          <w:szCs w:val="28"/>
        </w:rPr>
        <w:t>%. 2017.</w:t>
      </w:r>
      <w:r w:rsidR="00797560">
        <w:rPr>
          <w:rFonts w:cs="Times New Roman"/>
          <w:sz w:val="28"/>
          <w:szCs w:val="28"/>
        </w:rPr>
        <w:t> </w:t>
      </w:r>
      <w:r w:rsidR="00A03851">
        <w:rPr>
          <w:rFonts w:cs="Times New Roman"/>
          <w:sz w:val="28"/>
          <w:szCs w:val="28"/>
        </w:rPr>
        <w:t>gada III </w:t>
      </w:r>
      <w:r w:rsidRPr="00F842B9">
        <w:rPr>
          <w:rFonts w:cs="Times New Roman"/>
          <w:sz w:val="28"/>
          <w:szCs w:val="28"/>
        </w:rPr>
        <w:t>ceturksnī ekonomikas izaugsme paātrinājās līdz pat 5,8</w:t>
      </w:r>
      <w:r w:rsidR="00797560">
        <w:rPr>
          <w:rFonts w:cs="Times New Roman"/>
          <w:sz w:val="28"/>
          <w:szCs w:val="28"/>
        </w:rPr>
        <w:t> </w:t>
      </w:r>
      <w:r w:rsidRPr="00F842B9">
        <w:rPr>
          <w:rFonts w:cs="Times New Roman"/>
          <w:sz w:val="28"/>
          <w:szCs w:val="28"/>
        </w:rPr>
        <w:t xml:space="preserve">%. </w:t>
      </w:r>
      <w:r w:rsidRPr="0007530A">
        <w:rPr>
          <w:rFonts w:cs="Times New Roman"/>
          <w:sz w:val="28"/>
          <w:szCs w:val="28"/>
        </w:rPr>
        <w:t xml:space="preserve">Izaugsmes tempu </w:t>
      </w:r>
      <w:r>
        <w:rPr>
          <w:rFonts w:cs="Times New Roman"/>
          <w:sz w:val="28"/>
          <w:szCs w:val="28"/>
        </w:rPr>
        <w:t>paātrināšanos 2017</w:t>
      </w:r>
      <w:r w:rsidRPr="0007530A">
        <w:rPr>
          <w:rFonts w:cs="Times New Roman"/>
          <w:sz w:val="28"/>
          <w:szCs w:val="28"/>
        </w:rPr>
        <w:t>.</w:t>
      </w:r>
      <w:r w:rsidR="00797560">
        <w:rPr>
          <w:rFonts w:cs="Times New Roman"/>
          <w:sz w:val="28"/>
          <w:szCs w:val="28"/>
        </w:rPr>
        <w:t> </w:t>
      </w:r>
      <w:r w:rsidRPr="0007530A">
        <w:rPr>
          <w:rFonts w:cs="Times New Roman"/>
          <w:sz w:val="28"/>
          <w:szCs w:val="28"/>
        </w:rPr>
        <w:t>gadā</w:t>
      </w:r>
      <w:r>
        <w:rPr>
          <w:rFonts w:cs="Times New Roman"/>
          <w:sz w:val="28"/>
          <w:szCs w:val="28"/>
        </w:rPr>
        <w:t xml:space="preserve"> noteica</w:t>
      </w:r>
      <w:r w:rsidRPr="003E4F8E">
        <w:rPr>
          <w:rFonts w:cs="Times New Roman"/>
          <w:sz w:val="28"/>
          <w:szCs w:val="28"/>
        </w:rPr>
        <w:t xml:space="preserve"> labvēlīgā situācija ārējos tirgos un pasaules izaugsmes paātrināšanās, kā arī investīciju un būvniecības nozares straujā atgūšanās, ekonomikā straujāk ieplūstot ES fondu investīcijām.</w:t>
      </w:r>
      <w:r w:rsidR="00415E1E">
        <w:rPr>
          <w:rFonts w:cs="Times New Roman"/>
          <w:sz w:val="28"/>
          <w:szCs w:val="28"/>
        </w:rPr>
        <w:t xml:space="preserve"> Ņemot vērā, ka ES fondu investīciju straujāka ieplūšana tautsaimniecībā neizbēgami rada cenu sadārdzinājumu būvniecības sektorā, EM veiks izvērtējumu par iespējamo būvniecības izmaksu pieaugumu turpmākajos gados.</w:t>
      </w:r>
    </w:p>
    <w:p w14:paraId="49D1F55E" w14:textId="733F2FD1" w:rsidR="00F409E4" w:rsidRPr="00607A6D" w:rsidRDefault="00F409E4" w:rsidP="001D6218">
      <w:pPr>
        <w:spacing w:before="120" w:after="120"/>
        <w:ind w:firstLine="720"/>
        <w:jc w:val="both"/>
        <w:rPr>
          <w:rFonts w:cs="Times New Roman"/>
          <w:sz w:val="28"/>
          <w:szCs w:val="28"/>
        </w:rPr>
      </w:pPr>
      <w:r w:rsidRPr="00607A6D">
        <w:rPr>
          <w:sz w:val="28"/>
        </w:rPr>
        <w:t>Pozitīvu ietekmi uz 2017.</w:t>
      </w:r>
      <w:r w:rsidR="00797560">
        <w:rPr>
          <w:sz w:val="28"/>
        </w:rPr>
        <w:t> </w:t>
      </w:r>
      <w:r w:rsidRPr="00607A6D">
        <w:rPr>
          <w:sz w:val="28"/>
        </w:rPr>
        <w:t>gada IKP dinamiku ir atstājušas arī ES fondu investīcijas.</w:t>
      </w:r>
      <w:r w:rsidRPr="00607A6D">
        <w:rPr>
          <w:rFonts w:cs="Times New Roman"/>
          <w:sz w:val="32"/>
          <w:szCs w:val="28"/>
        </w:rPr>
        <w:t xml:space="preserve"> </w:t>
      </w:r>
      <w:r w:rsidRPr="00607A6D">
        <w:rPr>
          <w:rFonts w:cs="Times New Roman"/>
          <w:sz w:val="28"/>
          <w:szCs w:val="28"/>
        </w:rPr>
        <w:t>Saskaņā ar FM novērtējumu</w:t>
      </w:r>
      <w:r>
        <w:rPr>
          <w:rFonts w:cs="Times New Roman"/>
          <w:sz w:val="28"/>
          <w:szCs w:val="28"/>
        </w:rPr>
        <w:t>,</w:t>
      </w:r>
      <w:r w:rsidRPr="00607A6D">
        <w:rPr>
          <w:rFonts w:cs="Times New Roman"/>
          <w:sz w:val="28"/>
          <w:szCs w:val="28"/>
        </w:rPr>
        <w:t xml:space="preserve"> ES fondu investīcijas (plašākā izpratnē)</w:t>
      </w:r>
      <w:r w:rsidRPr="00607A6D">
        <w:rPr>
          <w:rFonts w:cs="Times New Roman"/>
          <w:sz w:val="28"/>
          <w:szCs w:val="28"/>
          <w:vertAlign w:val="superscript"/>
        </w:rPr>
        <w:footnoteReference w:id="9"/>
      </w:r>
      <w:r w:rsidRPr="00607A6D">
        <w:rPr>
          <w:rFonts w:cs="Times New Roman"/>
          <w:sz w:val="28"/>
          <w:szCs w:val="28"/>
        </w:rPr>
        <w:t xml:space="preserve"> 2017. gadā IKP</w:t>
      </w:r>
      <w:r w:rsidR="00A03851">
        <w:rPr>
          <w:rFonts w:cs="Times New Roman"/>
          <w:sz w:val="28"/>
          <w:szCs w:val="28"/>
        </w:rPr>
        <w:t xml:space="preserve"> izaugsme</w:t>
      </w:r>
      <w:r>
        <w:rPr>
          <w:rFonts w:cs="Times New Roman"/>
          <w:sz w:val="28"/>
          <w:szCs w:val="28"/>
        </w:rPr>
        <w:t xml:space="preserve"> provizoriski palielinā</w:t>
      </w:r>
      <w:r w:rsidRPr="00607A6D">
        <w:rPr>
          <w:rFonts w:cs="Times New Roman"/>
          <w:sz w:val="28"/>
          <w:szCs w:val="28"/>
        </w:rPr>
        <w:t>s par 1,3</w:t>
      </w:r>
      <w:r w:rsidR="00797560">
        <w:rPr>
          <w:rFonts w:cs="Times New Roman"/>
          <w:sz w:val="28"/>
          <w:szCs w:val="28"/>
        </w:rPr>
        <w:t> </w:t>
      </w:r>
      <w:r w:rsidRPr="00607A6D">
        <w:rPr>
          <w:rFonts w:cs="Times New Roman"/>
          <w:sz w:val="28"/>
          <w:szCs w:val="28"/>
        </w:rPr>
        <w:t>%, kas ir ievērojami vairāk nekā iepriekšējā gadā. 2014.</w:t>
      </w:r>
      <w:r w:rsidR="00797560">
        <w:rPr>
          <w:rFonts w:cs="Times New Roman"/>
          <w:sz w:val="28"/>
          <w:szCs w:val="28"/>
        </w:rPr>
        <w:t> – </w:t>
      </w:r>
      <w:r w:rsidRPr="00607A6D">
        <w:rPr>
          <w:rFonts w:cs="Times New Roman"/>
          <w:sz w:val="28"/>
          <w:szCs w:val="28"/>
        </w:rPr>
        <w:t>2020.</w:t>
      </w:r>
      <w:r w:rsidR="00797560">
        <w:rPr>
          <w:rFonts w:cs="Times New Roman"/>
          <w:sz w:val="28"/>
          <w:szCs w:val="28"/>
        </w:rPr>
        <w:t> </w:t>
      </w:r>
      <w:r w:rsidRPr="00607A6D">
        <w:rPr>
          <w:rFonts w:cs="Times New Roman"/>
          <w:sz w:val="28"/>
          <w:szCs w:val="28"/>
        </w:rPr>
        <w:t>gada ES fondu plānošanas perioda ietvaros ES fondu investīciju apjoms 2017.</w:t>
      </w:r>
      <w:r w:rsidR="00797560">
        <w:rPr>
          <w:rFonts w:cs="Times New Roman"/>
          <w:sz w:val="28"/>
          <w:szCs w:val="28"/>
        </w:rPr>
        <w:t> </w:t>
      </w:r>
      <w:r w:rsidRPr="00607A6D">
        <w:rPr>
          <w:rFonts w:cs="Times New Roman"/>
          <w:sz w:val="28"/>
          <w:szCs w:val="28"/>
        </w:rPr>
        <w:t>g</w:t>
      </w:r>
      <w:r w:rsidR="00797560">
        <w:rPr>
          <w:rFonts w:cs="Times New Roman"/>
          <w:sz w:val="28"/>
          <w:szCs w:val="28"/>
        </w:rPr>
        <w:t>adā provizoriski bija 404 milj. </w:t>
      </w:r>
      <w:r w:rsidRPr="00607A6D">
        <w:rPr>
          <w:rFonts w:cs="Times New Roman"/>
          <w:i/>
          <w:sz w:val="28"/>
          <w:szCs w:val="28"/>
        </w:rPr>
        <w:t>euro</w:t>
      </w:r>
      <w:r w:rsidR="00797560">
        <w:rPr>
          <w:rFonts w:cs="Times New Roman"/>
          <w:sz w:val="28"/>
          <w:szCs w:val="28"/>
        </w:rPr>
        <w:t xml:space="preserve"> pretstatā 225 milj. </w:t>
      </w:r>
      <w:r w:rsidRPr="00607A6D">
        <w:rPr>
          <w:rFonts w:cs="Times New Roman"/>
          <w:i/>
          <w:sz w:val="28"/>
          <w:szCs w:val="28"/>
        </w:rPr>
        <w:t>euro</w:t>
      </w:r>
      <w:r w:rsidRPr="00607A6D">
        <w:rPr>
          <w:rFonts w:cs="Times New Roman"/>
          <w:sz w:val="28"/>
          <w:szCs w:val="28"/>
        </w:rPr>
        <w:t xml:space="preserve"> 2016.</w:t>
      </w:r>
      <w:r w:rsidR="00797560">
        <w:rPr>
          <w:rFonts w:cs="Times New Roman"/>
          <w:sz w:val="28"/>
          <w:szCs w:val="28"/>
        </w:rPr>
        <w:t> </w:t>
      </w:r>
      <w:r w:rsidRPr="00607A6D">
        <w:rPr>
          <w:rFonts w:cs="Times New Roman"/>
          <w:sz w:val="28"/>
          <w:szCs w:val="28"/>
        </w:rPr>
        <w:t xml:space="preserve">gadā. Tādējādi, palielinoties ES fondu investīciju plūsmai, </w:t>
      </w:r>
      <w:r w:rsidR="007F3BF6" w:rsidRPr="00607A6D">
        <w:rPr>
          <w:rFonts w:cs="Times New Roman"/>
          <w:sz w:val="28"/>
          <w:szCs w:val="28"/>
        </w:rPr>
        <w:t>palielinājās</w:t>
      </w:r>
      <w:r w:rsidRPr="00607A6D">
        <w:rPr>
          <w:rFonts w:cs="Times New Roman"/>
          <w:sz w:val="28"/>
          <w:szCs w:val="28"/>
        </w:rPr>
        <w:t xml:space="preserve"> arī pozitīvā ietekme uz iekšzemes kopprodukta attīstību. Lielāka ES fond</w:t>
      </w:r>
      <w:r>
        <w:rPr>
          <w:rFonts w:cs="Times New Roman"/>
          <w:sz w:val="28"/>
          <w:szCs w:val="28"/>
        </w:rPr>
        <w:t>u investīciju plūsma atspoguļojā</w:t>
      </w:r>
      <w:r w:rsidRPr="00607A6D">
        <w:rPr>
          <w:rFonts w:cs="Times New Roman"/>
          <w:sz w:val="28"/>
          <w:szCs w:val="28"/>
        </w:rPr>
        <w:t>s kopējā investīciju aktivitātē valstī. Saskaņā ar CSP datiem, kopējais investīciju apjoms tautsaimniecībā 2017.</w:t>
      </w:r>
      <w:r w:rsidR="00797560">
        <w:rPr>
          <w:rFonts w:cs="Times New Roman"/>
          <w:sz w:val="28"/>
          <w:szCs w:val="28"/>
        </w:rPr>
        <w:t> </w:t>
      </w:r>
      <w:r w:rsidRPr="00607A6D">
        <w:rPr>
          <w:rFonts w:cs="Times New Roman"/>
          <w:sz w:val="28"/>
          <w:szCs w:val="28"/>
        </w:rPr>
        <w:t>gadā pirmajos trīs ceturkšņos pieauga par 20</w:t>
      </w:r>
      <w:r w:rsidR="00797560">
        <w:rPr>
          <w:rFonts w:cs="Times New Roman"/>
          <w:sz w:val="28"/>
          <w:szCs w:val="28"/>
        </w:rPr>
        <w:t> </w:t>
      </w:r>
      <w:r w:rsidRPr="00607A6D">
        <w:rPr>
          <w:rFonts w:cs="Times New Roman"/>
          <w:sz w:val="28"/>
          <w:szCs w:val="28"/>
        </w:rPr>
        <w:t>% faktiskajās cenās, salīdzinot ar attiecīgo periodu 2016.</w:t>
      </w:r>
      <w:r w:rsidR="00797560">
        <w:rPr>
          <w:rFonts w:cs="Times New Roman"/>
          <w:sz w:val="28"/>
          <w:szCs w:val="28"/>
        </w:rPr>
        <w:t> </w:t>
      </w:r>
      <w:r w:rsidRPr="00607A6D">
        <w:rPr>
          <w:rFonts w:cs="Times New Roman"/>
          <w:sz w:val="28"/>
          <w:szCs w:val="28"/>
        </w:rPr>
        <w:t xml:space="preserve">gadā. </w:t>
      </w:r>
      <w:r>
        <w:rPr>
          <w:rFonts w:cs="Times New Roman"/>
          <w:sz w:val="28"/>
          <w:szCs w:val="28"/>
        </w:rPr>
        <w:t xml:space="preserve">Tajā pašā laikā jāatzīmē, ka ES fondu investīciju ietekme uz IKP ir modelēta, balstoties </w:t>
      </w:r>
      <w:r w:rsidRPr="00F842B9">
        <w:rPr>
          <w:rFonts w:cs="Times New Roman"/>
          <w:sz w:val="28"/>
          <w:szCs w:val="28"/>
        </w:rPr>
        <w:t>uz 2017.</w:t>
      </w:r>
      <w:r w:rsidR="00797560">
        <w:rPr>
          <w:rFonts w:cs="Times New Roman"/>
          <w:sz w:val="28"/>
          <w:szCs w:val="28"/>
        </w:rPr>
        <w:t> </w:t>
      </w:r>
      <w:r w:rsidRPr="00F842B9">
        <w:rPr>
          <w:rFonts w:cs="Times New Roman"/>
          <w:sz w:val="28"/>
          <w:szCs w:val="28"/>
        </w:rPr>
        <w:t>gada jūnijā izstrādātajām oficiā</w:t>
      </w:r>
      <w:r>
        <w:rPr>
          <w:rFonts w:cs="Times New Roman"/>
          <w:sz w:val="28"/>
          <w:szCs w:val="28"/>
        </w:rPr>
        <w:t>lajām FM makroekonomikas prognozēm, kurās tika prognozēts, ka IKP izaugsme 2017.</w:t>
      </w:r>
      <w:r w:rsidR="00797560">
        <w:rPr>
          <w:rFonts w:cs="Times New Roman"/>
          <w:sz w:val="28"/>
          <w:szCs w:val="28"/>
        </w:rPr>
        <w:t> </w:t>
      </w:r>
      <w:r>
        <w:rPr>
          <w:rFonts w:cs="Times New Roman"/>
          <w:sz w:val="28"/>
          <w:szCs w:val="28"/>
        </w:rPr>
        <w:t>gadā būs 3,7</w:t>
      </w:r>
      <w:r w:rsidR="00797560">
        <w:rPr>
          <w:rFonts w:cs="Times New Roman"/>
          <w:sz w:val="28"/>
          <w:szCs w:val="28"/>
        </w:rPr>
        <w:t> </w:t>
      </w:r>
      <w:r>
        <w:rPr>
          <w:rFonts w:cs="Times New Roman"/>
          <w:sz w:val="28"/>
          <w:szCs w:val="28"/>
        </w:rPr>
        <w:t>%. Tādējādi, pārrēķinot ES fondu ietekmi uz IKP izaugsmi, kad būs precīzi zināms gan ES fondu investīciju apjoms, gan IKP izaugsme 2017.</w:t>
      </w:r>
      <w:r w:rsidR="00797560">
        <w:rPr>
          <w:rFonts w:cs="Times New Roman"/>
          <w:sz w:val="28"/>
          <w:szCs w:val="28"/>
        </w:rPr>
        <w:t> </w:t>
      </w:r>
      <w:r>
        <w:rPr>
          <w:rFonts w:cs="Times New Roman"/>
          <w:sz w:val="28"/>
          <w:szCs w:val="28"/>
        </w:rPr>
        <w:t>gadā, ietekme varētu mainīties.</w:t>
      </w:r>
    </w:p>
    <w:p w14:paraId="16BEEE38" w14:textId="1009C559" w:rsidR="00F409E4" w:rsidRDefault="00F409E4" w:rsidP="001D6218">
      <w:pPr>
        <w:spacing w:before="120" w:after="120"/>
        <w:ind w:firstLine="720"/>
        <w:jc w:val="both"/>
        <w:rPr>
          <w:rFonts w:cs="Times New Roman"/>
          <w:color w:val="000000"/>
          <w:sz w:val="28"/>
          <w:szCs w:val="28"/>
        </w:rPr>
      </w:pPr>
      <w:r>
        <w:rPr>
          <w:rFonts w:cs="Times New Roman"/>
          <w:color w:val="000000"/>
          <w:sz w:val="28"/>
          <w:szCs w:val="28"/>
        </w:rPr>
        <w:t xml:space="preserve">Atšķirībā no iepriekšējiem gadiem, kad lielāko devumu ekonomikas izaugsmē nodrošināja privātais patēriņš, </w:t>
      </w:r>
      <w:r w:rsidRPr="0007530A">
        <w:rPr>
          <w:rFonts w:cs="Times New Roman"/>
          <w:color w:val="000000"/>
          <w:sz w:val="28"/>
          <w:szCs w:val="28"/>
        </w:rPr>
        <w:t>2017.</w:t>
      </w:r>
      <w:r w:rsidR="00797560">
        <w:rPr>
          <w:rFonts w:cs="Times New Roman"/>
          <w:color w:val="000000"/>
          <w:sz w:val="28"/>
          <w:szCs w:val="28"/>
        </w:rPr>
        <w:t> </w:t>
      </w:r>
      <w:r w:rsidRPr="0007530A">
        <w:rPr>
          <w:rFonts w:cs="Times New Roman"/>
          <w:color w:val="000000"/>
          <w:sz w:val="28"/>
          <w:szCs w:val="28"/>
        </w:rPr>
        <w:t xml:space="preserve">gada </w:t>
      </w:r>
      <w:r>
        <w:rPr>
          <w:rFonts w:cs="Times New Roman"/>
          <w:color w:val="000000"/>
          <w:sz w:val="28"/>
          <w:szCs w:val="28"/>
        </w:rPr>
        <w:t>pirmajos trīs ceturkšņos lielāko ieguldījumu deva bruto pamatkapitāla veidošana, kas salīdzinājumā ar 2016.</w:t>
      </w:r>
      <w:r w:rsidR="00797560">
        <w:rPr>
          <w:rFonts w:cs="Times New Roman"/>
          <w:color w:val="000000"/>
          <w:sz w:val="28"/>
          <w:szCs w:val="28"/>
        </w:rPr>
        <w:t> </w:t>
      </w:r>
      <w:r>
        <w:rPr>
          <w:rFonts w:cs="Times New Roman"/>
          <w:color w:val="000000"/>
          <w:sz w:val="28"/>
          <w:szCs w:val="28"/>
        </w:rPr>
        <w:t>gada attiecīgo laika periodu palielinājās par 18,4</w:t>
      </w:r>
      <w:r w:rsidR="00797560">
        <w:rPr>
          <w:rFonts w:cs="Times New Roman"/>
          <w:color w:val="000000"/>
          <w:sz w:val="28"/>
          <w:szCs w:val="28"/>
        </w:rPr>
        <w:t> </w:t>
      </w:r>
      <w:r>
        <w:rPr>
          <w:rFonts w:cs="Times New Roman"/>
          <w:color w:val="000000"/>
          <w:sz w:val="28"/>
          <w:szCs w:val="28"/>
        </w:rPr>
        <w:t xml:space="preserve">%. Straujo investīciju pieaugumu veicināja lielāka ES fondu investīciju ieplūde, kā arī privāto investīciju aktivitātes atjaunošanās, uzlabojoties ārējai situācijai. Privātais patēriņš </w:t>
      </w:r>
      <w:r w:rsidRPr="0007530A">
        <w:rPr>
          <w:rFonts w:cs="Times New Roman"/>
          <w:color w:val="000000"/>
          <w:sz w:val="28"/>
          <w:szCs w:val="28"/>
        </w:rPr>
        <w:t>2017.</w:t>
      </w:r>
      <w:r w:rsidR="00797560">
        <w:rPr>
          <w:rFonts w:cs="Times New Roman"/>
          <w:color w:val="000000"/>
          <w:sz w:val="28"/>
          <w:szCs w:val="28"/>
        </w:rPr>
        <w:t> </w:t>
      </w:r>
      <w:r w:rsidRPr="0007530A">
        <w:rPr>
          <w:rFonts w:cs="Times New Roman"/>
          <w:color w:val="000000"/>
          <w:sz w:val="28"/>
          <w:szCs w:val="28"/>
        </w:rPr>
        <w:t xml:space="preserve">gada </w:t>
      </w:r>
      <w:r>
        <w:rPr>
          <w:rFonts w:cs="Times New Roman"/>
          <w:color w:val="000000"/>
          <w:sz w:val="28"/>
          <w:szCs w:val="28"/>
        </w:rPr>
        <w:t>pirmajos trīs ceturkšņos palielinājās par 5,0</w:t>
      </w:r>
      <w:r w:rsidR="00797560">
        <w:rPr>
          <w:rFonts w:cs="Times New Roman"/>
          <w:color w:val="000000"/>
          <w:sz w:val="28"/>
          <w:szCs w:val="28"/>
        </w:rPr>
        <w:t> </w:t>
      </w:r>
      <w:r>
        <w:rPr>
          <w:rFonts w:cs="Times New Roman"/>
          <w:color w:val="000000"/>
          <w:sz w:val="28"/>
          <w:szCs w:val="28"/>
        </w:rPr>
        <w:t xml:space="preserve">%, </w:t>
      </w:r>
      <w:r w:rsidRPr="0007530A">
        <w:rPr>
          <w:rFonts w:cs="Times New Roman"/>
          <w:color w:val="000000"/>
          <w:sz w:val="28"/>
          <w:szCs w:val="28"/>
        </w:rPr>
        <w:t xml:space="preserve">atspoguļojot </w:t>
      </w:r>
      <w:r>
        <w:rPr>
          <w:rFonts w:cs="Times New Roman"/>
          <w:color w:val="000000"/>
          <w:sz w:val="28"/>
          <w:szCs w:val="28"/>
        </w:rPr>
        <w:t>bezdarba līmeņa tālāku samazināšanos</w:t>
      </w:r>
      <w:r w:rsidRPr="0007530A">
        <w:rPr>
          <w:rFonts w:cs="Times New Roman"/>
          <w:color w:val="000000"/>
          <w:sz w:val="28"/>
          <w:szCs w:val="28"/>
        </w:rPr>
        <w:t xml:space="preserve"> un algu </w:t>
      </w:r>
      <w:r>
        <w:rPr>
          <w:rFonts w:cs="Times New Roman"/>
          <w:color w:val="000000"/>
          <w:sz w:val="28"/>
          <w:szCs w:val="28"/>
        </w:rPr>
        <w:t xml:space="preserve">kāpumu. Sabiedriskais patēriņš </w:t>
      </w:r>
      <w:r w:rsidRPr="0007530A">
        <w:rPr>
          <w:rFonts w:cs="Times New Roman"/>
          <w:color w:val="000000"/>
          <w:sz w:val="28"/>
          <w:szCs w:val="28"/>
        </w:rPr>
        <w:t>2017.</w:t>
      </w:r>
      <w:r w:rsidR="00797560">
        <w:rPr>
          <w:rFonts w:cs="Times New Roman"/>
          <w:color w:val="000000"/>
          <w:sz w:val="28"/>
          <w:szCs w:val="28"/>
        </w:rPr>
        <w:t> </w:t>
      </w:r>
      <w:r w:rsidRPr="0007530A">
        <w:rPr>
          <w:rFonts w:cs="Times New Roman"/>
          <w:color w:val="000000"/>
          <w:sz w:val="28"/>
          <w:szCs w:val="28"/>
        </w:rPr>
        <w:t xml:space="preserve">gada </w:t>
      </w:r>
      <w:r>
        <w:rPr>
          <w:rFonts w:cs="Times New Roman"/>
          <w:color w:val="000000"/>
          <w:sz w:val="28"/>
          <w:szCs w:val="28"/>
        </w:rPr>
        <w:t>pirmajos trīs ceturkšņos pieauga par 4,5</w:t>
      </w:r>
      <w:r w:rsidR="00797560">
        <w:rPr>
          <w:rFonts w:cs="Times New Roman"/>
          <w:color w:val="000000"/>
          <w:sz w:val="28"/>
          <w:szCs w:val="28"/>
        </w:rPr>
        <w:t> </w:t>
      </w:r>
      <w:r>
        <w:rPr>
          <w:rFonts w:cs="Times New Roman"/>
          <w:color w:val="000000"/>
          <w:sz w:val="28"/>
          <w:szCs w:val="28"/>
        </w:rPr>
        <w:t>% un preču un pakalpojumu eksports palielinājās par 4,3</w:t>
      </w:r>
      <w:r w:rsidR="00797560">
        <w:rPr>
          <w:rFonts w:cs="Times New Roman"/>
          <w:color w:val="000000"/>
          <w:sz w:val="28"/>
          <w:szCs w:val="28"/>
        </w:rPr>
        <w:t> </w:t>
      </w:r>
      <w:r>
        <w:rPr>
          <w:rFonts w:cs="Times New Roman"/>
          <w:color w:val="000000"/>
          <w:sz w:val="28"/>
          <w:szCs w:val="28"/>
        </w:rPr>
        <w:t>%.</w:t>
      </w:r>
    </w:p>
    <w:p w14:paraId="35C5905E" w14:textId="1DB09858" w:rsidR="00F409E4" w:rsidRDefault="00F409E4" w:rsidP="001D6218">
      <w:pPr>
        <w:spacing w:before="120" w:after="120"/>
        <w:ind w:firstLine="720"/>
        <w:jc w:val="both"/>
        <w:rPr>
          <w:rFonts w:cs="Times New Roman"/>
          <w:sz w:val="28"/>
          <w:szCs w:val="28"/>
        </w:rPr>
      </w:pPr>
      <w:r>
        <w:rPr>
          <w:rFonts w:cs="Times New Roman"/>
          <w:color w:val="000000"/>
          <w:sz w:val="28"/>
          <w:szCs w:val="28"/>
        </w:rPr>
        <w:t>Pieaugot pieprasījumam ārējos tirgos un straujāk augot preču cenām,</w:t>
      </w:r>
      <w:r w:rsidRPr="0007530A">
        <w:rPr>
          <w:rFonts w:cs="Times New Roman"/>
          <w:color w:val="000000"/>
          <w:sz w:val="28"/>
          <w:szCs w:val="28"/>
        </w:rPr>
        <w:t xml:space="preserve"> </w:t>
      </w:r>
      <w:r w:rsidRPr="0007530A">
        <w:rPr>
          <w:rFonts w:cs="Times New Roman"/>
          <w:sz w:val="28"/>
          <w:szCs w:val="28"/>
        </w:rPr>
        <w:t>Latvijas kopējais preču</w:t>
      </w:r>
      <w:r>
        <w:rPr>
          <w:rFonts w:cs="Times New Roman"/>
          <w:sz w:val="28"/>
          <w:szCs w:val="28"/>
        </w:rPr>
        <w:t xml:space="preserve"> eksports faktiskajās cenās 2017</w:t>
      </w:r>
      <w:r w:rsidRPr="0007530A">
        <w:rPr>
          <w:rFonts w:cs="Times New Roman"/>
          <w:sz w:val="28"/>
          <w:szCs w:val="28"/>
        </w:rPr>
        <w:t>. </w:t>
      </w:r>
      <w:r w:rsidR="00797560">
        <w:rPr>
          <w:rFonts w:cs="Times New Roman"/>
          <w:sz w:val="28"/>
          <w:szCs w:val="28"/>
        </w:rPr>
        <w:t>gada pirmajos 11 </w:t>
      </w:r>
      <w:r>
        <w:rPr>
          <w:rFonts w:cs="Times New Roman"/>
          <w:sz w:val="28"/>
          <w:szCs w:val="28"/>
        </w:rPr>
        <w:t xml:space="preserve">mēnešos palielinājās </w:t>
      </w:r>
      <w:r w:rsidRPr="004D3286">
        <w:rPr>
          <w:rFonts w:cs="Times New Roman"/>
          <w:sz w:val="28"/>
          <w:szCs w:val="28"/>
        </w:rPr>
        <w:t xml:space="preserve">par </w:t>
      </w:r>
      <w:r>
        <w:rPr>
          <w:rFonts w:cs="Times New Roman"/>
          <w:sz w:val="28"/>
          <w:szCs w:val="28"/>
        </w:rPr>
        <w:t>10,2</w:t>
      </w:r>
      <w:r w:rsidR="00797560">
        <w:rPr>
          <w:rFonts w:cs="Times New Roman"/>
          <w:sz w:val="28"/>
          <w:szCs w:val="28"/>
        </w:rPr>
        <w:t> </w:t>
      </w:r>
      <w:r w:rsidRPr="004D3286">
        <w:rPr>
          <w:rFonts w:cs="Times New Roman"/>
          <w:sz w:val="28"/>
          <w:szCs w:val="28"/>
        </w:rPr>
        <w:t>%.</w:t>
      </w:r>
      <w:r>
        <w:rPr>
          <w:rFonts w:cs="Times New Roman"/>
          <w:sz w:val="28"/>
          <w:szCs w:val="28"/>
        </w:rPr>
        <w:t xml:space="preserve"> Lielāko devumu preču eksporta izaugsmē nodrošināja lauksaimniecības un pārtikas preču, metālu, kā arī koka un koka izstrādājumu eksports, kas salīdzinājumā ar 2016.</w:t>
      </w:r>
      <w:r w:rsidR="00797560">
        <w:rPr>
          <w:rFonts w:cs="Times New Roman"/>
          <w:sz w:val="28"/>
          <w:szCs w:val="28"/>
        </w:rPr>
        <w:t> </w:t>
      </w:r>
      <w:r>
        <w:rPr>
          <w:rFonts w:cs="Times New Roman"/>
          <w:sz w:val="28"/>
          <w:szCs w:val="28"/>
        </w:rPr>
        <w:t xml:space="preserve">gada attiecīgo periodu pieauga </w:t>
      </w:r>
      <w:r>
        <w:rPr>
          <w:rFonts w:cs="Times New Roman"/>
          <w:sz w:val="28"/>
          <w:szCs w:val="28"/>
        </w:rPr>
        <w:lastRenderedPageBreak/>
        <w:t>attiecīgi par 19,2</w:t>
      </w:r>
      <w:r w:rsidR="00797560">
        <w:rPr>
          <w:rFonts w:cs="Times New Roman"/>
          <w:sz w:val="28"/>
          <w:szCs w:val="28"/>
        </w:rPr>
        <w:t> </w:t>
      </w:r>
      <w:r w:rsidRPr="00E3382A">
        <w:rPr>
          <w:rFonts w:cs="Times New Roman"/>
          <w:sz w:val="28"/>
          <w:szCs w:val="28"/>
        </w:rPr>
        <w:t xml:space="preserve">%, </w:t>
      </w:r>
      <w:r>
        <w:rPr>
          <w:rFonts w:cs="Times New Roman"/>
          <w:sz w:val="28"/>
          <w:szCs w:val="28"/>
        </w:rPr>
        <w:t>23,3</w:t>
      </w:r>
      <w:r w:rsidR="00797560">
        <w:rPr>
          <w:rFonts w:cs="Times New Roman"/>
          <w:sz w:val="28"/>
          <w:szCs w:val="28"/>
        </w:rPr>
        <w:t> </w:t>
      </w:r>
      <w:r w:rsidRPr="00E3382A">
        <w:rPr>
          <w:rFonts w:cs="Times New Roman"/>
          <w:sz w:val="28"/>
          <w:szCs w:val="28"/>
        </w:rPr>
        <w:t xml:space="preserve">% un </w:t>
      </w:r>
      <w:r>
        <w:rPr>
          <w:rFonts w:cs="Times New Roman"/>
          <w:sz w:val="28"/>
          <w:szCs w:val="28"/>
        </w:rPr>
        <w:t>6,6</w:t>
      </w:r>
      <w:r w:rsidR="00797560">
        <w:rPr>
          <w:rFonts w:cs="Times New Roman"/>
          <w:sz w:val="28"/>
          <w:szCs w:val="28"/>
        </w:rPr>
        <w:t> </w:t>
      </w:r>
      <w:r w:rsidRPr="00E3382A">
        <w:rPr>
          <w:rFonts w:cs="Times New Roman"/>
          <w:sz w:val="28"/>
          <w:szCs w:val="28"/>
        </w:rPr>
        <w:t>%.</w:t>
      </w:r>
      <w:r>
        <w:rPr>
          <w:rFonts w:cs="Times New Roman"/>
          <w:sz w:val="28"/>
          <w:szCs w:val="28"/>
        </w:rPr>
        <w:t xml:space="preserve"> Pakalpojumu eksports faktiskajās cenās 2017</w:t>
      </w:r>
      <w:r w:rsidRPr="0007530A">
        <w:rPr>
          <w:rFonts w:cs="Times New Roman"/>
          <w:sz w:val="28"/>
          <w:szCs w:val="28"/>
        </w:rPr>
        <w:t>. </w:t>
      </w:r>
      <w:r>
        <w:rPr>
          <w:rFonts w:cs="Times New Roman"/>
          <w:sz w:val="28"/>
          <w:szCs w:val="28"/>
        </w:rPr>
        <w:t>gada pirmajos trīs ceturkšņos bija par 4,3</w:t>
      </w:r>
      <w:r w:rsidR="00797560">
        <w:rPr>
          <w:rFonts w:cs="Times New Roman"/>
          <w:sz w:val="28"/>
          <w:szCs w:val="28"/>
        </w:rPr>
        <w:t> </w:t>
      </w:r>
      <w:r>
        <w:rPr>
          <w:rFonts w:cs="Times New Roman"/>
          <w:sz w:val="28"/>
          <w:szCs w:val="28"/>
        </w:rPr>
        <w:t>% lielāks nekā attiecīgajā periodā pirms gada. Lielāko devumu pakalpojumu eksporta pieaugumā nodrošināja autotransporta pakalpojumi, kā arī dator- un informācijas pakalpojumi, kas salīdzinājumā ar 2016.</w:t>
      </w:r>
      <w:r w:rsidR="00797560">
        <w:rPr>
          <w:rFonts w:cs="Times New Roman"/>
          <w:sz w:val="28"/>
          <w:szCs w:val="28"/>
        </w:rPr>
        <w:t> </w:t>
      </w:r>
      <w:r>
        <w:rPr>
          <w:rFonts w:cs="Times New Roman"/>
          <w:sz w:val="28"/>
          <w:szCs w:val="28"/>
        </w:rPr>
        <w:t>gada attiecīgo periodu palielinājās attiecīgi par 10,8</w:t>
      </w:r>
      <w:r w:rsidR="00797560">
        <w:rPr>
          <w:rFonts w:cs="Times New Roman"/>
          <w:sz w:val="28"/>
          <w:szCs w:val="28"/>
        </w:rPr>
        <w:t> </w:t>
      </w:r>
      <w:r>
        <w:rPr>
          <w:rFonts w:cs="Times New Roman"/>
          <w:sz w:val="28"/>
          <w:szCs w:val="28"/>
        </w:rPr>
        <w:t>% un 25,3</w:t>
      </w:r>
      <w:r w:rsidR="00797560">
        <w:rPr>
          <w:rFonts w:cs="Times New Roman"/>
          <w:sz w:val="28"/>
          <w:szCs w:val="28"/>
        </w:rPr>
        <w:t> </w:t>
      </w:r>
      <w:r>
        <w:rPr>
          <w:rFonts w:cs="Times New Roman"/>
          <w:sz w:val="28"/>
          <w:szCs w:val="28"/>
        </w:rPr>
        <w:t>%.</w:t>
      </w:r>
    </w:p>
    <w:p w14:paraId="77403E90" w14:textId="0715199E" w:rsidR="00F409E4" w:rsidRPr="00C77EB2" w:rsidRDefault="00F409E4" w:rsidP="001D6218">
      <w:pPr>
        <w:spacing w:before="120" w:after="120"/>
        <w:ind w:firstLine="720"/>
        <w:jc w:val="both"/>
        <w:rPr>
          <w:rFonts w:cs="Times New Roman"/>
          <w:sz w:val="28"/>
          <w:szCs w:val="28"/>
        </w:rPr>
      </w:pPr>
      <w:r w:rsidRPr="0007530A">
        <w:rPr>
          <w:rFonts w:cs="Times New Roman"/>
          <w:sz w:val="28"/>
          <w:szCs w:val="28"/>
        </w:rPr>
        <w:t>Nozaru griezumā lielāko devumu Latvijas ekonomikas izaugsmē 2017.</w:t>
      </w:r>
      <w:r w:rsidR="00797560">
        <w:rPr>
          <w:rFonts w:cs="Times New Roman"/>
          <w:sz w:val="28"/>
          <w:szCs w:val="28"/>
        </w:rPr>
        <w:t> </w:t>
      </w:r>
      <w:r w:rsidRPr="0007530A">
        <w:rPr>
          <w:rFonts w:cs="Times New Roman"/>
          <w:sz w:val="28"/>
          <w:szCs w:val="28"/>
        </w:rPr>
        <w:t xml:space="preserve">gada </w:t>
      </w:r>
      <w:r>
        <w:rPr>
          <w:rFonts w:cs="Times New Roman"/>
          <w:sz w:val="28"/>
          <w:szCs w:val="28"/>
        </w:rPr>
        <w:t>pirmajos trīs ceturkšņos</w:t>
      </w:r>
      <w:r w:rsidRPr="0007530A">
        <w:rPr>
          <w:rFonts w:cs="Times New Roman"/>
          <w:sz w:val="28"/>
          <w:szCs w:val="28"/>
        </w:rPr>
        <w:t xml:space="preserve"> deva apstrādes rūpniecība, kas salīdzinājumā ar 2016</w:t>
      </w:r>
      <w:r>
        <w:rPr>
          <w:rFonts w:cs="Times New Roman"/>
          <w:sz w:val="28"/>
          <w:szCs w:val="28"/>
        </w:rPr>
        <w:t>.</w:t>
      </w:r>
      <w:r w:rsidR="00797560">
        <w:rPr>
          <w:rFonts w:cs="Times New Roman"/>
          <w:sz w:val="28"/>
          <w:szCs w:val="28"/>
        </w:rPr>
        <w:t> </w:t>
      </w:r>
      <w:r>
        <w:rPr>
          <w:rFonts w:cs="Times New Roman"/>
          <w:sz w:val="28"/>
          <w:szCs w:val="28"/>
        </w:rPr>
        <w:t>gada attiecīgo periodu pieauga par 8,5</w:t>
      </w:r>
      <w:r w:rsidR="00797560">
        <w:rPr>
          <w:rFonts w:cs="Times New Roman"/>
          <w:sz w:val="28"/>
          <w:szCs w:val="28"/>
        </w:rPr>
        <w:t> </w:t>
      </w:r>
      <w:r>
        <w:rPr>
          <w:rFonts w:cs="Times New Roman"/>
          <w:sz w:val="28"/>
          <w:szCs w:val="28"/>
        </w:rPr>
        <w:t>%. Apstrādes rūpniecības izaugsmi veicināja straujāka pasaules ekonomikas izaugsme un pieprasījuma pieaugums ārējos tirgos, un izaugsmi 2017.</w:t>
      </w:r>
      <w:r w:rsidR="00797560">
        <w:rPr>
          <w:rFonts w:cs="Times New Roman"/>
          <w:sz w:val="28"/>
          <w:szCs w:val="28"/>
        </w:rPr>
        <w:t> </w:t>
      </w:r>
      <w:r>
        <w:rPr>
          <w:rFonts w:cs="Times New Roman"/>
          <w:sz w:val="28"/>
          <w:szCs w:val="28"/>
        </w:rPr>
        <w:t xml:space="preserve">gadā uzrādīja praktiski visas apstrādes rūpniecības nozares. </w:t>
      </w:r>
      <w:r w:rsidRPr="00C77EB2">
        <w:rPr>
          <w:rFonts w:cs="Times New Roman"/>
          <w:sz w:val="28"/>
          <w:szCs w:val="28"/>
        </w:rPr>
        <w:t>Īpaši spēcīgi attīst</w:t>
      </w:r>
      <w:r>
        <w:rPr>
          <w:rFonts w:cs="Times New Roman"/>
          <w:sz w:val="28"/>
          <w:szCs w:val="28"/>
        </w:rPr>
        <w:t>ījās</w:t>
      </w:r>
      <w:r w:rsidRPr="00C77EB2">
        <w:rPr>
          <w:rFonts w:cs="Times New Roman"/>
          <w:sz w:val="28"/>
          <w:szCs w:val="28"/>
        </w:rPr>
        <w:t xml:space="preserve"> mašīnbūve un metālapstrāde, datoru un elektronisko iekārtu ražošana, un stabili pieaugumi </w:t>
      </w:r>
      <w:r>
        <w:rPr>
          <w:rFonts w:cs="Times New Roman"/>
          <w:sz w:val="28"/>
          <w:szCs w:val="28"/>
        </w:rPr>
        <w:t xml:space="preserve">bija </w:t>
      </w:r>
      <w:r w:rsidRPr="00C77EB2">
        <w:rPr>
          <w:rFonts w:cs="Times New Roman"/>
          <w:sz w:val="28"/>
          <w:szCs w:val="28"/>
        </w:rPr>
        <w:t xml:space="preserve">arī divās lielākajās apstrādes rūpniecības nozarēs – pārtikas produktu un </w:t>
      </w:r>
      <w:r>
        <w:rPr>
          <w:rFonts w:cs="Times New Roman"/>
          <w:sz w:val="28"/>
          <w:szCs w:val="28"/>
        </w:rPr>
        <w:t>koka izstrādājumu ražošanā.</w:t>
      </w:r>
    </w:p>
    <w:p w14:paraId="76AD0109" w14:textId="234E22DE" w:rsidR="00F409E4" w:rsidRPr="0007530A" w:rsidRDefault="00F409E4" w:rsidP="001D6218">
      <w:pPr>
        <w:spacing w:before="120" w:after="120"/>
        <w:ind w:firstLine="720"/>
        <w:jc w:val="both"/>
        <w:rPr>
          <w:rFonts w:cs="Times New Roman"/>
          <w:sz w:val="28"/>
          <w:szCs w:val="28"/>
        </w:rPr>
      </w:pPr>
      <w:r>
        <w:rPr>
          <w:rFonts w:cs="Times New Roman"/>
          <w:sz w:val="28"/>
          <w:szCs w:val="28"/>
        </w:rPr>
        <w:t xml:space="preserve">Gandrīz tikpat būtisks ieguldījums ekonomikas izaugsmē bija būvniecības nozarei, kas, </w:t>
      </w:r>
      <w:r w:rsidRPr="0007530A">
        <w:rPr>
          <w:rFonts w:cs="Times New Roman"/>
          <w:sz w:val="28"/>
          <w:szCs w:val="28"/>
        </w:rPr>
        <w:t xml:space="preserve">paātrinoties ES fondu investīciju plūsmai, </w:t>
      </w:r>
      <w:r>
        <w:rPr>
          <w:rFonts w:cs="Times New Roman"/>
          <w:sz w:val="28"/>
          <w:szCs w:val="28"/>
        </w:rPr>
        <w:t>2017.</w:t>
      </w:r>
      <w:r w:rsidR="00797560">
        <w:rPr>
          <w:rFonts w:cs="Times New Roman"/>
          <w:sz w:val="28"/>
          <w:szCs w:val="28"/>
        </w:rPr>
        <w:t> </w:t>
      </w:r>
      <w:r>
        <w:rPr>
          <w:rFonts w:cs="Times New Roman"/>
          <w:sz w:val="28"/>
          <w:szCs w:val="28"/>
        </w:rPr>
        <w:t xml:space="preserve">gada pirmajos trīs ceturkšņos </w:t>
      </w:r>
      <w:r w:rsidRPr="0007530A">
        <w:rPr>
          <w:rFonts w:cs="Times New Roman"/>
          <w:sz w:val="28"/>
          <w:szCs w:val="28"/>
        </w:rPr>
        <w:t xml:space="preserve">augusi par </w:t>
      </w:r>
      <w:r>
        <w:rPr>
          <w:rFonts w:cs="Times New Roman"/>
          <w:sz w:val="28"/>
          <w:szCs w:val="28"/>
        </w:rPr>
        <w:t>18,6</w:t>
      </w:r>
      <w:r w:rsidR="00797560">
        <w:rPr>
          <w:rFonts w:cs="Times New Roman"/>
          <w:sz w:val="28"/>
          <w:szCs w:val="28"/>
        </w:rPr>
        <w:t> </w:t>
      </w:r>
      <w:r>
        <w:rPr>
          <w:rFonts w:cs="Times New Roman"/>
          <w:sz w:val="28"/>
          <w:szCs w:val="28"/>
        </w:rPr>
        <w:t>%. Trešo lielāko ieguldījumu deva transporta un uzglabāšanas nozare, kas salīdzinājumā ar 2016.</w:t>
      </w:r>
      <w:r w:rsidR="00797560">
        <w:rPr>
          <w:rFonts w:cs="Times New Roman"/>
          <w:sz w:val="28"/>
          <w:szCs w:val="28"/>
        </w:rPr>
        <w:t> </w:t>
      </w:r>
      <w:r>
        <w:rPr>
          <w:rFonts w:cs="Times New Roman"/>
          <w:sz w:val="28"/>
          <w:szCs w:val="28"/>
        </w:rPr>
        <w:t>gada pirmajiem trim ceturkšņiem palielinājās par 7,5</w:t>
      </w:r>
      <w:r w:rsidR="00797560">
        <w:rPr>
          <w:rFonts w:cs="Times New Roman"/>
          <w:sz w:val="28"/>
          <w:szCs w:val="28"/>
        </w:rPr>
        <w:t> </w:t>
      </w:r>
      <w:r>
        <w:rPr>
          <w:rFonts w:cs="Times New Roman"/>
          <w:sz w:val="28"/>
          <w:szCs w:val="28"/>
        </w:rPr>
        <w:t xml:space="preserve">%. Transporta nozares </w:t>
      </w:r>
      <w:r w:rsidRPr="005334DB">
        <w:rPr>
          <w:rFonts w:cs="Times New Roman"/>
          <w:sz w:val="28"/>
          <w:szCs w:val="28"/>
        </w:rPr>
        <w:t>pieaugumā noteicošā loma bijusi augošajiem kravu autopārvadājumiem, kā arī pieaugošajam pasažieru skaitam lidostā un jūras ostās.</w:t>
      </w:r>
      <w:r w:rsidRPr="0007530A">
        <w:rPr>
          <w:rFonts w:cs="Times New Roman"/>
          <w:sz w:val="28"/>
          <w:szCs w:val="28"/>
        </w:rPr>
        <w:t xml:space="preserve"> Kopumā ekonomikas izaugsme 2017.</w:t>
      </w:r>
      <w:r w:rsidR="00797560">
        <w:rPr>
          <w:rFonts w:cs="Times New Roman"/>
          <w:sz w:val="28"/>
          <w:szCs w:val="28"/>
        </w:rPr>
        <w:t> </w:t>
      </w:r>
      <w:r>
        <w:rPr>
          <w:rFonts w:cs="Times New Roman"/>
          <w:sz w:val="28"/>
          <w:szCs w:val="28"/>
        </w:rPr>
        <w:t>gadā</w:t>
      </w:r>
      <w:r w:rsidRPr="0007530A">
        <w:rPr>
          <w:rFonts w:cs="Times New Roman"/>
          <w:sz w:val="28"/>
          <w:szCs w:val="28"/>
        </w:rPr>
        <w:t xml:space="preserve"> ir bijusi visaptveroša un samazinājums</w:t>
      </w:r>
      <w:r>
        <w:rPr>
          <w:rFonts w:cs="Times New Roman"/>
          <w:sz w:val="28"/>
          <w:szCs w:val="28"/>
        </w:rPr>
        <w:t xml:space="preserve"> pirmajos trīs ceturkšņos ir</w:t>
      </w:r>
      <w:r w:rsidRPr="0007530A">
        <w:rPr>
          <w:rFonts w:cs="Times New Roman"/>
          <w:sz w:val="28"/>
          <w:szCs w:val="28"/>
        </w:rPr>
        <w:t xml:space="preserve"> bijis tikai finanšu pakalpojumu nozarē</w:t>
      </w:r>
      <w:r>
        <w:rPr>
          <w:rFonts w:cs="Times New Roman"/>
          <w:sz w:val="28"/>
          <w:szCs w:val="28"/>
        </w:rPr>
        <w:t> </w:t>
      </w:r>
      <w:r w:rsidRPr="0007530A">
        <w:rPr>
          <w:rFonts w:cs="Times New Roman"/>
          <w:sz w:val="28"/>
          <w:szCs w:val="28"/>
        </w:rPr>
        <w:t>–</w:t>
      </w:r>
      <w:r>
        <w:rPr>
          <w:rFonts w:cs="Times New Roman"/>
          <w:sz w:val="28"/>
          <w:szCs w:val="28"/>
        </w:rPr>
        <w:t> </w:t>
      </w:r>
      <w:r w:rsidRPr="0007530A">
        <w:rPr>
          <w:rFonts w:cs="Times New Roman"/>
          <w:sz w:val="28"/>
          <w:szCs w:val="28"/>
        </w:rPr>
        <w:t xml:space="preserve">par </w:t>
      </w:r>
      <w:r>
        <w:rPr>
          <w:rFonts w:cs="Times New Roman"/>
          <w:sz w:val="28"/>
          <w:szCs w:val="28"/>
        </w:rPr>
        <w:t>9</w:t>
      </w:r>
      <w:r w:rsidRPr="0007530A">
        <w:rPr>
          <w:rFonts w:cs="Times New Roman"/>
          <w:sz w:val="28"/>
          <w:szCs w:val="28"/>
        </w:rPr>
        <w:t>,7 %, salīdzinot ar 2016.</w:t>
      </w:r>
      <w:r w:rsidR="006C35D5">
        <w:rPr>
          <w:rFonts w:cs="Times New Roman"/>
          <w:sz w:val="28"/>
          <w:szCs w:val="28"/>
        </w:rPr>
        <w:t> </w:t>
      </w:r>
      <w:r>
        <w:rPr>
          <w:rFonts w:cs="Times New Roman"/>
          <w:sz w:val="28"/>
          <w:szCs w:val="28"/>
        </w:rPr>
        <w:t>gada attiecīgo laika periodu, ko noteikusi</w:t>
      </w:r>
      <w:r w:rsidRPr="00A069CE">
        <w:rPr>
          <w:rFonts w:cs="Times New Roman"/>
          <w:sz w:val="28"/>
          <w:szCs w:val="28"/>
        </w:rPr>
        <w:t xml:space="preserve"> nerezidentu noguldījumu samazināšanās un bāzes efekta ietekme.</w:t>
      </w:r>
    </w:p>
    <w:p w14:paraId="660DB7AB" w14:textId="42FF86BF" w:rsidR="00F409E4" w:rsidRPr="0007530A" w:rsidRDefault="00F409E4" w:rsidP="001D6218">
      <w:pPr>
        <w:spacing w:before="120" w:after="120"/>
        <w:ind w:firstLine="720"/>
        <w:jc w:val="both"/>
        <w:rPr>
          <w:rFonts w:cs="Times New Roman"/>
          <w:sz w:val="28"/>
          <w:szCs w:val="28"/>
        </w:rPr>
      </w:pPr>
      <w:r w:rsidRPr="0007530A">
        <w:rPr>
          <w:rFonts w:cs="Times New Roman"/>
          <w:sz w:val="28"/>
          <w:szCs w:val="28"/>
        </w:rPr>
        <w:t xml:space="preserve">Ekonomikas izaugsmei paātrinoties, </w:t>
      </w:r>
      <w:r>
        <w:rPr>
          <w:rFonts w:cs="Times New Roman"/>
          <w:sz w:val="28"/>
          <w:szCs w:val="28"/>
        </w:rPr>
        <w:t>straujāka kļuvusi bezdarba samazināšanās. 2017.</w:t>
      </w:r>
      <w:r w:rsidR="006C35D5">
        <w:rPr>
          <w:rFonts w:cs="Times New Roman"/>
          <w:sz w:val="28"/>
          <w:szCs w:val="28"/>
        </w:rPr>
        <w:t> </w:t>
      </w:r>
      <w:r>
        <w:rPr>
          <w:rFonts w:cs="Times New Roman"/>
          <w:sz w:val="28"/>
          <w:szCs w:val="28"/>
        </w:rPr>
        <w:t>gada pirmajos trīs ceturkšņos bezdarba līmenis pēc darbaspēka apsekojuma datiem bija 8,9</w:t>
      </w:r>
      <w:r w:rsidR="006C35D5">
        <w:rPr>
          <w:rFonts w:cs="Times New Roman"/>
          <w:sz w:val="28"/>
          <w:szCs w:val="28"/>
        </w:rPr>
        <w:t> % – </w:t>
      </w:r>
      <w:r>
        <w:rPr>
          <w:rFonts w:cs="Times New Roman"/>
          <w:sz w:val="28"/>
          <w:szCs w:val="28"/>
        </w:rPr>
        <w:t>par 0,9 procentpunktiem zemāks nekā attiecīgajā laika periodā pirms gada. 2016.</w:t>
      </w:r>
      <w:r w:rsidR="006C35D5">
        <w:rPr>
          <w:rFonts w:cs="Times New Roman"/>
          <w:sz w:val="28"/>
          <w:szCs w:val="28"/>
        </w:rPr>
        <w:t> </w:t>
      </w:r>
      <w:r>
        <w:rPr>
          <w:rFonts w:cs="Times New Roman"/>
          <w:sz w:val="28"/>
          <w:szCs w:val="28"/>
        </w:rPr>
        <w:t>gadā kopā bezdarba līmenis bija pazeminājies par 0,3 procentpunktiem.</w:t>
      </w:r>
      <w:r w:rsidRPr="0007530A">
        <w:rPr>
          <w:rFonts w:cs="Times New Roman"/>
          <w:sz w:val="28"/>
          <w:szCs w:val="28"/>
        </w:rPr>
        <w:t xml:space="preserve"> Tajā pašā laikā nodarbināto iedzīvotāju skaita pieaugumu ierobežo darbspējas vecuma ie</w:t>
      </w:r>
      <w:r>
        <w:rPr>
          <w:rFonts w:cs="Times New Roman"/>
          <w:sz w:val="28"/>
          <w:szCs w:val="28"/>
        </w:rPr>
        <w:t xml:space="preserve">dzīvotāju skaita samazināšanās, un </w:t>
      </w:r>
      <w:r w:rsidRPr="0007530A">
        <w:rPr>
          <w:rFonts w:cs="Times New Roman"/>
          <w:sz w:val="28"/>
          <w:szCs w:val="28"/>
        </w:rPr>
        <w:t>2017.</w:t>
      </w:r>
      <w:r w:rsidR="00E547B0">
        <w:rPr>
          <w:rFonts w:cs="Times New Roman"/>
          <w:sz w:val="28"/>
          <w:szCs w:val="28"/>
        </w:rPr>
        <w:t> </w:t>
      </w:r>
      <w:r>
        <w:rPr>
          <w:rFonts w:cs="Times New Roman"/>
          <w:sz w:val="28"/>
          <w:szCs w:val="28"/>
        </w:rPr>
        <w:t xml:space="preserve">gada pirmajos trīs ceturkšņos </w:t>
      </w:r>
      <w:r w:rsidRPr="0007530A">
        <w:rPr>
          <w:rFonts w:cs="Times New Roman"/>
          <w:sz w:val="28"/>
          <w:szCs w:val="28"/>
        </w:rPr>
        <w:t>nodarbināto iedzīvotāju skaits, salīdzinot ar 2016.</w:t>
      </w:r>
      <w:r w:rsidR="00E547B0">
        <w:rPr>
          <w:rFonts w:cs="Times New Roman"/>
          <w:sz w:val="28"/>
          <w:szCs w:val="28"/>
        </w:rPr>
        <w:t> </w:t>
      </w:r>
      <w:r>
        <w:rPr>
          <w:rFonts w:cs="Times New Roman"/>
          <w:sz w:val="28"/>
          <w:szCs w:val="28"/>
        </w:rPr>
        <w:t>gada attiecīgo laika periodu</w:t>
      </w:r>
      <w:r w:rsidRPr="0007530A">
        <w:rPr>
          <w:rFonts w:cs="Times New Roman"/>
          <w:sz w:val="28"/>
          <w:szCs w:val="28"/>
        </w:rPr>
        <w:t>,</w:t>
      </w:r>
      <w:r>
        <w:rPr>
          <w:rFonts w:cs="Times New Roman"/>
          <w:sz w:val="28"/>
          <w:szCs w:val="28"/>
        </w:rPr>
        <w:t xml:space="preserve"> ir samazinājies par 0,2</w:t>
      </w:r>
      <w:r w:rsidR="00E547B0">
        <w:rPr>
          <w:rFonts w:cs="Times New Roman"/>
          <w:sz w:val="28"/>
          <w:szCs w:val="28"/>
        </w:rPr>
        <w:t> </w:t>
      </w:r>
      <w:r w:rsidRPr="0007530A">
        <w:rPr>
          <w:rFonts w:cs="Times New Roman"/>
          <w:sz w:val="28"/>
          <w:szCs w:val="28"/>
        </w:rPr>
        <w:t>%.</w:t>
      </w:r>
    </w:p>
    <w:p w14:paraId="374C0FA3" w14:textId="414528D4" w:rsidR="00F409E4" w:rsidRPr="0007530A" w:rsidRDefault="00F409E4" w:rsidP="001D6218">
      <w:pPr>
        <w:spacing w:before="120" w:after="120"/>
        <w:ind w:firstLine="720"/>
        <w:jc w:val="both"/>
        <w:rPr>
          <w:rFonts w:cs="Times New Roman"/>
          <w:sz w:val="28"/>
          <w:szCs w:val="28"/>
        </w:rPr>
      </w:pPr>
      <w:r w:rsidRPr="0007530A">
        <w:rPr>
          <w:rFonts w:cs="Times New Roman"/>
          <w:sz w:val="28"/>
          <w:szCs w:val="28"/>
        </w:rPr>
        <w:t>Vienlaikus ar bezdarba straujāku samazināšanos arī mēneša vidējās brut</w:t>
      </w:r>
      <w:r>
        <w:rPr>
          <w:rFonts w:cs="Times New Roman"/>
          <w:sz w:val="28"/>
          <w:szCs w:val="28"/>
        </w:rPr>
        <w:t>o darba samaksas pieaugums 2017.</w:t>
      </w:r>
      <w:r w:rsidR="00E547B0">
        <w:rPr>
          <w:rFonts w:cs="Times New Roman"/>
          <w:sz w:val="28"/>
          <w:szCs w:val="28"/>
        </w:rPr>
        <w:t> </w:t>
      </w:r>
      <w:r>
        <w:rPr>
          <w:rFonts w:cs="Times New Roman"/>
          <w:sz w:val="28"/>
          <w:szCs w:val="28"/>
        </w:rPr>
        <w:t xml:space="preserve">gadā ir kļuvis straujāks. </w:t>
      </w:r>
      <w:r w:rsidRPr="0007530A">
        <w:rPr>
          <w:rFonts w:cs="Times New Roman"/>
          <w:sz w:val="28"/>
          <w:szCs w:val="28"/>
        </w:rPr>
        <w:t>2017.</w:t>
      </w:r>
      <w:r w:rsidR="00E547B0">
        <w:rPr>
          <w:rFonts w:cs="Times New Roman"/>
          <w:sz w:val="28"/>
          <w:szCs w:val="28"/>
        </w:rPr>
        <w:t> </w:t>
      </w:r>
      <w:r>
        <w:rPr>
          <w:rFonts w:cs="Times New Roman"/>
          <w:sz w:val="28"/>
          <w:szCs w:val="28"/>
        </w:rPr>
        <w:t>gada pirmajos trīs ceturkšņos,</w:t>
      </w:r>
      <w:r w:rsidRPr="0007530A">
        <w:rPr>
          <w:rFonts w:cs="Times New Roman"/>
          <w:sz w:val="28"/>
          <w:szCs w:val="28"/>
        </w:rPr>
        <w:t xml:space="preserve"> salīdzinot ar attiecīgo </w:t>
      </w:r>
      <w:r>
        <w:rPr>
          <w:rFonts w:cs="Times New Roman"/>
          <w:sz w:val="28"/>
          <w:szCs w:val="28"/>
        </w:rPr>
        <w:t>periodu</w:t>
      </w:r>
      <w:r w:rsidRPr="0007530A">
        <w:rPr>
          <w:rFonts w:cs="Times New Roman"/>
          <w:sz w:val="28"/>
          <w:szCs w:val="28"/>
        </w:rPr>
        <w:t xml:space="preserve"> pirms gada, vidējā alga auga par 7,</w:t>
      </w:r>
      <w:r>
        <w:rPr>
          <w:rFonts w:cs="Times New Roman"/>
          <w:sz w:val="28"/>
          <w:szCs w:val="28"/>
        </w:rPr>
        <w:t>5</w:t>
      </w:r>
      <w:r w:rsidR="00E547B0">
        <w:rPr>
          <w:rFonts w:cs="Times New Roman"/>
          <w:sz w:val="28"/>
          <w:szCs w:val="28"/>
        </w:rPr>
        <w:t> </w:t>
      </w:r>
      <w:r w:rsidRPr="0007530A">
        <w:rPr>
          <w:rFonts w:cs="Times New Roman"/>
          <w:sz w:val="28"/>
          <w:szCs w:val="28"/>
        </w:rPr>
        <w:t xml:space="preserve">%, sasniedzot </w:t>
      </w:r>
      <w:r>
        <w:rPr>
          <w:rFonts w:cs="Times New Roman"/>
          <w:sz w:val="28"/>
          <w:szCs w:val="28"/>
        </w:rPr>
        <w:t>911 </w:t>
      </w:r>
      <w:r w:rsidRPr="0007530A">
        <w:rPr>
          <w:rFonts w:cs="Times New Roman"/>
          <w:i/>
          <w:sz w:val="28"/>
          <w:szCs w:val="28"/>
        </w:rPr>
        <w:t>euro</w:t>
      </w:r>
      <w:r w:rsidRPr="0007530A">
        <w:rPr>
          <w:rFonts w:cs="Times New Roman"/>
          <w:sz w:val="28"/>
          <w:szCs w:val="28"/>
        </w:rPr>
        <w:t>.</w:t>
      </w:r>
      <w:r>
        <w:rPr>
          <w:rFonts w:cs="Times New Roman"/>
          <w:sz w:val="28"/>
          <w:szCs w:val="28"/>
        </w:rPr>
        <w:t xml:space="preserve"> Mēneša vidējā bruto darba samaksa sabiedriskajā sektorā palielinājās par 7,8</w:t>
      </w:r>
      <w:r w:rsidR="00E547B0">
        <w:rPr>
          <w:rFonts w:cs="Times New Roman"/>
          <w:sz w:val="28"/>
          <w:szCs w:val="28"/>
        </w:rPr>
        <w:t> % līdz 935 </w:t>
      </w:r>
      <w:r w:rsidRPr="00B53F3B">
        <w:rPr>
          <w:rFonts w:cs="Times New Roman"/>
          <w:i/>
          <w:sz w:val="28"/>
          <w:szCs w:val="28"/>
        </w:rPr>
        <w:t>euro</w:t>
      </w:r>
      <w:r>
        <w:rPr>
          <w:rFonts w:cs="Times New Roman"/>
          <w:sz w:val="28"/>
          <w:szCs w:val="28"/>
        </w:rPr>
        <w:t>, bet privātajā sektorā tā auga par 7,6</w:t>
      </w:r>
      <w:r w:rsidR="00E547B0">
        <w:rPr>
          <w:rFonts w:cs="Times New Roman"/>
          <w:sz w:val="28"/>
          <w:szCs w:val="28"/>
        </w:rPr>
        <w:t> % līdz 900 </w:t>
      </w:r>
      <w:r w:rsidRPr="00B53F3B">
        <w:rPr>
          <w:rFonts w:cs="Times New Roman"/>
          <w:i/>
          <w:sz w:val="28"/>
          <w:szCs w:val="28"/>
        </w:rPr>
        <w:t>euro</w:t>
      </w:r>
      <w:r>
        <w:rPr>
          <w:rFonts w:cs="Times New Roman"/>
          <w:sz w:val="28"/>
          <w:szCs w:val="28"/>
        </w:rPr>
        <w:t>.</w:t>
      </w:r>
    </w:p>
    <w:p w14:paraId="76C6F4D7" w14:textId="58EF3C15" w:rsidR="00DA527D" w:rsidRPr="00E94DEB" w:rsidRDefault="00F409E4" w:rsidP="001D6218">
      <w:pPr>
        <w:spacing w:before="120" w:after="120"/>
        <w:ind w:firstLine="720"/>
        <w:jc w:val="both"/>
        <w:rPr>
          <w:rFonts w:cs="Times New Roman"/>
          <w:sz w:val="28"/>
          <w:szCs w:val="28"/>
          <w:highlight w:val="yellow"/>
        </w:rPr>
      </w:pPr>
      <w:r>
        <w:rPr>
          <w:rFonts w:cs="Times New Roman"/>
          <w:sz w:val="28"/>
          <w:szCs w:val="28"/>
        </w:rPr>
        <w:t>Inflācijas līmenis 2017.</w:t>
      </w:r>
      <w:r w:rsidR="00E547B0">
        <w:rPr>
          <w:rFonts w:cs="Times New Roman"/>
          <w:sz w:val="28"/>
          <w:szCs w:val="28"/>
        </w:rPr>
        <w:t> </w:t>
      </w:r>
      <w:r>
        <w:rPr>
          <w:rFonts w:cs="Times New Roman"/>
          <w:sz w:val="28"/>
          <w:szCs w:val="28"/>
        </w:rPr>
        <w:t>gadā ir paaugstinājies, un patēriņa cenas 2017.</w:t>
      </w:r>
      <w:r w:rsidR="00E547B0">
        <w:rPr>
          <w:rFonts w:cs="Times New Roman"/>
          <w:sz w:val="28"/>
          <w:szCs w:val="28"/>
        </w:rPr>
        <w:t> </w:t>
      </w:r>
      <w:r>
        <w:rPr>
          <w:rFonts w:cs="Times New Roman"/>
          <w:sz w:val="28"/>
          <w:szCs w:val="28"/>
        </w:rPr>
        <w:t>gadā ir bijušas par 2,9</w:t>
      </w:r>
      <w:r w:rsidR="00E547B0">
        <w:rPr>
          <w:rFonts w:cs="Times New Roman"/>
          <w:sz w:val="28"/>
          <w:szCs w:val="28"/>
        </w:rPr>
        <w:t> </w:t>
      </w:r>
      <w:r>
        <w:rPr>
          <w:rFonts w:cs="Times New Roman"/>
          <w:sz w:val="28"/>
          <w:szCs w:val="28"/>
        </w:rPr>
        <w:t>% augstākas nekā iepriekšējā gadā. 2016.</w:t>
      </w:r>
      <w:r w:rsidR="00E547B0">
        <w:rPr>
          <w:rFonts w:cs="Times New Roman"/>
          <w:sz w:val="28"/>
          <w:szCs w:val="28"/>
        </w:rPr>
        <w:t> </w:t>
      </w:r>
      <w:r>
        <w:rPr>
          <w:rFonts w:cs="Times New Roman"/>
          <w:sz w:val="28"/>
          <w:szCs w:val="28"/>
        </w:rPr>
        <w:t>gadā patēriņa cenas praktiski nebija pieaugušas, palielinoties tikai par 0,1</w:t>
      </w:r>
      <w:r w:rsidR="00E547B0">
        <w:rPr>
          <w:rFonts w:cs="Times New Roman"/>
          <w:sz w:val="28"/>
          <w:szCs w:val="28"/>
        </w:rPr>
        <w:t> </w:t>
      </w:r>
      <w:r>
        <w:rPr>
          <w:rFonts w:cs="Times New Roman"/>
          <w:sz w:val="28"/>
          <w:szCs w:val="28"/>
        </w:rPr>
        <w:t>%. Inflācijas pieaugumu 2017.</w:t>
      </w:r>
      <w:r w:rsidR="00E547B0">
        <w:rPr>
          <w:rFonts w:cs="Times New Roman"/>
          <w:sz w:val="28"/>
          <w:szCs w:val="28"/>
        </w:rPr>
        <w:t> </w:t>
      </w:r>
      <w:r>
        <w:rPr>
          <w:rFonts w:cs="Times New Roman"/>
          <w:sz w:val="28"/>
          <w:szCs w:val="28"/>
        </w:rPr>
        <w:t xml:space="preserve">gadā galvenokārt pārtikas un degvielas cenu pieaugums, kā arī </w:t>
      </w:r>
      <w:r>
        <w:rPr>
          <w:rFonts w:cs="Times New Roman"/>
          <w:sz w:val="28"/>
          <w:szCs w:val="28"/>
        </w:rPr>
        <w:lastRenderedPageBreak/>
        <w:t xml:space="preserve">sakaru, </w:t>
      </w:r>
      <w:r w:rsidRPr="0086138F">
        <w:rPr>
          <w:rFonts w:cs="Times New Roman"/>
          <w:sz w:val="28"/>
          <w:szCs w:val="28"/>
        </w:rPr>
        <w:t>telekomunik</w:t>
      </w:r>
      <w:r>
        <w:rPr>
          <w:rFonts w:cs="Times New Roman"/>
          <w:sz w:val="28"/>
          <w:szCs w:val="28"/>
        </w:rPr>
        <w:t>āciju, apdrošināšanas un finanšu</w:t>
      </w:r>
      <w:r w:rsidRPr="0086138F">
        <w:rPr>
          <w:rFonts w:cs="Times New Roman"/>
          <w:sz w:val="28"/>
          <w:szCs w:val="28"/>
        </w:rPr>
        <w:t xml:space="preserve"> pakalpojumu cenu kāpums.</w:t>
      </w:r>
      <w:r>
        <w:rPr>
          <w:rFonts w:cs="Times New Roman"/>
          <w:sz w:val="28"/>
          <w:szCs w:val="28"/>
        </w:rPr>
        <w:t xml:space="preserve"> Kopumā preču cenas 2017.</w:t>
      </w:r>
      <w:r w:rsidR="00E547B0">
        <w:rPr>
          <w:rFonts w:cs="Times New Roman"/>
          <w:sz w:val="28"/>
          <w:szCs w:val="28"/>
        </w:rPr>
        <w:t> </w:t>
      </w:r>
      <w:r>
        <w:rPr>
          <w:rFonts w:cs="Times New Roman"/>
          <w:sz w:val="28"/>
          <w:szCs w:val="28"/>
        </w:rPr>
        <w:t>gadā palielinājās par 2,8</w:t>
      </w:r>
      <w:r w:rsidR="00E547B0">
        <w:rPr>
          <w:rFonts w:cs="Times New Roman"/>
          <w:sz w:val="28"/>
          <w:szCs w:val="28"/>
        </w:rPr>
        <w:t> </w:t>
      </w:r>
      <w:r>
        <w:rPr>
          <w:rFonts w:cs="Times New Roman"/>
          <w:sz w:val="28"/>
          <w:szCs w:val="28"/>
        </w:rPr>
        <w:t>%, bet pakalpojumu cenas auga par 3,2</w:t>
      </w:r>
      <w:r w:rsidR="00E547B0">
        <w:rPr>
          <w:rFonts w:cs="Times New Roman"/>
          <w:sz w:val="28"/>
          <w:szCs w:val="28"/>
        </w:rPr>
        <w:t> </w:t>
      </w:r>
      <w:r>
        <w:rPr>
          <w:rFonts w:cs="Times New Roman"/>
          <w:sz w:val="28"/>
          <w:szCs w:val="28"/>
        </w:rPr>
        <w:t>%.</w:t>
      </w:r>
    </w:p>
    <w:p w14:paraId="26D1D966" w14:textId="01A6D31D" w:rsidR="009C0862" w:rsidRPr="00E94DEB" w:rsidRDefault="00113F03" w:rsidP="00942973">
      <w:pPr>
        <w:pStyle w:val="1lmenis"/>
        <w:spacing w:line="240" w:lineRule="auto"/>
      </w:pPr>
      <w:bookmarkStart w:id="6" w:name="_Toc504564212"/>
      <w:bookmarkEnd w:id="4"/>
      <w:bookmarkEnd w:id="5"/>
      <w:r w:rsidRPr="00E94DEB">
        <w:t xml:space="preserve">3. </w:t>
      </w:r>
      <w:r w:rsidR="009C0862" w:rsidRPr="00E94DEB">
        <w:t>2007.</w:t>
      </w:r>
      <w:r w:rsidR="00530C5E" w:rsidRPr="00E94DEB">
        <w:t> </w:t>
      </w:r>
      <w:r w:rsidR="009759AB">
        <w:t>–</w:t>
      </w:r>
      <w:r w:rsidR="00530C5E" w:rsidRPr="00E94DEB">
        <w:t> </w:t>
      </w:r>
      <w:r w:rsidR="009C0862" w:rsidRPr="00E94DEB">
        <w:t>2013</w:t>
      </w:r>
      <w:r w:rsidR="000870FE" w:rsidRPr="00E94DEB">
        <w:t>. gad</w:t>
      </w:r>
      <w:r w:rsidR="009C0862" w:rsidRPr="00E94DEB">
        <w:t xml:space="preserve">a plānošanas perioda ES fondu </w:t>
      </w:r>
      <w:r w:rsidR="002F7AB7" w:rsidRPr="00E94DEB">
        <w:t>slēgšana</w:t>
      </w:r>
      <w:r w:rsidR="00D62C0D" w:rsidRPr="00E94DEB">
        <w:rPr>
          <w:rStyle w:val="FootnoteReference"/>
        </w:rPr>
        <w:footnoteReference w:id="10"/>
      </w:r>
      <w:bookmarkEnd w:id="6"/>
    </w:p>
    <w:p w14:paraId="338EDFBA" w14:textId="34945127" w:rsidR="00385B09" w:rsidRPr="00E35D52" w:rsidRDefault="00E35D52" w:rsidP="00E35D52">
      <w:pPr>
        <w:spacing w:before="120" w:after="120"/>
        <w:ind w:firstLine="720"/>
        <w:jc w:val="both"/>
        <w:rPr>
          <w:rStyle w:val="Strong"/>
          <w:rFonts w:cs="Times New Roman"/>
          <w:b w:val="0"/>
          <w:sz w:val="28"/>
          <w:szCs w:val="28"/>
        </w:rPr>
      </w:pPr>
      <w:r>
        <w:rPr>
          <w:rStyle w:val="Strong"/>
          <w:rFonts w:cs="Times New Roman"/>
          <w:b w:val="0"/>
          <w:sz w:val="28"/>
          <w:szCs w:val="28"/>
        </w:rPr>
        <w:t xml:space="preserve">2017.gada 29.decembrī saņemts pirmais noslēguma maksājums par ESF 29,2 milj. </w:t>
      </w:r>
      <w:r w:rsidRPr="00F70EBC">
        <w:rPr>
          <w:rStyle w:val="Strong"/>
          <w:rFonts w:cs="Times New Roman"/>
          <w:b w:val="0"/>
          <w:i/>
          <w:sz w:val="28"/>
          <w:szCs w:val="28"/>
        </w:rPr>
        <w:t>euro</w:t>
      </w:r>
      <w:r>
        <w:rPr>
          <w:rStyle w:val="Strong"/>
          <w:rFonts w:cs="Times New Roman"/>
          <w:b w:val="0"/>
          <w:sz w:val="28"/>
          <w:szCs w:val="28"/>
        </w:rPr>
        <w:t xml:space="preserve"> apmērā. Vēl atlicis no EK saņemt 197,4 milj. </w:t>
      </w:r>
      <w:r w:rsidRPr="0098265D">
        <w:rPr>
          <w:rStyle w:val="Strong"/>
          <w:rFonts w:cs="Times New Roman"/>
          <w:b w:val="0"/>
          <w:i/>
          <w:sz w:val="28"/>
          <w:szCs w:val="28"/>
        </w:rPr>
        <w:t>euro</w:t>
      </w:r>
      <w:r>
        <w:rPr>
          <w:rStyle w:val="Strong"/>
          <w:rFonts w:cs="Times New Roman"/>
          <w:b w:val="0"/>
          <w:sz w:val="28"/>
          <w:szCs w:val="28"/>
        </w:rPr>
        <w:t>, tas ir, joprojām plānojam saņemt ES fondu maksājumu</w:t>
      </w:r>
      <w:r w:rsidR="00AB63BC">
        <w:rPr>
          <w:rStyle w:val="Strong"/>
          <w:rFonts w:cs="Times New Roman"/>
          <w:b w:val="0"/>
          <w:sz w:val="28"/>
          <w:szCs w:val="28"/>
        </w:rPr>
        <w:t>s</w:t>
      </w:r>
      <w:r>
        <w:rPr>
          <w:rStyle w:val="Strong"/>
          <w:rFonts w:cs="Times New Roman"/>
          <w:b w:val="0"/>
          <w:sz w:val="28"/>
          <w:szCs w:val="28"/>
        </w:rPr>
        <w:t xml:space="preserve"> 100</w:t>
      </w:r>
      <w:r w:rsidR="00F70EBC">
        <w:rPr>
          <w:rStyle w:val="Strong"/>
          <w:rFonts w:cs="Times New Roman"/>
          <w:b w:val="0"/>
          <w:sz w:val="28"/>
          <w:szCs w:val="28"/>
        </w:rPr>
        <w:t> </w:t>
      </w:r>
      <w:r>
        <w:rPr>
          <w:rStyle w:val="Strong"/>
          <w:rFonts w:cs="Times New Roman"/>
          <w:b w:val="0"/>
          <w:sz w:val="28"/>
          <w:szCs w:val="28"/>
        </w:rPr>
        <w:t xml:space="preserve">%. </w:t>
      </w:r>
      <w:r w:rsidR="00533CB0" w:rsidRPr="00E94DEB">
        <w:rPr>
          <w:rStyle w:val="Strong"/>
          <w:rFonts w:cs="Times New Roman"/>
          <w:b w:val="0"/>
          <w:sz w:val="28"/>
          <w:szCs w:val="28"/>
        </w:rPr>
        <w:t>2007</w:t>
      </w:r>
      <w:r w:rsidR="00E547B0">
        <w:rPr>
          <w:rStyle w:val="Strong"/>
          <w:rFonts w:cs="Times New Roman"/>
          <w:b w:val="0"/>
          <w:sz w:val="28"/>
          <w:szCs w:val="28"/>
        </w:rPr>
        <w:t>. </w:t>
      </w:r>
      <w:r w:rsidR="00533CB0" w:rsidRPr="00E94DEB">
        <w:rPr>
          <w:rStyle w:val="Strong"/>
          <w:rFonts w:cs="Times New Roman"/>
          <w:b w:val="0"/>
          <w:sz w:val="28"/>
          <w:szCs w:val="28"/>
        </w:rPr>
        <w:t>-</w:t>
      </w:r>
      <w:r w:rsidR="00E547B0">
        <w:rPr>
          <w:rStyle w:val="Strong"/>
          <w:rFonts w:cs="Times New Roman"/>
          <w:b w:val="0"/>
          <w:sz w:val="28"/>
          <w:szCs w:val="28"/>
        </w:rPr>
        <w:t> </w:t>
      </w:r>
      <w:r w:rsidR="00533CB0" w:rsidRPr="00E94DEB">
        <w:rPr>
          <w:rStyle w:val="Strong"/>
          <w:rFonts w:cs="Times New Roman"/>
          <w:b w:val="0"/>
          <w:sz w:val="28"/>
          <w:szCs w:val="28"/>
        </w:rPr>
        <w:t>2013.</w:t>
      </w:r>
      <w:r w:rsidR="00E547B0">
        <w:rPr>
          <w:rStyle w:val="Strong"/>
          <w:rFonts w:cs="Times New Roman"/>
          <w:b w:val="0"/>
          <w:sz w:val="28"/>
          <w:szCs w:val="28"/>
        </w:rPr>
        <w:t> </w:t>
      </w:r>
      <w:r w:rsidR="00533CB0" w:rsidRPr="00E94DEB">
        <w:rPr>
          <w:rStyle w:val="Strong"/>
          <w:rFonts w:cs="Times New Roman"/>
          <w:b w:val="0"/>
          <w:sz w:val="28"/>
          <w:szCs w:val="28"/>
        </w:rPr>
        <w:t xml:space="preserve">gada </w:t>
      </w:r>
      <w:r w:rsidR="00F1215C" w:rsidRPr="00E94DEB">
        <w:rPr>
          <w:rStyle w:val="Strong"/>
          <w:rFonts w:cs="Times New Roman"/>
          <w:b w:val="0"/>
          <w:sz w:val="28"/>
          <w:szCs w:val="28"/>
        </w:rPr>
        <w:t xml:space="preserve">plānošanas </w:t>
      </w:r>
      <w:r w:rsidR="00533CB0" w:rsidRPr="00E94DEB">
        <w:rPr>
          <w:rStyle w:val="Strong"/>
          <w:rFonts w:cs="Times New Roman"/>
          <w:b w:val="0"/>
          <w:sz w:val="28"/>
          <w:szCs w:val="28"/>
        </w:rPr>
        <w:t>programmas pēcuzraudzības periodā</w:t>
      </w:r>
      <w:r w:rsidR="00533CB0" w:rsidRPr="00E94DEB">
        <w:rPr>
          <w:rStyle w:val="FootnoteReference"/>
          <w:rFonts w:cs="Times New Roman"/>
          <w:bCs/>
          <w:sz w:val="28"/>
          <w:szCs w:val="28"/>
        </w:rPr>
        <w:footnoteReference w:id="11"/>
      </w:r>
      <w:r w:rsidR="00533CB0" w:rsidRPr="00E94DEB">
        <w:rPr>
          <w:rStyle w:val="Strong"/>
          <w:rFonts w:cs="Times New Roman"/>
          <w:b w:val="0"/>
          <w:sz w:val="28"/>
          <w:szCs w:val="28"/>
        </w:rPr>
        <w:t xml:space="preserve"> </w:t>
      </w:r>
      <w:r w:rsidR="00D62C0D" w:rsidRPr="00E94DEB">
        <w:rPr>
          <w:rStyle w:val="Strong"/>
          <w:rFonts w:cs="Times New Roman"/>
          <w:b w:val="0"/>
          <w:sz w:val="28"/>
          <w:szCs w:val="28"/>
        </w:rPr>
        <w:t>t</w:t>
      </w:r>
      <w:r w:rsidR="00385B09" w:rsidRPr="00E94DEB">
        <w:rPr>
          <w:rStyle w:val="Strong"/>
          <w:rFonts w:cs="Times New Roman"/>
          <w:b w:val="0"/>
          <w:bCs w:val="0"/>
          <w:sz w:val="28"/>
          <w:szCs w:val="28"/>
        </w:rPr>
        <w:t>urpin</w:t>
      </w:r>
      <w:r w:rsidR="009F2298" w:rsidRPr="00E94DEB">
        <w:rPr>
          <w:rStyle w:val="Strong"/>
          <w:rFonts w:cs="Times New Roman"/>
          <w:b w:val="0"/>
          <w:bCs w:val="0"/>
          <w:sz w:val="28"/>
          <w:szCs w:val="28"/>
        </w:rPr>
        <w:t>ās</w:t>
      </w:r>
      <w:r w:rsidR="00385B09" w:rsidRPr="00E94DEB">
        <w:rPr>
          <w:rStyle w:val="Strong"/>
          <w:rFonts w:cs="Times New Roman"/>
          <w:b w:val="0"/>
          <w:bCs w:val="0"/>
          <w:sz w:val="28"/>
          <w:szCs w:val="28"/>
        </w:rPr>
        <w:t xml:space="preserve"> projektu </w:t>
      </w:r>
      <w:r w:rsidR="009F2298" w:rsidRPr="00E94DEB">
        <w:rPr>
          <w:rStyle w:val="Strong"/>
          <w:rFonts w:cs="Times New Roman"/>
          <w:b w:val="0"/>
          <w:bCs w:val="0"/>
          <w:sz w:val="28"/>
          <w:szCs w:val="28"/>
        </w:rPr>
        <w:t>ilgtspējas uzraudzība atbilstoši nosacījumiem</w:t>
      </w:r>
      <w:r w:rsidR="00386CA8" w:rsidRPr="00E94DEB">
        <w:rPr>
          <w:rStyle w:val="Strong"/>
          <w:rFonts w:cs="Times New Roman"/>
          <w:b w:val="0"/>
          <w:bCs w:val="0"/>
          <w:sz w:val="28"/>
          <w:szCs w:val="28"/>
        </w:rPr>
        <w:t xml:space="preserve">, t.sk. </w:t>
      </w:r>
      <w:r w:rsidR="00891814">
        <w:rPr>
          <w:rStyle w:val="Strong"/>
          <w:rFonts w:cs="Times New Roman"/>
          <w:b w:val="0"/>
          <w:bCs w:val="0"/>
          <w:sz w:val="28"/>
          <w:szCs w:val="28"/>
        </w:rPr>
        <w:t>AI</w:t>
      </w:r>
      <w:r w:rsidR="009F2298" w:rsidRPr="00E94DEB">
        <w:rPr>
          <w:rStyle w:val="Strong"/>
          <w:rFonts w:cs="Times New Roman"/>
          <w:b w:val="0"/>
          <w:bCs w:val="0"/>
          <w:sz w:val="28"/>
          <w:szCs w:val="28"/>
        </w:rPr>
        <w:t xml:space="preserve"> īpaši seko līdzi diviem</w:t>
      </w:r>
      <w:r w:rsidR="00F1215C" w:rsidRPr="00E94DEB">
        <w:rPr>
          <w:rStyle w:val="Strong"/>
          <w:rFonts w:cs="Times New Roman"/>
          <w:b w:val="0"/>
          <w:bCs w:val="0"/>
          <w:sz w:val="28"/>
          <w:szCs w:val="28"/>
        </w:rPr>
        <w:t xml:space="preserve"> vēl nefunkcionējošiem</w:t>
      </w:r>
      <w:r w:rsidR="009F2298" w:rsidRPr="00E94DEB">
        <w:rPr>
          <w:rStyle w:val="Strong"/>
          <w:rFonts w:cs="Times New Roman"/>
          <w:b w:val="0"/>
          <w:bCs w:val="0"/>
          <w:sz w:val="28"/>
          <w:szCs w:val="28"/>
        </w:rPr>
        <w:t xml:space="preserve"> projektiem</w:t>
      </w:r>
      <w:r w:rsidR="00986271" w:rsidRPr="00E94DEB">
        <w:rPr>
          <w:rStyle w:val="FootnoteReference"/>
          <w:rFonts w:cs="Times New Roman"/>
          <w:sz w:val="28"/>
          <w:szCs w:val="28"/>
        </w:rPr>
        <w:footnoteReference w:id="12"/>
      </w:r>
      <w:r w:rsidR="009F2298" w:rsidRPr="00E94DEB">
        <w:rPr>
          <w:rStyle w:val="Strong"/>
          <w:rFonts w:cs="Times New Roman"/>
          <w:b w:val="0"/>
          <w:bCs w:val="0"/>
          <w:sz w:val="28"/>
          <w:szCs w:val="28"/>
        </w:rPr>
        <w:t>, kuriem atbalstīta iespēja pabeigt mērķu sasniegšanu un funkcionalitātes nodrošināšanu līdz 2019.</w:t>
      </w:r>
      <w:r w:rsidR="00530C5E" w:rsidRPr="00E94DEB">
        <w:rPr>
          <w:rStyle w:val="Strong"/>
          <w:rFonts w:cs="Times New Roman"/>
          <w:b w:val="0"/>
          <w:bCs w:val="0"/>
          <w:sz w:val="28"/>
          <w:szCs w:val="28"/>
        </w:rPr>
        <w:t> </w:t>
      </w:r>
      <w:r w:rsidR="009F2298" w:rsidRPr="00E94DEB">
        <w:rPr>
          <w:rStyle w:val="Strong"/>
          <w:rFonts w:cs="Times New Roman"/>
          <w:b w:val="0"/>
          <w:bCs w:val="0"/>
          <w:sz w:val="28"/>
          <w:szCs w:val="28"/>
        </w:rPr>
        <w:t>gada 31.</w:t>
      </w:r>
      <w:r w:rsidR="00530C5E" w:rsidRPr="00E94DEB">
        <w:rPr>
          <w:rStyle w:val="Strong"/>
          <w:rFonts w:cs="Times New Roman"/>
          <w:b w:val="0"/>
          <w:bCs w:val="0"/>
          <w:sz w:val="28"/>
          <w:szCs w:val="28"/>
        </w:rPr>
        <w:t> </w:t>
      </w:r>
      <w:r w:rsidR="009F2298" w:rsidRPr="00E94DEB">
        <w:rPr>
          <w:rStyle w:val="Strong"/>
          <w:rFonts w:cs="Times New Roman"/>
          <w:b w:val="0"/>
          <w:bCs w:val="0"/>
          <w:sz w:val="28"/>
          <w:szCs w:val="28"/>
        </w:rPr>
        <w:t>martam</w:t>
      </w:r>
      <w:r w:rsidR="0091213B">
        <w:rPr>
          <w:rStyle w:val="Strong"/>
          <w:rFonts w:cs="Times New Roman"/>
          <w:b w:val="0"/>
          <w:bCs w:val="0"/>
          <w:sz w:val="28"/>
          <w:szCs w:val="28"/>
        </w:rPr>
        <w:t>:</w:t>
      </w:r>
    </w:p>
    <w:p w14:paraId="0B29B5F8" w14:textId="1A3B902C" w:rsidR="00385B09" w:rsidRPr="00E94DEB" w:rsidRDefault="0091213B" w:rsidP="00942973">
      <w:pPr>
        <w:spacing w:before="120" w:after="120"/>
        <w:ind w:firstLine="720"/>
        <w:jc w:val="both"/>
        <w:rPr>
          <w:rStyle w:val="Strong"/>
          <w:rFonts w:cs="Times New Roman"/>
          <w:b w:val="0"/>
          <w:bCs w:val="0"/>
          <w:sz w:val="28"/>
          <w:szCs w:val="28"/>
          <w:highlight w:val="yellow"/>
        </w:rPr>
      </w:pPr>
      <w:r>
        <w:rPr>
          <w:rStyle w:val="Strong"/>
          <w:rFonts w:cs="Times New Roman"/>
          <w:b w:val="0"/>
          <w:bCs w:val="0"/>
          <w:sz w:val="28"/>
          <w:szCs w:val="28"/>
        </w:rPr>
        <w:t xml:space="preserve">1) </w:t>
      </w:r>
      <w:r w:rsidR="00385B09" w:rsidRPr="00E94DEB">
        <w:rPr>
          <w:rStyle w:val="Strong"/>
          <w:rFonts w:cs="Times New Roman"/>
          <w:b w:val="0"/>
          <w:bCs w:val="0"/>
          <w:sz w:val="28"/>
          <w:szCs w:val="28"/>
        </w:rPr>
        <w:t>VSIA “</w:t>
      </w:r>
      <w:r w:rsidR="00385B09" w:rsidRPr="00E94DEB">
        <w:rPr>
          <w:rStyle w:val="Strong"/>
          <w:rFonts w:cs="Times New Roman"/>
          <w:b w:val="0"/>
          <w:bCs w:val="0"/>
          <w:i/>
          <w:sz w:val="28"/>
          <w:szCs w:val="28"/>
        </w:rPr>
        <w:t>Paula Stradiņa klīniskās universitātes slimnīcas</w:t>
      </w:r>
      <w:r w:rsidR="00385B09" w:rsidRPr="00E94DEB">
        <w:rPr>
          <w:rStyle w:val="Strong"/>
          <w:rFonts w:cs="Times New Roman"/>
          <w:b w:val="0"/>
          <w:bCs w:val="0"/>
          <w:sz w:val="28"/>
          <w:szCs w:val="28"/>
        </w:rPr>
        <w:t>” A korpusa pirmā kārta</w:t>
      </w:r>
      <w:r w:rsidR="001401EF" w:rsidRPr="00E94DEB">
        <w:rPr>
          <w:rStyle w:val="Strong"/>
          <w:rFonts w:cs="Times New Roman"/>
          <w:b w:val="0"/>
          <w:bCs w:val="0"/>
          <w:sz w:val="28"/>
          <w:szCs w:val="28"/>
        </w:rPr>
        <w:t xml:space="preserve"> ir pieņemta ekspluatācijā 2017.</w:t>
      </w:r>
      <w:r w:rsidR="00891814">
        <w:rPr>
          <w:rStyle w:val="Strong"/>
          <w:rFonts w:cs="Times New Roman"/>
          <w:b w:val="0"/>
          <w:bCs w:val="0"/>
          <w:sz w:val="28"/>
          <w:szCs w:val="28"/>
        </w:rPr>
        <w:t> </w:t>
      </w:r>
      <w:r w:rsidR="001401EF" w:rsidRPr="00E94DEB">
        <w:rPr>
          <w:rStyle w:val="Strong"/>
          <w:rFonts w:cs="Times New Roman"/>
          <w:b w:val="0"/>
          <w:bCs w:val="0"/>
          <w:sz w:val="28"/>
          <w:szCs w:val="28"/>
        </w:rPr>
        <w:t>gada 29.</w:t>
      </w:r>
      <w:r w:rsidR="00891814">
        <w:rPr>
          <w:rStyle w:val="Strong"/>
          <w:rFonts w:cs="Times New Roman"/>
          <w:b w:val="0"/>
          <w:bCs w:val="0"/>
          <w:sz w:val="28"/>
          <w:szCs w:val="28"/>
        </w:rPr>
        <w:t> </w:t>
      </w:r>
      <w:r w:rsidR="001401EF" w:rsidRPr="00E94DEB">
        <w:rPr>
          <w:rStyle w:val="Strong"/>
          <w:rFonts w:cs="Times New Roman"/>
          <w:b w:val="0"/>
          <w:bCs w:val="0"/>
          <w:sz w:val="28"/>
          <w:szCs w:val="28"/>
        </w:rPr>
        <w:t>martā un 2017.</w:t>
      </w:r>
      <w:r w:rsidR="00891814">
        <w:rPr>
          <w:rStyle w:val="Strong"/>
          <w:rFonts w:cs="Times New Roman"/>
          <w:b w:val="0"/>
          <w:bCs w:val="0"/>
          <w:sz w:val="28"/>
          <w:szCs w:val="28"/>
        </w:rPr>
        <w:t> </w:t>
      </w:r>
      <w:r w:rsidR="001401EF" w:rsidRPr="00E94DEB">
        <w:rPr>
          <w:rStyle w:val="Strong"/>
          <w:rFonts w:cs="Times New Roman"/>
          <w:b w:val="0"/>
          <w:bCs w:val="0"/>
          <w:sz w:val="28"/>
          <w:szCs w:val="28"/>
        </w:rPr>
        <w:t>gada 1.</w:t>
      </w:r>
      <w:r w:rsidR="00891814">
        <w:rPr>
          <w:rStyle w:val="Strong"/>
          <w:rFonts w:cs="Times New Roman"/>
          <w:b w:val="0"/>
          <w:bCs w:val="0"/>
          <w:sz w:val="28"/>
          <w:szCs w:val="28"/>
        </w:rPr>
        <w:t> </w:t>
      </w:r>
      <w:r w:rsidR="001401EF" w:rsidRPr="00E94DEB">
        <w:rPr>
          <w:rStyle w:val="Strong"/>
          <w:rFonts w:cs="Times New Roman"/>
          <w:b w:val="0"/>
          <w:bCs w:val="0"/>
          <w:sz w:val="28"/>
          <w:szCs w:val="28"/>
        </w:rPr>
        <w:t xml:space="preserve">jūnijā </w:t>
      </w:r>
      <w:r w:rsidR="00A415CF" w:rsidRPr="00E94DEB">
        <w:rPr>
          <w:rStyle w:val="Strong"/>
          <w:rFonts w:cs="Times New Roman"/>
          <w:b w:val="0"/>
          <w:bCs w:val="0"/>
          <w:sz w:val="28"/>
          <w:szCs w:val="28"/>
        </w:rPr>
        <w:t>t</w:t>
      </w:r>
      <w:r w:rsidR="00891814">
        <w:rPr>
          <w:rStyle w:val="Strong"/>
          <w:rFonts w:cs="Times New Roman"/>
          <w:b w:val="0"/>
          <w:bCs w:val="0"/>
          <w:sz w:val="28"/>
          <w:szCs w:val="28"/>
        </w:rPr>
        <w:t>ā</w:t>
      </w:r>
      <w:r w:rsidR="00A415CF" w:rsidRPr="00E94DEB">
        <w:rPr>
          <w:rStyle w:val="Strong"/>
          <w:rFonts w:cs="Times New Roman"/>
          <w:b w:val="0"/>
          <w:bCs w:val="0"/>
          <w:sz w:val="28"/>
          <w:szCs w:val="28"/>
        </w:rPr>
        <w:t xml:space="preserve"> atvērt</w:t>
      </w:r>
      <w:r w:rsidR="00FE7F3E">
        <w:rPr>
          <w:rStyle w:val="Strong"/>
          <w:rFonts w:cs="Times New Roman"/>
          <w:b w:val="0"/>
          <w:bCs w:val="0"/>
          <w:sz w:val="28"/>
          <w:szCs w:val="28"/>
        </w:rPr>
        <w:t>a</w:t>
      </w:r>
      <w:r w:rsidR="00A415CF" w:rsidRPr="00E94DEB">
        <w:rPr>
          <w:rStyle w:val="Strong"/>
          <w:rFonts w:cs="Times New Roman"/>
          <w:b w:val="0"/>
          <w:bCs w:val="0"/>
          <w:sz w:val="28"/>
          <w:szCs w:val="28"/>
        </w:rPr>
        <w:t xml:space="preserve"> </w:t>
      </w:r>
      <w:r w:rsidR="001401EF" w:rsidRPr="00E94DEB">
        <w:rPr>
          <w:rStyle w:val="Strong"/>
          <w:rFonts w:cs="Times New Roman"/>
          <w:b w:val="0"/>
          <w:bCs w:val="0"/>
          <w:sz w:val="28"/>
          <w:szCs w:val="28"/>
        </w:rPr>
        <w:t>apmeklētājiem. Darbīb</w:t>
      </w:r>
      <w:r w:rsidR="00BC6AEB" w:rsidRPr="00E94DEB">
        <w:rPr>
          <w:rStyle w:val="Strong"/>
          <w:rFonts w:cs="Times New Roman"/>
          <w:b w:val="0"/>
          <w:bCs w:val="0"/>
          <w:sz w:val="28"/>
          <w:szCs w:val="28"/>
        </w:rPr>
        <w:t>u</w:t>
      </w:r>
      <w:r w:rsidR="001401EF" w:rsidRPr="00E94DEB">
        <w:rPr>
          <w:rStyle w:val="Strong"/>
          <w:rFonts w:cs="Times New Roman"/>
          <w:b w:val="0"/>
          <w:bCs w:val="0"/>
          <w:sz w:val="28"/>
          <w:szCs w:val="28"/>
        </w:rPr>
        <w:t xml:space="preserve"> ir uzsākušas </w:t>
      </w:r>
      <w:r w:rsidR="007C7E04" w:rsidRPr="00E94DEB">
        <w:rPr>
          <w:rStyle w:val="Strong"/>
          <w:rFonts w:cs="Times New Roman"/>
          <w:b w:val="0"/>
          <w:bCs w:val="0"/>
          <w:sz w:val="28"/>
          <w:szCs w:val="28"/>
        </w:rPr>
        <w:t>visas</w:t>
      </w:r>
      <w:r w:rsidR="001401EF" w:rsidRPr="00E94DEB">
        <w:rPr>
          <w:rStyle w:val="Strong"/>
          <w:rFonts w:cs="Times New Roman"/>
          <w:b w:val="0"/>
          <w:bCs w:val="0"/>
          <w:sz w:val="28"/>
          <w:szCs w:val="28"/>
        </w:rPr>
        <w:t xml:space="preserve"> nodaļas. </w:t>
      </w:r>
      <w:r w:rsidR="00A415CF" w:rsidRPr="00E94DEB">
        <w:rPr>
          <w:rStyle w:val="Strong"/>
          <w:rFonts w:cs="Times New Roman"/>
          <w:b w:val="0"/>
          <w:bCs w:val="0"/>
          <w:sz w:val="28"/>
          <w:szCs w:val="28"/>
        </w:rPr>
        <w:t>Joprojām p</w:t>
      </w:r>
      <w:r w:rsidR="001401EF" w:rsidRPr="00E94DEB">
        <w:rPr>
          <w:rStyle w:val="Strong"/>
          <w:rFonts w:cs="Times New Roman"/>
          <w:b w:val="0"/>
          <w:bCs w:val="0"/>
          <w:sz w:val="28"/>
          <w:szCs w:val="28"/>
        </w:rPr>
        <w:t xml:space="preserve">rocesā ir iekārtu </w:t>
      </w:r>
      <w:r w:rsidR="007C7E04" w:rsidRPr="00E94DEB">
        <w:rPr>
          <w:rStyle w:val="Strong"/>
          <w:rFonts w:cs="Times New Roman"/>
          <w:b w:val="0"/>
          <w:bCs w:val="0"/>
          <w:sz w:val="28"/>
          <w:szCs w:val="28"/>
        </w:rPr>
        <w:t xml:space="preserve">un aprīkojuma </w:t>
      </w:r>
      <w:r w:rsidR="001401EF" w:rsidRPr="00E94DEB">
        <w:rPr>
          <w:rStyle w:val="Strong"/>
          <w:rFonts w:cs="Times New Roman"/>
          <w:b w:val="0"/>
          <w:bCs w:val="0"/>
          <w:sz w:val="28"/>
          <w:szCs w:val="28"/>
        </w:rPr>
        <w:t>piegādes</w:t>
      </w:r>
      <w:r w:rsidR="007C7E04" w:rsidRPr="00E94DEB">
        <w:rPr>
          <w:rStyle w:val="Strong"/>
          <w:rFonts w:cs="Times New Roman"/>
          <w:b w:val="0"/>
          <w:bCs w:val="0"/>
          <w:sz w:val="28"/>
          <w:szCs w:val="28"/>
        </w:rPr>
        <w:t xml:space="preserve"> – atlicis mazāk kā 30</w:t>
      </w:r>
      <w:r w:rsidR="00891814">
        <w:rPr>
          <w:rStyle w:val="Strong"/>
          <w:rFonts w:cs="Times New Roman"/>
          <w:b w:val="0"/>
          <w:bCs w:val="0"/>
          <w:sz w:val="28"/>
          <w:szCs w:val="28"/>
        </w:rPr>
        <w:t> </w:t>
      </w:r>
      <w:r w:rsidR="007C7E04" w:rsidRPr="00E94DEB">
        <w:rPr>
          <w:rStyle w:val="Strong"/>
          <w:rFonts w:cs="Times New Roman"/>
          <w:b w:val="0"/>
          <w:bCs w:val="0"/>
          <w:sz w:val="28"/>
          <w:szCs w:val="28"/>
        </w:rPr>
        <w:t xml:space="preserve">% no kopējā apjoma. </w:t>
      </w:r>
      <w:r w:rsidR="00385B09" w:rsidRPr="00E94DEB">
        <w:rPr>
          <w:rStyle w:val="Strong"/>
          <w:rFonts w:cs="Times New Roman"/>
          <w:b w:val="0"/>
          <w:bCs w:val="0"/>
          <w:sz w:val="28"/>
          <w:szCs w:val="28"/>
        </w:rPr>
        <w:t>Pilnīga projekta pabeigšana</w:t>
      </w:r>
      <w:r w:rsidR="007C7E04" w:rsidRPr="00E94DEB">
        <w:rPr>
          <w:rStyle w:val="Strong"/>
          <w:rFonts w:cs="Times New Roman"/>
          <w:b w:val="0"/>
          <w:bCs w:val="0"/>
          <w:sz w:val="28"/>
          <w:szCs w:val="28"/>
        </w:rPr>
        <w:t>, t.sk.</w:t>
      </w:r>
      <w:r w:rsidR="007C7E04" w:rsidRPr="00E94DEB">
        <w:t xml:space="preserve"> </w:t>
      </w:r>
      <w:r w:rsidR="007C7E04" w:rsidRPr="00E94DEB">
        <w:rPr>
          <w:rStyle w:val="Strong"/>
          <w:rFonts w:cs="Times New Roman"/>
          <w:b w:val="0"/>
          <w:bCs w:val="0"/>
          <w:sz w:val="28"/>
          <w:szCs w:val="28"/>
        </w:rPr>
        <w:t xml:space="preserve">A korpusa jaunbūves </w:t>
      </w:r>
      <w:r w:rsidR="00FE7F3E">
        <w:rPr>
          <w:rStyle w:val="Strong"/>
          <w:rFonts w:cs="Times New Roman"/>
          <w:b w:val="0"/>
          <w:bCs w:val="0"/>
          <w:sz w:val="28"/>
          <w:szCs w:val="28"/>
        </w:rPr>
        <w:t>pirmās</w:t>
      </w:r>
      <w:r w:rsidR="007C7E04" w:rsidRPr="00E94DEB">
        <w:rPr>
          <w:rStyle w:val="Strong"/>
          <w:rFonts w:cs="Times New Roman"/>
          <w:b w:val="0"/>
          <w:bCs w:val="0"/>
          <w:sz w:val="28"/>
          <w:szCs w:val="28"/>
        </w:rPr>
        <w:t xml:space="preserve"> kārtas pilnā funkcionēšana</w:t>
      </w:r>
      <w:r w:rsidR="00891814">
        <w:rPr>
          <w:rStyle w:val="Strong"/>
          <w:rFonts w:cs="Times New Roman"/>
          <w:b w:val="0"/>
          <w:bCs w:val="0"/>
          <w:sz w:val="28"/>
          <w:szCs w:val="28"/>
        </w:rPr>
        <w:t>,</w:t>
      </w:r>
      <w:r w:rsidR="007C7E04" w:rsidRPr="00E94DEB">
        <w:rPr>
          <w:rStyle w:val="Strong"/>
          <w:rFonts w:cs="Times New Roman"/>
          <w:b w:val="0"/>
          <w:bCs w:val="0"/>
          <w:sz w:val="28"/>
          <w:szCs w:val="28"/>
        </w:rPr>
        <w:t xml:space="preserve"> </w:t>
      </w:r>
      <w:r w:rsidR="00385B09" w:rsidRPr="00E94DEB">
        <w:rPr>
          <w:rStyle w:val="Strong"/>
          <w:rFonts w:cs="Times New Roman"/>
          <w:b w:val="0"/>
          <w:bCs w:val="0"/>
          <w:sz w:val="28"/>
          <w:szCs w:val="28"/>
        </w:rPr>
        <w:t>ir plānota 2018. gada II</w:t>
      </w:r>
      <w:r w:rsidR="00530C5E" w:rsidRPr="00E94DEB">
        <w:rPr>
          <w:rStyle w:val="Strong"/>
          <w:rFonts w:cs="Times New Roman"/>
          <w:b w:val="0"/>
          <w:bCs w:val="0"/>
          <w:sz w:val="28"/>
          <w:szCs w:val="28"/>
        </w:rPr>
        <w:t> </w:t>
      </w:r>
      <w:r w:rsidR="00385B09" w:rsidRPr="00E94DEB">
        <w:rPr>
          <w:rStyle w:val="Strong"/>
          <w:rFonts w:cs="Times New Roman"/>
          <w:b w:val="0"/>
          <w:bCs w:val="0"/>
          <w:sz w:val="28"/>
          <w:szCs w:val="28"/>
        </w:rPr>
        <w:t>ceturksn</w:t>
      </w:r>
      <w:r w:rsidR="00D26589" w:rsidRPr="00E94DEB">
        <w:rPr>
          <w:rStyle w:val="Strong"/>
          <w:rFonts w:cs="Times New Roman"/>
          <w:b w:val="0"/>
          <w:bCs w:val="0"/>
          <w:sz w:val="28"/>
          <w:szCs w:val="28"/>
        </w:rPr>
        <w:t>ī.</w:t>
      </w:r>
      <w:r w:rsidR="00B1594E" w:rsidRPr="00E94DEB">
        <w:rPr>
          <w:rStyle w:val="Strong"/>
          <w:rFonts w:cs="Times New Roman"/>
          <w:b w:val="0"/>
          <w:bCs w:val="0"/>
          <w:sz w:val="28"/>
          <w:szCs w:val="28"/>
        </w:rPr>
        <w:t xml:space="preserve"> </w:t>
      </w:r>
    </w:p>
    <w:p w14:paraId="2A32AF52" w14:textId="551106BE" w:rsidR="00386CA8" w:rsidRDefault="0091213B" w:rsidP="00942973">
      <w:pPr>
        <w:spacing w:before="120" w:after="120"/>
        <w:ind w:firstLine="720"/>
        <w:jc w:val="both"/>
        <w:rPr>
          <w:rStyle w:val="Strong"/>
          <w:rFonts w:cs="Times New Roman"/>
          <w:b w:val="0"/>
          <w:bCs w:val="0"/>
          <w:sz w:val="28"/>
          <w:szCs w:val="28"/>
        </w:rPr>
      </w:pPr>
      <w:r>
        <w:rPr>
          <w:rStyle w:val="Strong"/>
          <w:rFonts w:cs="Times New Roman"/>
          <w:b w:val="0"/>
          <w:bCs w:val="0"/>
          <w:sz w:val="28"/>
          <w:szCs w:val="28"/>
        </w:rPr>
        <w:t xml:space="preserve">2) </w:t>
      </w:r>
      <w:r w:rsidR="00386CA8" w:rsidRPr="00E94DEB">
        <w:rPr>
          <w:rStyle w:val="Strong"/>
          <w:rFonts w:cs="Times New Roman"/>
          <w:b w:val="0"/>
          <w:bCs w:val="0"/>
          <w:sz w:val="28"/>
          <w:szCs w:val="28"/>
        </w:rPr>
        <w:t>Projekta “</w:t>
      </w:r>
      <w:r w:rsidR="00386CA8" w:rsidRPr="00E94DEB">
        <w:rPr>
          <w:rStyle w:val="Strong"/>
          <w:rFonts w:cs="Times New Roman"/>
          <w:b w:val="0"/>
          <w:bCs w:val="0"/>
          <w:i/>
          <w:sz w:val="28"/>
          <w:szCs w:val="28"/>
        </w:rPr>
        <w:t>Infrastruktūras attīstība Krievu salā ostas aktivitāšu pārcelšanai no pilsētas centra</w:t>
      </w:r>
      <w:r w:rsidR="00386CA8" w:rsidRPr="00E94DEB">
        <w:rPr>
          <w:rStyle w:val="Strong"/>
          <w:rFonts w:cs="Times New Roman"/>
          <w:b w:val="0"/>
          <w:bCs w:val="0"/>
          <w:sz w:val="28"/>
          <w:szCs w:val="28"/>
        </w:rPr>
        <w:t>” virzība notiek atbilstoši Rīgas Brīvostas pārvaldes rīcības plānam (balstoties uz ikmēneša atskaitēm S</w:t>
      </w:r>
      <w:r w:rsidR="00891814">
        <w:rPr>
          <w:rStyle w:val="Strong"/>
          <w:rFonts w:cs="Times New Roman"/>
          <w:b w:val="0"/>
          <w:bCs w:val="0"/>
          <w:sz w:val="28"/>
          <w:szCs w:val="28"/>
        </w:rPr>
        <w:t>M</w:t>
      </w:r>
      <w:r w:rsidR="00386CA8" w:rsidRPr="00E94DEB">
        <w:rPr>
          <w:rStyle w:val="Strong"/>
          <w:rFonts w:cs="Times New Roman"/>
          <w:b w:val="0"/>
          <w:bCs w:val="0"/>
          <w:sz w:val="28"/>
          <w:szCs w:val="28"/>
        </w:rPr>
        <w:t xml:space="preserve"> un FM, FM reizi mēnesī ziņo MK</w:t>
      </w:r>
      <w:r w:rsidR="00386CA8" w:rsidRPr="00E94DEB">
        <w:rPr>
          <w:rStyle w:val="FootnoteReference"/>
          <w:rFonts w:cs="Times New Roman"/>
          <w:sz w:val="28"/>
          <w:szCs w:val="28"/>
        </w:rPr>
        <w:footnoteReference w:id="13"/>
      </w:r>
      <w:r w:rsidR="00386CA8" w:rsidRPr="00E94DEB">
        <w:rPr>
          <w:rStyle w:val="Strong"/>
          <w:rFonts w:cs="Times New Roman"/>
          <w:b w:val="0"/>
          <w:bCs w:val="0"/>
          <w:sz w:val="28"/>
          <w:szCs w:val="28"/>
        </w:rPr>
        <w:t>).</w:t>
      </w:r>
    </w:p>
    <w:p w14:paraId="093C849D" w14:textId="519A82F5" w:rsidR="00430273" w:rsidRDefault="00430273" w:rsidP="00942973">
      <w:pPr>
        <w:spacing w:before="120" w:after="120"/>
        <w:ind w:firstLine="720"/>
        <w:jc w:val="both"/>
        <w:rPr>
          <w:rStyle w:val="Strong"/>
          <w:rFonts w:cs="Times New Roman"/>
          <w:b w:val="0"/>
          <w:bCs w:val="0"/>
          <w:sz w:val="28"/>
          <w:szCs w:val="28"/>
        </w:rPr>
      </w:pPr>
      <w:r>
        <w:rPr>
          <w:rStyle w:val="Strong"/>
          <w:rFonts w:cs="Times New Roman"/>
          <w:b w:val="0"/>
          <w:bCs w:val="0"/>
          <w:sz w:val="28"/>
          <w:szCs w:val="28"/>
        </w:rPr>
        <w:t>Tāpat ir vēl atvērti tiesvedību</w:t>
      </w:r>
      <w:r w:rsidR="001E5635">
        <w:rPr>
          <w:rStyle w:val="Strong"/>
          <w:rFonts w:cs="Times New Roman"/>
          <w:b w:val="0"/>
          <w:bCs w:val="0"/>
          <w:sz w:val="28"/>
          <w:szCs w:val="28"/>
        </w:rPr>
        <w:t>, krimi</w:t>
      </w:r>
      <w:r w:rsidR="00071E8C">
        <w:rPr>
          <w:rStyle w:val="Strong"/>
          <w:rFonts w:cs="Times New Roman"/>
          <w:b w:val="0"/>
          <w:bCs w:val="0"/>
          <w:sz w:val="28"/>
          <w:szCs w:val="28"/>
        </w:rPr>
        <w:t>n</w:t>
      </w:r>
      <w:r w:rsidR="001E5635">
        <w:rPr>
          <w:rStyle w:val="Strong"/>
          <w:rFonts w:cs="Times New Roman"/>
          <w:b w:val="0"/>
          <w:bCs w:val="0"/>
          <w:sz w:val="28"/>
          <w:szCs w:val="28"/>
        </w:rPr>
        <w:t>ālprocesu</w:t>
      </w:r>
      <w:r>
        <w:rPr>
          <w:rStyle w:val="Strong"/>
          <w:rFonts w:cs="Times New Roman"/>
          <w:b w:val="0"/>
          <w:bCs w:val="0"/>
          <w:sz w:val="28"/>
          <w:szCs w:val="28"/>
        </w:rPr>
        <w:t xml:space="preserve"> </w:t>
      </w:r>
      <w:r w:rsidR="008229AD">
        <w:rPr>
          <w:rStyle w:val="Strong"/>
          <w:rFonts w:cs="Times New Roman"/>
          <w:b w:val="0"/>
          <w:bCs w:val="0"/>
          <w:sz w:val="28"/>
          <w:szCs w:val="28"/>
        </w:rPr>
        <w:t xml:space="preserve">un neatbilstību </w:t>
      </w:r>
      <w:r>
        <w:rPr>
          <w:rStyle w:val="Strong"/>
          <w:rFonts w:cs="Times New Roman"/>
          <w:b w:val="0"/>
          <w:bCs w:val="0"/>
          <w:sz w:val="28"/>
          <w:szCs w:val="28"/>
        </w:rPr>
        <w:t xml:space="preserve">jautājumi, t.sk. </w:t>
      </w:r>
      <w:r w:rsidR="008229AD">
        <w:rPr>
          <w:rStyle w:val="Strong"/>
          <w:rFonts w:cs="Times New Roman"/>
          <w:b w:val="0"/>
          <w:bCs w:val="0"/>
          <w:sz w:val="28"/>
          <w:szCs w:val="28"/>
        </w:rPr>
        <w:t xml:space="preserve">finanšu korekcijas </w:t>
      </w:r>
      <w:r w:rsidR="00314E3F">
        <w:rPr>
          <w:rStyle w:val="Strong"/>
          <w:rFonts w:cs="Times New Roman"/>
          <w:b w:val="0"/>
          <w:bCs w:val="0"/>
          <w:sz w:val="28"/>
          <w:szCs w:val="28"/>
        </w:rPr>
        <w:t>saistībā ar K</w:t>
      </w:r>
      <w:r w:rsidR="00071E8C">
        <w:rPr>
          <w:rStyle w:val="Strong"/>
          <w:rFonts w:cs="Times New Roman"/>
          <w:b w:val="0"/>
          <w:bCs w:val="0"/>
          <w:sz w:val="28"/>
          <w:szCs w:val="28"/>
        </w:rPr>
        <w:t>P</w:t>
      </w:r>
      <w:r w:rsidR="00314E3F">
        <w:rPr>
          <w:rStyle w:val="Strong"/>
          <w:rFonts w:cs="Times New Roman"/>
          <w:b w:val="0"/>
          <w:bCs w:val="0"/>
          <w:sz w:val="28"/>
          <w:szCs w:val="28"/>
        </w:rPr>
        <w:t xml:space="preserve"> lēmumiem (skatīt. ziņojuma 7.</w:t>
      </w:r>
      <w:r w:rsidR="00071E8C">
        <w:rPr>
          <w:rStyle w:val="Strong"/>
          <w:rFonts w:cs="Times New Roman"/>
          <w:b w:val="0"/>
          <w:bCs w:val="0"/>
          <w:sz w:val="28"/>
          <w:szCs w:val="28"/>
        </w:rPr>
        <w:t> </w:t>
      </w:r>
      <w:r w:rsidR="00314E3F">
        <w:rPr>
          <w:rStyle w:val="Strong"/>
          <w:rFonts w:cs="Times New Roman"/>
          <w:b w:val="0"/>
          <w:bCs w:val="0"/>
          <w:sz w:val="28"/>
          <w:szCs w:val="28"/>
        </w:rPr>
        <w:t>sadaļā “Projektos konstatētie neatbilstoši veiktie izdevumi).</w:t>
      </w:r>
    </w:p>
    <w:p w14:paraId="450AAB33" w14:textId="2F9ED57C" w:rsidR="001E2656" w:rsidRPr="00866986" w:rsidRDefault="00430273" w:rsidP="001E2656">
      <w:pPr>
        <w:shd w:val="clear" w:color="auto" w:fill="FFFFFF"/>
        <w:spacing w:after="120"/>
        <w:ind w:firstLine="709"/>
        <w:jc w:val="both"/>
        <w:rPr>
          <w:rFonts w:eastAsia="Calibri" w:cs="Times New Roman"/>
          <w:b/>
          <w:i/>
          <w:sz w:val="28"/>
          <w:szCs w:val="28"/>
        </w:rPr>
      </w:pPr>
      <w:r w:rsidRPr="00866986">
        <w:rPr>
          <w:rFonts w:eastAsia="Calibri" w:cs="Times New Roman"/>
          <w:b/>
          <w:i/>
          <w:sz w:val="28"/>
          <w:szCs w:val="28"/>
        </w:rPr>
        <w:t>Informācijas sistēmu un elektronisko pakalpojumu attīstības p</w:t>
      </w:r>
      <w:r w:rsidR="001E2656" w:rsidRPr="00866986">
        <w:rPr>
          <w:rFonts w:eastAsia="Calibri" w:cs="Times New Roman"/>
          <w:b/>
          <w:i/>
          <w:sz w:val="28"/>
          <w:szCs w:val="28"/>
        </w:rPr>
        <w:t>rojektu rādītāju analīze</w:t>
      </w:r>
    </w:p>
    <w:p w14:paraId="4556AE13" w14:textId="677A4256" w:rsidR="001E2656" w:rsidRPr="001E2656" w:rsidRDefault="001E2656" w:rsidP="001E2656">
      <w:pPr>
        <w:spacing w:after="120"/>
        <w:ind w:right="43" w:firstLine="709"/>
        <w:jc w:val="both"/>
        <w:rPr>
          <w:rFonts w:eastAsia="Calibri" w:cs="Times New Roman"/>
          <w:strike/>
          <w:sz w:val="28"/>
          <w:szCs w:val="28"/>
        </w:rPr>
      </w:pPr>
      <w:r w:rsidRPr="001E2656">
        <w:rPr>
          <w:rFonts w:eastAsia="Calibri" w:cs="Times New Roman"/>
          <w:sz w:val="28"/>
          <w:szCs w:val="28"/>
        </w:rPr>
        <w:t>Izpildot MK 2016.</w:t>
      </w:r>
      <w:r w:rsidR="00783F1D">
        <w:rPr>
          <w:rFonts w:eastAsia="Calibri" w:cs="Times New Roman"/>
          <w:sz w:val="28"/>
          <w:szCs w:val="28"/>
        </w:rPr>
        <w:t> </w:t>
      </w:r>
      <w:r w:rsidRPr="001E2656">
        <w:rPr>
          <w:rFonts w:eastAsia="Calibri" w:cs="Times New Roman"/>
          <w:sz w:val="28"/>
          <w:szCs w:val="28"/>
        </w:rPr>
        <w:t>gada 13.</w:t>
      </w:r>
      <w:r w:rsidR="00783F1D">
        <w:rPr>
          <w:rFonts w:eastAsia="Calibri" w:cs="Times New Roman"/>
          <w:sz w:val="28"/>
          <w:szCs w:val="28"/>
        </w:rPr>
        <w:t> </w:t>
      </w:r>
      <w:r w:rsidRPr="001E2656">
        <w:rPr>
          <w:rFonts w:eastAsia="Calibri" w:cs="Times New Roman"/>
          <w:sz w:val="28"/>
          <w:szCs w:val="28"/>
        </w:rPr>
        <w:t>decembra sēdes protokollēmuma (Nr.</w:t>
      </w:r>
      <w:r w:rsidR="00783F1D">
        <w:rPr>
          <w:rFonts w:eastAsia="Calibri" w:cs="Times New Roman"/>
          <w:sz w:val="28"/>
          <w:szCs w:val="28"/>
        </w:rPr>
        <w:t> </w:t>
      </w:r>
      <w:r w:rsidRPr="001E2656">
        <w:rPr>
          <w:rFonts w:eastAsia="Calibri" w:cs="Times New Roman"/>
          <w:sz w:val="28"/>
          <w:szCs w:val="28"/>
        </w:rPr>
        <w:t>68; 68.§)</w:t>
      </w:r>
      <w:r w:rsidRPr="001E2656">
        <w:rPr>
          <w:rFonts w:eastAsia="Calibri" w:cs="Times New Roman"/>
          <w:sz w:val="28"/>
          <w:szCs w:val="28"/>
          <w:vertAlign w:val="superscript"/>
        </w:rPr>
        <w:footnoteReference w:id="14"/>
      </w:r>
      <w:r w:rsidRPr="001E2656">
        <w:rPr>
          <w:rFonts w:eastAsia="Calibri" w:cs="Times New Roman"/>
          <w:sz w:val="28"/>
          <w:szCs w:val="28"/>
        </w:rPr>
        <w:t xml:space="preserve"> 6.</w:t>
      </w:r>
      <w:r w:rsidR="00783F1D">
        <w:rPr>
          <w:rFonts w:eastAsia="Calibri" w:cs="Times New Roman"/>
          <w:sz w:val="28"/>
          <w:szCs w:val="28"/>
        </w:rPr>
        <w:t> </w:t>
      </w:r>
      <w:r w:rsidRPr="001E2656">
        <w:rPr>
          <w:rFonts w:eastAsia="Calibri" w:cs="Times New Roman"/>
          <w:sz w:val="28"/>
          <w:szCs w:val="28"/>
        </w:rPr>
        <w:t>punktā doto uzdevumu</w:t>
      </w:r>
      <w:r w:rsidRPr="001E2656">
        <w:rPr>
          <w:rFonts w:eastAsia="Calibri" w:cs="Times New Roman"/>
          <w:sz w:val="28"/>
          <w:szCs w:val="28"/>
          <w:vertAlign w:val="superscript"/>
        </w:rPr>
        <w:footnoteReference w:id="15"/>
      </w:r>
      <w:r w:rsidRPr="001E2656">
        <w:rPr>
          <w:rFonts w:eastAsia="Calibri" w:cs="Times New Roman"/>
          <w:sz w:val="28"/>
          <w:szCs w:val="28"/>
        </w:rPr>
        <w:t xml:space="preserve"> VARAM ir izvērtējusi CFLA sniegto </w:t>
      </w:r>
      <w:r w:rsidRPr="001E2656">
        <w:rPr>
          <w:rFonts w:eastAsia="Calibri" w:cs="Times New Roman"/>
          <w:sz w:val="28"/>
          <w:szCs w:val="28"/>
        </w:rPr>
        <w:lastRenderedPageBreak/>
        <w:t xml:space="preserve">informāciju par darbības programmas „Infrastruktūra un pakalpojumi” 3.2.2.1.1. </w:t>
      </w:r>
      <w:proofErr w:type="spellStart"/>
      <w:r w:rsidRPr="001E2656">
        <w:rPr>
          <w:rFonts w:eastAsia="Calibri" w:cs="Times New Roman"/>
          <w:sz w:val="28"/>
          <w:szCs w:val="28"/>
        </w:rPr>
        <w:t>apakšaktivitātes</w:t>
      </w:r>
      <w:proofErr w:type="spellEnd"/>
      <w:r w:rsidRPr="001E2656">
        <w:rPr>
          <w:rFonts w:eastAsia="Calibri" w:cs="Times New Roman"/>
          <w:sz w:val="28"/>
          <w:szCs w:val="28"/>
        </w:rPr>
        <w:t xml:space="preserve"> „Informācijas sistēmu un elektronisko pakalpojumu attīstība” (turpmāk</w:t>
      </w:r>
      <w:r w:rsidR="00783F1D">
        <w:rPr>
          <w:rFonts w:eastAsia="Calibri" w:cs="Times New Roman"/>
          <w:sz w:val="28"/>
          <w:szCs w:val="28"/>
        </w:rPr>
        <w:t> </w:t>
      </w:r>
      <w:r w:rsidRPr="001E2656">
        <w:rPr>
          <w:rFonts w:eastAsia="Calibri" w:cs="Times New Roman"/>
          <w:sz w:val="28"/>
          <w:szCs w:val="28"/>
        </w:rPr>
        <w:t>–</w:t>
      </w:r>
      <w:r w:rsidR="00783F1D">
        <w:rPr>
          <w:rFonts w:eastAsia="Calibri" w:cs="Times New Roman"/>
          <w:sz w:val="28"/>
          <w:szCs w:val="28"/>
        </w:rPr>
        <w:t> </w:t>
      </w:r>
      <w:r w:rsidRPr="001E2656">
        <w:rPr>
          <w:rFonts w:eastAsia="Calibri" w:cs="Times New Roman"/>
          <w:sz w:val="28"/>
          <w:szCs w:val="28"/>
        </w:rPr>
        <w:t>3.2.2.1.1.apakšaktivitāte) projektos izstrādāto elektronisko pakalpojumu un informācijas sistēmu izmantošanas rādītājiem 2016.</w:t>
      </w:r>
      <w:r w:rsidR="00783F1D">
        <w:rPr>
          <w:rFonts w:eastAsia="Calibri" w:cs="Times New Roman"/>
          <w:sz w:val="28"/>
          <w:szCs w:val="28"/>
        </w:rPr>
        <w:t> </w:t>
      </w:r>
      <w:r w:rsidRPr="001E2656">
        <w:rPr>
          <w:rFonts w:eastAsia="Calibri" w:cs="Times New Roman"/>
          <w:sz w:val="28"/>
          <w:szCs w:val="28"/>
        </w:rPr>
        <w:t>gadā un secina, ka ar šo ziņojumu netiek sniegta informācija par MK noteikumu Nr.</w:t>
      </w:r>
      <w:r w:rsidR="00783F1D">
        <w:rPr>
          <w:rFonts w:eastAsia="Calibri" w:cs="Times New Roman"/>
          <w:sz w:val="28"/>
          <w:szCs w:val="28"/>
        </w:rPr>
        <w:t> </w:t>
      </w:r>
      <w:r w:rsidRPr="001E2656">
        <w:rPr>
          <w:rFonts w:eastAsia="Calibri" w:cs="Times New Roman"/>
          <w:sz w:val="28"/>
          <w:szCs w:val="28"/>
        </w:rPr>
        <w:t>766</w:t>
      </w:r>
      <w:r w:rsidRPr="001E2656">
        <w:rPr>
          <w:rFonts w:eastAsia="Calibri" w:cs="Times New Roman"/>
          <w:sz w:val="28"/>
          <w:szCs w:val="28"/>
          <w:vertAlign w:val="superscript"/>
        </w:rPr>
        <w:footnoteReference w:id="16"/>
      </w:r>
      <w:r w:rsidRPr="001E2656">
        <w:rPr>
          <w:rFonts w:eastAsia="Calibri" w:cs="Times New Roman"/>
          <w:sz w:val="28"/>
          <w:szCs w:val="28"/>
        </w:rPr>
        <w:t xml:space="preserve"> ietvaros īstenoto 3.2.2.1.1.apakšaktivitātes</w:t>
      </w:r>
      <w:r w:rsidRPr="001E2656">
        <w:rPr>
          <w:rFonts w:eastAsia="Calibri" w:cs="Times New Roman"/>
          <w:sz w:val="28"/>
          <w:szCs w:val="28"/>
          <w:vertAlign w:val="superscript"/>
        </w:rPr>
        <w:footnoteReference w:id="17"/>
      </w:r>
      <w:r w:rsidRPr="001E2656">
        <w:rPr>
          <w:rFonts w:eastAsia="Calibri" w:cs="Times New Roman"/>
          <w:sz w:val="28"/>
          <w:szCs w:val="28"/>
        </w:rPr>
        <w:t xml:space="preserve"> otrās un turpmāko kārtu projektu iesniegumos paredzēto un vērtēto elektronisko pakalpojumu lietošanas rādītāju izpilde, jo informācija par izpildi pēcuzraudzības otrajā gadā tiks sniegta nākamajā informatīvajā ziņojumā, balstoties uz FS 2018.</w:t>
      </w:r>
      <w:r w:rsidR="00783F1D">
        <w:rPr>
          <w:rFonts w:eastAsia="Calibri" w:cs="Times New Roman"/>
          <w:sz w:val="28"/>
          <w:szCs w:val="28"/>
        </w:rPr>
        <w:t> </w:t>
      </w:r>
      <w:r w:rsidRPr="001E2656">
        <w:rPr>
          <w:rFonts w:eastAsia="Calibri" w:cs="Times New Roman"/>
          <w:sz w:val="28"/>
          <w:szCs w:val="28"/>
        </w:rPr>
        <w:t xml:space="preserve">gada jūnijā iesniegto informāciju. </w:t>
      </w:r>
    </w:p>
    <w:p w14:paraId="2960F3FB" w14:textId="77777777" w:rsidR="001E2656" w:rsidRPr="001E2656" w:rsidRDefault="001E2656" w:rsidP="001E2656">
      <w:pPr>
        <w:spacing w:after="120"/>
        <w:ind w:firstLine="567"/>
        <w:jc w:val="both"/>
        <w:rPr>
          <w:rFonts w:eastAsia="Calibri" w:cs="Times New Roman"/>
          <w:sz w:val="28"/>
          <w:szCs w:val="28"/>
        </w:rPr>
      </w:pPr>
      <w:r w:rsidRPr="001E2656">
        <w:rPr>
          <w:rFonts w:eastAsia="Calibri" w:cs="Times New Roman"/>
          <w:sz w:val="28"/>
          <w:szCs w:val="28"/>
        </w:rPr>
        <w:t>Veicot FS iesniegto ieviešanas plānu</w:t>
      </w:r>
      <w:r w:rsidRPr="001E2656">
        <w:rPr>
          <w:rFonts w:eastAsia="Calibri" w:cs="Times New Roman"/>
          <w:sz w:val="28"/>
          <w:szCs w:val="28"/>
          <w:vertAlign w:val="superscript"/>
        </w:rPr>
        <w:footnoteReference w:id="18"/>
      </w:r>
      <w:r w:rsidRPr="001E2656">
        <w:rPr>
          <w:rFonts w:eastAsia="Calibri" w:cs="Times New Roman"/>
          <w:sz w:val="28"/>
          <w:szCs w:val="28"/>
        </w:rPr>
        <w:t xml:space="preserve"> un skaidrojumu analīzi, ir konstatēts, ka ir vairāki projekti, kuriem elektronisko pakalpojumu un informācijas sistēmu procesu izmantošanas rādītājs ir “0”, bet tā kā projektiem ir pagājis viens gads vai to elektronisko pakalpojumu ieviešana ir saistīta ar cita projekta ieviešanu, šādiem projektiem netiek noteikta turpmākā rīcība, taču VARAM sadarbībā ar CFLA pievērsīs pastiprinātu uzmanību nākamajā periodā. </w:t>
      </w:r>
    </w:p>
    <w:p w14:paraId="077CBF4D" w14:textId="110F5B00" w:rsidR="001E2656" w:rsidRPr="001E2656" w:rsidRDefault="00462C9F" w:rsidP="001E2656">
      <w:pPr>
        <w:spacing w:after="120"/>
        <w:ind w:firstLine="567"/>
        <w:jc w:val="both"/>
        <w:rPr>
          <w:rFonts w:eastAsia="Calibri" w:cs="Times New Roman"/>
          <w:b/>
          <w:sz w:val="28"/>
          <w:szCs w:val="28"/>
        </w:rPr>
      </w:pPr>
      <w:r>
        <w:rPr>
          <w:rFonts w:eastAsia="Calibri" w:cs="Times New Roman"/>
          <w:b/>
          <w:sz w:val="28"/>
          <w:szCs w:val="28"/>
        </w:rPr>
        <w:t>P</w:t>
      </w:r>
      <w:r w:rsidR="001E2656" w:rsidRPr="001E2656">
        <w:rPr>
          <w:rFonts w:eastAsia="Calibri" w:cs="Times New Roman"/>
          <w:b/>
          <w:sz w:val="28"/>
          <w:szCs w:val="28"/>
        </w:rPr>
        <w:t>rojekti, kuros AI un CFLA ieskatā ir nepieciešama turpmāka rīcība, lai nodrošinātu informācijas sistēmu un elektronisko pakalpojumu plānoto izmantošanas intensitāti, ir:</w:t>
      </w:r>
    </w:p>
    <w:p w14:paraId="57C39BA7" w14:textId="7B70BFC6" w:rsidR="001E2656" w:rsidRPr="001E2656" w:rsidRDefault="001E2656" w:rsidP="001E2656">
      <w:pPr>
        <w:numPr>
          <w:ilvl w:val="0"/>
          <w:numId w:val="46"/>
        </w:numPr>
        <w:spacing w:after="160" w:line="259" w:lineRule="auto"/>
        <w:ind w:left="567"/>
        <w:contextualSpacing/>
        <w:jc w:val="both"/>
        <w:rPr>
          <w:rFonts w:eastAsia="Calibri" w:cs="Times New Roman"/>
          <w:sz w:val="28"/>
          <w:szCs w:val="28"/>
        </w:rPr>
      </w:pPr>
      <w:r w:rsidRPr="001E2656">
        <w:rPr>
          <w:rFonts w:eastAsia="Calibri" w:cs="Times New Roman"/>
          <w:sz w:val="28"/>
          <w:szCs w:val="28"/>
        </w:rPr>
        <w:t>projekts Nr.3DP/3.2.2.1.1/09/ IPIA/IUMEPLS/021 “</w:t>
      </w:r>
      <w:r w:rsidRPr="001E2656">
        <w:rPr>
          <w:rFonts w:eastAsia="Calibri" w:cs="Times New Roman"/>
          <w:i/>
          <w:sz w:val="28"/>
          <w:szCs w:val="28"/>
        </w:rPr>
        <w:t>Kultūras un atmiņas institūciju vienotās informācijas pārvaldības sistēma</w:t>
      </w:r>
      <w:r w:rsidRPr="001E2656">
        <w:rPr>
          <w:rFonts w:eastAsia="Calibri" w:cs="Times New Roman"/>
          <w:sz w:val="28"/>
          <w:szCs w:val="28"/>
        </w:rPr>
        <w:t>”, kura paredzētais rādītājs nav sasniegts 5 no 18 elektroniskajiem pakalpojumiem. 2015.</w:t>
      </w:r>
      <w:r w:rsidR="00783F1D">
        <w:t> </w:t>
      </w:r>
      <w:r w:rsidRPr="001E2656">
        <w:rPr>
          <w:rFonts w:eastAsia="Calibri" w:cs="Times New Roman"/>
          <w:sz w:val="28"/>
          <w:szCs w:val="28"/>
        </w:rPr>
        <w:t>gadā, veicot pirms produkcijas iekšējo KKF sistēmas testu, tika konstatēta datu integrācijas neatbilstība starp KKF projektu pieteikumu sistēmu un KKF projektu pārvaldības sistēmu</w:t>
      </w:r>
      <w:r w:rsidR="00430273">
        <w:rPr>
          <w:rFonts w:eastAsia="Calibri" w:cs="Times New Roman"/>
          <w:sz w:val="28"/>
          <w:szCs w:val="28"/>
        </w:rPr>
        <w:t xml:space="preserve">. </w:t>
      </w:r>
      <w:r w:rsidRPr="001E2656">
        <w:rPr>
          <w:rFonts w:eastAsia="Calibri" w:cs="Times New Roman"/>
          <w:sz w:val="28"/>
          <w:szCs w:val="28"/>
        </w:rPr>
        <w:t xml:space="preserve"> F</w:t>
      </w:r>
      <w:r w:rsidR="00783F1D">
        <w:rPr>
          <w:rFonts w:eastAsia="Calibri" w:cs="Times New Roman"/>
          <w:sz w:val="28"/>
          <w:szCs w:val="28"/>
        </w:rPr>
        <w:t>S</w:t>
      </w:r>
      <w:r w:rsidRPr="001E2656">
        <w:rPr>
          <w:rFonts w:eastAsia="Calibri" w:cs="Times New Roman"/>
          <w:sz w:val="28"/>
          <w:szCs w:val="28"/>
        </w:rPr>
        <w:t xml:space="preserve"> informēja, ka rādītāji tiks sasniegti projekta otrajā pēcuzraudzības gadā. Savukārt otrā/trešā pēcuzraudzības gada laikā KKF 2016.</w:t>
      </w:r>
      <w:r w:rsidR="00783F1D">
        <w:rPr>
          <w:rFonts w:eastAsia="Calibri" w:cs="Times New Roman"/>
          <w:sz w:val="28"/>
          <w:szCs w:val="28"/>
        </w:rPr>
        <w:t> </w:t>
      </w:r>
      <w:r w:rsidRPr="001E2656">
        <w:rPr>
          <w:rFonts w:eastAsia="Calibri" w:cs="Times New Roman"/>
          <w:sz w:val="28"/>
          <w:szCs w:val="28"/>
        </w:rPr>
        <w:t xml:space="preserve">gada konkursu izsludināja bez elektroniskās pieteikšanās sistēmas izmantošanas. </w:t>
      </w:r>
    </w:p>
    <w:p w14:paraId="063735BB" w14:textId="77777777" w:rsidR="001E2656" w:rsidRPr="001E2656" w:rsidRDefault="001E2656" w:rsidP="001E2656">
      <w:pPr>
        <w:numPr>
          <w:ilvl w:val="0"/>
          <w:numId w:val="46"/>
        </w:numPr>
        <w:spacing w:after="120" w:line="259" w:lineRule="auto"/>
        <w:ind w:left="567"/>
        <w:jc w:val="both"/>
        <w:rPr>
          <w:rFonts w:eastAsia="Calibri" w:cs="Times New Roman"/>
          <w:sz w:val="28"/>
          <w:szCs w:val="28"/>
        </w:rPr>
      </w:pPr>
      <w:r w:rsidRPr="001E2656">
        <w:rPr>
          <w:rFonts w:eastAsia="Calibri" w:cs="Times New Roman"/>
          <w:sz w:val="28"/>
          <w:szCs w:val="28"/>
        </w:rPr>
        <w:t>projekts Nr.3DP/3.2.2.1.1/08/IPIA/ IUMEPLS/016 “</w:t>
      </w:r>
      <w:r w:rsidRPr="001E2656">
        <w:rPr>
          <w:rFonts w:eastAsia="Calibri" w:cs="Times New Roman"/>
          <w:i/>
          <w:sz w:val="28"/>
          <w:szCs w:val="28"/>
        </w:rPr>
        <w:t>Vienotās valsts arhīvu informācijas sistēmas izstrādes un ieviešanas 2.kārta</w:t>
      </w:r>
      <w:r w:rsidRPr="001E2656">
        <w:rPr>
          <w:rFonts w:eastAsia="Calibri" w:cs="Times New Roman"/>
          <w:sz w:val="28"/>
          <w:szCs w:val="28"/>
        </w:rPr>
        <w:t xml:space="preserve">”, kura paredzētais rādītājs nav sasniegts 1 no 11 elektroniskajiem pakalpojumiem un 2 no 2 sistēmas procesiem. Joprojām tiek slēgti līgumi ar iestādēm par elektronisko </w:t>
      </w:r>
      <w:r w:rsidRPr="001E2656">
        <w:rPr>
          <w:rFonts w:eastAsia="Calibri" w:cs="Times New Roman"/>
          <w:sz w:val="28"/>
          <w:szCs w:val="28"/>
        </w:rPr>
        <w:lastRenderedPageBreak/>
        <w:t xml:space="preserve">pakalpojumu izmantošanu. Sistēmas procesu rādītāji ir atkarīgi no iepriekš minēto elektronisko pakalpojumu lietošanas. </w:t>
      </w:r>
    </w:p>
    <w:p w14:paraId="38437DA7" w14:textId="31275EAA" w:rsidR="0091213B" w:rsidRDefault="001E2656" w:rsidP="00F8110D">
      <w:pPr>
        <w:spacing w:after="120"/>
        <w:ind w:left="207"/>
        <w:jc w:val="both"/>
        <w:rPr>
          <w:rFonts w:eastAsia="Calibri" w:cs="Times New Roman"/>
          <w:sz w:val="28"/>
          <w:szCs w:val="28"/>
        </w:rPr>
      </w:pPr>
      <w:r w:rsidRPr="001E2656">
        <w:rPr>
          <w:rFonts w:eastAsia="Calibri" w:cs="Times New Roman"/>
          <w:sz w:val="28"/>
          <w:szCs w:val="28"/>
        </w:rPr>
        <w:t>Ņemot vērā, ka sniegtā informācija neliecina, ka FS veic visas iespējamās darbības, lai veicinātu rādītāju sasniegšanu, attiecīgi lai MK tiktu informēts par to, kādēļ attiecīgos elektroniskos pakalpojumus nav iespējams padarīt obligāti lietojamus kā vienīgo informācijas apmaiņas veidu, KM jāsagatavo un noteiktā kārtībā jāiesniedz MK informatīvais ziņojums ar situācijas izklāstu un iespējamajiem risinājumiem, lai nodrošinātu projektu rezultātu izmantošanu.</w:t>
      </w:r>
    </w:p>
    <w:p w14:paraId="4E6774F3" w14:textId="77777777" w:rsidR="00F8110D" w:rsidRPr="00F8110D" w:rsidRDefault="00F8110D" w:rsidP="00F8110D">
      <w:pPr>
        <w:spacing w:after="120"/>
        <w:ind w:left="207"/>
        <w:jc w:val="both"/>
        <w:rPr>
          <w:rStyle w:val="Strong"/>
          <w:rFonts w:eastAsia="Calibri" w:cs="Times New Roman"/>
          <w:b w:val="0"/>
          <w:bCs w:val="0"/>
          <w:sz w:val="28"/>
          <w:szCs w:val="28"/>
        </w:rPr>
      </w:pPr>
    </w:p>
    <w:p w14:paraId="2CA0CBCF" w14:textId="46F6238A" w:rsidR="00964F2F" w:rsidRPr="00E94DEB" w:rsidRDefault="00393B44" w:rsidP="00942973">
      <w:pPr>
        <w:pStyle w:val="1lmenis"/>
        <w:spacing w:line="240" w:lineRule="auto"/>
      </w:pPr>
      <w:bookmarkStart w:id="7" w:name="_Toc472416142"/>
      <w:bookmarkStart w:id="8" w:name="_Toc472416143"/>
      <w:bookmarkStart w:id="9" w:name="_Toc504564213"/>
      <w:bookmarkEnd w:id="7"/>
      <w:bookmarkEnd w:id="8"/>
      <w:r w:rsidRPr="00E94DEB">
        <w:t xml:space="preserve">4. </w:t>
      </w:r>
      <w:r w:rsidR="006B7246" w:rsidRPr="00E94DEB">
        <w:t>ES fondu 2014.</w:t>
      </w:r>
      <w:r w:rsidR="003B0599" w:rsidRPr="00E94DEB">
        <w:t> </w:t>
      </w:r>
      <w:r w:rsidR="006B7246" w:rsidRPr="00E94DEB">
        <w:t>-</w:t>
      </w:r>
      <w:r w:rsidR="003B0599" w:rsidRPr="00E94DEB">
        <w:t> </w:t>
      </w:r>
      <w:r w:rsidR="006B7246" w:rsidRPr="00E94DEB">
        <w:t>2020</w:t>
      </w:r>
      <w:r w:rsidR="000870FE" w:rsidRPr="00E94DEB">
        <w:t>. gad</w:t>
      </w:r>
      <w:r w:rsidR="006B7246" w:rsidRPr="00E94DEB">
        <w:t>a plānošanas perioda ES fondu ieviešana</w:t>
      </w:r>
      <w:bookmarkEnd w:id="9"/>
      <w:r w:rsidR="006B7246" w:rsidRPr="00E94DEB">
        <w:t xml:space="preserve"> </w:t>
      </w:r>
    </w:p>
    <w:p w14:paraId="329C12E7" w14:textId="1A83F597" w:rsidR="00590933" w:rsidRPr="00E94DEB" w:rsidRDefault="00590933" w:rsidP="00422702">
      <w:pPr>
        <w:pStyle w:val="2lmenis"/>
      </w:pPr>
      <w:bookmarkStart w:id="10" w:name="_Toc504564214"/>
      <w:r w:rsidRPr="00E94DEB">
        <w:t>4.1. ES fondu ieviešanas progress</w:t>
      </w:r>
      <w:r w:rsidR="00787823" w:rsidRPr="00E94DEB">
        <w:t xml:space="preserve"> un risku novērtējums</w:t>
      </w:r>
      <w:bookmarkEnd w:id="10"/>
    </w:p>
    <w:p w14:paraId="6430E27D" w14:textId="77777777" w:rsidR="006B7246" w:rsidRPr="001D6218" w:rsidRDefault="006B7246" w:rsidP="00942973">
      <w:pPr>
        <w:spacing w:before="120" w:after="120"/>
        <w:ind w:firstLine="720"/>
        <w:rPr>
          <w:rStyle w:val="Strong"/>
          <w:rFonts w:cs="Times New Roman"/>
          <w:i/>
          <w:sz w:val="28"/>
          <w:szCs w:val="28"/>
        </w:rPr>
      </w:pPr>
      <w:r w:rsidRPr="001D6218">
        <w:rPr>
          <w:rStyle w:val="Strong"/>
          <w:rFonts w:cs="Times New Roman"/>
          <w:i/>
          <w:sz w:val="28"/>
          <w:szCs w:val="28"/>
        </w:rPr>
        <w:t>DP “Izaugsme un nodarbinātība” grozījumi</w:t>
      </w:r>
    </w:p>
    <w:p w14:paraId="2A73682B" w14:textId="2542ED50" w:rsidR="00272F28" w:rsidRDefault="00A350F4" w:rsidP="0062255B">
      <w:pPr>
        <w:spacing w:before="120" w:after="120"/>
        <w:ind w:firstLine="720"/>
        <w:jc w:val="both"/>
        <w:rPr>
          <w:rStyle w:val="Strong"/>
          <w:rFonts w:cs="Times New Roman"/>
          <w:b w:val="0"/>
          <w:sz w:val="28"/>
          <w:szCs w:val="28"/>
        </w:rPr>
      </w:pPr>
      <w:r w:rsidRPr="00942973">
        <w:rPr>
          <w:rStyle w:val="Strong"/>
          <w:rFonts w:cs="Times New Roman"/>
          <w:b w:val="0"/>
          <w:sz w:val="28"/>
          <w:szCs w:val="28"/>
        </w:rPr>
        <w:t>2017.</w:t>
      </w:r>
      <w:r w:rsidR="004078D0" w:rsidRPr="00942973">
        <w:rPr>
          <w:rStyle w:val="Strong"/>
          <w:rFonts w:cs="Times New Roman"/>
          <w:b w:val="0"/>
          <w:sz w:val="28"/>
          <w:szCs w:val="28"/>
        </w:rPr>
        <w:t> </w:t>
      </w:r>
      <w:r w:rsidRPr="00942973">
        <w:rPr>
          <w:rStyle w:val="Strong"/>
          <w:rFonts w:cs="Times New Roman"/>
          <w:b w:val="0"/>
          <w:sz w:val="28"/>
          <w:szCs w:val="28"/>
        </w:rPr>
        <w:t xml:space="preserve">gada </w:t>
      </w:r>
      <w:r w:rsidR="00F82852" w:rsidRPr="00942973">
        <w:rPr>
          <w:rStyle w:val="Strong"/>
          <w:rFonts w:cs="Times New Roman"/>
          <w:b w:val="0"/>
          <w:sz w:val="28"/>
          <w:szCs w:val="28"/>
        </w:rPr>
        <w:t>30</w:t>
      </w:r>
      <w:r w:rsidRPr="00942973">
        <w:rPr>
          <w:rStyle w:val="Strong"/>
          <w:rFonts w:cs="Times New Roman"/>
          <w:b w:val="0"/>
          <w:sz w:val="28"/>
          <w:szCs w:val="28"/>
        </w:rPr>
        <w:t>.</w:t>
      </w:r>
      <w:r w:rsidR="004078D0" w:rsidRPr="00942973">
        <w:rPr>
          <w:rStyle w:val="Strong"/>
          <w:rFonts w:cs="Times New Roman"/>
          <w:b w:val="0"/>
          <w:sz w:val="28"/>
          <w:szCs w:val="28"/>
        </w:rPr>
        <w:t> </w:t>
      </w:r>
      <w:r w:rsidR="00F82852" w:rsidRPr="00942973">
        <w:rPr>
          <w:rStyle w:val="Strong"/>
          <w:rFonts w:cs="Times New Roman"/>
          <w:b w:val="0"/>
          <w:sz w:val="28"/>
          <w:szCs w:val="28"/>
        </w:rPr>
        <w:t>novembrī</w:t>
      </w:r>
      <w:r w:rsidRPr="00942973">
        <w:rPr>
          <w:rStyle w:val="Strong"/>
          <w:rFonts w:cs="Times New Roman"/>
          <w:b w:val="0"/>
          <w:sz w:val="28"/>
          <w:szCs w:val="28"/>
        </w:rPr>
        <w:t xml:space="preserve"> ar EK lēmumu Nr.</w:t>
      </w:r>
      <w:r w:rsidR="00D21542" w:rsidRPr="00942973">
        <w:rPr>
          <w:rStyle w:val="Strong"/>
          <w:rFonts w:cs="Times New Roman"/>
          <w:b w:val="0"/>
          <w:sz w:val="28"/>
          <w:szCs w:val="28"/>
        </w:rPr>
        <w:t> </w:t>
      </w:r>
      <w:r w:rsidRPr="00942973">
        <w:rPr>
          <w:rFonts w:cs="Times New Roman"/>
          <w:sz w:val="28"/>
          <w:szCs w:val="28"/>
        </w:rPr>
        <w:t>C(2017)</w:t>
      </w:r>
      <w:r w:rsidR="00D21542" w:rsidRPr="00942973">
        <w:rPr>
          <w:rFonts w:cs="Times New Roman"/>
          <w:sz w:val="28"/>
          <w:szCs w:val="28"/>
        </w:rPr>
        <w:t> </w:t>
      </w:r>
      <w:r w:rsidR="00F82852" w:rsidRPr="00942973">
        <w:rPr>
          <w:rFonts w:cs="Times New Roman"/>
          <w:sz w:val="28"/>
          <w:szCs w:val="28"/>
        </w:rPr>
        <w:t>7979</w:t>
      </w:r>
      <w:r w:rsidRPr="00942973">
        <w:rPr>
          <w:rStyle w:val="Strong"/>
          <w:rFonts w:cs="Times New Roman"/>
          <w:b w:val="0"/>
          <w:sz w:val="28"/>
          <w:szCs w:val="28"/>
        </w:rPr>
        <w:t xml:space="preserve"> tika apstiprināti DP grozījumi </w:t>
      </w:r>
      <w:r w:rsidR="00F04C7B" w:rsidRPr="00942973">
        <w:rPr>
          <w:rStyle w:val="Strong"/>
          <w:rFonts w:cs="Times New Roman"/>
          <w:b w:val="0"/>
          <w:sz w:val="28"/>
          <w:szCs w:val="28"/>
        </w:rPr>
        <w:t>Nr.</w:t>
      </w:r>
      <w:r w:rsidR="00F82852" w:rsidRPr="00942973">
        <w:rPr>
          <w:rStyle w:val="Strong"/>
          <w:rFonts w:cs="Times New Roman"/>
          <w:b w:val="0"/>
          <w:sz w:val="28"/>
          <w:szCs w:val="28"/>
        </w:rPr>
        <w:t>2</w:t>
      </w:r>
      <w:r w:rsidR="00A82C58" w:rsidRPr="00942973">
        <w:rPr>
          <w:rStyle w:val="Strong"/>
          <w:rFonts w:cs="Times New Roman"/>
          <w:b w:val="0"/>
          <w:sz w:val="28"/>
          <w:szCs w:val="28"/>
        </w:rPr>
        <w:t xml:space="preserve">, </w:t>
      </w:r>
      <w:r w:rsidR="00250660" w:rsidRPr="001D6218">
        <w:rPr>
          <w:rFonts w:cs="Times New Roman"/>
          <w:sz w:val="28"/>
          <w:szCs w:val="28"/>
        </w:rPr>
        <w:t>paredzot</w:t>
      </w:r>
      <w:r w:rsidR="00250660" w:rsidRPr="001D6218">
        <w:rPr>
          <w:rFonts w:eastAsia="Times New Roman" w:cs="Times New Roman"/>
          <w:bCs/>
          <w:sz w:val="28"/>
          <w:szCs w:val="28"/>
          <w:lang w:eastAsia="lv-LV"/>
        </w:rPr>
        <w:t xml:space="preserve"> snieguma ietvara mērķu samazināšanu 8.</w:t>
      </w:r>
      <w:r w:rsidR="00EE10D0">
        <w:rPr>
          <w:rFonts w:eastAsia="Times New Roman" w:cs="Times New Roman"/>
          <w:bCs/>
          <w:sz w:val="28"/>
          <w:szCs w:val="28"/>
          <w:lang w:eastAsia="lv-LV"/>
        </w:rPr>
        <w:t> </w:t>
      </w:r>
      <w:r w:rsidR="001D6218">
        <w:rPr>
          <w:rFonts w:eastAsia="Times New Roman" w:cs="Times New Roman"/>
          <w:bCs/>
          <w:sz w:val="28"/>
          <w:szCs w:val="28"/>
          <w:lang w:eastAsia="lv-LV"/>
        </w:rPr>
        <w:t xml:space="preserve">PV </w:t>
      </w:r>
      <w:r w:rsidR="00250660" w:rsidRPr="001D6218">
        <w:rPr>
          <w:rFonts w:eastAsia="Times New Roman" w:cs="Times New Roman"/>
          <w:bCs/>
          <w:sz w:val="28"/>
          <w:szCs w:val="28"/>
          <w:lang w:eastAsia="lv-LV"/>
        </w:rPr>
        <w:t xml:space="preserve">“Izglītība, prasmes un mūžizglītība” ietvaros, lai Latvija un nozares nezaudētu ES fondu atbalsta iespējas investīcijām, </w:t>
      </w:r>
      <w:r w:rsidR="00250660">
        <w:rPr>
          <w:rFonts w:eastAsia="Times New Roman" w:cs="Times New Roman"/>
          <w:bCs/>
          <w:sz w:val="28"/>
          <w:szCs w:val="28"/>
          <w:lang w:eastAsia="lv-LV"/>
        </w:rPr>
        <w:t xml:space="preserve">kā arī paredzot </w:t>
      </w:r>
      <w:r w:rsidR="00250660" w:rsidRPr="001D6218">
        <w:rPr>
          <w:rFonts w:cs="Times New Roman"/>
          <w:sz w:val="28"/>
          <w:szCs w:val="28"/>
        </w:rPr>
        <w:t>nozīmīgu projektu īstenošanu</w:t>
      </w:r>
      <w:r w:rsidR="00EE10D0">
        <w:rPr>
          <w:rFonts w:cs="Times New Roman"/>
          <w:sz w:val="28"/>
          <w:szCs w:val="28"/>
        </w:rPr>
        <w:t> </w:t>
      </w:r>
      <w:r w:rsidR="00250660" w:rsidRPr="001D6218">
        <w:rPr>
          <w:rFonts w:cs="Times New Roman"/>
          <w:sz w:val="28"/>
          <w:szCs w:val="28"/>
        </w:rPr>
        <w:t>–</w:t>
      </w:r>
      <w:r w:rsidR="00EE10D0">
        <w:rPr>
          <w:rFonts w:cs="Times New Roman"/>
          <w:sz w:val="28"/>
          <w:szCs w:val="28"/>
        </w:rPr>
        <w:t> </w:t>
      </w:r>
      <w:r w:rsidR="00250660" w:rsidRPr="001D6218">
        <w:rPr>
          <w:rFonts w:cs="Times New Roman"/>
          <w:sz w:val="28"/>
          <w:szCs w:val="28"/>
        </w:rPr>
        <w:t xml:space="preserve">Inčukalna gudronu dīķu attīrīšanai un Stradiņa slimnīcas būvniecībai, </w:t>
      </w:r>
      <w:r w:rsidR="00250660" w:rsidRPr="001D6218">
        <w:rPr>
          <w:rFonts w:eastAsia="Times New Roman" w:cs="Times New Roman"/>
          <w:sz w:val="28"/>
          <w:szCs w:val="28"/>
        </w:rPr>
        <w:t xml:space="preserve">nodrošinātu </w:t>
      </w:r>
      <w:r w:rsidR="00D02FA8">
        <w:rPr>
          <w:rFonts w:eastAsia="Times New Roman" w:cs="Times New Roman"/>
          <w:sz w:val="28"/>
          <w:szCs w:val="28"/>
        </w:rPr>
        <w:t>ITI</w:t>
      </w:r>
      <w:r w:rsidR="00250660" w:rsidRPr="001D6218">
        <w:rPr>
          <w:rFonts w:eastAsia="Times New Roman" w:cs="Times New Roman"/>
          <w:sz w:val="28"/>
          <w:szCs w:val="28"/>
        </w:rPr>
        <w:t xml:space="preserve"> īstenošanu kultūras jomā</w:t>
      </w:r>
      <w:r w:rsidR="00250660" w:rsidRPr="001D6218">
        <w:rPr>
          <w:rFonts w:cs="Times New Roman"/>
          <w:sz w:val="28"/>
          <w:szCs w:val="28"/>
        </w:rPr>
        <w:t xml:space="preserve"> un precizējumus atsevišķos sasniedzamajos rādītājos, kuru nepieciešamība identificēta, nozaru ministrijām sagatavojot precīzākus investīciju plānus un nosacījumus</w:t>
      </w:r>
      <w:r w:rsidR="00A82C58" w:rsidRPr="00942973">
        <w:rPr>
          <w:rStyle w:val="Strong"/>
          <w:rFonts w:cs="Times New Roman"/>
          <w:b w:val="0"/>
          <w:sz w:val="28"/>
          <w:szCs w:val="28"/>
        </w:rPr>
        <w:t>.</w:t>
      </w:r>
      <w:r w:rsidRPr="00942973">
        <w:rPr>
          <w:rStyle w:val="FootnoteReference"/>
          <w:rFonts w:cs="Times New Roman"/>
          <w:bCs/>
          <w:sz w:val="28"/>
          <w:szCs w:val="28"/>
        </w:rPr>
        <w:footnoteReference w:id="19"/>
      </w:r>
    </w:p>
    <w:p w14:paraId="7CDF4A68" w14:textId="04EE418A" w:rsidR="00A82C58" w:rsidRPr="001D6218" w:rsidRDefault="00272F28" w:rsidP="0062255B">
      <w:pPr>
        <w:spacing w:before="120" w:after="120"/>
        <w:ind w:firstLine="720"/>
        <w:jc w:val="both"/>
        <w:rPr>
          <w:sz w:val="28"/>
          <w:szCs w:val="28"/>
        </w:rPr>
      </w:pPr>
      <w:r w:rsidRPr="00942973">
        <w:rPr>
          <w:rStyle w:val="Strong"/>
          <w:rFonts w:cs="Times New Roman"/>
          <w:b w:val="0"/>
          <w:sz w:val="28"/>
          <w:szCs w:val="28"/>
        </w:rPr>
        <w:t xml:space="preserve">2017. gada 30. novembrī </w:t>
      </w:r>
      <w:r w:rsidRPr="001D6218">
        <w:rPr>
          <w:rFonts w:cs="Times New Roman"/>
          <w:sz w:val="28"/>
          <w:szCs w:val="28"/>
        </w:rPr>
        <w:t>E</w:t>
      </w:r>
      <w:r w:rsidR="00D02FA8">
        <w:rPr>
          <w:rFonts w:cs="Times New Roman"/>
          <w:sz w:val="28"/>
          <w:szCs w:val="28"/>
        </w:rPr>
        <w:t>K</w:t>
      </w:r>
      <w:r w:rsidRPr="001D6218">
        <w:rPr>
          <w:rFonts w:cs="Times New Roman"/>
          <w:sz w:val="28"/>
          <w:szCs w:val="28"/>
        </w:rPr>
        <w:t xml:space="preserve"> apstiprinājusi</w:t>
      </w:r>
      <w:r>
        <w:rPr>
          <w:rFonts w:cs="Times New Roman"/>
          <w:sz w:val="28"/>
          <w:szCs w:val="28"/>
        </w:rPr>
        <w:t xml:space="preserve"> arī</w:t>
      </w:r>
      <w:r w:rsidRPr="001D6218">
        <w:rPr>
          <w:rFonts w:cs="Times New Roman"/>
          <w:sz w:val="28"/>
          <w:szCs w:val="28"/>
        </w:rPr>
        <w:t xml:space="preserve"> grozījumus Partnerības līgumā par E</w:t>
      </w:r>
      <w:r w:rsidR="00D02FA8">
        <w:rPr>
          <w:rFonts w:cs="Times New Roman"/>
          <w:sz w:val="28"/>
          <w:szCs w:val="28"/>
        </w:rPr>
        <w:t>S</w:t>
      </w:r>
      <w:r w:rsidRPr="001D6218">
        <w:rPr>
          <w:rFonts w:cs="Times New Roman"/>
          <w:sz w:val="28"/>
          <w:szCs w:val="28"/>
        </w:rPr>
        <w:t xml:space="preserve"> investīciju fondu 2014.</w:t>
      </w:r>
      <w:r w:rsidR="00EE10D0">
        <w:rPr>
          <w:rFonts w:cs="Times New Roman"/>
          <w:sz w:val="28"/>
          <w:szCs w:val="28"/>
        </w:rPr>
        <w:t> </w:t>
      </w:r>
      <w:r w:rsidRPr="001D6218">
        <w:rPr>
          <w:rFonts w:cs="Times New Roman"/>
          <w:sz w:val="28"/>
          <w:szCs w:val="28"/>
        </w:rPr>
        <w:t>–</w:t>
      </w:r>
      <w:r w:rsidR="00EE10D0">
        <w:rPr>
          <w:rFonts w:cs="Times New Roman"/>
          <w:sz w:val="28"/>
          <w:szCs w:val="28"/>
        </w:rPr>
        <w:t> </w:t>
      </w:r>
      <w:r w:rsidRPr="001D6218">
        <w:rPr>
          <w:rFonts w:cs="Times New Roman"/>
          <w:sz w:val="28"/>
          <w:szCs w:val="28"/>
        </w:rPr>
        <w:t>2020.</w:t>
      </w:r>
      <w:r w:rsidR="00EE10D0">
        <w:rPr>
          <w:rFonts w:cs="Times New Roman"/>
          <w:sz w:val="28"/>
          <w:szCs w:val="28"/>
        </w:rPr>
        <w:t> </w:t>
      </w:r>
      <w:r w:rsidRPr="001D6218">
        <w:rPr>
          <w:rFonts w:cs="Times New Roman"/>
          <w:sz w:val="28"/>
          <w:szCs w:val="28"/>
        </w:rPr>
        <w:t xml:space="preserve">gada plānošanas periodam, kas izrietējuši no grozījumiem </w:t>
      </w:r>
      <w:r>
        <w:rPr>
          <w:rFonts w:eastAsia="Times New Roman" w:cs="Times New Roman"/>
          <w:sz w:val="28"/>
          <w:szCs w:val="28"/>
        </w:rPr>
        <w:t>DP</w:t>
      </w:r>
      <w:r w:rsidRPr="001D6218">
        <w:rPr>
          <w:rFonts w:eastAsia="Times New Roman" w:cs="Times New Roman"/>
          <w:sz w:val="28"/>
          <w:szCs w:val="28"/>
        </w:rPr>
        <w:t xml:space="preserve"> un </w:t>
      </w:r>
      <w:r>
        <w:rPr>
          <w:rFonts w:eastAsia="Times New Roman" w:cs="Times New Roman"/>
          <w:sz w:val="28"/>
          <w:szCs w:val="28"/>
        </w:rPr>
        <w:t xml:space="preserve">grozījumiem </w:t>
      </w:r>
      <w:r w:rsidRPr="001D6218">
        <w:rPr>
          <w:rFonts w:eastAsia="Times New Roman" w:cs="Times New Roman"/>
          <w:sz w:val="28"/>
          <w:szCs w:val="28"/>
        </w:rPr>
        <w:t>Latvijas lauku attīstības programmas 2014.</w:t>
      </w:r>
      <w:r w:rsidR="00EE10D0">
        <w:rPr>
          <w:rFonts w:eastAsia="Times New Roman" w:cs="Times New Roman"/>
          <w:sz w:val="28"/>
          <w:szCs w:val="28"/>
        </w:rPr>
        <w:t> </w:t>
      </w:r>
      <w:r w:rsidRPr="001D6218">
        <w:rPr>
          <w:rFonts w:eastAsia="Times New Roman" w:cs="Times New Roman"/>
          <w:sz w:val="28"/>
          <w:szCs w:val="28"/>
        </w:rPr>
        <w:t>–</w:t>
      </w:r>
      <w:r w:rsidR="00EE10D0">
        <w:rPr>
          <w:rFonts w:eastAsia="Times New Roman" w:cs="Times New Roman"/>
          <w:sz w:val="28"/>
          <w:szCs w:val="28"/>
        </w:rPr>
        <w:t> </w:t>
      </w:r>
      <w:r w:rsidRPr="001D6218">
        <w:rPr>
          <w:rFonts w:eastAsia="Times New Roman" w:cs="Times New Roman"/>
          <w:sz w:val="28"/>
          <w:szCs w:val="28"/>
        </w:rPr>
        <w:t>2020.</w:t>
      </w:r>
      <w:r w:rsidR="00EE10D0">
        <w:rPr>
          <w:rFonts w:eastAsia="Times New Roman" w:cs="Times New Roman"/>
          <w:sz w:val="28"/>
          <w:szCs w:val="28"/>
        </w:rPr>
        <w:t> </w:t>
      </w:r>
      <w:r w:rsidRPr="001D6218">
        <w:rPr>
          <w:rFonts w:eastAsia="Times New Roman" w:cs="Times New Roman"/>
          <w:sz w:val="28"/>
          <w:szCs w:val="28"/>
        </w:rPr>
        <w:t>gadam.</w:t>
      </w:r>
    </w:p>
    <w:p w14:paraId="3DB96626" w14:textId="183E79AA" w:rsidR="00DF2F52" w:rsidRPr="00E94DEB" w:rsidRDefault="008F4B3B" w:rsidP="00942973">
      <w:pPr>
        <w:spacing w:before="120" w:after="120"/>
        <w:ind w:firstLine="720"/>
        <w:jc w:val="both"/>
        <w:rPr>
          <w:rStyle w:val="Strong"/>
          <w:rFonts w:cs="Times New Roman"/>
          <w:b w:val="0"/>
          <w:sz w:val="28"/>
          <w:szCs w:val="28"/>
        </w:rPr>
      </w:pPr>
      <w:r w:rsidRPr="00942973">
        <w:rPr>
          <w:rStyle w:val="Strong"/>
          <w:rFonts w:cs="Times New Roman"/>
          <w:b w:val="0"/>
          <w:sz w:val="28"/>
          <w:szCs w:val="28"/>
        </w:rPr>
        <w:t>2017. gada 29.</w:t>
      </w:r>
      <w:r w:rsidR="000A6EE7">
        <w:rPr>
          <w:rStyle w:val="Strong"/>
          <w:rFonts w:cs="Times New Roman"/>
          <w:b w:val="0"/>
          <w:sz w:val="28"/>
          <w:szCs w:val="28"/>
        </w:rPr>
        <w:t> </w:t>
      </w:r>
      <w:r w:rsidRPr="00942973">
        <w:rPr>
          <w:rStyle w:val="Strong"/>
          <w:rFonts w:cs="Times New Roman"/>
          <w:b w:val="0"/>
          <w:sz w:val="28"/>
          <w:szCs w:val="28"/>
        </w:rPr>
        <w:t xml:space="preserve">decembrī </w:t>
      </w:r>
      <w:r w:rsidR="00A350F4" w:rsidRPr="00942973">
        <w:rPr>
          <w:rStyle w:val="Strong"/>
          <w:rFonts w:cs="Times New Roman"/>
          <w:b w:val="0"/>
          <w:sz w:val="28"/>
          <w:szCs w:val="28"/>
        </w:rPr>
        <w:t xml:space="preserve">uzsākta DP grozījumu </w:t>
      </w:r>
      <w:r w:rsidR="00F04C7B" w:rsidRPr="00942973">
        <w:rPr>
          <w:rStyle w:val="Strong"/>
          <w:rFonts w:cs="Times New Roman"/>
          <w:b w:val="0"/>
          <w:sz w:val="28"/>
          <w:szCs w:val="28"/>
        </w:rPr>
        <w:t>Nr.</w:t>
      </w:r>
      <w:r w:rsidRPr="00942973">
        <w:rPr>
          <w:rStyle w:val="Strong"/>
          <w:rFonts w:cs="Times New Roman"/>
          <w:b w:val="0"/>
          <w:sz w:val="28"/>
          <w:szCs w:val="28"/>
        </w:rPr>
        <w:t> 3</w:t>
      </w:r>
      <w:r w:rsidR="00F04C7B" w:rsidRPr="00942973">
        <w:rPr>
          <w:rStyle w:val="Strong"/>
          <w:rFonts w:cs="Times New Roman"/>
          <w:b w:val="0"/>
          <w:sz w:val="28"/>
          <w:szCs w:val="28"/>
        </w:rPr>
        <w:t xml:space="preserve"> </w:t>
      </w:r>
      <w:r w:rsidR="00475F1E">
        <w:rPr>
          <w:rStyle w:val="Strong"/>
          <w:rFonts w:cs="Times New Roman"/>
          <w:b w:val="0"/>
          <w:sz w:val="28"/>
          <w:szCs w:val="28"/>
        </w:rPr>
        <w:t>saskaņošana</w:t>
      </w:r>
      <w:r w:rsidR="00475F1E" w:rsidRPr="00E94DEB">
        <w:rPr>
          <w:rStyle w:val="Strong"/>
          <w:rFonts w:cs="Times New Roman"/>
          <w:b w:val="0"/>
          <w:sz w:val="28"/>
          <w:szCs w:val="28"/>
        </w:rPr>
        <w:t xml:space="preserve"> </w:t>
      </w:r>
      <w:r w:rsidR="00C329B8" w:rsidRPr="00E94DEB">
        <w:rPr>
          <w:rStyle w:val="Strong"/>
          <w:rFonts w:cs="Times New Roman"/>
          <w:b w:val="0"/>
          <w:sz w:val="28"/>
          <w:szCs w:val="28"/>
        </w:rPr>
        <w:t>ES fondu UK</w:t>
      </w:r>
      <w:r w:rsidR="0080167E" w:rsidRPr="00E94DEB">
        <w:rPr>
          <w:rStyle w:val="Strong"/>
          <w:rFonts w:cs="Times New Roman"/>
          <w:b w:val="0"/>
          <w:sz w:val="28"/>
          <w:szCs w:val="28"/>
        </w:rPr>
        <w:t xml:space="preserve"> rakstiskās procedūras ievaros</w:t>
      </w:r>
      <w:r w:rsidR="00F04C7B" w:rsidRPr="00942973">
        <w:rPr>
          <w:rStyle w:val="Strong"/>
          <w:rFonts w:cs="Times New Roman"/>
          <w:b w:val="0"/>
          <w:sz w:val="28"/>
          <w:szCs w:val="28"/>
        </w:rPr>
        <w:t xml:space="preserve">, </w:t>
      </w:r>
      <w:r w:rsidR="00475F1E">
        <w:rPr>
          <w:rStyle w:val="Strong"/>
          <w:rFonts w:cs="Times New Roman"/>
          <w:b w:val="0"/>
          <w:sz w:val="28"/>
          <w:szCs w:val="28"/>
        </w:rPr>
        <w:t>paredzot grozījumus</w:t>
      </w:r>
      <w:r w:rsidR="00C329B8" w:rsidRPr="00E94DEB">
        <w:rPr>
          <w:rStyle w:val="Strong"/>
          <w:rFonts w:cs="Times New Roman"/>
          <w:b w:val="0"/>
          <w:sz w:val="28"/>
          <w:szCs w:val="28"/>
        </w:rPr>
        <w:t xml:space="preserve"> attiecībā uz </w:t>
      </w:r>
      <w:r w:rsidR="00DF2F52" w:rsidRPr="00E94DEB">
        <w:rPr>
          <w:rStyle w:val="Strong"/>
          <w:rFonts w:cs="Times New Roman"/>
          <w:b w:val="0"/>
          <w:sz w:val="28"/>
          <w:szCs w:val="28"/>
        </w:rPr>
        <w:t>šādām jomām:</w:t>
      </w:r>
    </w:p>
    <w:p w14:paraId="3388E7A2" w14:textId="044E6014" w:rsidR="00DF2F52" w:rsidRPr="00E94DEB" w:rsidRDefault="00DF2F52" w:rsidP="0062255B">
      <w:pPr>
        <w:numPr>
          <w:ilvl w:val="0"/>
          <w:numId w:val="6"/>
        </w:numPr>
        <w:spacing w:before="120" w:after="120"/>
        <w:ind w:left="567"/>
        <w:jc w:val="both"/>
        <w:rPr>
          <w:sz w:val="28"/>
          <w:szCs w:val="28"/>
        </w:rPr>
      </w:pPr>
      <w:r w:rsidRPr="00E94DEB">
        <w:rPr>
          <w:rStyle w:val="Strong"/>
          <w:rFonts w:cs="Times New Roman"/>
          <w:sz w:val="28"/>
          <w:szCs w:val="28"/>
        </w:rPr>
        <w:t>energ</w:t>
      </w:r>
      <w:r w:rsidR="00094BC4" w:rsidRPr="00E94DEB">
        <w:rPr>
          <w:rStyle w:val="Strong"/>
          <w:rFonts w:cs="Times New Roman"/>
          <w:sz w:val="28"/>
          <w:szCs w:val="28"/>
        </w:rPr>
        <w:t>o</w:t>
      </w:r>
      <w:r w:rsidRPr="00E94DEB">
        <w:rPr>
          <w:rStyle w:val="Strong"/>
          <w:rFonts w:cs="Times New Roman"/>
          <w:sz w:val="28"/>
          <w:szCs w:val="28"/>
        </w:rPr>
        <w:t>efektivitā</w:t>
      </w:r>
      <w:r w:rsidRPr="008D559A">
        <w:rPr>
          <w:rStyle w:val="Strong"/>
          <w:rFonts w:cs="Times New Roman"/>
          <w:sz w:val="28"/>
          <w:szCs w:val="28"/>
        </w:rPr>
        <w:t>te</w:t>
      </w:r>
      <w:r w:rsidRPr="00E94DEB">
        <w:rPr>
          <w:rStyle w:val="Strong"/>
          <w:rFonts w:cs="Times New Roman"/>
          <w:b w:val="0"/>
          <w:sz w:val="28"/>
          <w:szCs w:val="28"/>
        </w:rPr>
        <w:t xml:space="preserve">: </w:t>
      </w:r>
      <w:r w:rsidR="00BB7405" w:rsidRPr="00E94DEB">
        <w:rPr>
          <w:rStyle w:val="Strong"/>
          <w:rFonts w:cs="Times New Roman"/>
          <w:b w:val="0"/>
          <w:sz w:val="28"/>
          <w:szCs w:val="28"/>
        </w:rPr>
        <w:t xml:space="preserve">DP </w:t>
      </w:r>
      <w:r w:rsidR="00BB7405" w:rsidRPr="00942973">
        <w:rPr>
          <w:sz w:val="28"/>
          <w:szCs w:val="28"/>
        </w:rPr>
        <w:t>4.</w:t>
      </w:r>
      <w:r w:rsidR="00EE10D0">
        <w:rPr>
          <w:sz w:val="28"/>
          <w:szCs w:val="28"/>
        </w:rPr>
        <w:t> </w:t>
      </w:r>
      <w:r w:rsidR="00BB7405" w:rsidRPr="00942973">
        <w:rPr>
          <w:sz w:val="28"/>
          <w:szCs w:val="28"/>
        </w:rPr>
        <w:t xml:space="preserve">PV </w:t>
      </w:r>
      <w:r w:rsidR="00111BC9" w:rsidRPr="00942973">
        <w:rPr>
          <w:sz w:val="28"/>
          <w:szCs w:val="28"/>
        </w:rPr>
        <w:t xml:space="preserve">“Pāreja uz ekonomiku ar zemu oglekļa emisijas līmeni visās nozarēs” </w:t>
      </w:r>
      <w:r w:rsidR="00111BC9" w:rsidRPr="00E94DEB">
        <w:rPr>
          <w:sz w:val="28"/>
          <w:szCs w:val="28"/>
        </w:rPr>
        <w:t>finanšu mērķa</w:t>
      </w:r>
      <w:r w:rsidR="00BB7405" w:rsidRPr="00942973">
        <w:rPr>
          <w:sz w:val="28"/>
          <w:szCs w:val="28"/>
        </w:rPr>
        <w:t xml:space="preserve"> 2018.</w:t>
      </w:r>
      <w:r w:rsidR="000A6EE7">
        <w:rPr>
          <w:sz w:val="28"/>
          <w:szCs w:val="28"/>
        </w:rPr>
        <w:t> </w:t>
      </w:r>
      <w:r w:rsidR="00BB7405" w:rsidRPr="00942973">
        <w:rPr>
          <w:sz w:val="28"/>
          <w:szCs w:val="28"/>
        </w:rPr>
        <w:t xml:space="preserve">gadam </w:t>
      </w:r>
      <w:r w:rsidR="00111BC9" w:rsidRPr="00942973">
        <w:rPr>
          <w:sz w:val="28"/>
          <w:szCs w:val="28"/>
        </w:rPr>
        <w:t>samazinā</w:t>
      </w:r>
      <w:r w:rsidRPr="00E94DEB">
        <w:rPr>
          <w:sz w:val="28"/>
          <w:szCs w:val="28"/>
        </w:rPr>
        <w:t>šana</w:t>
      </w:r>
      <w:r w:rsidR="001E3866" w:rsidRPr="00E94DEB">
        <w:rPr>
          <w:sz w:val="28"/>
          <w:szCs w:val="28"/>
        </w:rPr>
        <w:t>;</w:t>
      </w:r>
      <w:r w:rsidR="00BB7405" w:rsidRPr="00942973">
        <w:rPr>
          <w:sz w:val="28"/>
          <w:szCs w:val="28"/>
        </w:rPr>
        <w:t xml:space="preserve"> </w:t>
      </w:r>
      <w:r w:rsidR="0080167E" w:rsidRPr="00942973">
        <w:rPr>
          <w:sz w:val="28"/>
          <w:szCs w:val="28"/>
        </w:rPr>
        <w:t>rādītāju precizēšanu apstrādes rūpniecības nozares energoefektivitātes programmā sākotnēji nepareizu pieņēmumu dēļ</w:t>
      </w:r>
      <w:r w:rsidRPr="00E94DEB">
        <w:rPr>
          <w:sz w:val="28"/>
          <w:szCs w:val="28"/>
        </w:rPr>
        <w:t>;</w:t>
      </w:r>
    </w:p>
    <w:p w14:paraId="799E5D0B" w14:textId="1396D36F" w:rsidR="0080167E" w:rsidRPr="00E94DEB" w:rsidRDefault="001E3866" w:rsidP="0062255B">
      <w:pPr>
        <w:numPr>
          <w:ilvl w:val="0"/>
          <w:numId w:val="6"/>
        </w:numPr>
        <w:spacing w:before="120" w:after="120"/>
        <w:ind w:left="567"/>
        <w:jc w:val="both"/>
        <w:rPr>
          <w:sz w:val="28"/>
          <w:szCs w:val="28"/>
        </w:rPr>
      </w:pPr>
      <w:r w:rsidRPr="00E94DEB">
        <w:rPr>
          <w:b/>
          <w:sz w:val="28"/>
          <w:szCs w:val="28"/>
        </w:rPr>
        <w:t>nodarbinātība un sociālā iekļaušana</w:t>
      </w:r>
      <w:r w:rsidR="00DF2F52" w:rsidRPr="00E94DEB">
        <w:rPr>
          <w:sz w:val="28"/>
          <w:szCs w:val="28"/>
        </w:rPr>
        <w:t xml:space="preserve">: </w:t>
      </w:r>
      <w:r w:rsidR="0080167E" w:rsidRPr="00942973">
        <w:rPr>
          <w:sz w:val="28"/>
          <w:szCs w:val="28"/>
        </w:rPr>
        <w:t>atbalsta termiņa paga</w:t>
      </w:r>
      <w:r w:rsidR="00DF2F52" w:rsidRPr="00E94DEB">
        <w:rPr>
          <w:sz w:val="28"/>
          <w:szCs w:val="28"/>
        </w:rPr>
        <w:t>rināšana</w:t>
      </w:r>
      <w:r w:rsidR="0080167E" w:rsidRPr="00942973">
        <w:rPr>
          <w:sz w:val="28"/>
          <w:szCs w:val="28"/>
        </w:rPr>
        <w:t xml:space="preserve"> </w:t>
      </w:r>
      <w:r w:rsidR="00B86BDA">
        <w:rPr>
          <w:sz w:val="28"/>
          <w:szCs w:val="28"/>
        </w:rPr>
        <w:t xml:space="preserve">atbalsta </w:t>
      </w:r>
      <w:r w:rsidR="0080167E" w:rsidRPr="00942973">
        <w:rPr>
          <w:sz w:val="28"/>
          <w:szCs w:val="28"/>
        </w:rPr>
        <w:t>jaunieš</w:t>
      </w:r>
      <w:r w:rsidR="00B86BDA">
        <w:rPr>
          <w:sz w:val="28"/>
          <w:szCs w:val="28"/>
        </w:rPr>
        <w:t>iem</w:t>
      </w:r>
      <w:r w:rsidR="0080167E" w:rsidRPr="00942973">
        <w:rPr>
          <w:sz w:val="28"/>
          <w:szCs w:val="28"/>
        </w:rPr>
        <w:t xml:space="preserve"> īstenošanai </w:t>
      </w:r>
      <w:r w:rsidR="00B86BDA">
        <w:rPr>
          <w:sz w:val="28"/>
          <w:szCs w:val="28"/>
        </w:rPr>
        <w:t>jauniešu garantijas ietvaros</w:t>
      </w:r>
      <w:r w:rsidRPr="00E94DEB">
        <w:rPr>
          <w:sz w:val="28"/>
          <w:szCs w:val="28"/>
        </w:rPr>
        <w:t>;</w:t>
      </w:r>
      <w:r w:rsidR="0080167E" w:rsidRPr="00942973">
        <w:rPr>
          <w:sz w:val="28"/>
          <w:szCs w:val="28"/>
        </w:rPr>
        <w:t xml:space="preserve"> </w:t>
      </w:r>
      <w:r w:rsidRPr="00E94DEB">
        <w:rPr>
          <w:sz w:val="28"/>
          <w:szCs w:val="28"/>
        </w:rPr>
        <w:t>grozījumi DP 7.</w:t>
      </w:r>
      <w:r w:rsidR="00EE10D0">
        <w:rPr>
          <w:sz w:val="28"/>
          <w:szCs w:val="28"/>
        </w:rPr>
        <w:t> </w:t>
      </w:r>
      <w:r w:rsidRPr="00E94DEB">
        <w:rPr>
          <w:sz w:val="28"/>
          <w:szCs w:val="28"/>
        </w:rPr>
        <w:t>PV “</w:t>
      </w:r>
      <w:r w:rsidRPr="00942973">
        <w:rPr>
          <w:sz w:val="28"/>
          <w:szCs w:val="28"/>
        </w:rPr>
        <w:t>Nodarbinātība un darbaspēka mobilitāte”</w:t>
      </w:r>
      <w:r w:rsidRPr="00E94DEB">
        <w:rPr>
          <w:sz w:val="28"/>
          <w:szCs w:val="28"/>
        </w:rPr>
        <w:t xml:space="preserve"> ietvaros par finansējuma daļu, kuru plānots pārdalīt no </w:t>
      </w:r>
      <w:r w:rsidR="000F4449">
        <w:rPr>
          <w:sz w:val="28"/>
          <w:szCs w:val="28"/>
        </w:rPr>
        <w:t xml:space="preserve">jauniešu garantijām </w:t>
      </w:r>
      <w:r w:rsidRPr="00E94DEB">
        <w:rPr>
          <w:sz w:val="28"/>
          <w:szCs w:val="28"/>
        </w:rPr>
        <w:t xml:space="preserve">uz </w:t>
      </w:r>
      <w:r w:rsidR="000F4449">
        <w:rPr>
          <w:sz w:val="28"/>
          <w:szCs w:val="28"/>
        </w:rPr>
        <w:t xml:space="preserve">atbalstu </w:t>
      </w:r>
      <w:r w:rsidR="007F3BF6">
        <w:rPr>
          <w:sz w:val="28"/>
          <w:szCs w:val="28"/>
        </w:rPr>
        <w:t>bezdarbnieku</w:t>
      </w:r>
      <w:r w:rsidR="000F4449">
        <w:rPr>
          <w:sz w:val="28"/>
          <w:szCs w:val="28"/>
        </w:rPr>
        <w:t xml:space="preserve"> izglītībai</w:t>
      </w:r>
      <w:r w:rsidRPr="00E94DEB">
        <w:rPr>
          <w:sz w:val="28"/>
          <w:szCs w:val="28"/>
        </w:rPr>
        <w:t xml:space="preserve">, ņemot vērā nacionālā līmenī panākto vienošanos par atbalstu </w:t>
      </w:r>
      <w:r w:rsidR="00B86BDA">
        <w:rPr>
          <w:sz w:val="28"/>
          <w:szCs w:val="28"/>
        </w:rPr>
        <w:t xml:space="preserve">nenodarbinātiem </w:t>
      </w:r>
      <w:r w:rsidRPr="00E94DEB">
        <w:rPr>
          <w:sz w:val="28"/>
          <w:szCs w:val="28"/>
        </w:rPr>
        <w:t>jauniešiem pēc 2018.</w:t>
      </w:r>
      <w:r w:rsidR="000A6EE7">
        <w:rPr>
          <w:sz w:val="28"/>
          <w:szCs w:val="28"/>
        </w:rPr>
        <w:t> </w:t>
      </w:r>
      <w:r w:rsidRPr="00E94DEB">
        <w:rPr>
          <w:sz w:val="28"/>
          <w:szCs w:val="28"/>
        </w:rPr>
        <w:t xml:space="preserve">gada citu LM administrēto SAM ietvaros; </w:t>
      </w:r>
      <w:r w:rsidR="00094BC4" w:rsidRPr="00E94DEB">
        <w:rPr>
          <w:sz w:val="28"/>
          <w:szCs w:val="28"/>
        </w:rPr>
        <w:t>DP 9.</w:t>
      </w:r>
      <w:r w:rsidR="00EE10D0">
        <w:rPr>
          <w:sz w:val="28"/>
          <w:szCs w:val="28"/>
        </w:rPr>
        <w:t> </w:t>
      </w:r>
      <w:r w:rsidR="00094BC4" w:rsidRPr="00E94DEB">
        <w:rPr>
          <w:sz w:val="28"/>
          <w:szCs w:val="28"/>
        </w:rPr>
        <w:t xml:space="preserve">PV </w:t>
      </w:r>
      <w:r w:rsidR="00094BC4" w:rsidRPr="00942973">
        <w:rPr>
          <w:rFonts w:cs="Times New Roman"/>
          <w:sz w:val="28"/>
          <w:szCs w:val="28"/>
        </w:rPr>
        <w:t xml:space="preserve">“Sociālā iekļaušana un nabadzības apkarošana” </w:t>
      </w:r>
      <w:r w:rsidR="00094BC4" w:rsidRPr="00E94DEB">
        <w:rPr>
          <w:rFonts w:cs="Times New Roman"/>
          <w:sz w:val="28"/>
          <w:szCs w:val="28"/>
        </w:rPr>
        <w:t xml:space="preserve">ESF un </w:t>
      </w:r>
      <w:r w:rsidR="00094BC4" w:rsidRPr="00E94DEB">
        <w:rPr>
          <w:rFonts w:cs="Times New Roman"/>
          <w:sz w:val="28"/>
          <w:szCs w:val="28"/>
        </w:rPr>
        <w:lastRenderedPageBreak/>
        <w:t xml:space="preserve">ERAF </w:t>
      </w:r>
      <w:r w:rsidR="00094BC4" w:rsidRPr="00E94DEB">
        <w:rPr>
          <w:sz w:val="28"/>
          <w:szCs w:val="28"/>
        </w:rPr>
        <w:t>finanšu mērķa 2018.</w:t>
      </w:r>
      <w:r w:rsidR="000A6EE7">
        <w:rPr>
          <w:sz w:val="28"/>
          <w:szCs w:val="28"/>
        </w:rPr>
        <w:t> </w:t>
      </w:r>
      <w:r w:rsidR="00094BC4" w:rsidRPr="00E94DEB">
        <w:rPr>
          <w:sz w:val="28"/>
          <w:szCs w:val="28"/>
        </w:rPr>
        <w:t>gadam samazināšana (attiecībā uz L</w:t>
      </w:r>
      <w:r w:rsidR="00A03851">
        <w:rPr>
          <w:sz w:val="28"/>
          <w:szCs w:val="28"/>
        </w:rPr>
        <w:t>M</w:t>
      </w:r>
      <w:r w:rsidR="00727DA4">
        <w:rPr>
          <w:sz w:val="28"/>
          <w:szCs w:val="28"/>
        </w:rPr>
        <w:t xml:space="preserve"> </w:t>
      </w:r>
      <w:r w:rsidR="00094BC4" w:rsidRPr="00E94DEB">
        <w:rPr>
          <w:sz w:val="28"/>
          <w:szCs w:val="28"/>
        </w:rPr>
        <w:t>un V</w:t>
      </w:r>
      <w:r w:rsidR="00A03851">
        <w:rPr>
          <w:sz w:val="28"/>
          <w:szCs w:val="28"/>
        </w:rPr>
        <w:t>M</w:t>
      </w:r>
      <w:r w:rsidR="00094BC4" w:rsidRPr="00E94DEB">
        <w:rPr>
          <w:sz w:val="28"/>
          <w:szCs w:val="28"/>
        </w:rPr>
        <w:t xml:space="preserve"> pārz</w:t>
      </w:r>
      <w:r w:rsidR="00E94DEB">
        <w:rPr>
          <w:sz w:val="28"/>
          <w:szCs w:val="28"/>
        </w:rPr>
        <w:t>i</w:t>
      </w:r>
      <w:r w:rsidR="00094BC4" w:rsidRPr="00E94DEB">
        <w:rPr>
          <w:sz w:val="28"/>
          <w:szCs w:val="28"/>
        </w:rPr>
        <w:t>ņā esošajiem SAM)</w:t>
      </w:r>
      <w:r w:rsidR="00094BC4" w:rsidRPr="008D559A">
        <w:rPr>
          <w:sz w:val="28"/>
          <w:szCs w:val="28"/>
        </w:rPr>
        <w:t>;</w:t>
      </w:r>
      <w:r w:rsidR="00094BC4" w:rsidRPr="00E94DEB">
        <w:rPr>
          <w:rFonts w:cs="Times New Roman"/>
          <w:sz w:val="28"/>
          <w:szCs w:val="28"/>
        </w:rPr>
        <w:t xml:space="preserve"> </w:t>
      </w:r>
      <w:r w:rsidR="00EE10D0">
        <w:rPr>
          <w:sz w:val="28"/>
          <w:szCs w:val="28"/>
        </w:rPr>
        <w:t>FS</w:t>
      </w:r>
      <w:r w:rsidR="002C2E49" w:rsidRPr="00942973">
        <w:rPr>
          <w:sz w:val="28"/>
          <w:szCs w:val="28"/>
        </w:rPr>
        <w:t xml:space="preserve"> loka paplašināšan</w:t>
      </w:r>
      <w:r w:rsidR="00DF2F52" w:rsidRPr="00E94DEB">
        <w:rPr>
          <w:sz w:val="28"/>
          <w:szCs w:val="28"/>
        </w:rPr>
        <w:t>a</w:t>
      </w:r>
      <w:r w:rsidR="0080167E" w:rsidRPr="00942973">
        <w:rPr>
          <w:sz w:val="28"/>
          <w:szCs w:val="28"/>
        </w:rPr>
        <w:t xml:space="preserve"> sociālās iekļaušanas programmās</w:t>
      </w:r>
      <w:r w:rsidR="00DF2F52" w:rsidRPr="00E94DEB">
        <w:rPr>
          <w:sz w:val="28"/>
          <w:szCs w:val="28"/>
        </w:rPr>
        <w:t>;</w:t>
      </w:r>
      <w:r w:rsidRPr="00E94DEB">
        <w:rPr>
          <w:sz w:val="28"/>
          <w:szCs w:val="28"/>
        </w:rPr>
        <w:t xml:space="preserve"> </w:t>
      </w:r>
    </w:p>
    <w:p w14:paraId="7AE8D548" w14:textId="167C616A" w:rsidR="00DF2F52" w:rsidRPr="00E94DEB" w:rsidRDefault="007F3BF6" w:rsidP="0062255B">
      <w:pPr>
        <w:numPr>
          <w:ilvl w:val="0"/>
          <w:numId w:val="6"/>
        </w:numPr>
        <w:spacing w:before="120" w:after="120"/>
        <w:ind w:left="567"/>
        <w:jc w:val="both"/>
        <w:rPr>
          <w:sz w:val="28"/>
          <w:szCs w:val="28"/>
        </w:rPr>
      </w:pPr>
      <w:r w:rsidRPr="00E94DEB">
        <w:rPr>
          <w:b/>
          <w:sz w:val="28"/>
          <w:szCs w:val="28"/>
        </w:rPr>
        <w:t>izglītība</w:t>
      </w:r>
      <w:r w:rsidR="00DF2F52" w:rsidRPr="00E94DEB">
        <w:rPr>
          <w:b/>
          <w:sz w:val="28"/>
          <w:szCs w:val="28"/>
        </w:rPr>
        <w:t xml:space="preserve"> un zinātne: </w:t>
      </w:r>
      <w:r w:rsidR="00C05363" w:rsidRPr="00942973">
        <w:rPr>
          <w:sz w:val="28"/>
          <w:szCs w:val="28"/>
        </w:rPr>
        <w:t>8.</w:t>
      </w:r>
      <w:r w:rsidR="00EE10D0">
        <w:rPr>
          <w:sz w:val="28"/>
          <w:szCs w:val="28"/>
        </w:rPr>
        <w:t> </w:t>
      </w:r>
      <w:r w:rsidR="00C05363" w:rsidRPr="00942973">
        <w:rPr>
          <w:sz w:val="28"/>
          <w:szCs w:val="28"/>
        </w:rPr>
        <w:t>PV</w:t>
      </w:r>
      <w:r w:rsidR="00475F1E">
        <w:rPr>
          <w:sz w:val="28"/>
          <w:szCs w:val="28"/>
        </w:rPr>
        <w:t xml:space="preserve"> “</w:t>
      </w:r>
      <w:r w:rsidR="00475F1E" w:rsidRPr="00475F1E">
        <w:rPr>
          <w:sz w:val="28"/>
          <w:szCs w:val="28"/>
        </w:rPr>
        <w:t>Izglītība, prasmes un mūžizglītība</w:t>
      </w:r>
      <w:r w:rsidR="00475F1E">
        <w:rPr>
          <w:sz w:val="28"/>
          <w:szCs w:val="28"/>
        </w:rPr>
        <w:t>”</w:t>
      </w:r>
      <w:r w:rsidR="00C05363" w:rsidRPr="00942973">
        <w:rPr>
          <w:sz w:val="28"/>
          <w:szCs w:val="28"/>
        </w:rPr>
        <w:t xml:space="preserve"> (</w:t>
      </w:r>
      <w:r w:rsidR="00C05363" w:rsidRPr="00E94DEB">
        <w:rPr>
          <w:sz w:val="28"/>
          <w:szCs w:val="28"/>
        </w:rPr>
        <w:t xml:space="preserve">ESF) finanšu mērķa </w:t>
      </w:r>
      <w:r w:rsidR="00B62445">
        <w:rPr>
          <w:sz w:val="28"/>
          <w:szCs w:val="28"/>
        </w:rPr>
        <w:t xml:space="preserve">2018. gadam </w:t>
      </w:r>
      <w:r w:rsidR="00475F1E">
        <w:rPr>
          <w:sz w:val="28"/>
          <w:szCs w:val="28"/>
        </w:rPr>
        <w:t xml:space="preserve">papildu </w:t>
      </w:r>
      <w:r w:rsidR="00C05363" w:rsidRPr="00E94DEB">
        <w:rPr>
          <w:sz w:val="28"/>
          <w:szCs w:val="28"/>
        </w:rPr>
        <w:t xml:space="preserve">samazināšana; </w:t>
      </w:r>
      <w:r w:rsidR="0080167E" w:rsidRPr="00942973">
        <w:rPr>
          <w:sz w:val="28"/>
          <w:szCs w:val="28"/>
        </w:rPr>
        <w:t>rādītāju precizēšana/samazināšana augstākās izglītības, pētniecības, NEET, profesionālās izglītības un mūžizglītības atbalsta programmās; mērķa grupas paplašināšana NEET un mūžizglītības atbalsta programmās; atbalstāmo darbību paplašināšana augstākās izglītības atbalsta programmā;</w:t>
      </w:r>
    </w:p>
    <w:p w14:paraId="66EE0A91" w14:textId="4E7432FB" w:rsidR="0080167E" w:rsidRPr="00942973" w:rsidRDefault="00DF2F52" w:rsidP="0062255B">
      <w:pPr>
        <w:numPr>
          <w:ilvl w:val="0"/>
          <w:numId w:val="6"/>
        </w:numPr>
        <w:spacing w:before="120" w:after="120"/>
        <w:ind w:left="567"/>
        <w:jc w:val="both"/>
        <w:rPr>
          <w:sz w:val="28"/>
          <w:szCs w:val="28"/>
        </w:rPr>
      </w:pPr>
      <w:r w:rsidRPr="00E94DEB">
        <w:rPr>
          <w:sz w:val="28"/>
          <w:szCs w:val="28"/>
        </w:rPr>
        <w:t>v</w:t>
      </w:r>
      <w:r w:rsidRPr="00942973">
        <w:rPr>
          <w:b/>
          <w:sz w:val="28"/>
          <w:szCs w:val="28"/>
        </w:rPr>
        <w:t>ides aizsardzība un reģionālā</w:t>
      </w:r>
      <w:r w:rsidR="0080167E" w:rsidRPr="00942973">
        <w:rPr>
          <w:b/>
          <w:sz w:val="28"/>
          <w:szCs w:val="28"/>
        </w:rPr>
        <w:t xml:space="preserve"> attīstība</w:t>
      </w:r>
      <w:r w:rsidRPr="00942973">
        <w:rPr>
          <w:b/>
          <w:sz w:val="28"/>
          <w:szCs w:val="28"/>
        </w:rPr>
        <w:t xml:space="preserve">: </w:t>
      </w:r>
      <w:r w:rsidR="0080167E" w:rsidRPr="00942973">
        <w:rPr>
          <w:sz w:val="28"/>
          <w:szCs w:val="28"/>
        </w:rPr>
        <w:t xml:space="preserve">rādītāju precizēšana IKT atbalsta programmā </w:t>
      </w:r>
      <w:r w:rsidR="001B32E6" w:rsidRPr="00942973">
        <w:rPr>
          <w:sz w:val="28"/>
          <w:szCs w:val="28"/>
        </w:rPr>
        <w:t>izmaiņ</w:t>
      </w:r>
      <w:r w:rsidRPr="00942973">
        <w:rPr>
          <w:sz w:val="28"/>
          <w:szCs w:val="28"/>
        </w:rPr>
        <w:t>u</w:t>
      </w:r>
      <w:r w:rsidR="0080167E" w:rsidRPr="00942973">
        <w:rPr>
          <w:sz w:val="28"/>
          <w:szCs w:val="28"/>
        </w:rPr>
        <w:t xml:space="preserve"> aprēķina metodoloģij</w:t>
      </w:r>
      <w:r w:rsidR="00475F1E">
        <w:rPr>
          <w:sz w:val="28"/>
          <w:szCs w:val="28"/>
        </w:rPr>
        <w:t>as</w:t>
      </w:r>
      <w:r w:rsidR="0080167E" w:rsidRPr="00942973">
        <w:rPr>
          <w:sz w:val="28"/>
          <w:szCs w:val="28"/>
        </w:rPr>
        <w:t xml:space="preserve"> </w:t>
      </w:r>
      <w:r w:rsidR="000F4449">
        <w:rPr>
          <w:sz w:val="28"/>
          <w:szCs w:val="28"/>
        </w:rPr>
        <w:t>dēļ</w:t>
      </w:r>
      <w:r w:rsidR="0080167E" w:rsidRPr="00942973">
        <w:rPr>
          <w:sz w:val="28"/>
          <w:szCs w:val="28"/>
        </w:rPr>
        <w:t xml:space="preserve">; </w:t>
      </w:r>
      <w:r w:rsidR="001B32E6" w:rsidRPr="00942973">
        <w:rPr>
          <w:sz w:val="28"/>
          <w:szCs w:val="28"/>
        </w:rPr>
        <w:t>rādītāju precizēšana</w:t>
      </w:r>
      <w:r w:rsidR="0080167E" w:rsidRPr="00942973">
        <w:rPr>
          <w:sz w:val="28"/>
          <w:szCs w:val="28"/>
        </w:rPr>
        <w:t xml:space="preserve"> ūdenssaimniecības (notekūdeņu) atbalsta programmā demogrāfijas un pieprasījuma problēm</w:t>
      </w:r>
      <w:r w:rsidR="001E3866" w:rsidRPr="00942973">
        <w:rPr>
          <w:sz w:val="28"/>
          <w:szCs w:val="28"/>
        </w:rPr>
        <w:t xml:space="preserve">u </w:t>
      </w:r>
      <w:r w:rsidR="001B32E6" w:rsidRPr="00942973">
        <w:rPr>
          <w:sz w:val="28"/>
          <w:szCs w:val="28"/>
        </w:rPr>
        <w:t>dēļ;</w:t>
      </w:r>
    </w:p>
    <w:p w14:paraId="1E578776" w14:textId="2E370C18" w:rsidR="0080167E" w:rsidRPr="00942973" w:rsidRDefault="00727DA4" w:rsidP="0062255B">
      <w:pPr>
        <w:numPr>
          <w:ilvl w:val="0"/>
          <w:numId w:val="6"/>
        </w:numPr>
        <w:spacing w:before="120" w:after="120"/>
        <w:ind w:left="567"/>
        <w:jc w:val="both"/>
        <w:rPr>
          <w:sz w:val="28"/>
          <w:szCs w:val="28"/>
        </w:rPr>
      </w:pPr>
      <w:r>
        <w:rPr>
          <w:b/>
          <w:sz w:val="28"/>
          <w:szCs w:val="28"/>
        </w:rPr>
        <w:t>tehniskā palīdzība un citi precizējumi</w:t>
      </w:r>
      <w:r w:rsidR="0080167E" w:rsidRPr="00942973">
        <w:rPr>
          <w:sz w:val="28"/>
          <w:szCs w:val="28"/>
        </w:rPr>
        <w:t>: finansējuma avota maiņa atsevišķiem tehniskās palīdzības projektiem, ņemot vērā būtiski atšķirīgus tehniskās palīdzības finansējuma izlietojuma tempus fondu dalījumā;</w:t>
      </w:r>
      <w:r>
        <w:rPr>
          <w:sz w:val="28"/>
          <w:szCs w:val="28"/>
        </w:rPr>
        <w:t xml:space="preserve"> </w:t>
      </w:r>
      <w:r w:rsidRPr="00942973">
        <w:rPr>
          <w:sz w:val="28"/>
          <w:szCs w:val="28"/>
        </w:rPr>
        <w:t>t</w:t>
      </w:r>
      <w:r w:rsidR="0080167E" w:rsidRPr="00942973">
        <w:rPr>
          <w:sz w:val="28"/>
          <w:szCs w:val="28"/>
        </w:rPr>
        <w:t>ehniski</w:t>
      </w:r>
      <w:r w:rsidR="0080167E" w:rsidRPr="00942973">
        <w:rPr>
          <w:b/>
          <w:sz w:val="28"/>
          <w:szCs w:val="28"/>
        </w:rPr>
        <w:t xml:space="preserve"> </w:t>
      </w:r>
      <w:r w:rsidR="0080167E" w:rsidRPr="00942973">
        <w:rPr>
          <w:sz w:val="28"/>
          <w:szCs w:val="28"/>
        </w:rPr>
        <w:t>precizējumi, kas izrietējuši nozaru ministrijām sagatavojot precīzākus investīciju plānus un nosacījumus.</w:t>
      </w:r>
    </w:p>
    <w:p w14:paraId="54CB42E7" w14:textId="7CF769E5" w:rsidR="00893612" w:rsidRPr="001D6218" w:rsidRDefault="001D6218" w:rsidP="008E3C7F">
      <w:pPr>
        <w:spacing w:after="120"/>
        <w:ind w:firstLine="360"/>
        <w:jc w:val="both"/>
        <w:rPr>
          <w:rFonts w:eastAsia="Times New Roman" w:cs="Times New Roman"/>
          <w:color w:val="0D0D0D" w:themeColor="text1" w:themeTint="F2"/>
          <w:sz w:val="28"/>
          <w:szCs w:val="28"/>
          <w:lang w:eastAsia="lv-LV"/>
        </w:rPr>
      </w:pPr>
      <w:r>
        <w:rPr>
          <w:rFonts w:eastAsia="Times New Roman" w:cs="Times New Roman"/>
          <w:color w:val="0D0D0D" w:themeColor="text1" w:themeTint="F2"/>
          <w:sz w:val="28"/>
          <w:szCs w:val="28"/>
          <w:lang w:eastAsia="lv-LV"/>
        </w:rPr>
        <w:t xml:space="preserve">Pēc saskaņošanas UK rakstiskajā procedūrā </w:t>
      </w:r>
      <w:r w:rsidR="00020C34">
        <w:rPr>
          <w:rFonts w:eastAsia="Times New Roman" w:cs="Times New Roman"/>
          <w:color w:val="0D0D0D" w:themeColor="text1" w:themeTint="F2"/>
          <w:sz w:val="28"/>
          <w:szCs w:val="28"/>
          <w:lang w:eastAsia="lv-LV"/>
        </w:rPr>
        <w:t xml:space="preserve">un </w:t>
      </w:r>
      <w:r>
        <w:rPr>
          <w:rFonts w:eastAsia="Times New Roman" w:cs="Times New Roman"/>
          <w:color w:val="0D0D0D" w:themeColor="text1" w:themeTint="F2"/>
          <w:sz w:val="28"/>
          <w:szCs w:val="28"/>
          <w:lang w:eastAsia="lv-LV"/>
        </w:rPr>
        <w:t>apstiprināšana</w:t>
      </w:r>
      <w:r w:rsidR="00020C34">
        <w:rPr>
          <w:rFonts w:eastAsia="Times New Roman" w:cs="Times New Roman"/>
          <w:color w:val="0D0D0D" w:themeColor="text1" w:themeTint="F2"/>
          <w:sz w:val="28"/>
          <w:szCs w:val="28"/>
          <w:lang w:eastAsia="lv-LV"/>
        </w:rPr>
        <w:t>s</w:t>
      </w:r>
      <w:r>
        <w:rPr>
          <w:rFonts w:eastAsia="Times New Roman" w:cs="Times New Roman"/>
          <w:color w:val="0D0D0D" w:themeColor="text1" w:themeTint="F2"/>
          <w:sz w:val="28"/>
          <w:szCs w:val="28"/>
          <w:lang w:eastAsia="lv-LV"/>
        </w:rPr>
        <w:t xml:space="preserve"> valdībā</w:t>
      </w:r>
      <w:r w:rsidR="00020C34">
        <w:rPr>
          <w:rFonts w:eastAsia="Times New Roman" w:cs="Times New Roman"/>
          <w:color w:val="0D0D0D" w:themeColor="text1" w:themeTint="F2"/>
          <w:sz w:val="28"/>
          <w:szCs w:val="28"/>
          <w:lang w:eastAsia="lv-LV"/>
        </w:rPr>
        <w:t>,</w:t>
      </w:r>
      <w:r>
        <w:rPr>
          <w:rFonts w:eastAsia="Times New Roman" w:cs="Times New Roman"/>
          <w:color w:val="0D0D0D" w:themeColor="text1" w:themeTint="F2"/>
          <w:sz w:val="28"/>
          <w:szCs w:val="28"/>
          <w:lang w:eastAsia="lv-LV"/>
        </w:rPr>
        <w:t xml:space="preserve"> </w:t>
      </w:r>
      <w:r w:rsidR="00020C34">
        <w:rPr>
          <w:rFonts w:eastAsia="Times New Roman" w:cs="Times New Roman"/>
          <w:color w:val="0D0D0D" w:themeColor="text1" w:themeTint="F2"/>
          <w:sz w:val="28"/>
          <w:szCs w:val="28"/>
          <w:lang w:eastAsia="lv-LV"/>
        </w:rPr>
        <w:t xml:space="preserve">FM iesniegs </w:t>
      </w:r>
      <w:r w:rsidR="00020C34" w:rsidRPr="00942973">
        <w:rPr>
          <w:rStyle w:val="Strong"/>
          <w:rFonts w:cs="Times New Roman"/>
          <w:b w:val="0"/>
          <w:sz w:val="28"/>
          <w:szCs w:val="28"/>
        </w:rPr>
        <w:t>DP grozījumu</w:t>
      </w:r>
      <w:r w:rsidR="00020C34">
        <w:rPr>
          <w:rStyle w:val="Strong"/>
          <w:rFonts w:cs="Times New Roman"/>
          <w:b w:val="0"/>
          <w:sz w:val="28"/>
          <w:szCs w:val="28"/>
        </w:rPr>
        <w:t>s</w:t>
      </w:r>
      <w:r w:rsidR="00020C34" w:rsidRPr="00942973">
        <w:rPr>
          <w:rStyle w:val="Strong"/>
          <w:rFonts w:cs="Times New Roman"/>
          <w:b w:val="0"/>
          <w:sz w:val="28"/>
          <w:szCs w:val="28"/>
        </w:rPr>
        <w:t xml:space="preserve"> Nr. 3 </w:t>
      </w:r>
      <w:r w:rsidR="001C08BD">
        <w:rPr>
          <w:rFonts w:eastAsia="Times New Roman" w:cs="Times New Roman"/>
          <w:color w:val="0D0D0D" w:themeColor="text1" w:themeTint="F2"/>
          <w:sz w:val="28"/>
          <w:szCs w:val="28"/>
          <w:lang w:eastAsia="lv-LV"/>
        </w:rPr>
        <w:t>E</w:t>
      </w:r>
      <w:r>
        <w:rPr>
          <w:rFonts w:eastAsia="Times New Roman" w:cs="Times New Roman"/>
          <w:color w:val="0D0D0D" w:themeColor="text1" w:themeTint="F2"/>
          <w:sz w:val="28"/>
          <w:szCs w:val="28"/>
          <w:lang w:eastAsia="lv-LV"/>
        </w:rPr>
        <w:t>K.</w:t>
      </w:r>
    </w:p>
    <w:p w14:paraId="7704497C" w14:textId="4EBF3736" w:rsidR="009203CF" w:rsidRPr="001D6218" w:rsidRDefault="000D12B1" w:rsidP="00942973">
      <w:pPr>
        <w:spacing w:before="120" w:after="120"/>
        <w:ind w:firstLine="720"/>
        <w:jc w:val="both"/>
        <w:rPr>
          <w:rFonts w:cs="Times New Roman"/>
          <w:b/>
          <w:i/>
          <w:sz w:val="28"/>
          <w:szCs w:val="28"/>
        </w:rPr>
      </w:pPr>
      <w:bookmarkStart w:id="11" w:name="_Toc472690732"/>
      <w:r w:rsidRPr="001D6218">
        <w:rPr>
          <w:rFonts w:cs="Times New Roman"/>
          <w:b/>
          <w:i/>
          <w:sz w:val="28"/>
          <w:szCs w:val="28"/>
        </w:rPr>
        <w:t>Investīciju</w:t>
      </w:r>
      <w:r w:rsidR="009203CF" w:rsidRPr="001D6218">
        <w:rPr>
          <w:rFonts w:cs="Times New Roman"/>
          <w:b/>
          <w:i/>
          <w:sz w:val="28"/>
          <w:szCs w:val="28"/>
        </w:rPr>
        <w:t xml:space="preserve"> nosacīju</w:t>
      </w:r>
      <w:r w:rsidRPr="001D6218">
        <w:rPr>
          <w:rFonts w:cs="Times New Roman"/>
          <w:b/>
          <w:i/>
          <w:sz w:val="28"/>
          <w:szCs w:val="28"/>
        </w:rPr>
        <w:t>mu</w:t>
      </w:r>
      <w:r w:rsidR="009203CF" w:rsidRPr="001D6218">
        <w:rPr>
          <w:rFonts w:cs="Times New Roman"/>
          <w:b/>
          <w:i/>
          <w:sz w:val="28"/>
          <w:szCs w:val="28"/>
        </w:rPr>
        <w:t xml:space="preserve"> izstrādes statuss</w:t>
      </w:r>
    </w:p>
    <w:p w14:paraId="1EBDEB9B" w14:textId="656EAB35" w:rsidR="009203CF" w:rsidRDefault="00317EBE" w:rsidP="00942973">
      <w:pPr>
        <w:spacing w:before="120" w:after="120"/>
        <w:ind w:firstLine="720"/>
        <w:jc w:val="both"/>
        <w:rPr>
          <w:rFonts w:cs="Times New Roman"/>
          <w:sz w:val="28"/>
          <w:szCs w:val="28"/>
        </w:rPr>
      </w:pPr>
      <w:r w:rsidRPr="00942973">
        <w:rPr>
          <w:rFonts w:cs="Times New Roman"/>
          <w:sz w:val="28"/>
          <w:szCs w:val="28"/>
        </w:rPr>
        <w:t>A</w:t>
      </w:r>
      <w:r w:rsidR="00FA537E" w:rsidRPr="00942973">
        <w:rPr>
          <w:rFonts w:cs="Times New Roman"/>
          <w:sz w:val="28"/>
          <w:szCs w:val="28"/>
        </w:rPr>
        <w:t xml:space="preserve">pstiprināmo MK noteikumu </w:t>
      </w:r>
      <w:r w:rsidRPr="00942973">
        <w:rPr>
          <w:rFonts w:cs="Times New Roman"/>
          <w:sz w:val="28"/>
          <w:szCs w:val="28"/>
        </w:rPr>
        <w:t xml:space="preserve">par investīciju ieviešanu </w:t>
      </w:r>
      <w:r w:rsidR="007266FE" w:rsidRPr="00942973">
        <w:rPr>
          <w:color w:val="0D0D0D" w:themeColor="text1" w:themeTint="F2"/>
          <w:sz w:val="28"/>
          <w:szCs w:val="28"/>
        </w:rPr>
        <w:t>2018. gadā un 2019. gadā</w:t>
      </w:r>
      <w:r w:rsidR="007266FE" w:rsidRPr="00942973">
        <w:rPr>
          <w:rFonts w:cs="Times New Roman"/>
          <w:sz w:val="28"/>
          <w:szCs w:val="28"/>
        </w:rPr>
        <w:t xml:space="preserve"> </w:t>
      </w:r>
      <w:r w:rsidR="00FA537E" w:rsidRPr="00942973">
        <w:rPr>
          <w:rFonts w:cs="Times New Roman"/>
          <w:sz w:val="28"/>
          <w:szCs w:val="28"/>
        </w:rPr>
        <w:t>palicis salīdzinoši n</w:t>
      </w:r>
      <w:r w:rsidRPr="00942973">
        <w:rPr>
          <w:rFonts w:cs="Times New Roman"/>
          <w:sz w:val="28"/>
          <w:szCs w:val="28"/>
        </w:rPr>
        <w:t xml:space="preserve">edaudz (vien </w:t>
      </w:r>
      <w:r w:rsidR="00CA28D1">
        <w:rPr>
          <w:rFonts w:cs="Times New Roman"/>
          <w:sz w:val="28"/>
          <w:szCs w:val="28"/>
        </w:rPr>
        <w:t>78</w:t>
      </w:r>
      <w:r w:rsidR="00546B57" w:rsidRPr="00942973">
        <w:rPr>
          <w:rFonts w:cs="Times New Roman"/>
          <w:sz w:val="28"/>
          <w:szCs w:val="28"/>
        </w:rPr>
        <w:t> </w:t>
      </w:r>
      <w:r w:rsidR="00BA3931" w:rsidRPr="00942973">
        <w:rPr>
          <w:rFonts w:cs="Times New Roman"/>
          <w:sz w:val="28"/>
          <w:szCs w:val="28"/>
        </w:rPr>
        <w:t>milj</w:t>
      </w:r>
      <w:r w:rsidR="00731A7B" w:rsidRPr="00942973">
        <w:rPr>
          <w:rFonts w:cs="Times New Roman"/>
          <w:sz w:val="28"/>
          <w:szCs w:val="28"/>
        </w:rPr>
        <w:t>.</w:t>
      </w:r>
      <w:r w:rsidR="00546B57" w:rsidRPr="00942973">
        <w:rPr>
          <w:rFonts w:cs="Times New Roman"/>
          <w:sz w:val="28"/>
          <w:szCs w:val="28"/>
        </w:rPr>
        <w:t> </w:t>
      </w:r>
      <w:r w:rsidR="00BA3931" w:rsidRPr="00942973">
        <w:rPr>
          <w:rFonts w:cs="Times New Roman"/>
          <w:i/>
          <w:sz w:val="28"/>
          <w:szCs w:val="28"/>
        </w:rPr>
        <w:t>euro</w:t>
      </w:r>
      <w:r w:rsidR="00BA3931" w:rsidRPr="00942973">
        <w:rPr>
          <w:rFonts w:cs="Times New Roman"/>
          <w:sz w:val="28"/>
          <w:szCs w:val="28"/>
        </w:rPr>
        <w:t xml:space="preserve"> no 4,4</w:t>
      </w:r>
      <w:r w:rsidR="00546B57" w:rsidRPr="00942973">
        <w:rPr>
          <w:rFonts w:cs="Times New Roman"/>
          <w:sz w:val="28"/>
          <w:szCs w:val="28"/>
        </w:rPr>
        <w:t> </w:t>
      </w:r>
      <w:r w:rsidR="00BA3931" w:rsidRPr="00942973">
        <w:rPr>
          <w:rFonts w:cs="Times New Roman"/>
          <w:sz w:val="28"/>
          <w:szCs w:val="28"/>
        </w:rPr>
        <w:t>mljrd</w:t>
      </w:r>
      <w:r w:rsidR="00731A7B" w:rsidRPr="00942973">
        <w:rPr>
          <w:rFonts w:cs="Times New Roman"/>
          <w:sz w:val="28"/>
          <w:szCs w:val="28"/>
        </w:rPr>
        <w:t>.</w:t>
      </w:r>
      <w:r w:rsidR="00546B57" w:rsidRPr="00942973">
        <w:rPr>
          <w:rFonts w:cs="Times New Roman"/>
          <w:sz w:val="28"/>
          <w:szCs w:val="28"/>
        </w:rPr>
        <w:t> </w:t>
      </w:r>
      <w:r w:rsidR="00BA3931" w:rsidRPr="00942973">
        <w:rPr>
          <w:rFonts w:cs="Times New Roman"/>
          <w:i/>
          <w:sz w:val="28"/>
          <w:szCs w:val="28"/>
        </w:rPr>
        <w:t>euro</w:t>
      </w:r>
      <w:r w:rsidR="00BA3931" w:rsidRPr="00942973">
        <w:rPr>
          <w:rFonts w:cs="Times New Roman"/>
          <w:sz w:val="28"/>
          <w:szCs w:val="28"/>
        </w:rPr>
        <w:t xml:space="preserve"> plānošanas periodā</w:t>
      </w:r>
      <w:r w:rsidRPr="00942973">
        <w:rPr>
          <w:rFonts w:cs="Times New Roman"/>
          <w:sz w:val="28"/>
          <w:szCs w:val="28"/>
        </w:rPr>
        <w:t xml:space="preserve"> kopā pieejamā ES finansējuma)</w:t>
      </w:r>
      <w:r w:rsidR="007266FE" w:rsidRPr="00942973">
        <w:rPr>
          <w:rFonts w:cs="Times New Roman"/>
          <w:sz w:val="28"/>
          <w:szCs w:val="28"/>
        </w:rPr>
        <w:t xml:space="preserve">, ņemot vērā </w:t>
      </w:r>
      <w:r w:rsidR="003923E6" w:rsidRPr="00942973">
        <w:rPr>
          <w:rFonts w:cs="Times New Roman"/>
          <w:sz w:val="28"/>
          <w:szCs w:val="28"/>
        </w:rPr>
        <w:t xml:space="preserve">vairākas </w:t>
      </w:r>
      <w:r w:rsidR="007266FE" w:rsidRPr="00942973">
        <w:rPr>
          <w:rFonts w:cs="Times New Roman"/>
          <w:sz w:val="28"/>
          <w:szCs w:val="28"/>
        </w:rPr>
        <w:t>investīciju pārdales</w:t>
      </w:r>
      <w:r w:rsidR="004B307F" w:rsidRPr="00942973">
        <w:rPr>
          <w:rFonts w:cs="Times New Roman"/>
          <w:sz w:val="28"/>
          <w:szCs w:val="28"/>
        </w:rPr>
        <w:t>,</w:t>
      </w:r>
      <w:r w:rsidR="003923E6" w:rsidRPr="00942973">
        <w:rPr>
          <w:rFonts w:cs="Times New Roman"/>
          <w:sz w:val="28"/>
          <w:szCs w:val="28"/>
        </w:rPr>
        <w:t xml:space="preserve"> samazinot</w:t>
      </w:r>
      <w:r w:rsidR="00F952CA" w:rsidRPr="00942973">
        <w:rPr>
          <w:rStyle w:val="FootnoteReference"/>
          <w:i/>
          <w:color w:val="0D0D0D" w:themeColor="text1" w:themeTint="F2"/>
          <w:sz w:val="28"/>
          <w:szCs w:val="28"/>
        </w:rPr>
        <w:footnoteReference w:id="20"/>
      </w:r>
      <w:r w:rsidR="00F952CA" w:rsidRPr="00942973">
        <w:rPr>
          <w:rFonts w:cs="Times New Roman"/>
          <w:sz w:val="28"/>
          <w:szCs w:val="28"/>
        </w:rPr>
        <w:t xml:space="preserve"> un palielinot</w:t>
      </w:r>
      <w:r w:rsidR="00C31538" w:rsidRPr="00942973">
        <w:rPr>
          <w:rStyle w:val="FootnoteReference"/>
          <w:i/>
          <w:color w:val="0D0D0D" w:themeColor="text1" w:themeTint="F2"/>
          <w:sz w:val="28"/>
          <w:szCs w:val="28"/>
        </w:rPr>
        <w:footnoteReference w:id="21"/>
      </w:r>
      <w:r w:rsidR="003923E6" w:rsidRPr="00942973">
        <w:rPr>
          <w:rFonts w:cs="Times New Roman"/>
          <w:sz w:val="28"/>
          <w:szCs w:val="28"/>
        </w:rPr>
        <w:t xml:space="preserve"> </w:t>
      </w:r>
      <w:r w:rsidR="004B307F" w:rsidRPr="00942973">
        <w:rPr>
          <w:rFonts w:cs="Times New Roman"/>
          <w:sz w:val="28"/>
          <w:szCs w:val="28"/>
        </w:rPr>
        <w:t>apstiprināmo MK noteikumu finansējuma apjomu</w:t>
      </w:r>
      <w:r w:rsidR="00F952CA" w:rsidRPr="00942973">
        <w:rPr>
          <w:rFonts w:cs="Times New Roman"/>
          <w:sz w:val="28"/>
          <w:szCs w:val="28"/>
        </w:rPr>
        <w:t>,</w:t>
      </w:r>
      <w:r w:rsidR="003923E6" w:rsidRPr="00942973">
        <w:rPr>
          <w:rFonts w:cs="Times New Roman"/>
          <w:sz w:val="28"/>
          <w:szCs w:val="28"/>
        </w:rPr>
        <w:t xml:space="preserve"> </w:t>
      </w:r>
      <w:r w:rsidR="007266FE" w:rsidRPr="00942973">
        <w:rPr>
          <w:rFonts w:cs="Times New Roman"/>
          <w:sz w:val="28"/>
          <w:szCs w:val="28"/>
        </w:rPr>
        <w:t xml:space="preserve">un </w:t>
      </w:r>
      <w:r w:rsidR="007266FE" w:rsidRPr="00942973">
        <w:rPr>
          <w:sz w:val="28"/>
        </w:rPr>
        <w:t xml:space="preserve">aktualizēto 2018. gada un </w:t>
      </w:r>
      <w:r w:rsidR="00CA28D1">
        <w:rPr>
          <w:sz w:val="28"/>
        </w:rPr>
        <w:t>2019. gada</w:t>
      </w:r>
      <w:r w:rsidR="007266FE" w:rsidRPr="00942973">
        <w:rPr>
          <w:sz w:val="28"/>
        </w:rPr>
        <w:t xml:space="preserve"> MK noteikumu izstrādes laika grafiku</w:t>
      </w:r>
      <w:r w:rsidR="00F57B1B" w:rsidRPr="00942973">
        <w:rPr>
          <w:sz w:val="28"/>
        </w:rPr>
        <w:t xml:space="preserve"> (s</w:t>
      </w:r>
      <w:r w:rsidR="00F57B1B" w:rsidRPr="00942973">
        <w:rPr>
          <w:color w:val="0D0D0D" w:themeColor="text1" w:themeTint="F2"/>
          <w:sz w:val="28"/>
          <w:szCs w:val="28"/>
        </w:rPr>
        <w:t xml:space="preserve">katīt </w:t>
      </w:r>
      <w:r w:rsidR="00F57B1B" w:rsidRPr="00801C55">
        <w:rPr>
          <w:color w:val="0D0D0D" w:themeColor="text1" w:themeTint="F2"/>
          <w:sz w:val="28"/>
          <w:szCs w:val="28"/>
        </w:rPr>
        <w:t xml:space="preserve">ziņojuma </w:t>
      </w:r>
      <w:r w:rsidR="00EE10D0" w:rsidRPr="00801C55">
        <w:rPr>
          <w:color w:val="0D0D0D" w:themeColor="text1" w:themeTint="F2"/>
          <w:sz w:val="28"/>
          <w:szCs w:val="28"/>
        </w:rPr>
        <w:t>1</w:t>
      </w:r>
      <w:r w:rsidR="00F57B1B" w:rsidRPr="00801C55">
        <w:rPr>
          <w:color w:val="0D0D0D" w:themeColor="text1" w:themeTint="F2"/>
          <w:sz w:val="28"/>
          <w:szCs w:val="28"/>
        </w:rPr>
        <w:t>. pielikumā informāciju</w:t>
      </w:r>
      <w:r w:rsidR="00F57B1B" w:rsidRPr="00942973">
        <w:rPr>
          <w:color w:val="0D0D0D" w:themeColor="text1" w:themeTint="F2"/>
          <w:sz w:val="28"/>
          <w:szCs w:val="28"/>
        </w:rPr>
        <w:t xml:space="preserve"> par MK noteikumu virzību)</w:t>
      </w:r>
      <w:r w:rsidR="00F952CA" w:rsidRPr="00942973">
        <w:rPr>
          <w:sz w:val="28"/>
        </w:rPr>
        <w:t>.</w:t>
      </w:r>
      <w:r w:rsidR="007266FE" w:rsidRPr="00942973">
        <w:rPr>
          <w:rFonts w:cs="Times New Roman"/>
          <w:sz w:val="28"/>
          <w:szCs w:val="28"/>
        </w:rPr>
        <w:t xml:space="preserve"> </w:t>
      </w:r>
      <w:r w:rsidR="00611625" w:rsidRPr="00942973">
        <w:rPr>
          <w:rFonts w:cs="Times New Roman"/>
          <w:sz w:val="28"/>
          <w:szCs w:val="28"/>
        </w:rPr>
        <w:t>Līdz</w:t>
      </w:r>
      <w:r w:rsidR="007266FE" w:rsidRPr="00942973">
        <w:rPr>
          <w:sz w:val="28"/>
          <w:szCs w:val="28"/>
        </w:rPr>
        <w:t xml:space="preserve"> </w:t>
      </w:r>
      <w:r w:rsidR="00B62445">
        <w:rPr>
          <w:sz w:val="28"/>
          <w:szCs w:val="28"/>
        </w:rPr>
        <w:t xml:space="preserve">pārskata </w:t>
      </w:r>
      <w:r w:rsidR="007266FE" w:rsidRPr="00942973">
        <w:rPr>
          <w:sz w:val="28"/>
          <w:szCs w:val="28"/>
        </w:rPr>
        <w:t>perioda be</w:t>
      </w:r>
      <w:r w:rsidR="00611625" w:rsidRPr="00942973">
        <w:rPr>
          <w:sz w:val="28"/>
          <w:szCs w:val="28"/>
        </w:rPr>
        <w:t>igām investīciju nosacījumus nebija</w:t>
      </w:r>
      <w:r w:rsidR="007266FE" w:rsidRPr="00942973">
        <w:rPr>
          <w:sz w:val="28"/>
          <w:szCs w:val="28"/>
        </w:rPr>
        <w:t xml:space="preserve"> izdevies pilnībā apstiprināt </w:t>
      </w:r>
      <w:r w:rsidR="007266FE" w:rsidRPr="00942973">
        <w:rPr>
          <w:color w:val="0D0D0D" w:themeColor="text1" w:themeTint="F2"/>
          <w:sz w:val="28"/>
          <w:szCs w:val="28"/>
        </w:rPr>
        <w:t xml:space="preserve">IZM, EM un VM kopā par </w:t>
      </w:r>
      <w:r w:rsidR="00D73B39">
        <w:rPr>
          <w:color w:val="0D0D0D" w:themeColor="text1" w:themeTint="F2"/>
          <w:sz w:val="28"/>
          <w:szCs w:val="28"/>
        </w:rPr>
        <w:t>148</w:t>
      </w:r>
      <w:r w:rsidR="007266FE" w:rsidRPr="00942973">
        <w:rPr>
          <w:color w:val="0D0D0D" w:themeColor="text1" w:themeTint="F2"/>
          <w:sz w:val="28"/>
          <w:szCs w:val="28"/>
        </w:rPr>
        <w:t> milj. </w:t>
      </w:r>
      <w:r w:rsidR="007266FE" w:rsidRPr="00942973">
        <w:rPr>
          <w:i/>
          <w:color w:val="0D0D0D" w:themeColor="text1" w:themeTint="F2"/>
          <w:sz w:val="28"/>
          <w:szCs w:val="28"/>
        </w:rPr>
        <w:t xml:space="preserve">euro </w:t>
      </w:r>
      <w:r w:rsidR="007266FE" w:rsidRPr="00942973">
        <w:rPr>
          <w:color w:val="0D0D0D" w:themeColor="text1" w:themeTint="F2"/>
          <w:sz w:val="28"/>
          <w:szCs w:val="28"/>
        </w:rPr>
        <w:t>ES finansējuma</w:t>
      </w:r>
      <w:r w:rsidR="007266FE" w:rsidRPr="00942973">
        <w:rPr>
          <w:rStyle w:val="FootnoteReference"/>
          <w:sz w:val="28"/>
          <w:szCs w:val="28"/>
        </w:rPr>
        <w:footnoteReference w:id="22"/>
      </w:r>
      <w:r w:rsidR="00F528D7" w:rsidRPr="00942973">
        <w:rPr>
          <w:color w:val="0D0D0D" w:themeColor="text1" w:themeTint="F2"/>
          <w:sz w:val="28"/>
          <w:szCs w:val="28"/>
        </w:rPr>
        <w:t>, kas daļēji</w:t>
      </w:r>
      <w:r w:rsidR="007266FE" w:rsidRPr="00942973">
        <w:rPr>
          <w:color w:val="0D0D0D" w:themeColor="text1" w:themeTint="F2"/>
          <w:sz w:val="28"/>
          <w:szCs w:val="28"/>
        </w:rPr>
        <w:t xml:space="preserve"> izpildīt</w:t>
      </w:r>
      <w:r w:rsidR="009B6569">
        <w:rPr>
          <w:color w:val="0D0D0D" w:themeColor="text1" w:themeTint="F2"/>
          <w:sz w:val="28"/>
          <w:szCs w:val="28"/>
        </w:rPr>
        <w:t>s</w:t>
      </w:r>
      <w:r w:rsidR="007266FE" w:rsidRPr="00942973">
        <w:rPr>
          <w:color w:val="0D0D0D" w:themeColor="text1" w:themeTint="F2"/>
          <w:sz w:val="28"/>
          <w:szCs w:val="28"/>
        </w:rPr>
        <w:t xml:space="preserve"> 2018.</w:t>
      </w:r>
      <w:r w:rsidR="000A6EE7">
        <w:rPr>
          <w:color w:val="0D0D0D" w:themeColor="text1" w:themeTint="F2"/>
          <w:sz w:val="28"/>
          <w:szCs w:val="28"/>
        </w:rPr>
        <w:t> </w:t>
      </w:r>
      <w:r w:rsidR="007266FE" w:rsidRPr="00942973">
        <w:rPr>
          <w:color w:val="0D0D0D" w:themeColor="text1" w:themeTint="F2"/>
          <w:sz w:val="28"/>
          <w:szCs w:val="28"/>
        </w:rPr>
        <w:t>gada sākumā</w:t>
      </w:r>
      <w:r w:rsidR="009B6569">
        <w:rPr>
          <w:color w:val="0D0D0D" w:themeColor="text1" w:themeTint="F2"/>
          <w:sz w:val="28"/>
          <w:szCs w:val="28"/>
        </w:rPr>
        <w:t xml:space="preserve">. </w:t>
      </w:r>
      <w:r w:rsidR="009A2B65" w:rsidRPr="00942973">
        <w:rPr>
          <w:rFonts w:cs="Times New Roman"/>
          <w:sz w:val="28"/>
          <w:szCs w:val="28"/>
        </w:rPr>
        <w:t>Aktuālo statusu, t.sk. kavētos investīciju noteikumus, skatīt ikmēneša ziņojumos</w:t>
      </w:r>
      <w:r w:rsidR="009A2B65" w:rsidRPr="00942973">
        <w:rPr>
          <w:rStyle w:val="FootnoteReference"/>
          <w:rFonts w:cs="Times New Roman"/>
          <w:sz w:val="28"/>
          <w:szCs w:val="28"/>
        </w:rPr>
        <w:footnoteReference w:id="23"/>
      </w:r>
      <w:r w:rsidR="009A2B65" w:rsidRPr="00942973">
        <w:rPr>
          <w:rFonts w:cs="Times New Roman"/>
          <w:sz w:val="28"/>
          <w:szCs w:val="28"/>
        </w:rPr>
        <w:t xml:space="preserve">. </w:t>
      </w:r>
    </w:p>
    <w:p w14:paraId="64BF3BAA" w14:textId="77777777" w:rsidR="000A21CC" w:rsidRPr="00AC7745" w:rsidRDefault="000A21CC" w:rsidP="000A21CC">
      <w:pPr>
        <w:spacing w:before="120" w:after="120"/>
        <w:ind w:firstLine="720"/>
        <w:jc w:val="both"/>
        <w:rPr>
          <w:rFonts w:cs="Times New Roman"/>
          <w:b/>
          <w:i/>
          <w:sz w:val="28"/>
          <w:szCs w:val="28"/>
          <w:lang w:eastAsia="ar-SA"/>
        </w:rPr>
      </w:pPr>
      <w:r w:rsidRPr="00AC7745">
        <w:rPr>
          <w:rFonts w:cs="Times New Roman"/>
          <w:b/>
          <w:i/>
          <w:sz w:val="28"/>
          <w:szCs w:val="28"/>
          <w:lang w:eastAsia="ar-SA"/>
        </w:rPr>
        <w:lastRenderedPageBreak/>
        <w:t>ES fondu izvērtēšanas jautājumi</w:t>
      </w:r>
      <w:r w:rsidRPr="00AC7745">
        <w:rPr>
          <w:rStyle w:val="FootnoteReference"/>
          <w:b/>
          <w:bCs/>
          <w:i/>
          <w:iCs/>
          <w:sz w:val="28"/>
          <w:szCs w:val="28"/>
        </w:rPr>
        <w:footnoteReference w:id="24"/>
      </w:r>
    </w:p>
    <w:p w14:paraId="1760C659" w14:textId="77777777" w:rsidR="000A21CC" w:rsidRDefault="000A21CC" w:rsidP="000A21CC">
      <w:pPr>
        <w:pStyle w:val="Default"/>
        <w:spacing w:line="240" w:lineRule="auto"/>
        <w:ind w:firstLine="720"/>
        <w:rPr>
          <w:color w:val="auto"/>
          <w:sz w:val="28"/>
          <w:szCs w:val="28"/>
        </w:rPr>
      </w:pPr>
      <w:r>
        <w:rPr>
          <w:sz w:val="28"/>
          <w:szCs w:val="28"/>
        </w:rPr>
        <w:t>2017. gada 26. janvārī KIDG apstiprināja ikgadējo ES fondu izvērtēšanas plānu 2017. gadam, savukārt gada nogalē tika sagatavots un 11. decembrī KIDG apstiprināts ikgadējais ES fondu izvērtēšanas plāns 2018. gadam</w:t>
      </w:r>
      <w:r>
        <w:rPr>
          <w:color w:val="auto"/>
          <w:sz w:val="28"/>
          <w:szCs w:val="28"/>
        </w:rPr>
        <w:t>.</w:t>
      </w:r>
    </w:p>
    <w:p w14:paraId="76A5F2C9" w14:textId="77777777" w:rsidR="000A21CC" w:rsidRDefault="000A21CC" w:rsidP="000A21CC">
      <w:pPr>
        <w:pStyle w:val="Default"/>
        <w:spacing w:line="240" w:lineRule="auto"/>
        <w:ind w:firstLine="720"/>
        <w:rPr>
          <w:color w:val="auto"/>
          <w:sz w:val="28"/>
          <w:szCs w:val="28"/>
        </w:rPr>
      </w:pPr>
      <w:r>
        <w:rPr>
          <w:color w:val="auto"/>
          <w:sz w:val="28"/>
          <w:szCs w:val="28"/>
        </w:rPr>
        <w:t xml:space="preserve">Tuvojoties ES fondu 2014. – 2020. gada plānošanas perioda </w:t>
      </w:r>
      <w:proofErr w:type="spellStart"/>
      <w:r>
        <w:rPr>
          <w:color w:val="auto"/>
          <w:sz w:val="28"/>
          <w:szCs w:val="28"/>
        </w:rPr>
        <w:t>vidusposmam</w:t>
      </w:r>
      <w:proofErr w:type="spellEnd"/>
      <w:r>
        <w:rPr>
          <w:color w:val="auto"/>
          <w:sz w:val="28"/>
          <w:szCs w:val="28"/>
        </w:rPr>
        <w:t>, aktīvi norisinās iepriekšējā plānošanas perioda ieguldījumu lietderības un efektivitātes izvērtēšana un to ietekmes noteikšana, lai, ņemot vērā izvērtējumu secinājumus un priekšlikumus, nepieciešamības gadījumā nodrošinātu mērķētāku ES fondu atbalstu šajā plānošanas periodā. Tāpat šo izvērtējumu rezultātus būs iespējams izmantot sarunās ar EK, gatavojoties ES fondu plānošanas periodam pēc 2020. gada un veidojot turpmākos ES fondu atbalsta mērķus.</w:t>
      </w:r>
    </w:p>
    <w:p w14:paraId="575FFA89" w14:textId="77777777" w:rsidR="000A21CC" w:rsidRDefault="000A21CC" w:rsidP="000A21CC">
      <w:pPr>
        <w:pStyle w:val="Default"/>
        <w:spacing w:line="240" w:lineRule="auto"/>
        <w:ind w:firstLine="720"/>
        <w:rPr>
          <w:color w:val="auto"/>
          <w:sz w:val="28"/>
          <w:szCs w:val="28"/>
        </w:rPr>
      </w:pPr>
      <w:r>
        <w:rPr>
          <w:color w:val="auto"/>
          <w:sz w:val="28"/>
          <w:szCs w:val="28"/>
        </w:rPr>
        <w:t>2017. gada jūlijā tika pabeigta paplašinātā sākotnējā novērtējuma ziņojuma</w:t>
      </w:r>
      <w:r>
        <w:rPr>
          <w:rStyle w:val="FootnoteReference"/>
          <w:color w:val="auto"/>
          <w:sz w:val="28"/>
          <w:szCs w:val="28"/>
        </w:rPr>
        <w:footnoteReference w:id="25"/>
      </w:r>
      <w:r>
        <w:rPr>
          <w:color w:val="auto"/>
          <w:sz w:val="28"/>
          <w:szCs w:val="28"/>
        </w:rPr>
        <w:t xml:space="preserve"> izstrāde studiju programmu fragmentācijas samazināšanai</w:t>
      </w:r>
      <w:r>
        <w:rPr>
          <w:rStyle w:val="FootnoteReference"/>
          <w:color w:val="auto"/>
          <w:sz w:val="28"/>
          <w:szCs w:val="28"/>
        </w:rPr>
        <w:footnoteReference w:id="26"/>
      </w:r>
      <w:r>
        <w:rPr>
          <w:sz w:val="28"/>
          <w:szCs w:val="28"/>
        </w:rPr>
        <w:t>, tādējādi nodrošinot IZM nepieciešamo analītisko materiālu ieviešanas nosacījumu izstrādei un atbalsta uzsākšanai.</w:t>
      </w:r>
    </w:p>
    <w:p w14:paraId="181B3ACE" w14:textId="4E2C1BD0" w:rsidR="000A21CC" w:rsidRDefault="000A21CC" w:rsidP="000A21CC">
      <w:pPr>
        <w:pStyle w:val="Default"/>
        <w:spacing w:line="240" w:lineRule="auto"/>
        <w:rPr>
          <w:color w:val="auto"/>
          <w:sz w:val="28"/>
          <w:szCs w:val="28"/>
        </w:rPr>
      </w:pPr>
      <w:r>
        <w:rPr>
          <w:color w:val="auto"/>
          <w:sz w:val="28"/>
          <w:szCs w:val="28"/>
        </w:rPr>
        <w:tab/>
      </w:r>
      <w:r w:rsidRPr="0060076E">
        <w:rPr>
          <w:color w:val="auto"/>
          <w:sz w:val="28"/>
          <w:szCs w:val="28"/>
        </w:rPr>
        <w:t>2017.</w:t>
      </w:r>
      <w:r>
        <w:rPr>
          <w:color w:val="auto"/>
          <w:sz w:val="28"/>
          <w:szCs w:val="28"/>
        </w:rPr>
        <w:t> </w:t>
      </w:r>
      <w:r w:rsidRPr="0060076E">
        <w:rPr>
          <w:color w:val="auto"/>
          <w:sz w:val="28"/>
          <w:szCs w:val="28"/>
        </w:rPr>
        <w:t xml:space="preserve">gada decembrī tika pabeigts </w:t>
      </w:r>
      <w:r>
        <w:rPr>
          <w:color w:val="auto"/>
          <w:sz w:val="28"/>
          <w:szCs w:val="28"/>
        </w:rPr>
        <w:t xml:space="preserve">pirmais no </w:t>
      </w:r>
      <w:r w:rsidRPr="0060076E">
        <w:rPr>
          <w:color w:val="auto"/>
          <w:sz w:val="28"/>
          <w:szCs w:val="28"/>
        </w:rPr>
        <w:t>ES fondu 2007.</w:t>
      </w:r>
      <w:r>
        <w:rPr>
          <w:color w:val="auto"/>
          <w:sz w:val="28"/>
          <w:szCs w:val="28"/>
        </w:rPr>
        <w:t> </w:t>
      </w:r>
      <w:r w:rsidRPr="0060076E">
        <w:rPr>
          <w:color w:val="auto"/>
          <w:sz w:val="28"/>
          <w:szCs w:val="28"/>
        </w:rPr>
        <w:t>–</w:t>
      </w:r>
      <w:r>
        <w:rPr>
          <w:color w:val="auto"/>
          <w:sz w:val="28"/>
          <w:szCs w:val="28"/>
        </w:rPr>
        <w:t> </w:t>
      </w:r>
      <w:r w:rsidRPr="0060076E">
        <w:rPr>
          <w:color w:val="auto"/>
          <w:sz w:val="28"/>
          <w:szCs w:val="28"/>
        </w:rPr>
        <w:t>2013.</w:t>
      </w:r>
      <w:r>
        <w:rPr>
          <w:color w:val="auto"/>
          <w:sz w:val="28"/>
          <w:szCs w:val="28"/>
        </w:rPr>
        <w:t> </w:t>
      </w:r>
      <w:r w:rsidRPr="0060076E">
        <w:rPr>
          <w:color w:val="auto"/>
          <w:sz w:val="28"/>
          <w:szCs w:val="28"/>
        </w:rPr>
        <w:t xml:space="preserve">gada plānošanas perioda ieguldījumu </w:t>
      </w:r>
      <w:r>
        <w:rPr>
          <w:color w:val="auto"/>
          <w:sz w:val="28"/>
          <w:szCs w:val="28"/>
        </w:rPr>
        <w:t xml:space="preserve">noslēguma </w:t>
      </w:r>
      <w:proofErr w:type="spellStart"/>
      <w:r>
        <w:rPr>
          <w:color w:val="auto"/>
          <w:sz w:val="28"/>
          <w:szCs w:val="28"/>
        </w:rPr>
        <w:t>izvērtējumiem</w:t>
      </w:r>
      <w:proofErr w:type="spellEnd"/>
      <w:r>
        <w:rPr>
          <w:color w:val="auto"/>
          <w:sz w:val="28"/>
          <w:szCs w:val="28"/>
        </w:rPr>
        <w:t xml:space="preserve">, veicot </w:t>
      </w:r>
      <w:r w:rsidRPr="0060076E">
        <w:rPr>
          <w:color w:val="auto"/>
          <w:sz w:val="28"/>
          <w:szCs w:val="28"/>
        </w:rPr>
        <w:t>zinātnes, pētniecības un inovācijas atbalsta aktivitāšu ietekmes izvērtējum</w:t>
      </w:r>
      <w:r>
        <w:rPr>
          <w:color w:val="auto"/>
          <w:sz w:val="28"/>
          <w:szCs w:val="28"/>
        </w:rPr>
        <w:t>u</w:t>
      </w:r>
      <w:r>
        <w:rPr>
          <w:rStyle w:val="FootnoteReference"/>
          <w:color w:val="auto"/>
          <w:sz w:val="28"/>
          <w:szCs w:val="28"/>
        </w:rPr>
        <w:footnoteReference w:id="27"/>
      </w:r>
      <w:r w:rsidRPr="0060076E">
        <w:rPr>
          <w:color w:val="auto"/>
          <w:sz w:val="28"/>
          <w:szCs w:val="28"/>
        </w:rPr>
        <w:t xml:space="preserve"> ar mērķi noteikt ES fondu ieguldījumu ietekmi uz zinātnisko institūcij</w:t>
      </w:r>
      <w:r w:rsidR="00B62445">
        <w:rPr>
          <w:color w:val="auto"/>
          <w:sz w:val="28"/>
          <w:szCs w:val="28"/>
        </w:rPr>
        <w:t>u</w:t>
      </w:r>
      <w:r w:rsidRPr="0060076E">
        <w:rPr>
          <w:color w:val="auto"/>
          <w:sz w:val="28"/>
          <w:szCs w:val="28"/>
        </w:rPr>
        <w:t xml:space="preserve"> darbību un ilgtspēju, kā arī atbalsta aktivitāšu ietvaros iegūto rezultātu ilgtspēju.</w:t>
      </w:r>
      <w:r>
        <w:rPr>
          <w:color w:val="auto"/>
          <w:sz w:val="28"/>
          <w:szCs w:val="28"/>
        </w:rPr>
        <w:t xml:space="preserve"> </w:t>
      </w:r>
      <w:r w:rsidRPr="0060076E">
        <w:rPr>
          <w:color w:val="auto"/>
          <w:sz w:val="28"/>
          <w:szCs w:val="28"/>
        </w:rPr>
        <w:t>Izvērtējuma rezultātā gūtas atziņas, ka ieguldījumi zinātnē kopumā ir bijuši veiksmīgi</w:t>
      </w:r>
      <w:r>
        <w:rPr>
          <w:color w:val="auto"/>
          <w:sz w:val="28"/>
          <w:szCs w:val="28"/>
        </w:rPr>
        <w:t xml:space="preserve">, </w:t>
      </w:r>
      <w:r w:rsidRPr="0060076E">
        <w:rPr>
          <w:color w:val="auto"/>
          <w:sz w:val="28"/>
          <w:szCs w:val="28"/>
        </w:rPr>
        <w:t xml:space="preserve">konstatēts, ka ES fondu ieguldījumu </w:t>
      </w:r>
      <w:proofErr w:type="spellStart"/>
      <w:r w:rsidRPr="0060076E">
        <w:rPr>
          <w:color w:val="auto"/>
          <w:sz w:val="28"/>
          <w:szCs w:val="28"/>
        </w:rPr>
        <w:t>atdeve</w:t>
      </w:r>
      <w:proofErr w:type="spellEnd"/>
      <w:r w:rsidRPr="0060076E">
        <w:rPr>
          <w:color w:val="auto"/>
          <w:sz w:val="28"/>
          <w:szCs w:val="28"/>
        </w:rPr>
        <w:t xml:space="preserve"> ievērojami pārsniedz atdevi no iepriekšējiem Latvijas ieguldījumiem zinātnē</w:t>
      </w:r>
      <w:r>
        <w:rPr>
          <w:color w:val="auto"/>
          <w:sz w:val="28"/>
          <w:szCs w:val="28"/>
        </w:rPr>
        <w:t xml:space="preserve">, </w:t>
      </w:r>
      <w:r w:rsidRPr="0060076E">
        <w:rPr>
          <w:color w:val="auto"/>
          <w:sz w:val="28"/>
          <w:szCs w:val="28"/>
        </w:rPr>
        <w:t>secināts, ka izvērtējuma periodā ir būtiski uzlabojušies virkne Latvijas zinātnes sistēmu raksturojošie kopējie rādītāji, tai pašā laikā joprojām būtisks Latvijas zinātnes sistēmas izaicinājums ir cilvēkresursi un to atjaunošana.</w:t>
      </w:r>
      <w:r>
        <w:rPr>
          <w:color w:val="auto"/>
          <w:sz w:val="28"/>
          <w:szCs w:val="28"/>
        </w:rPr>
        <w:t xml:space="preserve"> </w:t>
      </w:r>
      <w:r w:rsidR="00D21375" w:rsidRPr="00E1617F">
        <w:rPr>
          <w:sz w:val="28"/>
          <w:szCs w:val="28"/>
        </w:rPr>
        <w:t xml:space="preserve">Izvērtējuma galvenais ieteikums ir nodrošināt nacionālā (valsts budžeta) finansējuma pieaugumu pētniecībai un attīstībai līdz </w:t>
      </w:r>
      <w:proofErr w:type="spellStart"/>
      <w:r w:rsidR="00D21375" w:rsidRPr="00E1617F">
        <w:rPr>
          <w:sz w:val="28"/>
          <w:szCs w:val="28"/>
        </w:rPr>
        <w:t>pirmskrīzes</w:t>
      </w:r>
      <w:proofErr w:type="spellEnd"/>
      <w:r w:rsidR="00D21375" w:rsidRPr="00E1617F">
        <w:rPr>
          <w:sz w:val="28"/>
          <w:szCs w:val="28"/>
        </w:rPr>
        <w:t xml:space="preserve"> līmenim, vienlaikus šī finansējuma piešķiršanai uzlabojot nacionālā finansējuma piešķiršanas sistēmu un principus – veidojot līdzvērtīgu investīciju piešķiršanas mehānismu kā ES finansēto projektu ieviešanā</w:t>
      </w:r>
      <w:r w:rsidRPr="0060076E">
        <w:rPr>
          <w:color w:val="auto"/>
          <w:sz w:val="28"/>
          <w:szCs w:val="28"/>
        </w:rPr>
        <w:t>.</w:t>
      </w:r>
    </w:p>
    <w:p w14:paraId="67ABACED" w14:textId="77777777" w:rsidR="000A21CC" w:rsidRDefault="000A21CC" w:rsidP="000A21CC">
      <w:pPr>
        <w:pStyle w:val="Default"/>
        <w:spacing w:line="240" w:lineRule="auto"/>
        <w:ind w:firstLine="720"/>
        <w:rPr>
          <w:color w:val="auto"/>
          <w:sz w:val="28"/>
          <w:szCs w:val="28"/>
        </w:rPr>
      </w:pPr>
      <w:r>
        <w:rPr>
          <w:color w:val="auto"/>
          <w:sz w:val="28"/>
          <w:szCs w:val="28"/>
        </w:rPr>
        <w:t xml:space="preserve">Atbilstoši 2016. gada 7. jūlija ES fondu UK sēdē panāktajai vienošanās ES fondu 2007. – 2013. gada plānošanas perioda ieguldījumu uzņēmējdarbības atbalstam izvērtējumu fokusēt uz finanšu instrumentu salīdzinājumā ar grantu efektivitātes izvērtēšanu, uzsākot šo izvērtējumu 2017. gadā. Iepirkuma procedūras rezultātā 2017. gada 12. oktobrī noslēgts līgums par izvērtējuma </w:t>
      </w:r>
      <w:r>
        <w:rPr>
          <w:color w:val="auto"/>
          <w:sz w:val="28"/>
          <w:szCs w:val="28"/>
        </w:rPr>
        <w:lastRenderedPageBreak/>
        <w:t>veikšanu un izvērtējuma ziņojuma sagatavošanu deviņu mēnešu laikā no līguma spēkā stāšanās dienas.</w:t>
      </w:r>
    </w:p>
    <w:p w14:paraId="4015F3DD" w14:textId="77777777" w:rsidR="000A21CC" w:rsidRDefault="000A21CC" w:rsidP="000A21CC">
      <w:pPr>
        <w:pStyle w:val="Default"/>
        <w:spacing w:line="240" w:lineRule="auto"/>
        <w:ind w:firstLine="720"/>
        <w:rPr>
          <w:color w:val="auto"/>
          <w:sz w:val="28"/>
          <w:szCs w:val="28"/>
        </w:rPr>
      </w:pPr>
      <w:r>
        <w:rPr>
          <w:color w:val="auto"/>
          <w:sz w:val="28"/>
          <w:szCs w:val="28"/>
        </w:rPr>
        <w:t>2017. gada IV ceturksnī uzsākta arī ES fondu 2007. – 2013. gada plānošanas perioda noslēguma izvērtējumu transporta un informācijas un komunikācijas tehnoloģiju ieguldījumu izvērtēšanai, savukārt iepirkuma procedūras uzsāktas par 2007. – 2013. gada plānošanas perioda noslēguma izvērtējumu platjoslas tīkla attīstības un vides ieguldījumu izvērtēšanai.</w:t>
      </w:r>
    </w:p>
    <w:p w14:paraId="2539311D" w14:textId="77777777" w:rsidR="000A21CC" w:rsidRDefault="000A21CC" w:rsidP="000A21CC">
      <w:pPr>
        <w:pStyle w:val="Default"/>
        <w:spacing w:line="240" w:lineRule="auto"/>
        <w:ind w:firstLine="720"/>
        <w:rPr>
          <w:color w:val="auto"/>
          <w:sz w:val="28"/>
          <w:szCs w:val="28"/>
        </w:rPr>
      </w:pPr>
      <w:r>
        <w:rPr>
          <w:color w:val="auto"/>
          <w:sz w:val="28"/>
          <w:szCs w:val="28"/>
        </w:rPr>
        <w:t xml:space="preserve">Atbilstoši 2017. gada aprīlī KIDG saskaņotajam darba uzdevumam, FM sadarbībā ar VARAM iekšēji uzsākusi 2007. – 2013. gada plānošanas perioda ieguldījumu pilsētvidē izvērtējumu, kas tiek veikts sadarbībā ar Latvijas Pašvaldību savienība un Latvijas Lielo pilsētu asociāciju. Šobrīd noslēgusies </w:t>
      </w:r>
      <w:proofErr w:type="spellStart"/>
      <w:r>
        <w:rPr>
          <w:color w:val="auto"/>
          <w:sz w:val="28"/>
          <w:szCs w:val="28"/>
        </w:rPr>
        <w:t>izvērtējumam</w:t>
      </w:r>
      <w:proofErr w:type="spellEnd"/>
      <w:r>
        <w:rPr>
          <w:color w:val="auto"/>
          <w:sz w:val="28"/>
          <w:szCs w:val="28"/>
        </w:rPr>
        <w:t xml:space="preserve"> nepieciešamo datu apkopošana un izstrādāta izvērtējuma metodoloģija, savukārt līdz 2018. gada II ceturksnim ieplānota izvērtējuma ziņojuma sagatavošana.</w:t>
      </w:r>
    </w:p>
    <w:p w14:paraId="1E1DF87C" w14:textId="77777777" w:rsidR="000A21CC" w:rsidRDefault="000A21CC" w:rsidP="000A21CC">
      <w:pPr>
        <w:pStyle w:val="Default"/>
        <w:spacing w:line="240" w:lineRule="auto"/>
        <w:ind w:firstLine="720"/>
        <w:rPr>
          <w:color w:val="auto"/>
          <w:sz w:val="28"/>
          <w:szCs w:val="28"/>
        </w:rPr>
      </w:pPr>
      <w:r>
        <w:rPr>
          <w:color w:val="auto"/>
          <w:sz w:val="28"/>
          <w:szCs w:val="28"/>
        </w:rPr>
        <w:t xml:space="preserve">2017. gada 8. un 9. jūnijā ES fondu īstenošanā iesaistīto institūciju pārstāvjiem tika rīkots kapacitātes paaugstināšanas mācību seminārs par </w:t>
      </w:r>
      <w:proofErr w:type="spellStart"/>
      <w:r>
        <w:rPr>
          <w:color w:val="auto"/>
          <w:sz w:val="28"/>
          <w:szCs w:val="28"/>
        </w:rPr>
        <w:t>kontrfaktuālās</w:t>
      </w:r>
      <w:proofErr w:type="spellEnd"/>
      <w:r>
        <w:rPr>
          <w:color w:val="auto"/>
          <w:sz w:val="28"/>
          <w:szCs w:val="28"/>
        </w:rPr>
        <w:t xml:space="preserve"> ietekmes izvērtēšanas jautājumiem, to organizējot sadarbībā ar </w:t>
      </w:r>
      <w:r w:rsidRPr="009F3758">
        <w:rPr>
          <w:color w:val="auto"/>
          <w:sz w:val="28"/>
          <w:szCs w:val="28"/>
        </w:rPr>
        <w:t>EK Ietekmes izvērtēšanas pētniecības centru CRIE un</w:t>
      </w:r>
      <w:r>
        <w:rPr>
          <w:color w:val="auto"/>
          <w:sz w:val="28"/>
          <w:szCs w:val="28"/>
        </w:rPr>
        <w:t xml:space="preserve"> </w:t>
      </w:r>
      <w:r w:rsidRPr="009F3758">
        <w:rPr>
          <w:color w:val="auto"/>
          <w:sz w:val="28"/>
          <w:szCs w:val="28"/>
        </w:rPr>
        <w:t xml:space="preserve">EK Nodarbinātības, sociālo lietu un </w:t>
      </w:r>
      <w:proofErr w:type="spellStart"/>
      <w:r w:rsidRPr="009F3758">
        <w:rPr>
          <w:color w:val="auto"/>
          <w:sz w:val="28"/>
          <w:szCs w:val="28"/>
        </w:rPr>
        <w:t>iekļautības</w:t>
      </w:r>
      <w:proofErr w:type="spellEnd"/>
      <w:r w:rsidRPr="009F3758">
        <w:rPr>
          <w:color w:val="auto"/>
          <w:sz w:val="28"/>
          <w:szCs w:val="28"/>
        </w:rPr>
        <w:t xml:space="preserve"> ģenerāldirektorātu</w:t>
      </w:r>
      <w:r>
        <w:rPr>
          <w:color w:val="auto"/>
          <w:sz w:val="28"/>
          <w:szCs w:val="28"/>
        </w:rPr>
        <w:t>. Mācību seminārā piedalījās un zināšanas izvērtēšanas jautājumos pilnveidoja vairāk kā 30 dalībnieku.</w:t>
      </w:r>
    </w:p>
    <w:p w14:paraId="0BC8558E" w14:textId="77777777" w:rsidR="00D21375" w:rsidRDefault="000A21CC" w:rsidP="000A21CC">
      <w:pPr>
        <w:spacing w:before="120" w:after="120"/>
        <w:ind w:firstLine="720"/>
        <w:jc w:val="both"/>
        <w:rPr>
          <w:sz w:val="28"/>
          <w:szCs w:val="28"/>
        </w:rPr>
      </w:pPr>
      <w:r>
        <w:rPr>
          <w:sz w:val="28"/>
          <w:szCs w:val="28"/>
        </w:rPr>
        <w:t xml:space="preserve">Saskaņā ar KIDG apstiprināto ikgadējo ES fondu izvērtēšanas plānu 2018. gadam, nākamajā pārskatā gadā paredzēts noslēgt iepriekšējā plānošanas perioda noslēguma izvērtējumu sagatavošanu, uzsākot un līdz 2018. gada beigām pabeidzot ieguldījumu kultūras mantojuma saglabāšanā sociāli – ekonomiskās ietekmes izvērtējumu. Tāpat nākamajā pārskatā gadā, ievērojot EK regulējumā noteiktās prasības, veicams šī plānošanas perioda Jauniešu nodarbinātības iniciatīvas pasākumu lietderības, efektivitātes un ietekmes </w:t>
      </w:r>
      <w:proofErr w:type="spellStart"/>
      <w:r>
        <w:rPr>
          <w:sz w:val="28"/>
          <w:szCs w:val="28"/>
        </w:rPr>
        <w:t>izvērtējums</w:t>
      </w:r>
      <w:proofErr w:type="spellEnd"/>
      <w:r>
        <w:rPr>
          <w:sz w:val="28"/>
          <w:szCs w:val="28"/>
        </w:rPr>
        <w:t xml:space="preserve">. </w:t>
      </w:r>
    </w:p>
    <w:p w14:paraId="01AF19CF" w14:textId="0F529311" w:rsidR="00D21375" w:rsidRDefault="00D21375" w:rsidP="000A21CC">
      <w:pPr>
        <w:spacing w:before="120" w:after="120"/>
        <w:ind w:firstLine="720"/>
        <w:jc w:val="both"/>
        <w:rPr>
          <w:sz w:val="28"/>
          <w:szCs w:val="28"/>
        </w:rPr>
      </w:pPr>
      <w:r w:rsidRPr="00D21375">
        <w:rPr>
          <w:sz w:val="28"/>
          <w:szCs w:val="28"/>
        </w:rPr>
        <w:t>2018.</w:t>
      </w:r>
      <w:r>
        <w:rPr>
          <w:sz w:val="28"/>
          <w:szCs w:val="28"/>
        </w:rPr>
        <w:t xml:space="preserve"> </w:t>
      </w:r>
      <w:r w:rsidRPr="00D21375">
        <w:rPr>
          <w:sz w:val="28"/>
          <w:szCs w:val="28"/>
        </w:rPr>
        <w:t>gadā plānots veikt arī izvērtējumu, lai noteiktu horizontālā principa “Vienlīdzīgas iespējas” īstenošanas ietekmi un ieguldījumu uz dzimumu līdztiesības veicināšanu, personu ar invaliditāti tiesību ievērošanu un iekļaušanu, diskriminācijas novēršanu</w:t>
      </w:r>
      <w:r>
        <w:rPr>
          <w:sz w:val="28"/>
          <w:szCs w:val="28"/>
        </w:rPr>
        <w:t>.</w:t>
      </w:r>
    </w:p>
    <w:p w14:paraId="7ED26371" w14:textId="7CEBEB4E" w:rsidR="000A21CC" w:rsidRPr="004367B7" w:rsidRDefault="000A21CC" w:rsidP="000A21CC">
      <w:pPr>
        <w:spacing w:before="120" w:after="120"/>
        <w:ind w:firstLine="720"/>
        <w:jc w:val="both"/>
        <w:rPr>
          <w:sz w:val="28"/>
          <w:szCs w:val="28"/>
        </w:rPr>
      </w:pPr>
      <w:r>
        <w:rPr>
          <w:sz w:val="28"/>
          <w:szCs w:val="28"/>
        </w:rPr>
        <w:t>Kā katru gadu paredzēta arī kapacitātes paaugstināšanas pasākumu organizēšana par izvērtēšanas jautājumiem ES fondu īstenošanā iesaistīto institūciju pārstāvjiem, iespējams, trīs Baltijas valstu ES fondu vadošo iestāžu (3B) formāta ietvaros.</w:t>
      </w:r>
    </w:p>
    <w:p w14:paraId="43490AA4" w14:textId="04C60676" w:rsidR="006B7246" w:rsidRPr="00155AC6" w:rsidRDefault="006B7246" w:rsidP="00942973">
      <w:pPr>
        <w:spacing w:before="120" w:after="120"/>
        <w:ind w:firstLine="720"/>
        <w:rPr>
          <w:rFonts w:cs="Times New Roman"/>
          <w:b/>
          <w:i/>
          <w:sz w:val="28"/>
          <w:szCs w:val="28"/>
        </w:rPr>
      </w:pPr>
      <w:r w:rsidRPr="00155AC6">
        <w:rPr>
          <w:rFonts w:cs="Times New Roman"/>
          <w:b/>
          <w:i/>
          <w:sz w:val="28"/>
          <w:szCs w:val="28"/>
        </w:rPr>
        <w:t>ES fondu ieviešanas progress</w:t>
      </w:r>
      <w:bookmarkEnd w:id="11"/>
      <w:r w:rsidR="006E7495" w:rsidRPr="00155AC6">
        <w:rPr>
          <w:rFonts w:cs="Times New Roman"/>
          <w:b/>
          <w:i/>
          <w:sz w:val="28"/>
          <w:szCs w:val="28"/>
        </w:rPr>
        <w:t xml:space="preserve"> </w:t>
      </w:r>
      <w:r w:rsidR="002C0F13" w:rsidRPr="00155AC6">
        <w:rPr>
          <w:rFonts w:cs="Times New Roman"/>
          <w:b/>
          <w:i/>
          <w:sz w:val="28"/>
          <w:szCs w:val="28"/>
        </w:rPr>
        <w:t>programmā kopumā</w:t>
      </w:r>
    </w:p>
    <w:p w14:paraId="39994DB7" w14:textId="77777777" w:rsidR="006E7495" w:rsidRPr="00942973" w:rsidRDefault="006E7495" w:rsidP="00942973">
      <w:pPr>
        <w:spacing w:before="120" w:after="120"/>
        <w:ind w:firstLine="720"/>
        <w:jc w:val="both"/>
        <w:rPr>
          <w:rFonts w:cs="Times New Roman"/>
          <w:sz w:val="28"/>
          <w:szCs w:val="28"/>
        </w:rPr>
      </w:pPr>
      <w:r w:rsidRPr="00942973">
        <w:rPr>
          <w:rFonts w:eastAsia="Calibri" w:cs="Times New Roman"/>
          <w:sz w:val="28"/>
          <w:szCs w:val="28"/>
          <w:lang w:eastAsia="ar-SA"/>
        </w:rPr>
        <w:t>Detalizētāka informācija par</w:t>
      </w:r>
      <w:r w:rsidRPr="00942973">
        <w:rPr>
          <w:rFonts w:cs="Times New Roman"/>
          <w:color w:val="000000" w:themeColor="text1"/>
          <w:sz w:val="28"/>
          <w:szCs w:val="28"/>
        </w:rPr>
        <w:t xml:space="preserve"> finanšu progresu, kā arī maksājumu plānu izpildi</w:t>
      </w:r>
      <w:r w:rsidRPr="00942973">
        <w:rPr>
          <w:rStyle w:val="FootnoteReference"/>
          <w:rFonts w:cs="Times New Roman"/>
          <w:color w:val="000000" w:themeColor="text1"/>
          <w:sz w:val="28"/>
          <w:szCs w:val="28"/>
        </w:rPr>
        <w:footnoteReference w:id="28"/>
      </w:r>
      <w:r w:rsidRPr="00942973">
        <w:rPr>
          <w:rFonts w:eastAsia="Calibri" w:cs="Times New Roman"/>
          <w:sz w:val="28"/>
          <w:szCs w:val="28"/>
          <w:lang w:eastAsia="ar-SA"/>
        </w:rPr>
        <w:t xml:space="preserve"> katru mēnesi tiek apkopota un iesniegta MK ar </w:t>
      </w:r>
      <w:r w:rsidRPr="00942973">
        <w:rPr>
          <w:rFonts w:cs="Times New Roman"/>
          <w:sz w:val="28"/>
          <w:szCs w:val="28"/>
          <w:shd w:val="clear" w:color="auto" w:fill="FFFFFF"/>
        </w:rPr>
        <w:t xml:space="preserve">operatīvo pārskatu par ES </w:t>
      </w:r>
      <w:r w:rsidRPr="00942973">
        <w:rPr>
          <w:rFonts w:cs="Times New Roman"/>
          <w:sz w:val="28"/>
          <w:szCs w:val="28"/>
          <w:shd w:val="clear" w:color="auto" w:fill="FFFFFF"/>
        </w:rPr>
        <w:lastRenderedPageBreak/>
        <w:t>Kohēzijas politikas fondu investīciju ieviešanas statusu</w:t>
      </w:r>
      <w:r w:rsidRPr="00942973">
        <w:rPr>
          <w:rStyle w:val="FootnoteReference"/>
          <w:rFonts w:cs="Times New Roman"/>
          <w:sz w:val="28"/>
          <w:szCs w:val="28"/>
          <w:shd w:val="clear" w:color="auto" w:fill="FFFFFF"/>
        </w:rPr>
        <w:footnoteReference w:id="29"/>
      </w:r>
      <w:r w:rsidRPr="00942973">
        <w:rPr>
          <w:rFonts w:cs="Times New Roman"/>
          <w:sz w:val="28"/>
          <w:szCs w:val="28"/>
          <w:shd w:val="clear" w:color="auto" w:fill="FFFFFF"/>
        </w:rPr>
        <w:t xml:space="preserve">. </w:t>
      </w:r>
      <w:r w:rsidRPr="00942973">
        <w:rPr>
          <w:rFonts w:cs="Times New Roman"/>
          <w:sz w:val="28"/>
          <w:szCs w:val="28"/>
        </w:rPr>
        <w:t xml:space="preserve">Līdz ar to valdība un sabiedrība regulāri tiek informēta par progresu ES fondu ieviešanā, kā arī tiek identificēti aktuālie </w:t>
      </w:r>
      <w:proofErr w:type="spellStart"/>
      <w:r w:rsidRPr="00942973">
        <w:rPr>
          <w:rFonts w:cs="Times New Roman"/>
          <w:sz w:val="28"/>
          <w:szCs w:val="28"/>
        </w:rPr>
        <w:t>problēmjautājumi</w:t>
      </w:r>
      <w:proofErr w:type="spellEnd"/>
      <w:r w:rsidRPr="00942973">
        <w:rPr>
          <w:rFonts w:cs="Times New Roman"/>
          <w:sz w:val="28"/>
          <w:szCs w:val="28"/>
        </w:rPr>
        <w:t>, dodot iespēju ministriju politiskajai vadībai nepieciešamības gadījumā maksimāli operatīvi un efektīvi iesaistīties jautājumu risināšanā. Attiecīgi, pārskata perioda laikā notikušās aktualitātes, kas ziņotas ar ikmēneša ziņojumiem, netiek atkārtotas šajā ziņojumā.</w:t>
      </w:r>
    </w:p>
    <w:p w14:paraId="5BACFACA" w14:textId="7D322AAC" w:rsidR="00F8110D" w:rsidRDefault="00F8110D" w:rsidP="008344F6">
      <w:pPr>
        <w:spacing w:before="120" w:after="120"/>
        <w:jc w:val="both"/>
        <w:rPr>
          <w:sz w:val="28"/>
          <w:szCs w:val="24"/>
        </w:rPr>
      </w:pPr>
      <w:r>
        <w:rPr>
          <w:sz w:val="28"/>
        </w:rPr>
        <w:tab/>
      </w:r>
      <w:r w:rsidR="004A755A" w:rsidRPr="004A755A">
        <w:rPr>
          <w:sz w:val="28"/>
        </w:rPr>
        <w:t xml:space="preserve">Ļoti labs kopējais progress investīciju projektu uzsākšanā </w:t>
      </w:r>
      <w:r w:rsidR="000A6EE7">
        <w:rPr>
          <w:sz w:val="28"/>
        </w:rPr>
        <w:t>–</w:t>
      </w:r>
      <w:r w:rsidR="004A755A" w:rsidRPr="004A755A">
        <w:rPr>
          <w:sz w:val="28"/>
        </w:rPr>
        <w:t xml:space="preserve"> l</w:t>
      </w:r>
      <w:r w:rsidR="004A755A">
        <w:rPr>
          <w:color w:val="0D0D0D" w:themeColor="text1" w:themeTint="F2"/>
          <w:sz w:val="28"/>
          <w:szCs w:val="28"/>
        </w:rPr>
        <w:t>īdz 2017</w:t>
      </w:r>
      <w:r w:rsidR="004A755A" w:rsidRPr="004A755A">
        <w:rPr>
          <w:color w:val="0D0D0D" w:themeColor="text1" w:themeTint="F2"/>
          <w:sz w:val="28"/>
          <w:szCs w:val="28"/>
        </w:rPr>
        <w:t xml:space="preserve">. gada </w:t>
      </w:r>
      <w:r w:rsidR="004A755A">
        <w:rPr>
          <w:color w:val="0D0D0D" w:themeColor="text1" w:themeTint="F2"/>
          <w:sz w:val="28"/>
          <w:szCs w:val="28"/>
        </w:rPr>
        <w:t>31. decembrim</w:t>
      </w:r>
      <w:r w:rsidR="004A755A" w:rsidRPr="004A755A">
        <w:rPr>
          <w:color w:val="0D0D0D" w:themeColor="text1" w:themeTint="F2"/>
          <w:sz w:val="28"/>
          <w:szCs w:val="28"/>
        </w:rPr>
        <w:t xml:space="preserve"> uzsākti projekti ar ES fondu līdzfinansējumu 2,</w:t>
      </w:r>
      <w:r w:rsidR="00B62445">
        <w:rPr>
          <w:color w:val="0D0D0D" w:themeColor="text1" w:themeTint="F2"/>
          <w:sz w:val="28"/>
          <w:szCs w:val="28"/>
        </w:rPr>
        <w:t>4</w:t>
      </w:r>
      <w:r w:rsidR="004A755A" w:rsidRPr="004A755A">
        <w:rPr>
          <w:color w:val="0D0D0D" w:themeColor="text1" w:themeTint="F2"/>
          <w:sz w:val="28"/>
          <w:szCs w:val="28"/>
        </w:rPr>
        <w:t> mljrd. </w:t>
      </w:r>
      <w:r w:rsidR="004A755A" w:rsidRPr="004A755A">
        <w:rPr>
          <w:i/>
          <w:color w:val="0D0D0D" w:themeColor="text1" w:themeTint="F2"/>
          <w:sz w:val="28"/>
          <w:szCs w:val="28"/>
        </w:rPr>
        <w:t xml:space="preserve">euro </w:t>
      </w:r>
      <w:r w:rsidR="004A755A" w:rsidRPr="004A755A">
        <w:rPr>
          <w:color w:val="0D0D0D" w:themeColor="text1" w:themeTint="F2"/>
          <w:sz w:val="28"/>
          <w:szCs w:val="28"/>
        </w:rPr>
        <w:t>(vairāk kā puse no kopējās ES fondu “aploksnes” 4,4 mljrd. </w:t>
      </w:r>
      <w:r w:rsidR="004A755A" w:rsidRPr="004A755A">
        <w:rPr>
          <w:i/>
          <w:color w:val="0D0D0D" w:themeColor="text1" w:themeTint="F2"/>
          <w:sz w:val="28"/>
          <w:szCs w:val="28"/>
        </w:rPr>
        <w:t>euro</w:t>
      </w:r>
      <w:r w:rsidR="004A755A" w:rsidRPr="004A755A">
        <w:rPr>
          <w:color w:val="0D0D0D" w:themeColor="text1" w:themeTint="F2"/>
          <w:sz w:val="28"/>
          <w:szCs w:val="28"/>
        </w:rPr>
        <w:t>)</w:t>
      </w:r>
      <w:r w:rsidR="004A755A" w:rsidRPr="004A755A">
        <w:rPr>
          <w:sz w:val="28"/>
        </w:rPr>
        <w:t xml:space="preserve"> – par vienu gadu ātrāk izpildīts </w:t>
      </w:r>
      <w:proofErr w:type="spellStart"/>
      <w:r w:rsidR="004A755A" w:rsidRPr="004A755A">
        <w:rPr>
          <w:sz w:val="28"/>
        </w:rPr>
        <w:t>M.Kučinska</w:t>
      </w:r>
      <w:proofErr w:type="spellEnd"/>
      <w:r w:rsidR="004A755A" w:rsidRPr="004A755A">
        <w:rPr>
          <w:sz w:val="28"/>
        </w:rPr>
        <w:t xml:space="preserve"> Valdības rīcības plāna uzdevums</w:t>
      </w:r>
      <w:r w:rsidR="004A755A" w:rsidRPr="004A755A">
        <w:rPr>
          <w:rStyle w:val="FootnoteReference"/>
          <w:sz w:val="28"/>
        </w:rPr>
        <w:footnoteReference w:id="30"/>
      </w:r>
      <w:r w:rsidR="004A755A" w:rsidRPr="004A755A">
        <w:rPr>
          <w:i/>
          <w:color w:val="0D0D0D" w:themeColor="text1" w:themeTint="F2"/>
          <w:sz w:val="28"/>
          <w:szCs w:val="28"/>
        </w:rPr>
        <w:t>.</w:t>
      </w:r>
      <w:r w:rsidR="004A755A" w:rsidRPr="009B2F75">
        <w:rPr>
          <w:i/>
          <w:color w:val="0D0D0D" w:themeColor="text1" w:themeTint="F2"/>
          <w:sz w:val="28"/>
          <w:szCs w:val="28"/>
        </w:rPr>
        <w:t xml:space="preserve"> </w:t>
      </w:r>
      <w:r w:rsidR="004A755A" w:rsidRPr="00A26316">
        <w:rPr>
          <w:sz w:val="28"/>
          <w:szCs w:val="28"/>
        </w:rPr>
        <w:t>Visliel</w:t>
      </w:r>
      <w:r w:rsidR="004A755A" w:rsidRPr="009B2F75">
        <w:rPr>
          <w:color w:val="0D0D0D" w:themeColor="text1" w:themeTint="F2"/>
          <w:sz w:val="28"/>
          <w:szCs w:val="28"/>
        </w:rPr>
        <w:t xml:space="preserve">āko progresu uzrāda projekti </w:t>
      </w:r>
      <w:r w:rsidR="004A755A">
        <w:rPr>
          <w:color w:val="0D0D0D" w:themeColor="text1" w:themeTint="F2"/>
          <w:sz w:val="28"/>
          <w:szCs w:val="28"/>
        </w:rPr>
        <w:t xml:space="preserve">atbalstam </w:t>
      </w:r>
      <w:r w:rsidR="004A755A" w:rsidRPr="009B2F75">
        <w:rPr>
          <w:color w:val="0D0D0D" w:themeColor="text1" w:themeTint="F2"/>
          <w:sz w:val="28"/>
          <w:szCs w:val="28"/>
        </w:rPr>
        <w:t>pētniecībā, tehnoloģiju attīstībā</w:t>
      </w:r>
      <w:r w:rsidR="004A755A">
        <w:rPr>
          <w:color w:val="0D0D0D" w:themeColor="text1" w:themeTint="F2"/>
          <w:sz w:val="28"/>
          <w:szCs w:val="28"/>
        </w:rPr>
        <w:t xml:space="preserve"> un</w:t>
      </w:r>
      <w:r w:rsidR="004A755A" w:rsidRPr="009B2F75">
        <w:rPr>
          <w:color w:val="0D0D0D" w:themeColor="text1" w:themeTint="F2"/>
          <w:sz w:val="28"/>
          <w:szCs w:val="28"/>
        </w:rPr>
        <w:t xml:space="preserve"> inovācijā</w:t>
      </w:r>
      <w:r w:rsidR="004A755A">
        <w:rPr>
          <w:color w:val="0D0D0D" w:themeColor="text1" w:themeTint="F2"/>
          <w:sz w:val="28"/>
          <w:szCs w:val="28"/>
        </w:rPr>
        <w:t xml:space="preserve">, </w:t>
      </w:r>
      <w:r w:rsidR="004A755A" w:rsidRPr="009B2F75">
        <w:rPr>
          <w:color w:val="0D0D0D" w:themeColor="text1" w:themeTint="F2"/>
          <w:sz w:val="28"/>
          <w:szCs w:val="28"/>
        </w:rPr>
        <w:t xml:space="preserve">vides aizsardzībā, kā arī izglītības jomā. </w:t>
      </w:r>
      <w:r w:rsidR="004A755A">
        <w:rPr>
          <w:color w:val="0D0D0D" w:themeColor="text1" w:themeTint="F2"/>
          <w:sz w:val="28"/>
          <w:szCs w:val="28"/>
        </w:rPr>
        <w:t xml:space="preserve">Pozitīvi, ka jau </w:t>
      </w:r>
      <w:r w:rsidR="004A755A" w:rsidRPr="00A26316">
        <w:rPr>
          <w:color w:val="0D0D0D" w:themeColor="text1" w:themeTint="F2"/>
          <w:sz w:val="28"/>
          <w:szCs w:val="28"/>
          <w:u w:val="single"/>
        </w:rPr>
        <w:t>par ceturto daļu no uzsāktajiem projektiem ir iepirkumu līgumi</w:t>
      </w:r>
      <w:r w:rsidR="004A755A">
        <w:rPr>
          <w:color w:val="0D0D0D" w:themeColor="text1" w:themeTint="F2"/>
          <w:sz w:val="28"/>
          <w:szCs w:val="28"/>
        </w:rPr>
        <w:t xml:space="preserve">, kas samazina ieviešanas plānu nenoteiktības </w:t>
      </w:r>
      <w:r w:rsidR="004A755A">
        <w:rPr>
          <w:sz w:val="28"/>
          <w:szCs w:val="28"/>
        </w:rPr>
        <w:t xml:space="preserve">risku. </w:t>
      </w:r>
      <w:r w:rsidR="004A755A">
        <w:rPr>
          <w:color w:val="0D0D0D" w:themeColor="text1" w:themeTint="F2"/>
          <w:sz w:val="28"/>
          <w:szCs w:val="28"/>
        </w:rPr>
        <w:t xml:space="preserve">Tāpat ir </w:t>
      </w:r>
      <w:r w:rsidR="004A755A" w:rsidRPr="009B2F75">
        <w:rPr>
          <w:color w:val="0D0D0D" w:themeColor="text1" w:themeTint="F2"/>
          <w:sz w:val="28"/>
          <w:szCs w:val="28"/>
        </w:rPr>
        <w:t>pieaugoša dinamika maksājumiem par jau veiktām investīcijām projektos.</w:t>
      </w:r>
      <w:r w:rsidR="009B119C" w:rsidRPr="004A755A">
        <w:rPr>
          <w:rFonts w:cs="Times New Roman"/>
          <w:sz w:val="28"/>
          <w:szCs w:val="28"/>
        </w:rPr>
        <w:t xml:space="preserve"> </w:t>
      </w:r>
      <w:r w:rsidR="009B119C" w:rsidRPr="004A755A">
        <w:rPr>
          <w:rFonts w:eastAsia="Times New Roman" w:cs="Times New Roman"/>
          <w:sz w:val="28"/>
          <w:szCs w:val="28"/>
        </w:rPr>
        <w:t xml:space="preserve">Progress projektu apstiprināšanā </w:t>
      </w:r>
      <w:r w:rsidR="006048B2" w:rsidRPr="004A755A">
        <w:rPr>
          <w:rFonts w:eastAsia="Times New Roman" w:cs="Times New Roman"/>
          <w:sz w:val="28"/>
          <w:szCs w:val="28"/>
        </w:rPr>
        <w:t xml:space="preserve">pusgada laikā </w:t>
      </w:r>
      <w:r w:rsidR="00130836" w:rsidRPr="004A755A">
        <w:rPr>
          <w:rFonts w:eastAsia="Times New Roman" w:cs="Times New Roman"/>
          <w:sz w:val="28"/>
          <w:szCs w:val="28"/>
        </w:rPr>
        <w:t>ir</w:t>
      </w:r>
      <w:r w:rsidR="006048B2" w:rsidRPr="004A755A">
        <w:rPr>
          <w:rFonts w:eastAsia="Times New Roman" w:cs="Times New Roman"/>
          <w:sz w:val="28"/>
          <w:szCs w:val="28"/>
        </w:rPr>
        <w:t xml:space="preserve"> </w:t>
      </w:r>
      <w:r w:rsidR="002C70C2">
        <w:rPr>
          <w:rFonts w:eastAsia="Times New Roman" w:cs="Times New Roman"/>
          <w:sz w:val="28"/>
          <w:szCs w:val="28"/>
        </w:rPr>
        <w:t>gandrīz</w:t>
      </w:r>
      <w:r w:rsidR="002C70C2" w:rsidRPr="004A755A">
        <w:rPr>
          <w:rFonts w:eastAsia="Times New Roman" w:cs="Times New Roman"/>
          <w:sz w:val="28"/>
          <w:szCs w:val="28"/>
        </w:rPr>
        <w:t xml:space="preserve"> </w:t>
      </w:r>
      <w:r w:rsidR="006048B2" w:rsidRPr="004A755A">
        <w:rPr>
          <w:rFonts w:eastAsia="Times New Roman" w:cs="Times New Roman"/>
          <w:sz w:val="28"/>
          <w:szCs w:val="28"/>
        </w:rPr>
        <w:t>1</w:t>
      </w:r>
      <w:r w:rsidR="002C70C2">
        <w:rPr>
          <w:rFonts w:eastAsia="Times New Roman" w:cs="Times New Roman"/>
          <w:sz w:val="28"/>
          <w:szCs w:val="28"/>
        </w:rPr>
        <w:t>4</w:t>
      </w:r>
      <w:r w:rsidR="00D26589" w:rsidRPr="004A755A">
        <w:rPr>
          <w:rFonts w:eastAsia="Times New Roman" w:cs="Times New Roman"/>
          <w:sz w:val="28"/>
          <w:szCs w:val="28"/>
        </w:rPr>
        <w:t> %.</w:t>
      </w:r>
      <w:r w:rsidR="009B119C" w:rsidRPr="004A755A">
        <w:rPr>
          <w:rFonts w:eastAsia="Times New Roman" w:cs="Times New Roman"/>
          <w:sz w:val="28"/>
          <w:szCs w:val="28"/>
        </w:rPr>
        <w:t xml:space="preserve"> </w:t>
      </w:r>
      <w:r w:rsidR="00A85ABC">
        <w:rPr>
          <w:rFonts w:eastAsia="Times New Roman" w:cs="Times New Roman"/>
          <w:sz w:val="28"/>
          <w:szCs w:val="28"/>
        </w:rPr>
        <w:t xml:space="preserve">Papildus vairāk kā pusotra mēneša laikā (līdz 2018. gada 19. februārim) apstiprināti projekti </w:t>
      </w:r>
      <w:r w:rsidR="00783F1D">
        <w:rPr>
          <w:rFonts w:eastAsia="Times New Roman" w:cs="Times New Roman"/>
          <w:sz w:val="28"/>
          <w:szCs w:val="28"/>
        </w:rPr>
        <w:t>–</w:t>
      </w:r>
      <w:r w:rsidR="00A85ABC">
        <w:rPr>
          <w:rFonts w:eastAsia="Times New Roman" w:cs="Times New Roman"/>
          <w:sz w:val="28"/>
          <w:szCs w:val="28"/>
        </w:rPr>
        <w:t xml:space="preserve"> 124,8</w:t>
      </w:r>
      <w:r w:rsidR="00783F1D">
        <w:rPr>
          <w:rFonts w:eastAsia="Times New Roman" w:cs="Times New Roman"/>
          <w:sz w:val="28"/>
          <w:szCs w:val="28"/>
        </w:rPr>
        <w:t> </w:t>
      </w:r>
      <w:r w:rsidR="00A85ABC">
        <w:rPr>
          <w:rFonts w:eastAsia="Times New Roman" w:cs="Times New Roman"/>
          <w:sz w:val="28"/>
          <w:szCs w:val="28"/>
        </w:rPr>
        <w:t>milj.</w:t>
      </w:r>
      <w:r w:rsidR="00783F1D">
        <w:rPr>
          <w:rFonts w:eastAsia="Times New Roman" w:cs="Times New Roman"/>
          <w:sz w:val="28"/>
          <w:szCs w:val="28"/>
        </w:rPr>
        <w:t> </w:t>
      </w:r>
      <w:r w:rsidR="00A85ABC" w:rsidRPr="00651890">
        <w:rPr>
          <w:rFonts w:eastAsia="Times New Roman" w:cs="Times New Roman"/>
          <w:i/>
          <w:sz w:val="28"/>
          <w:szCs w:val="28"/>
        </w:rPr>
        <w:t>euro</w:t>
      </w:r>
      <w:r w:rsidR="00A85ABC">
        <w:rPr>
          <w:rFonts w:eastAsia="Times New Roman" w:cs="Times New Roman"/>
          <w:sz w:val="28"/>
          <w:szCs w:val="28"/>
        </w:rPr>
        <w:t xml:space="preserve">, noslēgti līgumi </w:t>
      </w:r>
      <w:r w:rsidR="00783F1D">
        <w:rPr>
          <w:rFonts w:eastAsia="Times New Roman" w:cs="Times New Roman"/>
          <w:sz w:val="28"/>
          <w:szCs w:val="28"/>
        </w:rPr>
        <w:t>–</w:t>
      </w:r>
      <w:r w:rsidR="00A85ABC">
        <w:rPr>
          <w:rFonts w:eastAsia="Times New Roman" w:cs="Times New Roman"/>
          <w:sz w:val="28"/>
          <w:szCs w:val="28"/>
        </w:rPr>
        <w:t xml:space="preserve"> 132,4</w:t>
      </w:r>
      <w:r w:rsidR="00783F1D">
        <w:rPr>
          <w:rFonts w:eastAsia="Times New Roman" w:cs="Times New Roman"/>
          <w:sz w:val="28"/>
          <w:szCs w:val="28"/>
        </w:rPr>
        <w:t> </w:t>
      </w:r>
      <w:r w:rsidR="00A85ABC">
        <w:rPr>
          <w:rFonts w:eastAsia="Times New Roman" w:cs="Times New Roman"/>
          <w:sz w:val="28"/>
          <w:szCs w:val="28"/>
        </w:rPr>
        <w:t>milj.</w:t>
      </w:r>
      <w:r w:rsidR="00783F1D">
        <w:rPr>
          <w:rFonts w:eastAsia="Times New Roman" w:cs="Times New Roman"/>
          <w:sz w:val="28"/>
          <w:szCs w:val="28"/>
        </w:rPr>
        <w:t> </w:t>
      </w:r>
      <w:r w:rsidR="00A85ABC" w:rsidRPr="00651890">
        <w:rPr>
          <w:rFonts w:eastAsia="Times New Roman" w:cs="Times New Roman"/>
          <w:i/>
          <w:sz w:val="28"/>
          <w:szCs w:val="28"/>
        </w:rPr>
        <w:t>euro</w:t>
      </w:r>
      <w:r w:rsidR="00A85ABC">
        <w:rPr>
          <w:rFonts w:eastAsia="Times New Roman" w:cs="Times New Roman"/>
          <w:sz w:val="28"/>
          <w:szCs w:val="28"/>
        </w:rPr>
        <w:t xml:space="preserve"> un veikti maksājumi – 51,0</w:t>
      </w:r>
      <w:r w:rsidR="00783F1D">
        <w:rPr>
          <w:rFonts w:eastAsia="Times New Roman" w:cs="Times New Roman"/>
          <w:sz w:val="28"/>
          <w:szCs w:val="28"/>
        </w:rPr>
        <w:t> </w:t>
      </w:r>
      <w:r w:rsidR="00A85ABC">
        <w:rPr>
          <w:rFonts w:eastAsia="Times New Roman" w:cs="Times New Roman"/>
          <w:sz w:val="28"/>
          <w:szCs w:val="28"/>
        </w:rPr>
        <w:t>milj.</w:t>
      </w:r>
      <w:r w:rsidR="00783F1D">
        <w:rPr>
          <w:rFonts w:eastAsia="Times New Roman" w:cs="Times New Roman"/>
          <w:sz w:val="28"/>
          <w:szCs w:val="28"/>
        </w:rPr>
        <w:t> </w:t>
      </w:r>
      <w:r w:rsidR="00A85ABC" w:rsidRPr="00651890">
        <w:rPr>
          <w:rFonts w:eastAsia="Times New Roman" w:cs="Times New Roman"/>
          <w:i/>
          <w:sz w:val="28"/>
          <w:szCs w:val="28"/>
        </w:rPr>
        <w:t>euro</w:t>
      </w:r>
      <w:r w:rsidR="00A85ABC">
        <w:rPr>
          <w:rFonts w:eastAsia="Times New Roman" w:cs="Times New Roman"/>
          <w:sz w:val="28"/>
          <w:szCs w:val="28"/>
        </w:rPr>
        <w:t xml:space="preserve"> ES fondu finansējuma. </w:t>
      </w:r>
      <w:r w:rsidR="00BE2D6F">
        <w:rPr>
          <w:rFonts w:eastAsia="Times New Roman" w:cs="Times New Roman"/>
          <w:sz w:val="28"/>
          <w:szCs w:val="28"/>
        </w:rPr>
        <w:t xml:space="preserve">2018. gada februārī SI </w:t>
      </w:r>
      <w:r w:rsidR="00D208EB">
        <w:rPr>
          <w:rFonts w:eastAsia="Times New Roman" w:cs="Times New Roman"/>
          <w:sz w:val="28"/>
          <w:szCs w:val="28"/>
        </w:rPr>
        <w:t>ir atvērta 21 projektu iesniegumu atlase par 1,3 mljrd. </w:t>
      </w:r>
      <w:r w:rsidR="00D208EB" w:rsidRPr="00F8110D">
        <w:rPr>
          <w:rFonts w:eastAsia="Times New Roman" w:cs="Times New Roman"/>
          <w:i/>
          <w:sz w:val="28"/>
          <w:szCs w:val="28"/>
        </w:rPr>
        <w:t>euro</w:t>
      </w:r>
      <w:r w:rsidR="00D208EB">
        <w:rPr>
          <w:rFonts w:eastAsia="Times New Roman" w:cs="Times New Roman"/>
          <w:sz w:val="28"/>
          <w:szCs w:val="28"/>
        </w:rPr>
        <w:t xml:space="preserve"> ES finansējuma – 10 atlases infrastruktūras attīstības jomā, 6 atlases izglītības un zinātnes jomā un 5 atlases vides energoefektivitātes jomā. </w:t>
      </w:r>
    </w:p>
    <w:p w14:paraId="62569B27" w14:textId="40496B7A" w:rsidR="00FC2325" w:rsidRDefault="008344F6" w:rsidP="008344F6">
      <w:pPr>
        <w:spacing w:before="120" w:after="120"/>
        <w:jc w:val="both"/>
        <w:rPr>
          <w:noProof/>
          <w:lang w:eastAsia="lv-LV"/>
        </w:rPr>
      </w:pPr>
      <w:r w:rsidRPr="00155AC6">
        <w:rPr>
          <w:rFonts w:cs="Times New Roman"/>
          <w:i/>
          <w:szCs w:val="28"/>
        </w:rPr>
        <w:t>Ilustrācija Nr.</w:t>
      </w:r>
      <w:r w:rsidRPr="00155AC6">
        <w:rPr>
          <w:rFonts w:cs="Times New Roman"/>
          <w:i/>
          <w:szCs w:val="28"/>
        </w:rPr>
        <w:fldChar w:fldCharType="begin"/>
      </w:r>
      <w:r w:rsidRPr="00155AC6">
        <w:rPr>
          <w:rFonts w:cs="Times New Roman"/>
          <w:i/>
          <w:szCs w:val="28"/>
        </w:rPr>
        <w:instrText xml:space="preserve"> SEQ Ilustrācija \* ARABIC </w:instrText>
      </w:r>
      <w:r w:rsidRPr="00155AC6">
        <w:rPr>
          <w:rFonts w:cs="Times New Roman"/>
          <w:i/>
          <w:szCs w:val="28"/>
        </w:rPr>
        <w:fldChar w:fldCharType="separate"/>
      </w:r>
      <w:r w:rsidR="00D32D18">
        <w:rPr>
          <w:rFonts w:cs="Times New Roman"/>
          <w:i/>
          <w:noProof/>
          <w:szCs w:val="28"/>
        </w:rPr>
        <w:t>1</w:t>
      </w:r>
      <w:r w:rsidRPr="00155AC6">
        <w:rPr>
          <w:rFonts w:cs="Times New Roman"/>
          <w:i/>
          <w:szCs w:val="28"/>
        </w:rPr>
        <w:fldChar w:fldCharType="end"/>
      </w:r>
      <w:r w:rsidRPr="00155AC6">
        <w:rPr>
          <w:rFonts w:cs="Times New Roman"/>
          <w:i/>
          <w:szCs w:val="28"/>
        </w:rPr>
        <w:t xml:space="preserve"> “ES fondu projektu ieviešanas statuss līdz 2017. gada 31. decembrim milj.</w:t>
      </w:r>
      <w:r w:rsidR="00635896">
        <w:rPr>
          <w:rFonts w:cs="Times New Roman"/>
          <w:i/>
          <w:szCs w:val="28"/>
        </w:rPr>
        <w:t> </w:t>
      </w:r>
      <w:r w:rsidRPr="00155AC6">
        <w:rPr>
          <w:rFonts w:cs="Times New Roman"/>
          <w:i/>
          <w:szCs w:val="28"/>
        </w:rPr>
        <w:t>euro, % no ES fondu finansējuma; progress pret datiem līdz 2017. gada 30. jūnijam”</w:t>
      </w:r>
      <w:r w:rsidR="00FC2325" w:rsidRPr="00FC2325">
        <w:rPr>
          <w:noProof/>
          <w:lang w:eastAsia="lv-LV"/>
        </w:rPr>
        <w:t xml:space="preserve"> </w:t>
      </w:r>
    </w:p>
    <w:p w14:paraId="363274BC" w14:textId="09E2F17A" w:rsidR="008344F6" w:rsidRPr="00FC2325" w:rsidRDefault="00FC2325" w:rsidP="008344F6">
      <w:pPr>
        <w:spacing w:before="120" w:after="120"/>
        <w:jc w:val="both"/>
        <w:rPr>
          <w:rFonts w:cs="Times New Roman"/>
          <w:i/>
          <w:color w:val="000000" w:themeColor="text1"/>
          <w:szCs w:val="28"/>
          <w:highlight w:val="yellow"/>
        </w:rPr>
      </w:pPr>
      <w:r>
        <w:rPr>
          <w:noProof/>
          <w:lang w:eastAsia="lv-LV"/>
        </w:rPr>
        <w:drawing>
          <wp:inline distT="0" distB="0" distL="0" distR="0" wp14:anchorId="33252714" wp14:editId="26761870">
            <wp:extent cx="5836920" cy="3604260"/>
            <wp:effectExtent l="0" t="0" r="1143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4C10E8" w14:textId="4E7E7E5A" w:rsidR="00A03851" w:rsidRPr="004109BC" w:rsidRDefault="00A03851" w:rsidP="008A0FEC">
      <w:pPr>
        <w:spacing w:before="120" w:after="120"/>
        <w:ind w:firstLine="720"/>
        <w:jc w:val="both"/>
        <w:rPr>
          <w:rFonts w:cs="Times New Roman"/>
          <w:sz w:val="28"/>
          <w:szCs w:val="24"/>
        </w:rPr>
      </w:pPr>
      <w:r w:rsidRPr="004109BC">
        <w:rPr>
          <w:rFonts w:cs="Times New Roman"/>
          <w:sz w:val="28"/>
          <w:szCs w:val="24"/>
        </w:rPr>
        <w:lastRenderedPageBreak/>
        <w:t>E</w:t>
      </w:r>
      <w:r>
        <w:rPr>
          <w:rFonts w:cs="Times New Roman"/>
          <w:sz w:val="28"/>
          <w:szCs w:val="24"/>
        </w:rPr>
        <w:t>S fondu 2014. – </w:t>
      </w:r>
      <w:r w:rsidRPr="004109BC">
        <w:rPr>
          <w:rFonts w:cs="Times New Roman"/>
          <w:sz w:val="28"/>
          <w:szCs w:val="24"/>
        </w:rPr>
        <w:t>2020.</w:t>
      </w:r>
      <w:r>
        <w:rPr>
          <w:rFonts w:cs="Times New Roman"/>
          <w:sz w:val="28"/>
          <w:szCs w:val="24"/>
        </w:rPr>
        <w:t> </w:t>
      </w:r>
      <w:r w:rsidRPr="004109BC">
        <w:rPr>
          <w:rFonts w:cs="Times New Roman"/>
          <w:sz w:val="28"/>
          <w:szCs w:val="24"/>
        </w:rPr>
        <w:t>gada plānošanas perioda ieviešanā 2017.</w:t>
      </w:r>
      <w:r>
        <w:rPr>
          <w:rFonts w:cs="Times New Roman"/>
          <w:sz w:val="28"/>
          <w:szCs w:val="24"/>
        </w:rPr>
        <w:t> </w:t>
      </w:r>
      <w:r w:rsidRPr="004109BC">
        <w:rPr>
          <w:rFonts w:cs="Times New Roman"/>
          <w:sz w:val="28"/>
          <w:szCs w:val="24"/>
        </w:rPr>
        <w:t>gads, vērtējot ieviešanas progresu salīdzinājumā ar iepriekšējiem gadiem, ir zīmīgs ar to, ka ir būtiski intensificējies līgumu slēgšanas process un attiecīgi arī projektu ieviešanas uzraudzības procesi. 2017.</w:t>
      </w:r>
      <w:r>
        <w:rPr>
          <w:rFonts w:cs="Times New Roman"/>
          <w:sz w:val="28"/>
          <w:szCs w:val="24"/>
        </w:rPr>
        <w:t xml:space="preserve"> gadā </w:t>
      </w:r>
      <w:r w:rsidR="00DB086C">
        <w:rPr>
          <w:rFonts w:cs="Times New Roman"/>
          <w:sz w:val="28"/>
          <w:szCs w:val="24"/>
        </w:rPr>
        <w:t>tika</w:t>
      </w:r>
      <w:r>
        <w:rPr>
          <w:rFonts w:cs="Times New Roman"/>
          <w:sz w:val="28"/>
          <w:szCs w:val="24"/>
        </w:rPr>
        <w:t xml:space="preserve"> noslēgti 526 līgumi 1,</w:t>
      </w:r>
      <w:r w:rsidR="00DB086C">
        <w:rPr>
          <w:rFonts w:cs="Times New Roman"/>
          <w:sz w:val="28"/>
          <w:szCs w:val="24"/>
        </w:rPr>
        <w:t>1</w:t>
      </w:r>
      <w:r w:rsidR="0044679F">
        <w:rPr>
          <w:rFonts w:cs="Times New Roman"/>
          <w:sz w:val="28"/>
          <w:szCs w:val="24"/>
        </w:rPr>
        <w:t> </w:t>
      </w:r>
      <w:r>
        <w:rPr>
          <w:rFonts w:cs="Times New Roman"/>
          <w:sz w:val="28"/>
          <w:szCs w:val="24"/>
        </w:rPr>
        <w:t>mljrd. </w:t>
      </w:r>
      <w:r w:rsidRPr="004109BC">
        <w:rPr>
          <w:rFonts w:cs="Times New Roman"/>
          <w:i/>
          <w:sz w:val="28"/>
          <w:szCs w:val="24"/>
        </w:rPr>
        <w:t>euro</w:t>
      </w:r>
      <w:r w:rsidRPr="004109BC">
        <w:rPr>
          <w:rFonts w:cs="Times New Roman"/>
          <w:sz w:val="28"/>
          <w:szCs w:val="24"/>
        </w:rPr>
        <w:t xml:space="preserve"> ap</w:t>
      </w:r>
      <w:r w:rsidR="00DB086C">
        <w:rPr>
          <w:rFonts w:cs="Times New Roman"/>
          <w:sz w:val="28"/>
          <w:szCs w:val="24"/>
        </w:rPr>
        <w:t>mērā</w:t>
      </w:r>
      <w:r w:rsidRPr="004109BC">
        <w:rPr>
          <w:rFonts w:cs="Times New Roman"/>
          <w:sz w:val="28"/>
          <w:szCs w:val="24"/>
        </w:rPr>
        <w:t>. Aktīvākais līgumu slēgšanas periods</w:t>
      </w:r>
      <w:r>
        <w:rPr>
          <w:rFonts w:cs="Times New Roman"/>
          <w:sz w:val="28"/>
          <w:szCs w:val="24"/>
        </w:rPr>
        <w:t xml:space="preserve"> bija februārī, kad noslēgti 77 </w:t>
      </w:r>
      <w:r w:rsidRPr="004109BC">
        <w:rPr>
          <w:rFonts w:cs="Times New Roman"/>
          <w:sz w:val="28"/>
          <w:szCs w:val="24"/>
        </w:rPr>
        <w:t>lī</w:t>
      </w:r>
      <w:r>
        <w:rPr>
          <w:rFonts w:cs="Times New Roman"/>
          <w:sz w:val="28"/>
          <w:szCs w:val="24"/>
        </w:rPr>
        <w:t>gumi par projektu īstenošanu 55 milj. </w:t>
      </w:r>
      <w:r w:rsidRPr="004109BC">
        <w:rPr>
          <w:rFonts w:cs="Times New Roman"/>
          <w:i/>
          <w:sz w:val="28"/>
          <w:szCs w:val="24"/>
        </w:rPr>
        <w:t>euro</w:t>
      </w:r>
      <w:r w:rsidRPr="004109BC">
        <w:rPr>
          <w:rFonts w:cs="Times New Roman"/>
          <w:sz w:val="28"/>
          <w:szCs w:val="24"/>
        </w:rPr>
        <w:t xml:space="preserve"> apmērā, taču finansiāli apjomīgākais bija novembris, kad tika nokontr</w:t>
      </w:r>
      <w:r>
        <w:rPr>
          <w:rFonts w:cs="Times New Roman"/>
          <w:sz w:val="28"/>
          <w:szCs w:val="24"/>
        </w:rPr>
        <w:t>aktēts ES fondu finansējums 156 milj. </w:t>
      </w:r>
      <w:r w:rsidRPr="004109BC">
        <w:rPr>
          <w:rFonts w:cs="Times New Roman"/>
          <w:i/>
          <w:sz w:val="28"/>
          <w:szCs w:val="24"/>
        </w:rPr>
        <w:t>euro</w:t>
      </w:r>
      <w:r>
        <w:rPr>
          <w:rFonts w:cs="Times New Roman"/>
          <w:sz w:val="28"/>
          <w:szCs w:val="24"/>
        </w:rPr>
        <w:t xml:space="preserve"> apmērā (47 </w:t>
      </w:r>
      <w:r w:rsidRPr="004109BC">
        <w:rPr>
          <w:rFonts w:cs="Times New Roman"/>
          <w:sz w:val="28"/>
          <w:szCs w:val="24"/>
        </w:rPr>
        <w:t>līgumi). Ņemot vērā būtiski pieaugušo ieviešanā esošo projektu skaitu, daudz apjomīgāki un intensīvāki bija ar projektu ieviešanas uzraudzību saistītie procesi, tā piemēram, 2017.</w:t>
      </w:r>
      <w:r>
        <w:rPr>
          <w:rFonts w:cs="Times New Roman"/>
          <w:sz w:val="28"/>
          <w:szCs w:val="24"/>
        </w:rPr>
        <w:t> </w:t>
      </w:r>
      <w:r w:rsidRPr="004109BC">
        <w:rPr>
          <w:rFonts w:cs="Times New Roman"/>
          <w:sz w:val="28"/>
          <w:szCs w:val="24"/>
        </w:rPr>
        <w:t xml:space="preserve">gadā </w:t>
      </w:r>
      <w:r w:rsidR="00D02FA8">
        <w:rPr>
          <w:rFonts w:cs="Times New Roman"/>
          <w:sz w:val="28"/>
          <w:szCs w:val="24"/>
        </w:rPr>
        <w:t>CFLA veica 41</w:t>
      </w:r>
      <w:r w:rsidR="00845F9E">
        <w:rPr>
          <w:rFonts w:cs="Times New Roman"/>
          <w:sz w:val="28"/>
          <w:szCs w:val="24"/>
        </w:rPr>
        <w:t>5</w:t>
      </w:r>
      <w:r>
        <w:rPr>
          <w:rFonts w:cs="Times New Roman"/>
          <w:sz w:val="28"/>
          <w:szCs w:val="24"/>
        </w:rPr>
        <w:t> </w:t>
      </w:r>
      <w:r w:rsidRPr="004109BC">
        <w:rPr>
          <w:rFonts w:cs="Times New Roman"/>
          <w:sz w:val="28"/>
          <w:szCs w:val="24"/>
        </w:rPr>
        <w:t xml:space="preserve">iepirkumu pārbaudes, </w:t>
      </w:r>
      <w:r w:rsidR="00D02FA8">
        <w:rPr>
          <w:rFonts w:cs="Times New Roman"/>
          <w:sz w:val="28"/>
          <w:szCs w:val="24"/>
        </w:rPr>
        <w:t>5</w:t>
      </w:r>
      <w:r w:rsidR="00845F9E">
        <w:rPr>
          <w:rFonts w:cs="Times New Roman"/>
          <w:sz w:val="28"/>
          <w:szCs w:val="24"/>
        </w:rPr>
        <w:t>46</w:t>
      </w:r>
      <w:r>
        <w:rPr>
          <w:rFonts w:cs="Times New Roman"/>
          <w:sz w:val="28"/>
          <w:szCs w:val="24"/>
        </w:rPr>
        <w:t> </w:t>
      </w:r>
      <w:r w:rsidRPr="004109BC">
        <w:rPr>
          <w:rFonts w:cs="Times New Roman"/>
          <w:sz w:val="28"/>
          <w:szCs w:val="24"/>
        </w:rPr>
        <w:t xml:space="preserve">pārbaudes projektu īstenošanas vietā (t.sk. </w:t>
      </w:r>
      <w:r w:rsidR="00D02FA8">
        <w:rPr>
          <w:rFonts w:cs="Times New Roman"/>
          <w:sz w:val="28"/>
          <w:szCs w:val="24"/>
        </w:rPr>
        <w:t>4</w:t>
      </w:r>
      <w:r w:rsidR="00845F9E">
        <w:rPr>
          <w:rFonts w:cs="Times New Roman"/>
          <w:sz w:val="28"/>
          <w:szCs w:val="24"/>
        </w:rPr>
        <w:t>71</w:t>
      </w:r>
      <w:r>
        <w:rPr>
          <w:rFonts w:cs="Times New Roman"/>
          <w:sz w:val="28"/>
          <w:szCs w:val="24"/>
        </w:rPr>
        <w:t> </w:t>
      </w:r>
      <w:r w:rsidRPr="004109BC">
        <w:rPr>
          <w:rFonts w:cs="Times New Roman"/>
          <w:sz w:val="28"/>
          <w:szCs w:val="24"/>
        </w:rPr>
        <w:t>ārpu</w:t>
      </w:r>
      <w:r w:rsidR="00D02FA8">
        <w:rPr>
          <w:rFonts w:cs="Times New Roman"/>
          <w:sz w:val="28"/>
          <w:szCs w:val="24"/>
        </w:rPr>
        <w:t xml:space="preserve">skārtas un </w:t>
      </w:r>
      <w:r w:rsidR="00845F9E">
        <w:rPr>
          <w:rFonts w:cs="Times New Roman"/>
          <w:sz w:val="28"/>
          <w:szCs w:val="24"/>
        </w:rPr>
        <w:t>75</w:t>
      </w:r>
      <w:r>
        <w:rPr>
          <w:rFonts w:cs="Times New Roman"/>
          <w:sz w:val="28"/>
          <w:szCs w:val="24"/>
        </w:rPr>
        <w:t> </w:t>
      </w:r>
      <w:r w:rsidRPr="004109BC">
        <w:rPr>
          <w:rFonts w:cs="Times New Roman"/>
          <w:sz w:val="28"/>
          <w:szCs w:val="24"/>
        </w:rPr>
        <w:t>plānot</w:t>
      </w:r>
      <w:r>
        <w:rPr>
          <w:rFonts w:cs="Times New Roman"/>
          <w:sz w:val="28"/>
          <w:szCs w:val="24"/>
        </w:rPr>
        <w:t>ās pārbaudes), apstiprināja 514 līguma grozījumus un 1 354 </w:t>
      </w:r>
      <w:r w:rsidRPr="004109BC">
        <w:rPr>
          <w:rFonts w:cs="Times New Roman"/>
          <w:sz w:val="28"/>
          <w:szCs w:val="24"/>
        </w:rPr>
        <w:t xml:space="preserve">maksājuma pieprasījumu un to daļas. </w:t>
      </w:r>
    </w:p>
    <w:p w14:paraId="50315F6F" w14:textId="3DA96CCA" w:rsidR="00A03851" w:rsidRDefault="00A03851" w:rsidP="008A0FEC">
      <w:pPr>
        <w:pStyle w:val="CommentText"/>
        <w:spacing w:before="120" w:after="120"/>
        <w:ind w:firstLine="720"/>
        <w:jc w:val="both"/>
        <w:rPr>
          <w:rFonts w:cs="Times New Roman"/>
          <w:sz w:val="28"/>
          <w:szCs w:val="24"/>
        </w:rPr>
      </w:pPr>
      <w:r w:rsidRPr="004109BC">
        <w:rPr>
          <w:rFonts w:cs="Times New Roman"/>
          <w:sz w:val="28"/>
          <w:szCs w:val="24"/>
        </w:rPr>
        <w:t>Projektu iesniegumu atlašu izsludināšana savu kulmināciju sasniedza 2016.</w:t>
      </w:r>
      <w:r>
        <w:rPr>
          <w:rFonts w:cs="Times New Roman"/>
          <w:sz w:val="28"/>
          <w:szCs w:val="24"/>
        </w:rPr>
        <w:t> gadā, kad bija izsludinātas 66 </w:t>
      </w:r>
      <w:r w:rsidRPr="004109BC">
        <w:rPr>
          <w:rFonts w:cs="Times New Roman"/>
          <w:sz w:val="28"/>
          <w:szCs w:val="24"/>
        </w:rPr>
        <w:t>projektu iesniegumu atlases</w:t>
      </w:r>
      <w:r>
        <w:rPr>
          <w:rFonts w:cs="Times New Roman"/>
          <w:sz w:val="28"/>
          <w:szCs w:val="24"/>
        </w:rPr>
        <w:t xml:space="preserve"> par ES fondu finansējumu 2,2 m</w:t>
      </w:r>
      <w:r w:rsidR="0073208D">
        <w:rPr>
          <w:rFonts w:cs="Times New Roman"/>
          <w:sz w:val="28"/>
          <w:szCs w:val="24"/>
        </w:rPr>
        <w:t>ljrd</w:t>
      </w:r>
      <w:r>
        <w:rPr>
          <w:rFonts w:cs="Times New Roman"/>
          <w:sz w:val="28"/>
          <w:szCs w:val="24"/>
        </w:rPr>
        <w:t>. </w:t>
      </w:r>
      <w:r w:rsidRPr="004109BC">
        <w:rPr>
          <w:rFonts w:cs="Times New Roman"/>
          <w:i/>
          <w:sz w:val="28"/>
          <w:szCs w:val="24"/>
        </w:rPr>
        <w:t>euro</w:t>
      </w:r>
      <w:r w:rsidRPr="004109BC">
        <w:rPr>
          <w:rFonts w:cs="Times New Roman"/>
          <w:sz w:val="28"/>
          <w:szCs w:val="24"/>
        </w:rPr>
        <w:t xml:space="preserve"> apjomā, 2017.</w:t>
      </w:r>
      <w:r>
        <w:rPr>
          <w:rFonts w:cs="Times New Roman"/>
          <w:sz w:val="28"/>
          <w:szCs w:val="24"/>
        </w:rPr>
        <w:t> </w:t>
      </w:r>
      <w:r w:rsidRPr="004109BC">
        <w:rPr>
          <w:rFonts w:cs="Times New Roman"/>
          <w:sz w:val="28"/>
          <w:szCs w:val="24"/>
        </w:rPr>
        <w:t xml:space="preserve">gadā turpinājās atlašu izsludināšana (izsludināta </w:t>
      </w:r>
      <w:r>
        <w:rPr>
          <w:rFonts w:cs="Times New Roman"/>
          <w:sz w:val="28"/>
          <w:szCs w:val="24"/>
        </w:rPr>
        <w:t>31 </w:t>
      </w:r>
      <w:r w:rsidRPr="004109BC">
        <w:rPr>
          <w:rFonts w:cs="Times New Roman"/>
          <w:sz w:val="28"/>
          <w:szCs w:val="24"/>
        </w:rPr>
        <w:t xml:space="preserve">projektu iesniegumu atlase </w:t>
      </w:r>
      <w:r>
        <w:rPr>
          <w:rFonts w:cs="Times New Roman"/>
          <w:sz w:val="28"/>
          <w:szCs w:val="24"/>
        </w:rPr>
        <w:t>par ES fondu finansējumu 1,</w:t>
      </w:r>
      <w:r w:rsidR="00785BD7">
        <w:rPr>
          <w:rFonts w:cs="Times New Roman"/>
          <w:sz w:val="28"/>
          <w:szCs w:val="24"/>
        </w:rPr>
        <w:t>1</w:t>
      </w:r>
      <w:r w:rsidR="006369B9">
        <w:rPr>
          <w:rFonts w:cs="Times New Roman"/>
          <w:sz w:val="28"/>
          <w:szCs w:val="24"/>
        </w:rPr>
        <w:t> </w:t>
      </w:r>
      <w:r>
        <w:rPr>
          <w:rFonts w:cs="Times New Roman"/>
          <w:sz w:val="28"/>
          <w:szCs w:val="24"/>
        </w:rPr>
        <w:t>mljrd. </w:t>
      </w:r>
      <w:r w:rsidRPr="004109BC">
        <w:rPr>
          <w:rFonts w:cs="Times New Roman"/>
          <w:i/>
          <w:sz w:val="28"/>
          <w:szCs w:val="24"/>
        </w:rPr>
        <w:t>euro</w:t>
      </w:r>
      <w:r w:rsidRPr="004109BC">
        <w:rPr>
          <w:rFonts w:cs="Times New Roman"/>
          <w:sz w:val="28"/>
          <w:szCs w:val="24"/>
        </w:rPr>
        <w:t xml:space="preserve"> apjomā). Ņemot vērā to, ka</w:t>
      </w:r>
      <w:r>
        <w:rPr>
          <w:rFonts w:cs="Times New Roman"/>
          <w:sz w:val="28"/>
          <w:szCs w:val="24"/>
        </w:rPr>
        <w:t xml:space="preserve"> projektu iesniegšanas termiņi </w:t>
      </w:r>
      <w:r w:rsidRPr="004109BC">
        <w:rPr>
          <w:rFonts w:cs="Times New Roman"/>
          <w:sz w:val="28"/>
          <w:szCs w:val="24"/>
        </w:rPr>
        <w:t>izsludināto atlašu ietvaros ir dažādi, t.sk. ir tā saucamās “atvērtā tipa” atlases, ļoti liela daļa no 2016.</w:t>
      </w:r>
      <w:r>
        <w:rPr>
          <w:rFonts w:cs="Times New Roman"/>
          <w:sz w:val="28"/>
          <w:szCs w:val="24"/>
        </w:rPr>
        <w:t> </w:t>
      </w:r>
      <w:r w:rsidRPr="004109BC">
        <w:rPr>
          <w:rFonts w:cs="Times New Roman"/>
          <w:sz w:val="28"/>
          <w:szCs w:val="24"/>
        </w:rPr>
        <w:t>gadā izsludināto atlašu ietvaros iesniedzamajiem projekt</w:t>
      </w:r>
      <w:r>
        <w:rPr>
          <w:rFonts w:cs="Times New Roman"/>
          <w:sz w:val="28"/>
          <w:szCs w:val="24"/>
        </w:rPr>
        <w:t xml:space="preserve">u iesniegumiem iesniegti tieši </w:t>
      </w:r>
      <w:r w:rsidRPr="004109BC">
        <w:rPr>
          <w:rFonts w:cs="Times New Roman"/>
          <w:sz w:val="28"/>
          <w:szCs w:val="24"/>
        </w:rPr>
        <w:t>2017.</w:t>
      </w:r>
      <w:r>
        <w:rPr>
          <w:rFonts w:cs="Times New Roman"/>
          <w:sz w:val="28"/>
          <w:szCs w:val="24"/>
        </w:rPr>
        <w:t> </w:t>
      </w:r>
      <w:r w:rsidRPr="004109BC">
        <w:rPr>
          <w:rFonts w:cs="Times New Roman"/>
          <w:sz w:val="28"/>
          <w:szCs w:val="24"/>
        </w:rPr>
        <w:t>gadā, attiecīgi kopumā CFLA 2017.</w:t>
      </w:r>
      <w:r>
        <w:rPr>
          <w:rFonts w:cs="Times New Roman"/>
          <w:sz w:val="28"/>
          <w:szCs w:val="24"/>
        </w:rPr>
        <w:t> gadā pieņēma projektus 57 </w:t>
      </w:r>
      <w:r w:rsidRPr="004109BC">
        <w:rPr>
          <w:rFonts w:cs="Times New Roman"/>
          <w:sz w:val="28"/>
          <w:szCs w:val="24"/>
        </w:rPr>
        <w:t>projektu iesniegumu atlasēs, kuru ietvaros pieeja</w:t>
      </w:r>
      <w:r>
        <w:rPr>
          <w:rFonts w:cs="Times New Roman"/>
          <w:sz w:val="28"/>
          <w:szCs w:val="24"/>
        </w:rPr>
        <w:t xml:space="preserve">ms </w:t>
      </w:r>
      <w:r w:rsidR="00785BD7">
        <w:rPr>
          <w:rFonts w:cs="Times New Roman"/>
          <w:sz w:val="28"/>
          <w:szCs w:val="24"/>
        </w:rPr>
        <w:t xml:space="preserve">ES </w:t>
      </w:r>
      <w:r>
        <w:rPr>
          <w:rFonts w:cs="Times New Roman"/>
          <w:sz w:val="28"/>
          <w:szCs w:val="24"/>
        </w:rPr>
        <w:t>finansējums ir vairāk kā 2,5 mljrd. </w:t>
      </w:r>
      <w:r w:rsidRPr="004109BC">
        <w:rPr>
          <w:rFonts w:cs="Times New Roman"/>
          <w:i/>
          <w:sz w:val="28"/>
          <w:szCs w:val="24"/>
        </w:rPr>
        <w:t>euro</w:t>
      </w:r>
      <w:r w:rsidRPr="004109BC">
        <w:rPr>
          <w:rFonts w:cs="Times New Roman"/>
          <w:sz w:val="28"/>
          <w:szCs w:val="24"/>
        </w:rPr>
        <w:t xml:space="preserve">. </w:t>
      </w:r>
      <w:r>
        <w:rPr>
          <w:rFonts w:cs="Times New Roman"/>
          <w:sz w:val="28"/>
          <w:szCs w:val="24"/>
        </w:rPr>
        <w:t>2017. gada II pusgadā</w:t>
      </w:r>
      <w:r w:rsidRPr="004109BC">
        <w:rPr>
          <w:rFonts w:cs="Times New Roman"/>
          <w:sz w:val="28"/>
          <w:szCs w:val="24"/>
        </w:rPr>
        <w:t xml:space="preserve"> tika intensificēta projektu iesniegšana, piemēram IKT, energoefektivitātes paaugstināšanas programmās (t.sk. valsts</w:t>
      </w:r>
      <w:r w:rsidR="00785BD7">
        <w:rPr>
          <w:rFonts w:cs="Times New Roman"/>
          <w:sz w:val="28"/>
          <w:szCs w:val="24"/>
        </w:rPr>
        <w:t xml:space="preserve"> un pašva</w:t>
      </w:r>
      <w:r w:rsidR="00991FF3">
        <w:rPr>
          <w:rFonts w:cs="Times New Roman"/>
          <w:sz w:val="28"/>
          <w:szCs w:val="24"/>
        </w:rPr>
        <w:t>l</w:t>
      </w:r>
      <w:r w:rsidR="00785BD7">
        <w:rPr>
          <w:rFonts w:cs="Times New Roman"/>
          <w:sz w:val="28"/>
          <w:szCs w:val="24"/>
        </w:rPr>
        <w:t>dību ēku siltināšanas jom</w:t>
      </w:r>
      <w:r w:rsidR="00635896">
        <w:rPr>
          <w:rFonts w:cs="Times New Roman"/>
          <w:sz w:val="28"/>
          <w:szCs w:val="24"/>
        </w:rPr>
        <w:t>ā</w:t>
      </w:r>
      <w:r w:rsidRPr="004109BC">
        <w:rPr>
          <w:rFonts w:cs="Times New Roman"/>
          <w:sz w:val="28"/>
          <w:szCs w:val="24"/>
        </w:rPr>
        <w:t>, energoresursu centralizētā siltumapgādē), kā arī vairāk</w:t>
      </w:r>
      <w:r>
        <w:rPr>
          <w:rFonts w:cs="Times New Roman"/>
          <w:sz w:val="28"/>
          <w:szCs w:val="24"/>
        </w:rPr>
        <w:t xml:space="preserve">ās izglītības jomas programmās. </w:t>
      </w:r>
      <w:r w:rsidRPr="004109BC">
        <w:rPr>
          <w:rFonts w:cs="Times New Roman"/>
          <w:sz w:val="28"/>
          <w:szCs w:val="24"/>
        </w:rPr>
        <w:t>Ņemot vērā, to, ka noslēgušos atlašu skaits pieaug, 2018.</w:t>
      </w:r>
      <w:r>
        <w:rPr>
          <w:rFonts w:cs="Times New Roman"/>
          <w:sz w:val="28"/>
          <w:szCs w:val="24"/>
        </w:rPr>
        <w:t> </w:t>
      </w:r>
      <w:r w:rsidRPr="004109BC">
        <w:rPr>
          <w:rFonts w:cs="Times New Roman"/>
          <w:sz w:val="28"/>
          <w:szCs w:val="24"/>
        </w:rPr>
        <w:t>gadā aktuāls kļūs jautājums par izsludinātajās atlasēs neizmantotā finansējuma tālāku izmantošanu</w:t>
      </w:r>
      <w:r w:rsidR="00845F9E" w:rsidRPr="00845F9E">
        <w:rPr>
          <w:rFonts w:cs="Times New Roman"/>
          <w:sz w:val="28"/>
          <w:szCs w:val="24"/>
        </w:rPr>
        <w:t>, tāpēc būtiska būs savlaicīga informācija</w:t>
      </w:r>
      <w:r w:rsidR="00845F9E">
        <w:rPr>
          <w:rFonts w:cs="Times New Roman"/>
          <w:sz w:val="28"/>
          <w:szCs w:val="24"/>
        </w:rPr>
        <w:t>s aprite starp AI un VI, SI</w:t>
      </w:r>
      <w:r w:rsidR="00845F9E" w:rsidRPr="00845F9E">
        <w:rPr>
          <w:rFonts w:cs="Times New Roman"/>
          <w:sz w:val="28"/>
          <w:szCs w:val="24"/>
        </w:rPr>
        <w:t xml:space="preserve"> par plānoto rīcību saistībā ar neizmantoto finansējumu.</w:t>
      </w:r>
    </w:p>
    <w:p w14:paraId="38094337" w14:textId="77777777" w:rsidR="003167D9" w:rsidRPr="00F02FD1" w:rsidRDefault="003167D9" w:rsidP="003167D9">
      <w:pPr>
        <w:ind w:firstLine="720"/>
        <w:rPr>
          <w:rFonts w:cs="Times New Roman"/>
          <w:sz w:val="28"/>
          <w:szCs w:val="28"/>
        </w:rPr>
      </w:pPr>
      <w:r w:rsidRPr="00F02FD1">
        <w:rPr>
          <w:rFonts w:cs="Times New Roman"/>
          <w:b/>
          <w:i/>
          <w:sz w:val="28"/>
          <w:szCs w:val="28"/>
        </w:rPr>
        <w:t>Lēmumu par projektu iesniegumiem apstrīdēšana VI</w:t>
      </w:r>
    </w:p>
    <w:p w14:paraId="5BB744F1" w14:textId="351B7DC4" w:rsidR="00F8110D" w:rsidRDefault="003167D9" w:rsidP="003167D9">
      <w:pPr>
        <w:spacing w:before="120" w:after="120"/>
        <w:ind w:firstLine="720"/>
        <w:jc w:val="both"/>
        <w:rPr>
          <w:rFonts w:cs="Times New Roman"/>
          <w:sz w:val="28"/>
          <w:szCs w:val="28"/>
        </w:rPr>
      </w:pPr>
      <w:r w:rsidRPr="00A3469B">
        <w:rPr>
          <w:rFonts w:cs="Times New Roman"/>
          <w:sz w:val="28"/>
          <w:szCs w:val="28"/>
        </w:rPr>
        <w:t>Ievērojot ES fondu 2014. </w:t>
      </w:r>
      <w:r>
        <w:rPr>
          <w:rFonts w:cs="Times New Roman"/>
          <w:sz w:val="28"/>
          <w:szCs w:val="28"/>
        </w:rPr>
        <w:t>–</w:t>
      </w:r>
      <w:r w:rsidRPr="00A3469B">
        <w:rPr>
          <w:rFonts w:cs="Times New Roman"/>
          <w:sz w:val="28"/>
          <w:szCs w:val="28"/>
        </w:rPr>
        <w:t> 2020. gada plānošanas perioda nacionālo tiesisko regulējumu</w:t>
      </w:r>
      <w:r w:rsidRPr="00A3469B">
        <w:rPr>
          <w:rStyle w:val="FootnoteReference"/>
          <w:rFonts w:cs="Times New Roman"/>
          <w:sz w:val="28"/>
          <w:szCs w:val="28"/>
        </w:rPr>
        <w:footnoteReference w:id="31"/>
      </w:r>
      <w:r w:rsidRPr="00A3469B">
        <w:rPr>
          <w:rFonts w:cs="Times New Roman"/>
          <w:sz w:val="28"/>
          <w:szCs w:val="28"/>
        </w:rPr>
        <w:t>, projekta iesniedzējs VI var apstrīdēt SI pieņemto lēmumu par projektu iesniegumu, kas saņemti 2014. </w:t>
      </w:r>
      <w:r>
        <w:rPr>
          <w:rFonts w:cs="Times New Roman"/>
          <w:sz w:val="28"/>
          <w:szCs w:val="28"/>
        </w:rPr>
        <w:t>–</w:t>
      </w:r>
      <w:r w:rsidRPr="00A3469B">
        <w:rPr>
          <w:rFonts w:cs="Times New Roman"/>
          <w:sz w:val="28"/>
          <w:szCs w:val="28"/>
        </w:rPr>
        <w:t xml:space="preserve"> 2020. gada plānošanas perioda izsludināto projektu iesniegumu atlašu ietvaros, noraidīšanu. VI periodā </w:t>
      </w:r>
      <w:r>
        <w:rPr>
          <w:rFonts w:cs="Times New Roman"/>
          <w:sz w:val="28"/>
          <w:szCs w:val="28"/>
        </w:rPr>
        <w:t>no 2017. gada 1. jūlija</w:t>
      </w:r>
      <w:r w:rsidRPr="00A3469B">
        <w:rPr>
          <w:rFonts w:cs="Times New Roman"/>
          <w:sz w:val="28"/>
          <w:szCs w:val="28"/>
        </w:rPr>
        <w:t xml:space="preserve"> līdz 31. decembrim ir saņemti </w:t>
      </w:r>
      <w:r>
        <w:rPr>
          <w:rFonts w:cs="Times New Roman"/>
          <w:sz w:val="28"/>
          <w:szCs w:val="28"/>
        </w:rPr>
        <w:t>pieci </w:t>
      </w:r>
      <w:r w:rsidRPr="00A3469B">
        <w:rPr>
          <w:rFonts w:cs="Times New Roman"/>
          <w:sz w:val="28"/>
          <w:szCs w:val="28"/>
        </w:rPr>
        <w:t>apstrīdēšanas iesniegumi par projektu iesniegumu atlases rezultātiem (sk. zemāk Tabulu Nr. 1).</w:t>
      </w:r>
    </w:p>
    <w:p w14:paraId="4C781070" w14:textId="4E15E312" w:rsidR="003167D9" w:rsidRPr="00F8110D" w:rsidRDefault="00F8110D" w:rsidP="00F8110D">
      <w:pPr>
        <w:rPr>
          <w:rFonts w:cs="Times New Roman"/>
          <w:sz w:val="28"/>
          <w:szCs w:val="28"/>
        </w:rPr>
      </w:pPr>
      <w:r>
        <w:rPr>
          <w:rFonts w:cs="Times New Roman"/>
          <w:sz w:val="28"/>
          <w:szCs w:val="28"/>
        </w:rPr>
        <w:br w:type="page"/>
      </w:r>
    </w:p>
    <w:p w14:paraId="672172C5" w14:textId="60A3C24F" w:rsidR="003167D9" w:rsidRPr="00F02FD1" w:rsidRDefault="003167D9" w:rsidP="003167D9">
      <w:pPr>
        <w:pStyle w:val="Caption"/>
        <w:keepNext/>
        <w:ind w:firstLine="720"/>
        <w:rPr>
          <w:rFonts w:cs="Times New Roman"/>
          <w:sz w:val="24"/>
          <w:szCs w:val="24"/>
        </w:rPr>
      </w:pPr>
      <w:r w:rsidRPr="00F02FD1">
        <w:rPr>
          <w:rFonts w:cs="Times New Roman"/>
          <w:color w:val="auto"/>
          <w:sz w:val="24"/>
          <w:szCs w:val="24"/>
        </w:rPr>
        <w:lastRenderedPageBreak/>
        <w:t>Tabula Nr.</w:t>
      </w:r>
      <w:r>
        <w:rPr>
          <w:rFonts w:cs="Times New Roman"/>
          <w:color w:val="auto"/>
          <w:sz w:val="24"/>
          <w:szCs w:val="24"/>
        </w:rPr>
        <w:t>1</w:t>
      </w:r>
      <w:r w:rsidRPr="00F02FD1">
        <w:rPr>
          <w:rFonts w:cs="Times New Roman"/>
          <w:color w:val="auto"/>
          <w:sz w:val="24"/>
          <w:szCs w:val="24"/>
        </w:rPr>
        <w:t xml:space="preserve"> “Saņemtie iesniegumi par projektu iesniegumu atlases rezultātiem, dati no 2017. gada 1. jūlija līdz 31. decembrim”</w:t>
      </w:r>
    </w:p>
    <w:tbl>
      <w:tblPr>
        <w:tblStyle w:val="TableGrid"/>
        <w:tblW w:w="9067" w:type="dxa"/>
        <w:tblLayout w:type="fixed"/>
        <w:tblLook w:val="04A0" w:firstRow="1" w:lastRow="0" w:firstColumn="1" w:lastColumn="0" w:noHBand="0" w:noVBand="1"/>
      </w:tblPr>
      <w:tblGrid>
        <w:gridCol w:w="1129"/>
        <w:gridCol w:w="1134"/>
        <w:gridCol w:w="993"/>
        <w:gridCol w:w="1134"/>
        <w:gridCol w:w="1275"/>
        <w:gridCol w:w="1134"/>
        <w:gridCol w:w="993"/>
        <w:gridCol w:w="1275"/>
      </w:tblGrid>
      <w:tr w:rsidR="003167D9" w:rsidRPr="00E94DEB" w14:paraId="7291CE80" w14:textId="77777777" w:rsidTr="00D75860">
        <w:trPr>
          <w:trHeight w:val="398"/>
        </w:trPr>
        <w:tc>
          <w:tcPr>
            <w:tcW w:w="1129" w:type="dxa"/>
            <w:vMerge w:val="restart"/>
            <w:vAlign w:val="center"/>
          </w:tcPr>
          <w:p w14:paraId="093CCA9C" w14:textId="77777777" w:rsidR="003167D9" w:rsidRPr="00EC0908" w:rsidRDefault="003167D9" w:rsidP="00D75860">
            <w:pPr>
              <w:jc w:val="center"/>
              <w:rPr>
                <w:rFonts w:cs="Times New Roman"/>
                <w:sz w:val="20"/>
                <w:szCs w:val="24"/>
              </w:rPr>
            </w:pPr>
            <w:r w:rsidRPr="00EC0908">
              <w:rPr>
                <w:rFonts w:cs="Times New Roman"/>
                <w:sz w:val="20"/>
                <w:szCs w:val="24"/>
              </w:rPr>
              <w:t>SAM/</w:t>
            </w:r>
          </w:p>
          <w:p w14:paraId="7C356A61" w14:textId="77777777" w:rsidR="003167D9" w:rsidRPr="00A3469B" w:rsidRDefault="003167D9" w:rsidP="00D75860">
            <w:pPr>
              <w:jc w:val="center"/>
              <w:rPr>
                <w:rFonts w:cs="Times New Roman"/>
                <w:szCs w:val="24"/>
              </w:rPr>
            </w:pPr>
            <w:r w:rsidRPr="00EC0908">
              <w:rPr>
                <w:rFonts w:cs="Times New Roman"/>
                <w:sz w:val="20"/>
                <w:szCs w:val="24"/>
              </w:rPr>
              <w:t>pasākums</w:t>
            </w:r>
            <w:r w:rsidRPr="00EC0908">
              <w:rPr>
                <w:rStyle w:val="FootnoteReference"/>
                <w:rFonts w:cs="Times New Roman"/>
                <w:sz w:val="20"/>
                <w:szCs w:val="24"/>
              </w:rPr>
              <w:footnoteReference w:id="32"/>
            </w:r>
          </w:p>
        </w:tc>
        <w:tc>
          <w:tcPr>
            <w:tcW w:w="1134" w:type="dxa"/>
            <w:vMerge w:val="restart"/>
            <w:vAlign w:val="center"/>
          </w:tcPr>
          <w:p w14:paraId="283F15C8" w14:textId="77777777" w:rsidR="003167D9" w:rsidRPr="00A3469B" w:rsidRDefault="003167D9" w:rsidP="00D75860">
            <w:pPr>
              <w:jc w:val="center"/>
              <w:rPr>
                <w:rFonts w:cs="Times New Roman"/>
                <w:szCs w:val="24"/>
              </w:rPr>
            </w:pPr>
            <w:r w:rsidRPr="00A3469B">
              <w:rPr>
                <w:rFonts w:cs="Times New Roman"/>
                <w:szCs w:val="24"/>
              </w:rPr>
              <w:t>AI</w:t>
            </w:r>
          </w:p>
        </w:tc>
        <w:tc>
          <w:tcPr>
            <w:tcW w:w="993" w:type="dxa"/>
            <w:vMerge w:val="restart"/>
            <w:vAlign w:val="center"/>
          </w:tcPr>
          <w:p w14:paraId="17336DF4" w14:textId="77777777" w:rsidR="003167D9" w:rsidRPr="00EC0908" w:rsidRDefault="003167D9" w:rsidP="00D75860">
            <w:pPr>
              <w:jc w:val="center"/>
              <w:rPr>
                <w:rFonts w:cs="Times New Roman"/>
                <w:sz w:val="20"/>
                <w:szCs w:val="24"/>
              </w:rPr>
            </w:pPr>
            <w:r w:rsidRPr="00EC0908">
              <w:rPr>
                <w:rFonts w:cs="Times New Roman"/>
                <w:sz w:val="20"/>
                <w:szCs w:val="24"/>
              </w:rPr>
              <w:t>Iesniegti</w:t>
            </w:r>
          </w:p>
        </w:tc>
        <w:tc>
          <w:tcPr>
            <w:tcW w:w="1134" w:type="dxa"/>
            <w:vMerge w:val="restart"/>
            <w:vAlign w:val="center"/>
          </w:tcPr>
          <w:p w14:paraId="2B0DEA61" w14:textId="77777777" w:rsidR="003167D9" w:rsidRPr="00EC0908" w:rsidRDefault="003167D9" w:rsidP="00D75860">
            <w:pPr>
              <w:jc w:val="center"/>
              <w:rPr>
                <w:rFonts w:cs="Times New Roman"/>
                <w:sz w:val="20"/>
                <w:szCs w:val="24"/>
              </w:rPr>
            </w:pPr>
            <w:r w:rsidRPr="00EC0908">
              <w:rPr>
                <w:rFonts w:cs="Times New Roman"/>
                <w:sz w:val="20"/>
                <w:szCs w:val="24"/>
              </w:rPr>
              <w:t>Noraidīti</w:t>
            </w:r>
          </w:p>
        </w:tc>
        <w:tc>
          <w:tcPr>
            <w:tcW w:w="1275" w:type="dxa"/>
            <w:vMerge w:val="restart"/>
            <w:vAlign w:val="center"/>
          </w:tcPr>
          <w:p w14:paraId="4FE562AE" w14:textId="77777777" w:rsidR="003167D9" w:rsidRPr="00EC0908" w:rsidRDefault="003167D9" w:rsidP="00D75860">
            <w:pPr>
              <w:jc w:val="center"/>
              <w:rPr>
                <w:rFonts w:cs="Times New Roman"/>
                <w:sz w:val="20"/>
                <w:szCs w:val="24"/>
              </w:rPr>
            </w:pPr>
            <w:r w:rsidRPr="00EC0908">
              <w:rPr>
                <w:rFonts w:cs="Times New Roman"/>
                <w:sz w:val="20"/>
                <w:szCs w:val="24"/>
              </w:rPr>
              <w:t xml:space="preserve">Apstrīdēti </w:t>
            </w:r>
          </w:p>
        </w:tc>
        <w:tc>
          <w:tcPr>
            <w:tcW w:w="1134" w:type="dxa"/>
            <w:vMerge w:val="restart"/>
            <w:shd w:val="clear" w:color="auto" w:fill="D9D9D9" w:themeFill="background1" w:themeFillShade="D9"/>
            <w:vAlign w:val="center"/>
          </w:tcPr>
          <w:p w14:paraId="2E078614" w14:textId="77777777" w:rsidR="003167D9" w:rsidRPr="00EC0908" w:rsidRDefault="003167D9" w:rsidP="00D75860">
            <w:pPr>
              <w:jc w:val="center"/>
              <w:rPr>
                <w:rFonts w:cs="Times New Roman"/>
                <w:sz w:val="20"/>
                <w:szCs w:val="24"/>
              </w:rPr>
            </w:pPr>
            <w:r w:rsidRPr="00EC0908">
              <w:rPr>
                <w:rFonts w:cs="Times New Roman"/>
                <w:sz w:val="20"/>
                <w:szCs w:val="24"/>
              </w:rPr>
              <w:t>Izskatīšanā</w:t>
            </w:r>
          </w:p>
        </w:tc>
        <w:tc>
          <w:tcPr>
            <w:tcW w:w="2268" w:type="dxa"/>
            <w:gridSpan w:val="2"/>
            <w:vAlign w:val="center"/>
          </w:tcPr>
          <w:p w14:paraId="71AF7113" w14:textId="77777777" w:rsidR="003167D9" w:rsidRPr="00EC0908" w:rsidRDefault="003167D9" w:rsidP="00D75860">
            <w:pPr>
              <w:jc w:val="center"/>
              <w:rPr>
                <w:rFonts w:cs="Times New Roman"/>
                <w:sz w:val="20"/>
                <w:szCs w:val="24"/>
              </w:rPr>
            </w:pPr>
            <w:r>
              <w:rPr>
                <w:rFonts w:cs="Times New Roman"/>
                <w:sz w:val="20"/>
                <w:szCs w:val="24"/>
              </w:rPr>
              <w:t>Rezultāts</w:t>
            </w:r>
          </w:p>
        </w:tc>
      </w:tr>
      <w:tr w:rsidR="003167D9" w:rsidRPr="00E94DEB" w14:paraId="6FECF299" w14:textId="77777777" w:rsidTr="00D75860">
        <w:trPr>
          <w:trHeight w:val="554"/>
        </w:trPr>
        <w:tc>
          <w:tcPr>
            <w:tcW w:w="1129" w:type="dxa"/>
            <w:vMerge/>
            <w:vAlign w:val="center"/>
          </w:tcPr>
          <w:p w14:paraId="5EABF437" w14:textId="77777777" w:rsidR="003167D9" w:rsidRPr="00A3469B" w:rsidRDefault="003167D9" w:rsidP="00D75860">
            <w:pPr>
              <w:rPr>
                <w:rFonts w:cs="Times New Roman"/>
                <w:szCs w:val="24"/>
              </w:rPr>
            </w:pPr>
          </w:p>
        </w:tc>
        <w:tc>
          <w:tcPr>
            <w:tcW w:w="1134" w:type="dxa"/>
            <w:vMerge/>
            <w:vAlign w:val="center"/>
          </w:tcPr>
          <w:p w14:paraId="05C4DB98" w14:textId="77777777" w:rsidR="003167D9" w:rsidRPr="00A3469B" w:rsidRDefault="003167D9" w:rsidP="00D75860">
            <w:pPr>
              <w:rPr>
                <w:rFonts w:cs="Times New Roman"/>
                <w:szCs w:val="24"/>
              </w:rPr>
            </w:pPr>
          </w:p>
        </w:tc>
        <w:tc>
          <w:tcPr>
            <w:tcW w:w="993" w:type="dxa"/>
            <w:vMerge/>
            <w:vAlign w:val="center"/>
          </w:tcPr>
          <w:p w14:paraId="6C290220" w14:textId="77777777" w:rsidR="003167D9" w:rsidRPr="00EC0908" w:rsidRDefault="003167D9" w:rsidP="00D75860">
            <w:pPr>
              <w:rPr>
                <w:rFonts w:cs="Times New Roman"/>
                <w:sz w:val="20"/>
                <w:szCs w:val="24"/>
              </w:rPr>
            </w:pPr>
          </w:p>
        </w:tc>
        <w:tc>
          <w:tcPr>
            <w:tcW w:w="1134" w:type="dxa"/>
            <w:vMerge/>
            <w:vAlign w:val="center"/>
          </w:tcPr>
          <w:p w14:paraId="7C437065" w14:textId="77777777" w:rsidR="003167D9" w:rsidRPr="00EC0908" w:rsidRDefault="003167D9" w:rsidP="00D75860">
            <w:pPr>
              <w:rPr>
                <w:rFonts w:cs="Times New Roman"/>
                <w:sz w:val="20"/>
                <w:szCs w:val="24"/>
              </w:rPr>
            </w:pPr>
          </w:p>
        </w:tc>
        <w:tc>
          <w:tcPr>
            <w:tcW w:w="1275" w:type="dxa"/>
            <w:vMerge/>
            <w:vAlign w:val="center"/>
          </w:tcPr>
          <w:p w14:paraId="423BCCC0" w14:textId="77777777" w:rsidR="003167D9" w:rsidRPr="00EC0908" w:rsidRDefault="003167D9" w:rsidP="00D75860">
            <w:pPr>
              <w:rPr>
                <w:rFonts w:cs="Times New Roman"/>
                <w:sz w:val="20"/>
                <w:szCs w:val="24"/>
              </w:rPr>
            </w:pPr>
          </w:p>
        </w:tc>
        <w:tc>
          <w:tcPr>
            <w:tcW w:w="1134" w:type="dxa"/>
            <w:vMerge/>
            <w:shd w:val="clear" w:color="auto" w:fill="D9D9D9" w:themeFill="background1" w:themeFillShade="D9"/>
            <w:vAlign w:val="center"/>
          </w:tcPr>
          <w:p w14:paraId="0B2AB78C" w14:textId="77777777" w:rsidR="003167D9" w:rsidRPr="00EC0908" w:rsidRDefault="003167D9" w:rsidP="00D75860">
            <w:pPr>
              <w:jc w:val="center"/>
              <w:rPr>
                <w:rFonts w:cs="Times New Roman"/>
                <w:sz w:val="20"/>
                <w:szCs w:val="24"/>
              </w:rPr>
            </w:pPr>
          </w:p>
        </w:tc>
        <w:tc>
          <w:tcPr>
            <w:tcW w:w="993" w:type="dxa"/>
            <w:vAlign w:val="center"/>
          </w:tcPr>
          <w:p w14:paraId="00D02884" w14:textId="77777777" w:rsidR="003167D9" w:rsidRPr="00EC0908" w:rsidRDefault="003167D9" w:rsidP="00D75860">
            <w:pPr>
              <w:jc w:val="center"/>
              <w:rPr>
                <w:rFonts w:cs="Times New Roman"/>
                <w:sz w:val="20"/>
                <w:szCs w:val="24"/>
              </w:rPr>
            </w:pPr>
            <w:r w:rsidRPr="00EC0908">
              <w:rPr>
                <w:rFonts w:cs="Times New Roman"/>
                <w:sz w:val="20"/>
                <w:szCs w:val="24"/>
              </w:rPr>
              <w:t>Atstāts spēkā SI lēmums</w:t>
            </w:r>
          </w:p>
        </w:tc>
        <w:tc>
          <w:tcPr>
            <w:tcW w:w="1275" w:type="dxa"/>
          </w:tcPr>
          <w:p w14:paraId="4CAEFB56" w14:textId="77777777" w:rsidR="003167D9" w:rsidRPr="00EC0908" w:rsidRDefault="003167D9" w:rsidP="00D75860">
            <w:pPr>
              <w:jc w:val="center"/>
              <w:rPr>
                <w:rFonts w:cs="Times New Roman"/>
                <w:sz w:val="20"/>
                <w:szCs w:val="24"/>
              </w:rPr>
            </w:pPr>
            <w:r>
              <w:rPr>
                <w:rFonts w:cs="Times New Roman"/>
                <w:sz w:val="20"/>
                <w:szCs w:val="24"/>
              </w:rPr>
              <w:t>Atgriezts atkārtotai izskatīšanai</w:t>
            </w:r>
          </w:p>
        </w:tc>
      </w:tr>
      <w:tr w:rsidR="003167D9" w:rsidRPr="00E94DEB" w14:paraId="36595190" w14:textId="77777777" w:rsidTr="00D75860">
        <w:trPr>
          <w:trHeight w:val="225"/>
        </w:trPr>
        <w:tc>
          <w:tcPr>
            <w:tcW w:w="1129" w:type="dxa"/>
            <w:vAlign w:val="center"/>
          </w:tcPr>
          <w:p w14:paraId="7023D383" w14:textId="77777777" w:rsidR="003167D9" w:rsidRPr="00A3469B" w:rsidRDefault="003167D9" w:rsidP="00D75860">
            <w:pPr>
              <w:rPr>
                <w:rFonts w:cs="Times New Roman"/>
                <w:szCs w:val="24"/>
              </w:rPr>
            </w:pPr>
            <w:r w:rsidRPr="00A3469B">
              <w:rPr>
                <w:rFonts w:cs="Times New Roman"/>
                <w:szCs w:val="24"/>
              </w:rPr>
              <w:t xml:space="preserve">4.1.1. </w:t>
            </w:r>
          </w:p>
        </w:tc>
        <w:tc>
          <w:tcPr>
            <w:tcW w:w="1134" w:type="dxa"/>
            <w:vAlign w:val="center"/>
          </w:tcPr>
          <w:p w14:paraId="29763337" w14:textId="77777777" w:rsidR="003167D9" w:rsidRPr="00A3469B" w:rsidRDefault="003167D9" w:rsidP="00D75860">
            <w:pPr>
              <w:rPr>
                <w:rFonts w:cs="Times New Roman"/>
                <w:szCs w:val="24"/>
              </w:rPr>
            </w:pPr>
            <w:r w:rsidRPr="00A3469B">
              <w:rPr>
                <w:rFonts w:cs="Times New Roman"/>
                <w:szCs w:val="24"/>
              </w:rPr>
              <w:t>EM</w:t>
            </w:r>
          </w:p>
        </w:tc>
        <w:tc>
          <w:tcPr>
            <w:tcW w:w="993" w:type="dxa"/>
            <w:vAlign w:val="center"/>
          </w:tcPr>
          <w:p w14:paraId="36978ABD" w14:textId="77777777" w:rsidR="003167D9" w:rsidRPr="00EC0908" w:rsidRDefault="003167D9" w:rsidP="00D75860">
            <w:pPr>
              <w:jc w:val="center"/>
              <w:rPr>
                <w:rFonts w:cs="Times New Roman"/>
                <w:szCs w:val="24"/>
              </w:rPr>
            </w:pPr>
            <w:r>
              <w:rPr>
                <w:rFonts w:cs="Times New Roman"/>
                <w:szCs w:val="24"/>
              </w:rPr>
              <w:t>37</w:t>
            </w:r>
          </w:p>
        </w:tc>
        <w:tc>
          <w:tcPr>
            <w:tcW w:w="1134" w:type="dxa"/>
            <w:vAlign w:val="center"/>
          </w:tcPr>
          <w:p w14:paraId="6EB2529E" w14:textId="77777777" w:rsidR="003167D9" w:rsidRPr="00EC0908" w:rsidRDefault="003167D9" w:rsidP="00D75860">
            <w:pPr>
              <w:jc w:val="center"/>
              <w:rPr>
                <w:rFonts w:cs="Times New Roman"/>
                <w:szCs w:val="24"/>
              </w:rPr>
            </w:pPr>
            <w:r>
              <w:rPr>
                <w:rFonts w:cs="Times New Roman"/>
                <w:szCs w:val="24"/>
              </w:rPr>
              <w:t>8</w:t>
            </w:r>
          </w:p>
        </w:tc>
        <w:tc>
          <w:tcPr>
            <w:tcW w:w="1275" w:type="dxa"/>
            <w:vAlign w:val="center"/>
          </w:tcPr>
          <w:p w14:paraId="4A186F0F" w14:textId="77777777" w:rsidR="003167D9" w:rsidRPr="00EC0908" w:rsidRDefault="003167D9" w:rsidP="00D75860">
            <w:pPr>
              <w:jc w:val="center"/>
              <w:rPr>
                <w:rFonts w:cs="Times New Roman"/>
                <w:szCs w:val="24"/>
              </w:rPr>
            </w:pPr>
            <w:r>
              <w:rPr>
                <w:rFonts w:cs="Times New Roman"/>
                <w:szCs w:val="24"/>
              </w:rPr>
              <w:t>2</w:t>
            </w:r>
          </w:p>
        </w:tc>
        <w:tc>
          <w:tcPr>
            <w:tcW w:w="1134" w:type="dxa"/>
            <w:shd w:val="clear" w:color="auto" w:fill="D9D9D9" w:themeFill="background1" w:themeFillShade="D9"/>
            <w:vAlign w:val="center"/>
          </w:tcPr>
          <w:p w14:paraId="26696F70" w14:textId="77777777" w:rsidR="003167D9" w:rsidRPr="00EC0908" w:rsidRDefault="003167D9" w:rsidP="00D75860">
            <w:pPr>
              <w:jc w:val="center"/>
              <w:rPr>
                <w:rFonts w:cs="Times New Roman"/>
                <w:szCs w:val="24"/>
              </w:rPr>
            </w:pPr>
            <w:r>
              <w:rPr>
                <w:rFonts w:cs="Times New Roman"/>
                <w:szCs w:val="24"/>
              </w:rPr>
              <w:t>0</w:t>
            </w:r>
          </w:p>
        </w:tc>
        <w:tc>
          <w:tcPr>
            <w:tcW w:w="993" w:type="dxa"/>
            <w:vAlign w:val="center"/>
          </w:tcPr>
          <w:p w14:paraId="35E4DF20" w14:textId="77777777" w:rsidR="003167D9" w:rsidRPr="00EC0908" w:rsidRDefault="003167D9" w:rsidP="00D75860">
            <w:pPr>
              <w:jc w:val="center"/>
              <w:rPr>
                <w:rFonts w:cs="Times New Roman"/>
                <w:szCs w:val="24"/>
              </w:rPr>
            </w:pPr>
            <w:r>
              <w:rPr>
                <w:rFonts w:cs="Times New Roman"/>
                <w:szCs w:val="24"/>
              </w:rPr>
              <w:t>2</w:t>
            </w:r>
          </w:p>
        </w:tc>
        <w:tc>
          <w:tcPr>
            <w:tcW w:w="1275" w:type="dxa"/>
            <w:vAlign w:val="center"/>
          </w:tcPr>
          <w:p w14:paraId="28509463" w14:textId="77777777" w:rsidR="003167D9" w:rsidRPr="00EC0908" w:rsidRDefault="003167D9" w:rsidP="00D75860">
            <w:pPr>
              <w:jc w:val="center"/>
              <w:rPr>
                <w:rFonts w:cs="Times New Roman"/>
                <w:szCs w:val="24"/>
              </w:rPr>
            </w:pPr>
            <w:r>
              <w:rPr>
                <w:rFonts w:cs="Times New Roman"/>
                <w:szCs w:val="24"/>
              </w:rPr>
              <w:t>0</w:t>
            </w:r>
          </w:p>
        </w:tc>
      </w:tr>
      <w:tr w:rsidR="003167D9" w:rsidRPr="00E94DEB" w14:paraId="10C9D9BE" w14:textId="77777777" w:rsidTr="00D75860">
        <w:trPr>
          <w:trHeight w:val="279"/>
        </w:trPr>
        <w:tc>
          <w:tcPr>
            <w:tcW w:w="1129" w:type="dxa"/>
            <w:vAlign w:val="center"/>
          </w:tcPr>
          <w:p w14:paraId="1B9AD29D" w14:textId="77777777" w:rsidR="003167D9" w:rsidRPr="00A3469B" w:rsidRDefault="003167D9" w:rsidP="00D75860">
            <w:pPr>
              <w:rPr>
                <w:rFonts w:cs="Times New Roman"/>
                <w:szCs w:val="24"/>
              </w:rPr>
            </w:pPr>
            <w:r w:rsidRPr="00A3469B">
              <w:rPr>
                <w:rFonts w:cs="Times New Roman"/>
                <w:szCs w:val="24"/>
              </w:rPr>
              <w:t>5.2.1.2.</w:t>
            </w:r>
          </w:p>
        </w:tc>
        <w:tc>
          <w:tcPr>
            <w:tcW w:w="1134" w:type="dxa"/>
            <w:vAlign w:val="center"/>
          </w:tcPr>
          <w:p w14:paraId="1D8E8796" w14:textId="77777777" w:rsidR="003167D9" w:rsidRPr="00A3469B" w:rsidRDefault="003167D9" w:rsidP="00D75860">
            <w:pPr>
              <w:rPr>
                <w:rFonts w:cs="Times New Roman"/>
                <w:szCs w:val="24"/>
              </w:rPr>
            </w:pPr>
            <w:r w:rsidRPr="00A3469B">
              <w:rPr>
                <w:rFonts w:cs="Times New Roman"/>
                <w:szCs w:val="24"/>
              </w:rPr>
              <w:t>VARAM</w:t>
            </w:r>
          </w:p>
        </w:tc>
        <w:tc>
          <w:tcPr>
            <w:tcW w:w="993" w:type="dxa"/>
            <w:vAlign w:val="center"/>
          </w:tcPr>
          <w:p w14:paraId="7FF441F5" w14:textId="77777777" w:rsidR="003167D9" w:rsidRPr="00EC0908" w:rsidRDefault="003167D9" w:rsidP="00D75860">
            <w:pPr>
              <w:jc w:val="center"/>
              <w:rPr>
                <w:rFonts w:cs="Times New Roman"/>
                <w:szCs w:val="24"/>
              </w:rPr>
            </w:pPr>
            <w:r>
              <w:rPr>
                <w:rFonts w:cs="Times New Roman"/>
                <w:szCs w:val="24"/>
              </w:rPr>
              <w:t>3</w:t>
            </w:r>
          </w:p>
        </w:tc>
        <w:tc>
          <w:tcPr>
            <w:tcW w:w="1134" w:type="dxa"/>
            <w:vAlign w:val="center"/>
          </w:tcPr>
          <w:p w14:paraId="5893443F" w14:textId="77777777" w:rsidR="003167D9" w:rsidRPr="00EC0908" w:rsidRDefault="003167D9" w:rsidP="00D75860">
            <w:pPr>
              <w:jc w:val="center"/>
              <w:rPr>
                <w:rFonts w:cs="Times New Roman"/>
                <w:szCs w:val="24"/>
              </w:rPr>
            </w:pPr>
            <w:r>
              <w:rPr>
                <w:rFonts w:cs="Times New Roman"/>
                <w:szCs w:val="24"/>
              </w:rPr>
              <w:t>2</w:t>
            </w:r>
          </w:p>
        </w:tc>
        <w:tc>
          <w:tcPr>
            <w:tcW w:w="1275" w:type="dxa"/>
            <w:vAlign w:val="center"/>
          </w:tcPr>
          <w:p w14:paraId="24AE02A0" w14:textId="77777777" w:rsidR="003167D9" w:rsidRPr="00EC0908" w:rsidRDefault="003167D9" w:rsidP="00D75860">
            <w:pPr>
              <w:jc w:val="center"/>
              <w:rPr>
                <w:rFonts w:cs="Times New Roman"/>
                <w:szCs w:val="24"/>
              </w:rPr>
            </w:pPr>
            <w:r>
              <w:rPr>
                <w:rFonts w:cs="Times New Roman"/>
                <w:szCs w:val="24"/>
              </w:rPr>
              <w:t>1</w:t>
            </w:r>
          </w:p>
        </w:tc>
        <w:tc>
          <w:tcPr>
            <w:tcW w:w="1134" w:type="dxa"/>
            <w:shd w:val="clear" w:color="auto" w:fill="D9D9D9" w:themeFill="background1" w:themeFillShade="D9"/>
            <w:vAlign w:val="center"/>
          </w:tcPr>
          <w:p w14:paraId="42A77084" w14:textId="77777777" w:rsidR="003167D9" w:rsidRPr="00EC0908" w:rsidRDefault="003167D9" w:rsidP="00D75860">
            <w:pPr>
              <w:jc w:val="center"/>
              <w:rPr>
                <w:rFonts w:cs="Times New Roman"/>
                <w:szCs w:val="24"/>
              </w:rPr>
            </w:pPr>
            <w:r>
              <w:rPr>
                <w:rFonts w:cs="Times New Roman"/>
                <w:szCs w:val="24"/>
              </w:rPr>
              <w:t>0</w:t>
            </w:r>
          </w:p>
        </w:tc>
        <w:tc>
          <w:tcPr>
            <w:tcW w:w="993" w:type="dxa"/>
            <w:vAlign w:val="center"/>
          </w:tcPr>
          <w:p w14:paraId="2C94613B" w14:textId="77777777" w:rsidR="003167D9" w:rsidRPr="00EC0908" w:rsidRDefault="003167D9" w:rsidP="00D75860">
            <w:pPr>
              <w:jc w:val="center"/>
              <w:rPr>
                <w:rFonts w:cs="Times New Roman"/>
                <w:szCs w:val="24"/>
              </w:rPr>
            </w:pPr>
            <w:r>
              <w:rPr>
                <w:rFonts w:cs="Times New Roman"/>
                <w:szCs w:val="24"/>
              </w:rPr>
              <w:t>1</w:t>
            </w:r>
          </w:p>
        </w:tc>
        <w:tc>
          <w:tcPr>
            <w:tcW w:w="1275" w:type="dxa"/>
            <w:vAlign w:val="center"/>
          </w:tcPr>
          <w:p w14:paraId="5362CFC7" w14:textId="77777777" w:rsidR="003167D9" w:rsidRPr="00EC0908" w:rsidRDefault="003167D9" w:rsidP="00D75860">
            <w:pPr>
              <w:jc w:val="center"/>
              <w:rPr>
                <w:rFonts w:cs="Times New Roman"/>
                <w:szCs w:val="24"/>
              </w:rPr>
            </w:pPr>
            <w:r>
              <w:rPr>
                <w:rFonts w:cs="Times New Roman"/>
                <w:szCs w:val="24"/>
              </w:rPr>
              <w:t>0</w:t>
            </w:r>
          </w:p>
        </w:tc>
      </w:tr>
      <w:tr w:rsidR="003167D9" w:rsidRPr="00E94DEB" w14:paraId="2FF1CD6B" w14:textId="77777777" w:rsidTr="00D75860">
        <w:trPr>
          <w:trHeight w:val="279"/>
        </w:trPr>
        <w:tc>
          <w:tcPr>
            <w:tcW w:w="1129" w:type="dxa"/>
            <w:vAlign w:val="center"/>
          </w:tcPr>
          <w:p w14:paraId="2AB2F656" w14:textId="77777777" w:rsidR="003167D9" w:rsidRPr="00A3469B" w:rsidRDefault="003167D9" w:rsidP="00D75860">
            <w:pPr>
              <w:rPr>
                <w:rFonts w:cs="Times New Roman"/>
                <w:szCs w:val="24"/>
              </w:rPr>
            </w:pPr>
            <w:r w:rsidRPr="00A3469B">
              <w:rPr>
                <w:rFonts w:cs="Times New Roman"/>
                <w:szCs w:val="24"/>
              </w:rPr>
              <w:t>4.2.1.2.</w:t>
            </w:r>
          </w:p>
        </w:tc>
        <w:tc>
          <w:tcPr>
            <w:tcW w:w="1134" w:type="dxa"/>
            <w:vAlign w:val="center"/>
          </w:tcPr>
          <w:p w14:paraId="2EA11071" w14:textId="77777777" w:rsidR="003167D9" w:rsidRPr="00A3469B" w:rsidRDefault="003167D9" w:rsidP="00D75860">
            <w:pPr>
              <w:rPr>
                <w:rFonts w:cs="Times New Roman"/>
                <w:szCs w:val="24"/>
              </w:rPr>
            </w:pPr>
            <w:r w:rsidRPr="00A3469B">
              <w:rPr>
                <w:rFonts w:cs="Times New Roman"/>
                <w:szCs w:val="24"/>
              </w:rPr>
              <w:t>EM</w:t>
            </w:r>
          </w:p>
        </w:tc>
        <w:tc>
          <w:tcPr>
            <w:tcW w:w="993" w:type="dxa"/>
            <w:vAlign w:val="center"/>
          </w:tcPr>
          <w:p w14:paraId="740098AA" w14:textId="77777777" w:rsidR="003167D9" w:rsidRPr="00EC0908" w:rsidRDefault="003167D9" w:rsidP="00D75860">
            <w:pPr>
              <w:jc w:val="center"/>
              <w:rPr>
                <w:rFonts w:cs="Times New Roman"/>
                <w:szCs w:val="24"/>
              </w:rPr>
            </w:pPr>
            <w:r>
              <w:rPr>
                <w:rFonts w:cs="Times New Roman"/>
                <w:szCs w:val="24"/>
              </w:rPr>
              <w:t>66</w:t>
            </w:r>
          </w:p>
        </w:tc>
        <w:tc>
          <w:tcPr>
            <w:tcW w:w="1134" w:type="dxa"/>
            <w:vAlign w:val="center"/>
          </w:tcPr>
          <w:p w14:paraId="55ED94E3" w14:textId="77777777" w:rsidR="003167D9" w:rsidRPr="00EC0908" w:rsidRDefault="003167D9" w:rsidP="00D75860">
            <w:pPr>
              <w:jc w:val="center"/>
              <w:rPr>
                <w:rFonts w:cs="Times New Roman"/>
                <w:szCs w:val="24"/>
              </w:rPr>
            </w:pPr>
            <w:r>
              <w:rPr>
                <w:rFonts w:cs="Times New Roman"/>
                <w:szCs w:val="24"/>
              </w:rPr>
              <w:t>3</w:t>
            </w:r>
          </w:p>
        </w:tc>
        <w:tc>
          <w:tcPr>
            <w:tcW w:w="1275" w:type="dxa"/>
            <w:vAlign w:val="center"/>
          </w:tcPr>
          <w:p w14:paraId="1675AE4C" w14:textId="77777777" w:rsidR="003167D9" w:rsidRPr="00EC0908" w:rsidRDefault="003167D9" w:rsidP="00D75860">
            <w:pPr>
              <w:jc w:val="center"/>
              <w:rPr>
                <w:rFonts w:cs="Times New Roman"/>
                <w:szCs w:val="24"/>
              </w:rPr>
            </w:pPr>
            <w:r>
              <w:rPr>
                <w:rFonts w:cs="Times New Roman"/>
                <w:szCs w:val="24"/>
              </w:rPr>
              <w:t>1</w:t>
            </w:r>
          </w:p>
        </w:tc>
        <w:tc>
          <w:tcPr>
            <w:tcW w:w="1134" w:type="dxa"/>
            <w:shd w:val="clear" w:color="auto" w:fill="D9D9D9" w:themeFill="background1" w:themeFillShade="D9"/>
            <w:vAlign w:val="center"/>
          </w:tcPr>
          <w:p w14:paraId="3BAC4751" w14:textId="77777777" w:rsidR="003167D9" w:rsidRPr="00EC0908" w:rsidRDefault="003167D9" w:rsidP="00D75860">
            <w:pPr>
              <w:jc w:val="center"/>
              <w:rPr>
                <w:rFonts w:cs="Times New Roman"/>
                <w:szCs w:val="24"/>
              </w:rPr>
            </w:pPr>
            <w:r>
              <w:rPr>
                <w:rFonts w:cs="Times New Roman"/>
                <w:szCs w:val="24"/>
              </w:rPr>
              <w:t>0</w:t>
            </w:r>
          </w:p>
        </w:tc>
        <w:tc>
          <w:tcPr>
            <w:tcW w:w="993" w:type="dxa"/>
            <w:vAlign w:val="center"/>
          </w:tcPr>
          <w:p w14:paraId="5B38C09F" w14:textId="77777777" w:rsidR="003167D9" w:rsidRPr="00EC0908" w:rsidRDefault="003167D9" w:rsidP="00D75860">
            <w:pPr>
              <w:jc w:val="center"/>
              <w:rPr>
                <w:rFonts w:cs="Times New Roman"/>
                <w:szCs w:val="24"/>
              </w:rPr>
            </w:pPr>
            <w:r>
              <w:rPr>
                <w:rFonts w:cs="Times New Roman"/>
                <w:szCs w:val="24"/>
              </w:rPr>
              <w:t>0</w:t>
            </w:r>
          </w:p>
        </w:tc>
        <w:tc>
          <w:tcPr>
            <w:tcW w:w="1275" w:type="dxa"/>
            <w:vAlign w:val="center"/>
          </w:tcPr>
          <w:p w14:paraId="2B427791" w14:textId="77777777" w:rsidR="003167D9" w:rsidRPr="00EC0908" w:rsidRDefault="003167D9" w:rsidP="00D75860">
            <w:pPr>
              <w:jc w:val="center"/>
              <w:rPr>
                <w:rFonts w:cs="Times New Roman"/>
                <w:szCs w:val="24"/>
              </w:rPr>
            </w:pPr>
            <w:r>
              <w:rPr>
                <w:rFonts w:cs="Times New Roman"/>
                <w:szCs w:val="24"/>
              </w:rPr>
              <w:t>1</w:t>
            </w:r>
          </w:p>
        </w:tc>
      </w:tr>
      <w:tr w:rsidR="003167D9" w:rsidRPr="00E94DEB" w14:paraId="1E4F14B6" w14:textId="77777777" w:rsidTr="00D75860">
        <w:trPr>
          <w:trHeight w:val="279"/>
        </w:trPr>
        <w:tc>
          <w:tcPr>
            <w:tcW w:w="1129" w:type="dxa"/>
            <w:vAlign w:val="center"/>
          </w:tcPr>
          <w:p w14:paraId="6A62503E" w14:textId="77777777" w:rsidR="003167D9" w:rsidRPr="00A3469B" w:rsidRDefault="003167D9" w:rsidP="00D75860">
            <w:pPr>
              <w:rPr>
                <w:rFonts w:cs="Times New Roman"/>
                <w:szCs w:val="24"/>
              </w:rPr>
            </w:pPr>
            <w:r w:rsidRPr="00A3469B">
              <w:rPr>
                <w:rFonts w:cs="Times New Roman"/>
                <w:szCs w:val="24"/>
              </w:rPr>
              <w:t>4.3.1.</w:t>
            </w:r>
          </w:p>
        </w:tc>
        <w:tc>
          <w:tcPr>
            <w:tcW w:w="1134" w:type="dxa"/>
            <w:vAlign w:val="center"/>
          </w:tcPr>
          <w:p w14:paraId="58AD5A93" w14:textId="77777777" w:rsidR="003167D9" w:rsidRPr="00A3469B" w:rsidRDefault="003167D9" w:rsidP="00D75860">
            <w:pPr>
              <w:rPr>
                <w:rFonts w:cs="Times New Roman"/>
                <w:szCs w:val="24"/>
              </w:rPr>
            </w:pPr>
            <w:r w:rsidRPr="00A3469B">
              <w:rPr>
                <w:rFonts w:cs="Times New Roman"/>
                <w:szCs w:val="24"/>
              </w:rPr>
              <w:t>EM</w:t>
            </w:r>
          </w:p>
        </w:tc>
        <w:tc>
          <w:tcPr>
            <w:tcW w:w="993" w:type="dxa"/>
            <w:vAlign w:val="center"/>
          </w:tcPr>
          <w:p w14:paraId="0D78A381" w14:textId="77777777" w:rsidR="003167D9" w:rsidRPr="00EC0908" w:rsidRDefault="003167D9" w:rsidP="00D75860">
            <w:pPr>
              <w:jc w:val="center"/>
              <w:rPr>
                <w:rFonts w:cs="Times New Roman"/>
                <w:szCs w:val="24"/>
              </w:rPr>
            </w:pPr>
            <w:r>
              <w:rPr>
                <w:rFonts w:cs="Times New Roman"/>
                <w:szCs w:val="24"/>
              </w:rPr>
              <w:t>85</w:t>
            </w:r>
          </w:p>
        </w:tc>
        <w:tc>
          <w:tcPr>
            <w:tcW w:w="1134" w:type="dxa"/>
            <w:tcBorders>
              <w:bottom w:val="single" w:sz="12" w:space="0" w:color="auto"/>
            </w:tcBorders>
            <w:vAlign w:val="center"/>
          </w:tcPr>
          <w:p w14:paraId="68254721" w14:textId="77777777" w:rsidR="003167D9" w:rsidRPr="00EC0908" w:rsidRDefault="003167D9" w:rsidP="00D75860">
            <w:pPr>
              <w:jc w:val="center"/>
              <w:rPr>
                <w:rFonts w:cs="Times New Roman"/>
                <w:szCs w:val="24"/>
              </w:rPr>
            </w:pPr>
            <w:r>
              <w:rPr>
                <w:rFonts w:cs="Times New Roman"/>
                <w:szCs w:val="24"/>
              </w:rPr>
              <w:t>5</w:t>
            </w:r>
          </w:p>
        </w:tc>
        <w:tc>
          <w:tcPr>
            <w:tcW w:w="1275" w:type="dxa"/>
            <w:tcBorders>
              <w:bottom w:val="single" w:sz="12" w:space="0" w:color="auto"/>
            </w:tcBorders>
            <w:vAlign w:val="center"/>
          </w:tcPr>
          <w:p w14:paraId="7926B0D3" w14:textId="77777777" w:rsidR="003167D9" w:rsidRPr="00EC0908" w:rsidRDefault="003167D9" w:rsidP="00D75860">
            <w:pPr>
              <w:jc w:val="center"/>
              <w:rPr>
                <w:rFonts w:cs="Times New Roman"/>
                <w:szCs w:val="24"/>
              </w:rPr>
            </w:pPr>
            <w:r>
              <w:rPr>
                <w:rFonts w:cs="Times New Roman"/>
                <w:szCs w:val="24"/>
              </w:rPr>
              <w:t>1</w:t>
            </w:r>
          </w:p>
        </w:tc>
        <w:tc>
          <w:tcPr>
            <w:tcW w:w="1134" w:type="dxa"/>
            <w:tcBorders>
              <w:bottom w:val="single" w:sz="12" w:space="0" w:color="auto"/>
            </w:tcBorders>
            <w:shd w:val="clear" w:color="auto" w:fill="D9D9D9" w:themeFill="background1" w:themeFillShade="D9"/>
            <w:vAlign w:val="center"/>
          </w:tcPr>
          <w:p w14:paraId="5C5A87CF" w14:textId="77777777" w:rsidR="003167D9" w:rsidRPr="00EC0908" w:rsidRDefault="003167D9" w:rsidP="00D75860">
            <w:pPr>
              <w:jc w:val="center"/>
              <w:rPr>
                <w:rFonts w:cs="Times New Roman"/>
                <w:szCs w:val="24"/>
              </w:rPr>
            </w:pPr>
            <w:r>
              <w:rPr>
                <w:rFonts w:cs="Times New Roman"/>
                <w:szCs w:val="24"/>
              </w:rPr>
              <w:t>0</w:t>
            </w:r>
          </w:p>
        </w:tc>
        <w:tc>
          <w:tcPr>
            <w:tcW w:w="993" w:type="dxa"/>
            <w:tcBorders>
              <w:bottom w:val="single" w:sz="12" w:space="0" w:color="auto"/>
            </w:tcBorders>
            <w:vAlign w:val="center"/>
          </w:tcPr>
          <w:p w14:paraId="18190577" w14:textId="77777777" w:rsidR="003167D9" w:rsidRPr="00EC0908" w:rsidRDefault="003167D9" w:rsidP="00D75860">
            <w:pPr>
              <w:jc w:val="center"/>
              <w:rPr>
                <w:rFonts w:cs="Times New Roman"/>
                <w:szCs w:val="24"/>
              </w:rPr>
            </w:pPr>
            <w:r>
              <w:rPr>
                <w:rFonts w:cs="Times New Roman"/>
                <w:szCs w:val="24"/>
              </w:rPr>
              <w:t>0</w:t>
            </w:r>
          </w:p>
        </w:tc>
        <w:tc>
          <w:tcPr>
            <w:tcW w:w="1275" w:type="dxa"/>
            <w:tcBorders>
              <w:bottom w:val="single" w:sz="12" w:space="0" w:color="auto"/>
            </w:tcBorders>
            <w:vAlign w:val="center"/>
          </w:tcPr>
          <w:p w14:paraId="12F363F9" w14:textId="77777777" w:rsidR="003167D9" w:rsidRPr="00EC0908" w:rsidRDefault="003167D9" w:rsidP="00D75860">
            <w:pPr>
              <w:jc w:val="center"/>
              <w:rPr>
                <w:rFonts w:cs="Times New Roman"/>
                <w:szCs w:val="24"/>
              </w:rPr>
            </w:pPr>
            <w:r>
              <w:rPr>
                <w:rFonts w:cs="Times New Roman"/>
                <w:szCs w:val="24"/>
              </w:rPr>
              <w:t>1</w:t>
            </w:r>
          </w:p>
        </w:tc>
      </w:tr>
      <w:tr w:rsidR="003167D9" w:rsidRPr="00E94DEB" w14:paraId="346ECD33" w14:textId="77777777" w:rsidTr="00D75860">
        <w:trPr>
          <w:trHeight w:val="365"/>
        </w:trPr>
        <w:tc>
          <w:tcPr>
            <w:tcW w:w="1129" w:type="dxa"/>
            <w:tcBorders>
              <w:left w:val="nil"/>
              <w:bottom w:val="nil"/>
              <w:right w:val="nil"/>
            </w:tcBorders>
            <w:vAlign w:val="center"/>
          </w:tcPr>
          <w:p w14:paraId="5ADA4802" w14:textId="77777777" w:rsidR="003167D9" w:rsidRPr="00E94DEB" w:rsidRDefault="003167D9" w:rsidP="00D75860">
            <w:pPr>
              <w:rPr>
                <w:rFonts w:cs="Times New Roman"/>
                <w:szCs w:val="24"/>
                <w:highlight w:val="yellow"/>
              </w:rPr>
            </w:pPr>
          </w:p>
        </w:tc>
        <w:tc>
          <w:tcPr>
            <w:tcW w:w="1134" w:type="dxa"/>
            <w:tcBorders>
              <w:left w:val="nil"/>
              <w:bottom w:val="nil"/>
              <w:right w:val="nil"/>
            </w:tcBorders>
            <w:vAlign w:val="center"/>
          </w:tcPr>
          <w:p w14:paraId="03094FEB" w14:textId="77777777" w:rsidR="003167D9" w:rsidRPr="00E94DEB" w:rsidRDefault="003167D9" w:rsidP="00D75860">
            <w:pPr>
              <w:rPr>
                <w:rFonts w:cs="Times New Roman"/>
                <w:szCs w:val="24"/>
                <w:highlight w:val="yellow"/>
              </w:rPr>
            </w:pPr>
          </w:p>
        </w:tc>
        <w:tc>
          <w:tcPr>
            <w:tcW w:w="993" w:type="dxa"/>
            <w:tcBorders>
              <w:left w:val="nil"/>
              <w:bottom w:val="nil"/>
              <w:right w:val="single" w:sz="12" w:space="0" w:color="auto"/>
            </w:tcBorders>
            <w:vAlign w:val="center"/>
          </w:tcPr>
          <w:p w14:paraId="174BA006" w14:textId="77777777" w:rsidR="003167D9" w:rsidRPr="00EC0908" w:rsidRDefault="003167D9" w:rsidP="00D75860">
            <w:pPr>
              <w:jc w:val="center"/>
              <w:rPr>
                <w:rFonts w:cs="Times New Roman"/>
                <w:szCs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4B46BBC1" w14:textId="77777777" w:rsidR="003167D9" w:rsidRPr="00EC0908" w:rsidRDefault="003167D9" w:rsidP="00D75860">
            <w:pPr>
              <w:jc w:val="center"/>
              <w:rPr>
                <w:rFonts w:cs="Times New Roman"/>
                <w:szCs w:val="24"/>
              </w:rPr>
            </w:pPr>
            <w:r w:rsidRPr="00EC0908">
              <w:rPr>
                <w:rFonts w:cs="Times New Roman"/>
                <w:sz w:val="20"/>
                <w:szCs w:val="24"/>
              </w:rPr>
              <w:t>Kopā:</w:t>
            </w:r>
          </w:p>
        </w:tc>
        <w:tc>
          <w:tcPr>
            <w:tcW w:w="1275" w:type="dxa"/>
            <w:tcBorders>
              <w:top w:val="single" w:sz="12" w:space="0" w:color="auto"/>
              <w:left w:val="single" w:sz="12" w:space="0" w:color="auto"/>
              <w:bottom w:val="single" w:sz="12" w:space="0" w:color="auto"/>
              <w:right w:val="single" w:sz="12" w:space="0" w:color="auto"/>
            </w:tcBorders>
            <w:vAlign w:val="center"/>
          </w:tcPr>
          <w:p w14:paraId="739DC715" w14:textId="77777777" w:rsidR="003167D9" w:rsidRPr="00EC0908" w:rsidRDefault="003167D9" w:rsidP="00D75860">
            <w:pPr>
              <w:jc w:val="center"/>
              <w:rPr>
                <w:rFonts w:cs="Times New Roman"/>
                <w:szCs w:val="24"/>
              </w:rPr>
            </w:pPr>
            <w:r w:rsidRPr="00EC0908">
              <w:rPr>
                <w:rFonts w:cs="Times New Roman"/>
                <w:szCs w:val="24"/>
              </w:rPr>
              <w:t>5</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EB6705" w14:textId="77777777" w:rsidR="003167D9" w:rsidRPr="00EC0908" w:rsidRDefault="003167D9" w:rsidP="00D75860">
            <w:pPr>
              <w:jc w:val="center"/>
              <w:rPr>
                <w:rFonts w:cs="Times New Roman"/>
                <w:szCs w:val="24"/>
              </w:rPr>
            </w:pPr>
            <w:r>
              <w:rPr>
                <w:rFonts w:cs="Times New Roman"/>
                <w:szCs w:val="24"/>
              </w:rPr>
              <w:t>0</w:t>
            </w:r>
          </w:p>
        </w:tc>
        <w:tc>
          <w:tcPr>
            <w:tcW w:w="993" w:type="dxa"/>
            <w:tcBorders>
              <w:top w:val="single" w:sz="12" w:space="0" w:color="auto"/>
              <w:left w:val="single" w:sz="12" w:space="0" w:color="auto"/>
              <w:bottom w:val="single" w:sz="12" w:space="0" w:color="auto"/>
              <w:right w:val="single" w:sz="12" w:space="0" w:color="auto"/>
            </w:tcBorders>
            <w:vAlign w:val="center"/>
          </w:tcPr>
          <w:p w14:paraId="0FDBDDFF" w14:textId="77777777" w:rsidR="003167D9" w:rsidRPr="00EC0908" w:rsidRDefault="003167D9" w:rsidP="00D75860">
            <w:pPr>
              <w:jc w:val="center"/>
              <w:rPr>
                <w:rFonts w:cs="Times New Roman"/>
                <w:szCs w:val="24"/>
              </w:rPr>
            </w:pPr>
            <w:r>
              <w:rPr>
                <w:rFonts w:cs="Times New Roman"/>
                <w:szCs w:val="24"/>
              </w:rPr>
              <w:t>3</w:t>
            </w:r>
          </w:p>
        </w:tc>
        <w:tc>
          <w:tcPr>
            <w:tcW w:w="1275" w:type="dxa"/>
            <w:tcBorders>
              <w:top w:val="single" w:sz="12" w:space="0" w:color="auto"/>
              <w:left w:val="single" w:sz="12" w:space="0" w:color="auto"/>
              <w:bottom w:val="single" w:sz="12" w:space="0" w:color="auto"/>
              <w:right w:val="single" w:sz="12" w:space="0" w:color="auto"/>
            </w:tcBorders>
            <w:vAlign w:val="center"/>
          </w:tcPr>
          <w:p w14:paraId="00E03570" w14:textId="77777777" w:rsidR="003167D9" w:rsidRPr="00EC0908" w:rsidRDefault="003167D9" w:rsidP="00D75860">
            <w:pPr>
              <w:jc w:val="center"/>
              <w:rPr>
                <w:rFonts w:cs="Times New Roman"/>
                <w:szCs w:val="24"/>
              </w:rPr>
            </w:pPr>
            <w:r>
              <w:rPr>
                <w:rFonts w:cs="Times New Roman"/>
                <w:szCs w:val="24"/>
              </w:rPr>
              <w:t>2</w:t>
            </w:r>
          </w:p>
        </w:tc>
      </w:tr>
    </w:tbl>
    <w:p w14:paraId="19C2EA42" w14:textId="77777777" w:rsidR="003167D9" w:rsidRDefault="003167D9" w:rsidP="003167D9">
      <w:pPr>
        <w:spacing w:before="120" w:after="120"/>
        <w:ind w:firstLine="720"/>
        <w:jc w:val="both"/>
        <w:rPr>
          <w:rFonts w:cs="Times New Roman"/>
          <w:sz w:val="28"/>
          <w:szCs w:val="28"/>
          <w:highlight w:val="yellow"/>
        </w:rPr>
      </w:pPr>
      <w:r w:rsidRPr="0023017A">
        <w:rPr>
          <w:rFonts w:cs="Times New Roman"/>
          <w:sz w:val="28"/>
          <w:szCs w:val="28"/>
        </w:rPr>
        <w:t xml:space="preserve">Apstrīdēšanas iesniegumi tiek izskatīti noteiktajos termiņos. Lai arī </w:t>
      </w:r>
      <w:r>
        <w:rPr>
          <w:rFonts w:cs="Times New Roman"/>
          <w:sz w:val="28"/>
          <w:szCs w:val="28"/>
        </w:rPr>
        <w:t xml:space="preserve">no pārskata periodā saņemtajiem apstrīdēšanas iesniegumiem </w:t>
      </w:r>
      <w:r w:rsidRPr="0023017A">
        <w:rPr>
          <w:rFonts w:cs="Times New Roman"/>
          <w:sz w:val="28"/>
          <w:szCs w:val="28"/>
        </w:rPr>
        <w:t xml:space="preserve">ir atcelti </w:t>
      </w:r>
      <w:r>
        <w:rPr>
          <w:rFonts w:cs="Times New Roman"/>
          <w:sz w:val="28"/>
          <w:szCs w:val="28"/>
        </w:rPr>
        <w:t>divi</w:t>
      </w:r>
      <w:r w:rsidRPr="0023017A">
        <w:rPr>
          <w:rFonts w:cs="Times New Roman"/>
          <w:sz w:val="28"/>
          <w:szCs w:val="28"/>
        </w:rPr>
        <w:t xml:space="preserve"> no </w:t>
      </w:r>
      <w:r>
        <w:rPr>
          <w:rFonts w:cs="Times New Roman"/>
          <w:sz w:val="28"/>
          <w:szCs w:val="28"/>
        </w:rPr>
        <w:t>pieciem</w:t>
      </w:r>
      <w:r w:rsidRPr="0023017A">
        <w:rPr>
          <w:rFonts w:cs="Times New Roman"/>
          <w:sz w:val="28"/>
          <w:szCs w:val="28"/>
        </w:rPr>
        <w:t xml:space="preserve"> </w:t>
      </w:r>
      <w:r>
        <w:rPr>
          <w:rFonts w:cs="Times New Roman"/>
          <w:sz w:val="28"/>
          <w:szCs w:val="28"/>
        </w:rPr>
        <w:t>SI</w:t>
      </w:r>
      <w:r w:rsidRPr="0023017A">
        <w:rPr>
          <w:rFonts w:cs="Times New Roman"/>
          <w:sz w:val="28"/>
          <w:szCs w:val="28"/>
        </w:rPr>
        <w:t xml:space="preserve"> lēmumiem, VI nav pamata konstatēt būtiskus trūkumus SI darbībā. </w:t>
      </w:r>
    </w:p>
    <w:p w14:paraId="6E2737D3" w14:textId="2F7A04F1" w:rsidR="006B14EA" w:rsidRPr="006B14EA" w:rsidRDefault="006B14EA" w:rsidP="008A0FEC">
      <w:pPr>
        <w:spacing w:before="120" w:after="120"/>
        <w:ind w:firstLine="720"/>
        <w:jc w:val="both"/>
        <w:rPr>
          <w:rFonts w:cs="Times New Roman"/>
          <w:b/>
          <w:i/>
          <w:sz w:val="28"/>
          <w:szCs w:val="24"/>
        </w:rPr>
      </w:pPr>
      <w:r w:rsidRPr="006B14EA">
        <w:rPr>
          <w:rFonts w:cs="Times New Roman"/>
          <w:b/>
          <w:i/>
          <w:sz w:val="28"/>
          <w:szCs w:val="24"/>
        </w:rPr>
        <w:t>Projektu iesniegšana</w:t>
      </w:r>
      <w:r w:rsidR="00274A4F">
        <w:rPr>
          <w:rFonts w:cs="Times New Roman"/>
          <w:b/>
          <w:i/>
          <w:sz w:val="28"/>
          <w:szCs w:val="24"/>
        </w:rPr>
        <w:t>,</w:t>
      </w:r>
      <w:r>
        <w:rPr>
          <w:rFonts w:cs="Times New Roman"/>
          <w:b/>
          <w:i/>
          <w:sz w:val="28"/>
          <w:szCs w:val="24"/>
        </w:rPr>
        <w:t xml:space="preserve"> līgumu slēgšana</w:t>
      </w:r>
      <w:r w:rsidR="00274A4F">
        <w:rPr>
          <w:rFonts w:cs="Times New Roman"/>
          <w:b/>
          <w:i/>
          <w:sz w:val="28"/>
          <w:szCs w:val="24"/>
        </w:rPr>
        <w:t xml:space="preserve"> un investīciju plānu </w:t>
      </w:r>
      <w:r w:rsidR="00AA3D7D">
        <w:rPr>
          <w:rFonts w:cs="Times New Roman"/>
          <w:b/>
          <w:i/>
          <w:sz w:val="28"/>
          <w:szCs w:val="24"/>
        </w:rPr>
        <w:t xml:space="preserve">izpildes </w:t>
      </w:r>
      <w:r w:rsidR="00274A4F">
        <w:rPr>
          <w:rFonts w:cs="Times New Roman"/>
          <w:b/>
          <w:i/>
          <w:sz w:val="28"/>
          <w:szCs w:val="24"/>
        </w:rPr>
        <w:t>kopējais progress</w:t>
      </w:r>
      <w:r w:rsidR="00AA3D7D">
        <w:rPr>
          <w:rFonts w:cs="Times New Roman"/>
          <w:b/>
          <w:i/>
          <w:sz w:val="28"/>
          <w:szCs w:val="24"/>
        </w:rPr>
        <w:t xml:space="preserve"> un tendences</w:t>
      </w:r>
    </w:p>
    <w:p w14:paraId="11270649" w14:textId="5329301A" w:rsidR="00A03851" w:rsidRPr="004109BC" w:rsidRDefault="00A03851" w:rsidP="008A0FEC">
      <w:pPr>
        <w:spacing w:before="120" w:after="120"/>
        <w:ind w:firstLine="720"/>
        <w:jc w:val="both"/>
        <w:rPr>
          <w:rFonts w:cs="Times New Roman"/>
          <w:sz w:val="28"/>
          <w:szCs w:val="24"/>
        </w:rPr>
      </w:pPr>
      <w:r w:rsidRPr="004109BC">
        <w:rPr>
          <w:rFonts w:cs="Times New Roman"/>
          <w:sz w:val="28"/>
          <w:szCs w:val="24"/>
        </w:rPr>
        <w:t>Nozīmīgi, ka no šajā plānošanas periodā plānotajiem lielajiem projektiem, divi lielo projektu līgumi bija noslēgti 2017.</w:t>
      </w:r>
      <w:r>
        <w:rPr>
          <w:rFonts w:cs="Times New Roman"/>
          <w:sz w:val="28"/>
          <w:szCs w:val="24"/>
        </w:rPr>
        <w:t> </w:t>
      </w:r>
      <w:r w:rsidRPr="004109BC">
        <w:rPr>
          <w:rFonts w:cs="Times New Roman"/>
          <w:sz w:val="28"/>
          <w:szCs w:val="24"/>
        </w:rPr>
        <w:t>gadā – uzsākta projekta “Rīgas tramvaja infrastruktūras attīstība</w:t>
      </w:r>
      <w:r>
        <w:rPr>
          <w:rFonts w:cs="Times New Roman"/>
          <w:sz w:val="28"/>
          <w:szCs w:val="24"/>
        </w:rPr>
        <w:t>” (ES fondu finansējums 65,7 milj. </w:t>
      </w:r>
      <w:r w:rsidRPr="004109BC">
        <w:rPr>
          <w:rFonts w:cs="Times New Roman"/>
          <w:i/>
          <w:sz w:val="28"/>
          <w:szCs w:val="24"/>
        </w:rPr>
        <w:t>euro</w:t>
      </w:r>
      <w:r w:rsidRPr="004109BC">
        <w:rPr>
          <w:rFonts w:cs="Times New Roman"/>
          <w:sz w:val="28"/>
          <w:szCs w:val="24"/>
        </w:rPr>
        <w:t xml:space="preserve"> apmērā) un projekta “Vēsturiski piesārņoto vietu “Inčukalna sērs</w:t>
      </w:r>
      <w:r>
        <w:rPr>
          <w:rFonts w:cs="Times New Roman"/>
          <w:sz w:val="28"/>
          <w:szCs w:val="24"/>
        </w:rPr>
        <w:t>kābā gudrona dīķi” sanācija, 2. </w:t>
      </w:r>
      <w:r w:rsidRPr="004109BC">
        <w:rPr>
          <w:rFonts w:cs="Times New Roman"/>
          <w:sz w:val="28"/>
          <w:szCs w:val="24"/>
        </w:rPr>
        <w:t>posms</w:t>
      </w:r>
      <w:r>
        <w:rPr>
          <w:rFonts w:cs="Times New Roman"/>
          <w:sz w:val="28"/>
          <w:szCs w:val="24"/>
        </w:rPr>
        <w:t>” (ES fondu finansējums 24,9 milj. </w:t>
      </w:r>
      <w:r w:rsidRPr="004109BC">
        <w:rPr>
          <w:rFonts w:cs="Times New Roman"/>
          <w:i/>
          <w:sz w:val="28"/>
          <w:szCs w:val="24"/>
        </w:rPr>
        <w:t>euro</w:t>
      </w:r>
      <w:r w:rsidRPr="004109BC">
        <w:rPr>
          <w:rFonts w:cs="Times New Roman"/>
          <w:sz w:val="28"/>
          <w:szCs w:val="24"/>
        </w:rPr>
        <w:t xml:space="preserve"> apmērā) īstenošana. Bez lielajiem projektiem finansiāli ļoti apjomīgi līgumi noslēgti arī par projekta “Kultūras un sporta kvartāla izveide Grīziņkalna apkaimē” īstenošanu (ES fondu finansējums </w:t>
      </w:r>
      <w:r>
        <w:rPr>
          <w:rFonts w:cs="Times New Roman"/>
          <w:sz w:val="28"/>
          <w:szCs w:val="24"/>
        </w:rPr>
        <w:t>37,6 milj. </w:t>
      </w:r>
      <w:r w:rsidRPr="00846DBB">
        <w:rPr>
          <w:rFonts w:cs="Times New Roman"/>
          <w:i/>
          <w:sz w:val="28"/>
          <w:szCs w:val="24"/>
        </w:rPr>
        <w:t>euro</w:t>
      </w:r>
      <w:r w:rsidRPr="004109BC">
        <w:rPr>
          <w:rFonts w:cs="Times New Roman"/>
          <w:sz w:val="28"/>
          <w:szCs w:val="24"/>
        </w:rPr>
        <w:t xml:space="preserve">), projekta “Daugavpils pieņemšanas parka un tam piebraucamo ceļu attīstība” īstenošanu (ES fondu finansējums </w:t>
      </w:r>
      <w:r>
        <w:rPr>
          <w:rFonts w:cs="Times New Roman"/>
          <w:sz w:val="28"/>
          <w:szCs w:val="24"/>
        </w:rPr>
        <w:t>37 milj. </w:t>
      </w:r>
      <w:r w:rsidRPr="00846DBB">
        <w:rPr>
          <w:rFonts w:cs="Times New Roman"/>
          <w:i/>
          <w:sz w:val="28"/>
          <w:szCs w:val="24"/>
        </w:rPr>
        <w:t>euro</w:t>
      </w:r>
      <w:r w:rsidRPr="004109BC">
        <w:rPr>
          <w:rFonts w:cs="Times New Roman"/>
          <w:sz w:val="28"/>
          <w:szCs w:val="24"/>
        </w:rPr>
        <w:t>) un projekta “Atbalsts priekšlaicīgas mācību pārtraukšanas samazināšanai” īstenošanu (E</w:t>
      </w:r>
      <w:r>
        <w:rPr>
          <w:rFonts w:cs="Times New Roman"/>
          <w:sz w:val="28"/>
          <w:szCs w:val="24"/>
        </w:rPr>
        <w:t>S fondu finansējums 31,3 milj. </w:t>
      </w:r>
      <w:r w:rsidRPr="00846DBB">
        <w:rPr>
          <w:rFonts w:cs="Times New Roman"/>
          <w:i/>
          <w:sz w:val="28"/>
          <w:szCs w:val="24"/>
        </w:rPr>
        <w:t>euro</w:t>
      </w:r>
      <w:r w:rsidRPr="004109BC">
        <w:rPr>
          <w:rFonts w:cs="Times New Roman"/>
          <w:sz w:val="28"/>
          <w:szCs w:val="24"/>
        </w:rPr>
        <w:t>).</w:t>
      </w:r>
    </w:p>
    <w:p w14:paraId="1470DBC2" w14:textId="2E7EE540" w:rsidR="007D6121" w:rsidRPr="007D6121" w:rsidRDefault="00A03851" w:rsidP="007D6121">
      <w:pPr>
        <w:pStyle w:val="CommentText"/>
        <w:spacing w:before="120" w:after="120"/>
        <w:ind w:firstLine="720"/>
        <w:jc w:val="both"/>
        <w:rPr>
          <w:rFonts w:cs="Times New Roman"/>
          <w:sz w:val="28"/>
          <w:szCs w:val="28"/>
        </w:rPr>
      </w:pPr>
      <w:r w:rsidRPr="004109BC">
        <w:rPr>
          <w:rFonts w:cs="Times New Roman"/>
          <w:sz w:val="28"/>
          <w:szCs w:val="24"/>
        </w:rPr>
        <w:t>Iepriekšējā pusgada ziņojumā, kā arī regulāri ikmē</w:t>
      </w:r>
      <w:r>
        <w:rPr>
          <w:rFonts w:cs="Times New Roman"/>
          <w:sz w:val="28"/>
          <w:szCs w:val="24"/>
        </w:rPr>
        <w:t>neša informatīvajos ziņojumos MK</w:t>
      </w:r>
      <w:r w:rsidRPr="004109BC">
        <w:rPr>
          <w:rFonts w:cs="Times New Roman"/>
          <w:sz w:val="28"/>
          <w:szCs w:val="24"/>
        </w:rPr>
        <w:t xml:space="preserve"> tika sniegta informācija par</w:t>
      </w:r>
      <w:r>
        <w:rPr>
          <w:rFonts w:cs="Times New Roman"/>
          <w:sz w:val="28"/>
          <w:szCs w:val="24"/>
        </w:rPr>
        <w:t xml:space="preserve"> negatīvajām tendencēm IPIA – FS</w:t>
      </w:r>
      <w:r w:rsidRPr="004109BC">
        <w:rPr>
          <w:rFonts w:cs="Times New Roman"/>
          <w:sz w:val="28"/>
          <w:szCs w:val="24"/>
        </w:rPr>
        <w:t xml:space="preserve"> projektu iesniegumu iesniegšanas termiņu vairākkārtēju pagarināšanu</w:t>
      </w:r>
      <w:r w:rsidR="0068095F">
        <w:rPr>
          <w:rFonts w:cs="Times New Roman"/>
          <w:sz w:val="28"/>
          <w:szCs w:val="24"/>
        </w:rPr>
        <w:t>, kas ietekmē</w:t>
      </w:r>
      <w:r w:rsidRPr="004109BC">
        <w:rPr>
          <w:rFonts w:cs="Times New Roman"/>
          <w:sz w:val="28"/>
          <w:szCs w:val="24"/>
        </w:rPr>
        <w:t xml:space="preserve"> projektu iesniegumu iesniegšan</w:t>
      </w:r>
      <w:r w:rsidR="0068095F">
        <w:rPr>
          <w:rFonts w:cs="Times New Roman"/>
          <w:sz w:val="28"/>
          <w:szCs w:val="24"/>
        </w:rPr>
        <w:t>u</w:t>
      </w:r>
      <w:r w:rsidRPr="004109BC">
        <w:rPr>
          <w:rFonts w:cs="Times New Roman"/>
          <w:sz w:val="28"/>
          <w:szCs w:val="24"/>
        </w:rPr>
        <w:t xml:space="preserve"> </w:t>
      </w:r>
      <w:r w:rsidR="00785BD7">
        <w:rPr>
          <w:rFonts w:cs="Times New Roman"/>
          <w:sz w:val="28"/>
          <w:szCs w:val="24"/>
        </w:rPr>
        <w:t>CFLA</w:t>
      </w:r>
      <w:r w:rsidRPr="004109BC">
        <w:rPr>
          <w:rFonts w:cs="Times New Roman"/>
          <w:sz w:val="28"/>
          <w:szCs w:val="24"/>
        </w:rPr>
        <w:t>. Ņemot vērā šo tendenci un</w:t>
      </w:r>
      <w:r w:rsidR="0068095F">
        <w:rPr>
          <w:rFonts w:cs="Times New Roman"/>
          <w:sz w:val="28"/>
          <w:szCs w:val="24"/>
        </w:rPr>
        <w:t>, lai</w:t>
      </w:r>
      <w:r w:rsidR="00FE298E">
        <w:rPr>
          <w:rFonts w:cs="Times New Roman"/>
          <w:sz w:val="28"/>
          <w:szCs w:val="24"/>
        </w:rPr>
        <w:t xml:space="preserve"> </w:t>
      </w:r>
      <w:r w:rsidRPr="004109BC">
        <w:rPr>
          <w:rFonts w:cs="Times New Roman"/>
          <w:sz w:val="28"/>
          <w:szCs w:val="24"/>
        </w:rPr>
        <w:t>minimizē</w:t>
      </w:r>
      <w:r w:rsidR="0068095F">
        <w:rPr>
          <w:rFonts w:cs="Times New Roman"/>
          <w:sz w:val="28"/>
          <w:szCs w:val="24"/>
        </w:rPr>
        <w:t>tu</w:t>
      </w:r>
      <w:r w:rsidRPr="004109BC">
        <w:rPr>
          <w:rFonts w:cs="Times New Roman"/>
          <w:sz w:val="28"/>
          <w:szCs w:val="24"/>
        </w:rPr>
        <w:t xml:space="preserve"> snieguma ietvara mērķu neizpildes riskus, kas varētu rasties savlaicīgi </w:t>
      </w:r>
      <w:r w:rsidR="0068095F">
        <w:rPr>
          <w:rFonts w:cs="Times New Roman"/>
          <w:sz w:val="28"/>
          <w:szCs w:val="24"/>
        </w:rPr>
        <w:t>ne</w:t>
      </w:r>
      <w:r w:rsidRPr="004109BC">
        <w:rPr>
          <w:rFonts w:cs="Times New Roman"/>
          <w:sz w:val="28"/>
          <w:szCs w:val="24"/>
        </w:rPr>
        <w:t>uzsākt</w:t>
      </w:r>
      <w:r w:rsidR="0068095F">
        <w:rPr>
          <w:rFonts w:cs="Times New Roman"/>
          <w:sz w:val="28"/>
          <w:szCs w:val="24"/>
        </w:rPr>
        <w:t>u</w:t>
      </w:r>
      <w:r w:rsidRPr="004109BC">
        <w:rPr>
          <w:rFonts w:cs="Times New Roman"/>
          <w:sz w:val="28"/>
          <w:szCs w:val="24"/>
        </w:rPr>
        <w:t xml:space="preserve"> projektu ieviešana</w:t>
      </w:r>
      <w:r w:rsidR="0068095F">
        <w:rPr>
          <w:rFonts w:cs="Times New Roman"/>
          <w:sz w:val="28"/>
          <w:szCs w:val="24"/>
        </w:rPr>
        <w:t>s</w:t>
      </w:r>
      <w:r w:rsidRPr="004109BC">
        <w:rPr>
          <w:rFonts w:cs="Times New Roman"/>
          <w:sz w:val="28"/>
          <w:szCs w:val="24"/>
        </w:rPr>
        <w:t xml:space="preserve"> un maksājuma pieprasījumu iesnieg</w:t>
      </w:r>
      <w:r>
        <w:rPr>
          <w:rFonts w:cs="Times New Roman"/>
          <w:sz w:val="28"/>
          <w:szCs w:val="24"/>
        </w:rPr>
        <w:t>šana</w:t>
      </w:r>
      <w:r w:rsidR="0068095F">
        <w:rPr>
          <w:rFonts w:cs="Times New Roman"/>
          <w:sz w:val="28"/>
          <w:szCs w:val="24"/>
        </w:rPr>
        <w:t>s dēļ</w:t>
      </w:r>
      <w:r>
        <w:rPr>
          <w:rFonts w:cs="Times New Roman"/>
          <w:sz w:val="28"/>
          <w:szCs w:val="24"/>
        </w:rPr>
        <w:t>, CFLA kā SI</w:t>
      </w:r>
      <w:r w:rsidRPr="004109BC">
        <w:rPr>
          <w:rFonts w:cs="Times New Roman"/>
          <w:sz w:val="28"/>
          <w:szCs w:val="24"/>
        </w:rPr>
        <w:t xml:space="preserve"> regulāri komunicē ar projektu iesniedzējiem, atgādinot par nepieciešamību savlaicīgi iesniegt projektu iesniegumus, konsultē</w:t>
      </w:r>
      <w:r w:rsidR="0068095F">
        <w:rPr>
          <w:rFonts w:cs="Times New Roman"/>
          <w:sz w:val="28"/>
          <w:szCs w:val="24"/>
        </w:rPr>
        <w:t xml:space="preserve"> neskaidros jautājumos</w:t>
      </w:r>
      <w:r w:rsidRPr="004109BC">
        <w:rPr>
          <w:rFonts w:cs="Times New Roman"/>
          <w:sz w:val="28"/>
          <w:szCs w:val="24"/>
        </w:rPr>
        <w:t xml:space="preserve"> par projektu iesniegumu sagatavošanu un </w:t>
      </w:r>
      <w:r w:rsidR="0068095F">
        <w:rPr>
          <w:rFonts w:cs="Times New Roman"/>
          <w:sz w:val="28"/>
          <w:szCs w:val="24"/>
        </w:rPr>
        <w:t>aicina</w:t>
      </w:r>
      <w:r w:rsidR="0068095F" w:rsidRPr="004109BC">
        <w:rPr>
          <w:rFonts w:cs="Times New Roman"/>
          <w:sz w:val="28"/>
          <w:szCs w:val="24"/>
        </w:rPr>
        <w:t xml:space="preserve"> </w:t>
      </w:r>
      <w:r w:rsidRPr="004109BC">
        <w:rPr>
          <w:rFonts w:cs="Times New Roman"/>
          <w:sz w:val="28"/>
          <w:szCs w:val="24"/>
        </w:rPr>
        <w:t xml:space="preserve">sniegt detalizētus skaidrojumus kavēšanās gadījumos. </w:t>
      </w:r>
      <w:r w:rsidR="0068095F">
        <w:rPr>
          <w:rFonts w:cs="Times New Roman"/>
          <w:sz w:val="28"/>
          <w:szCs w:val="24"/>
        </w:rPr>
        <w:t>Kopumā l</w:t>
      </w:r>
      <w:r w:rsidRPr="004109BC">
        <w:rPr>
          <w:rFonts w:cs="Times New Roman"/>
          <w:sz w:val="28"/>
          <w:szCs w:val="24"/>
        </w:rPr>
        <w:t>īdz 2017.</w:t>
      </w:r>
      <w:r>
        <w:rPr>
          <w:rFonts w:cs="Times New Roman"/>
          <w:sz w:val="28"/>
          <w:szCs w:val="24"/>
        </w:rPr>
        <w:t> </w:t>
      </w:r>
      <w:r w:rsidRPr="004109BC">
        <w:rPr>
          <w:rFonts w:cs="Times New Roman"/>
          <w:sz w:val="28"/>
          <w:szCs w:val="24"/>
        </w:rPr>
        <w:t xml:space="preserve">gadam ir būtiski samazinājies līdz šim neiesniegto projektu iesniegumu skaits. </w:t>
      </w:r>
      <w:r w:rsidR="0068095F">
        <w:rPr>
          <w:rFonts w:cs="Times New Roman"/>
          <w:sz w:val="28"/>
          <w:szCs w:val="24"/>
        </w:rPr>
        <w:t>Taču</w:t>
      </w:r>
      <w:r w:rsidR="0068095F" w:rsidRPr="004109BC">
        <w:rPr>
          <w:rFonts w:cs="Times New Roman"/>
          <w:sz w:val="28"/>
          <w:szCs w:val="24"/>
        </w:rPr>
        <w:t xml:space="preserve"> </w:t>
      </w:r>
      <w:r w:rsidR="0068095F">
        <w:rPr>
          <w:rFonts w:cs="Times New Roman"/>
          <w:sz w:val="28"/>
          <w:szCs w:val="24"/>
        </w:rPr>
        <w:t>jā</w:t>
      </w:r>
      <w:r w:rsidRPr="004109BC">
        <w:rPr>
          <w:rFonts w:cs="Times New Roman"/>
          <w:sz w:val="28"/>
          <w:szCs w:val="24"/>
        </w:rPr>
        <w:t>atzīmē</w:t>
      </w:r>
      <w:r>
        <w:rPr>
          <w:rFonts w:cs="Times New Roman"/>
          <w:sz w:val="28"/>
          <w:szCs w:val="24"/>
        </w:rPr>
        <w:t>, ka ir pašvaldības</w:t>
      </w:r>
      <w:r w:rsidRPr="004109BC">
        <w:rPr>
          <w:rFonts w:cs="Times New Roman"/>
          <w:sz w:val="28"/>
          <w:szCs w:val="24"/>
        </w:rPr>
        <w:t xml:space="preserve">, kuras plānotos projektu iesniegumus neiesniedz. </w:t>
      </w:r>
      <w:r w:rsidR="00F64D71" w:rsidRPr="00F64D71">
        <w:rPr>
          <w:rFonts w:cs="Times New Roman"/>
          <w:sz w:val="28"/>
          <w:szCs w:val="24"/>
        </w:rPr>
        <w:t xml:space="preserve">Ņemot vērā, ka </w:t>
      </w:r>
      <w:r w:rsidR="00F64D71" w:rsidRPr="00F64D71">
        <w:rPr>
          <w:rFonts w:cs="Times New Roman"/>
          <w:sz w:val="28"/>
          <w:szCs w:val="24"/>
        </w:rPr>
        <w:lastRenderedPageBreak/>
        <w:t>IPIA plānā tiek iekļauti FS pašu noteiktie projektu iesniegumu iesniegšanas termiņi, attiecīgi vērtējot situāciju uz 2017. gada decembra beigām konstatēts, ka vairāku SAM ietvaros FS nav ievērojuši paši savus noteiktos termiņus un iesnieguši projektu iesniegumus, kuriem bija rezervēts ES fondu finansējums vairāk kā 31 milj. euro apmērā. Tas ietver 12 degradēto teritoriju projektus (14,2 milj. euro), 9 pašvaldību uzņēmējdarbības infrastruktūras veicināšanas projektus (4,9 milj. euro), 7 ūdensapgādes un kanalizācijas sistēmas pakalpojumu k</w:t>
      </w:r>
      <w:r w:rsidR="00F64D71">
        <w:rPr>
          <w:rFonts w:cs="Times New Roman"/>
          <w:sz w:val="28"/>
          <w:szCs w:val="24"/>
        </w:rPr>
        <w:t xml:space="preserve">valitātes uzlabošanas projektus </w:t>
      </w:r>
      <w:r w:rsidR="00F64D71" w:rsidRPr="00F64D71">
        <w:rPr>
          <w:rFonts w:cs="Times New Roman"/>
          <w:sz w:val="28"/>
          <w:szCs w:val="24"/>
        </w:rPr>
        <w:t>(16,8 milj. euro), trīs projektus, kas vērsti uz energoefektivitātes paaugstināšanu un AER izmantošanu pašvaldību ēkās (0,4 milj. euro), 1 plūdu novēršanas projektu (2,5 milj. euro) un 1 centralizētās publiskās pārvaldes IKT platformas izveides projektu (3,8 milj. euro).</w:t>
      </w:r>
    </w:p>
    <w:p w14:paraId="2C050024" w14:textId="5B584755" w:rsidR="007D6121" w:rsidRPr="007D6121" w:rsidRDefault="007D6121" w:rsidP="007D6121">
      <w:pPr>
        <w:pStyle w:val="CommentText"/>
        <w:spacing w:before="120" w:after="120"/>
        <w:ind w:firstLine="720"/>
        <w:jc w:val="both"/>
        <w:rPr>
          <w:rFonts w:cs="Times New Roman"/>
          <w:sz w:val="28"/>
          <w:szCs w:val="28"/>
        </w:rPr>
      </w:pPr>
      <w:r w:rsidRPr="007D6121">
        <w:rPr>
          <w:rFonts w:cs="Times New Roman"/>
          <w:sz w:val="28"/>
          <w:szCs w:val="28"/>
        </w:rPr>
        <w:t>Līdz šim VARAM veikusi vairākus pasākumus, lai veicinātu ātrāku projektu uzsākšanu:</w:t>
      </w:r>
    </w:p>
    <w:p w14:paraId="56E340DD" w14:textId="45BAD370" w:rsidR="007D6121" w:rsidRPr="007D6121" w:rsidRDefault="007D6121" w:rsidP="007D6121">
      <w:pPr>
        <w:pStyle w:val="CommentText"/>
        <w:spacing w:before="120" w:after="120"/>
        <w:ind w:firstLine="720"/>
        <w:jc w:val="both"/>
        <w:rPr>
          <w:rFonts w:cs="Times New Roman"/>
          <w:sz w:val="28"/>
          <w:szCs w:val="28"/>
        </w:rPr>
      </w:pPr>
      <w:r w:rsidRPr="007D6121">
        <w:rPr>
          <w:rFonts w:cs="Times New Roman"/>
          <w:sz w:val="28"/>
          <w:szCs w:val="28"/>
        </w:rPr>
        <w:t>1)</w:t>
      </w:r>
      <w:r w:rsidRPr="007D6121">
        <w:rPr>
          <w:rFonts w:cs="Times New Roman"/>
          <w:sz w:val="28"/>
          <w:szCs w:val="28"/>
        </w:rPr>
        <w:tab/>
        <w:t xml:space="preserve">sadarbībā ar CFLA un </w:t>
      </w:r>
      <w:r>
        <w:rPr>
          <w:rFonts w:cs="Times New Roman"/>
          <w:sz w:val="28"/>
          <w:szCs w:val="28"/>
        </w:rPr>
        <w:t>FM</w:t>
      </w:r>
      <w:r w:rsidRPr="007D6121">
        <w:rPr>
          <w:rFonts w:cs="Times New Roman"/>
          <w:sz w:val="28"/>
          <w:szCs w:val="28"/>
        </w:rPr>
        <w:t xml:space="preserve"> ir organizējusi sanāksmes tiem projektu iesniedzējiem (lielajām pilsētām), kuru ietekme uz projektu iesniegšanas un maksājumu pieprasījumu plāna izpildi ir vislielākā;</w:t>
      </w:r>
    </w:p>
    <w:p w14:paraId="673C4BAE" w14:textId="77777777" w:rsidR="007D6121" w:rsidRPr="007D6121" w:rsidRDefault="007D6121" w:rsidP="007D6121">
      <w:pPr>
        <w:pStyle w:val="CommentText"/>
        <w:spacing w:before="120" w:after="120"/>
        <w:ind w:firstLine="720"/>
        <w:jc w:val="both"/>
        <w:rPr>
          <w:rFonts w:cs="Times New Roman"/>
          <w:sz w:val="28"/>
          <w:szCs w:val="28"/>
        </w:rPr>
      </w:pPr>
      <w:r w:rsidRPr="007D6121">
        <w:rPr>
          <w:rFonts w:cs="Times New Roman"/>
          <w:sz w:val="28"/>
          <w:szCs w:val="28"/>
        </w:rPr>
        <w:t>2)</w:t>
      </w:r>
      <w:r w:rsidRPr="007D6121">
        <w:rPr>
          <w:rFonts w:cs="Times New Roman"/>
          <w:sz w:val="28"/>
          <w:szCs w:val="28"/>
        </w:rPr>
        <w:tab/>
        <w:t>tiek atbalstīta iepirkumu veikšana vienlaikus ar projektu iesniegšanu un vērtēšanu (ievērojot valsts atbalsta nosacījumus un neuzņemoties saistības pirms projekta apstiprināšanas);</w:t>
      </w:r>
    </w:p>
    <w:p w14:paraId="2128D3A5" w14:textId="0F30338C" w:rsidR="00A03851" w:rsidRPr="00D02FA8" w:rsidRDefault="007D6121" w:rsidP="007D6121">
      <w:pPr>
        <w:pStyle w:val="CommentText"/>
        <w:spacing w:before="120" w:after="120"/>
        <w:ind w:firstLine="720"/>
        <w:jc w:val="both"/>
        <w:rPr>
          <w:rFonts w:cs="Times New Roman"/>
          <w:sz w:val="28"/>
          <w:szCs w:val="28"/>
        </w:rPr>
      </w:pPr>
      <w:r w:rsidRPr="007D6121">
        <w:rPr>
          <w:rFonts w:cs="Times New Roman"/>
          <w:sz w:val="28"/>
          <w:szCs w:val="28"/>
        </w:rPr>
        <w:t>3)</w:t>
      </w:r>
      <w:r w:rsidRPr="007D6121">
        <w:rPr>
          <w:rFonts w:cs="Times New Roman"/>
          <w:sz w:val="28"/>
          <w:szCs w:val="28"/>
        </w:rPr>
        <w:tab/>
        <w:t>izsludinot projektu atlasi vai nepieciešamības gadījumā pagarinot projektu iesniegumu iesniegšanas laiku jau izsludinātās atlases ietvaros, katram projektam tiek noteikts individuāls iesniegšanas termiņš.</w:t>
      </w:r>
    </w:p>
    <w:p w14:paraId="74639BEB" w14:textId="1233BF17" w:rsidR="007D6121" w:rsidRDefault="007D6121" w:rsidP="007D6121">
      <w:pPr>
        <w:pStyle w:val="CommentText"/>
        <w:spacing w:before="120" w:after="120"/>
        <w:ind w:firstLine="720"/>
        <w:jc w:val="both"/>
        <w:rPr>
          <w:rFonts w:cs="Times New Roman"/>
          <w:sz w:val="28"/>
          <w:szCs w:val="28"/>
        </w:rPr>
      </w:pPr>
      <w:r w:rsidRPr="00D02FA8">
        <w:rPr>
          <w:rFonts w:cs="Times New Roman"/>
          <w:sz w:val="28"/>
          <w:szCs w:val="28"/>
        </w:rPr>
        <w:t xml:space="preserve">VARAM kā AI paredz, ka daļai no projektiem (izņēmuma kārtā) tiks ļauts iesniegt tos vēlāk, tomēr lielākoties ir paredzēts, ka </w:t>
      </w:r>
      <w:r w:rsidR="007E5007">
        <w:rPr>
          <w:rFonts w:cs="Times New Roman"/>
          <w:sz w:val="28"/>
          <w:szCs w:val="28"/>
        </w:rPr>
        <w:t>VARA</w:t>
      </w:r>
      <w:r w:rsidR="0046746E">
        <w:rPr>
          <w:rFonts w:cs="Times New Roman"/>
          <w:sz w:val="28"/>
          <w:szCs w:val="28"/>
        </w:rPr>
        <w:t>M</w:t>
      </w:r>
      <w:r w:rsidR="007E5007">
        <w:rPr>
          <w:rFonts w:cs="Times New Roman"/>
          <w:sz w:val="28"/>
          <w:szCs w:val="28"/>
        </w:rPr>
        <w:t xml:space="preserve"> izvērtēs iespēju rīkot </w:t>
      </w:r>
      <w:r w:rsidRPr="00D02FA8">
        <w:rPr>
          <w:rFonts w:cs="Times New Roman"/>
          <w:sz w:val="28"/>
          <w:szCs w:val="28"/>
        </w:rPr>
        <w:t xml:space="preserve">papildu atlases, </w:t>
      </w:r>
      <w:r w:rsidR="007E5007">
        <w:rPr>
          <w:rFonts w:cs="Times New Roman"/>
          <w:sz w:val="28"/>
          <w:szCs w:val="28"/>
        </w:rPr>
        <w:t>finansējumu novirzot citu projektu īstenošanai</w:t>
      </w:r>
      <w:r w:rsidR="0046746E">
        <w:rPr>
          <w:rStyle w:val="FootnoteReference"/>
          <w:rFonts w:cs="Times New Roman"/>
          <w:sz w:val="28"/>
          <w:szCs w:val="28"/>
        </w:rPr>
        <w:footnoteReference w:id="33"/>
      </w:r>
      <w:r w:rsidR="0046746E">
        <w:rPr>
          <w:rFonts w:cs="Times New Roman"/>
          <w:sz w:val="28"/>
          <w:szCs w:val="28"/>
        </w:rPr>
        <w:t>, tai skaitā, ņemot vērā EK lēmuma par snieguma ietvara izpildi laika grafiku, projektu ietvaros plānotos sasniedzamos rādītājus, projektu aktualitāti, gatavību un citus aspektus</w:t>
      </w:r>
      <w:r w:rsidRPr="00D02FA8">
        <w:rPr>
          <w:rFonts w:cs="Times New Roman"/>
          <w:sz w:val="28"/>
          <w:szCs w:val="28"/>
        </w:rPr>
        <w:t>.</w:t>
      </w:r>
    </w:p>
    <w:p w14:paraId="364C3277" w14:textId="2C6172DE" w:rsidR="00A03851" w:rsidRPr="004109BC" w:rsidRDefault="00A03851" w:rsidP="007D6121">
      <w:pPr>
        <w:spacing w:before="120" w:after="120"/>
        <w:ind w:firstLine="720"/>
        <w:jc w:val="both"/>
        <w:rPr>
          <w:rFonts w:cs="Times New Roman"/>
          <w:sz w:val="28"/>
          <w:szCs w:val="24"/>
        </w:rPr>
      </w:pPr>
      <w:r w:rsidRPr="004109BC">
        <w:rPr>
          <w:rFonts w:cs="Times New Roman"/>
          <w:sz w:val="28"/>
          <w:szCs w:val="24"/>
        </w:rPr>
        <w:t>Kā jau iepriekš minēts, projektu iesniegumu kvalitātei ir ļoti liela nozīme, jo tā ietekmē iespējas noslēgt līgumus par projektu īstenošanu un attiecīgi arī ļauj ātrāk uzsākt maksājumu veikšanu par projektu ietvaros jau izlietotajiem līdzekļiem un veicina snieguma ietvara mērķu sasniegšanu</w:t>
      </w:r>
      <w:r>
        <w:rPr>
          <w:rFonts w:cs="Times New Roman"/>
          <w:sz w:val="28"/>
          <w:szCs w:val="24"/>
        </w:rPr>
        <w:t>, kā arī</w:t>
      </w:r>
      <w:r w:rsidRPr="004109BC">
        <w:rPr>
          <w:rFonts w:cs="Times New Roman"/>
          <w:sz w:val="28"/>
          <w:szCs w:val="24"/>
        </w:rPr>
        <w:t xml:space="preserve"> ļauj saņemt avansa maksājumus, kas var būt izšķiroši to projektu ieviešanas uzsākšanai, kuros ES fondu finansējuma atbalsts ir izšķirošs kritērijs projekta īstenošanas iespējamībai. </w:t>
      </w:r>
      <w:r w:rsidR="0000240D">
        <w:rPr>
          <w:rFonts w:cs="Times New Roman"/>
          <w:sz w:val="28"/>
          <w:szCs w:val="24"/>
        </w:rPr>
        <w:t>Jāsecina, ka joprojām</w:t>
      </w:r>
      <w:r w:rsidRPr="004109BC">
        <w:rPr>
          <w:rFonts w:cs="Times New Roman"/>
          <w:sz w:val="28"/>
          <w:szCs w:val="24"/>
        </w:rPr>
        <w:t xml:space="preserve"> projektu iesniegumu kvalitāte arī šajā pārskata periodā neuzrāda uzlabojumus.</w:t>
      </w:r>
    </w:p>
    <w:p w14:paraId="2438CAAF" w14:textId="0FA98D52" w:rsidR="00A03851" w:rsidRPr="004109BC" w:rsidRDefault="00A03851" w:rsidP="008A0FEC">
      <w:pPr>
        <w:spacing w:before="120" w:after="120"/>
        <w:ind w:firstLine="720"/>
        <w:jc w:val="both"/>
        <w:rPr>
          <w:rFonts w:cs="Times New Roman"/>
          <w:sz w:val="28"/>
          <w:szCs w:val="24"/>
        </w:rPr>
      </w:pPr>
      <w:r w:rsidRPr="004109BC">
        <w:rPr>
          <w:rFonts w:cs="Times New Roman"/>
          <w:sz w:val="28"/>
          <w:szCs w:val="24"/>
        </w:rPr>
        <w:t xml:space="preserve">Kopumā </w:t>
      </w:r>
      <w:r>
        <w:rPr>
          <w:rFonts w:cs="Times New Roman"/>
          <w:sz w:val="28"/>
          <w:szCs w:val="24"/>
        </w:rPr>
        <w:t>SI</w:t>
      </w:r>
      <w:r w:rsidRPr="004109BC">
        <w:rPr>
          <w:rFonts w:cs="Times New Roman"/>
          <w:sz w:val="28"/>
          <w:szCs w:val="24"/>
        </w:rPr>
        <w:t xml:space="preserve"> bija iesniegti 1</w:t>
      </w:r>
      <w:r>
        <w:rPr>
          <w:rFonts w:cs="Times New Roman"/>
          <w:sz w:val="28"/>
          <w:szCs w:val="24"/>
        </w:rPr>
        <w:t> </w:t>
      </w:r>
      <w:r w:rsidRPr="004109BC">
        <w:rPr>
          <w:rFonts w:cs="Times New Roman"/>
          <w:sz w:val="28"/>
          <w:szCs w:val="24"/>
        </w:rPr>
        <w:t>493</w:t>
      </w:r>
      <w:r>
        <w:rPr>
          <w:rFonts w:cs="Times New Roman"/>
          <w:sz w:val="28"/>
          <w:szCs w:val="24"/>
        </w:rPr>
        <w:t> </w:t>
      </w:r>
      <w:r w:rsidRPr="004109BC">
        <w:rPr>
          <w:rFonts w:cs="Times New Roman"/>
          <w:sz w:val="28"/>
          <w:szCs w:val="24"/>
        </w:rPr>
        <w:t>projektu iesniegumi, no tiem vien 45</w:t>
      </w:r>
      <w:r>
        <w:rPr>
          <w:rFonts w:cs="Times New Roman"/>
          <w:sz w:val="28"/>
          <w:szCs w:val="24"/>
        </w:rPr>
        <w:t> </w:t>
      </w:r>
      <w:r w:rsidRPr="004109BC">
        <w:rPr>
          <w:rFonts w:cs="Times New Roman"/>
          <w:sz w:val="28"/>
          <w:szCs w:val="24"/>
        </w:rPr>
        <w:t>projektu iesniegumi jeb 3</w:t>
      </w:r>
      <w:r>
        <w:rPr>
          <w:rFonts w:cs="Times New Roman"/>
          <w:sz w:val="28"/>
          <w:szCs w:val="24"/>
        </w:rPr>
        <w:t> </w:t>
      </w:r>
      <w:r w:rsidRPr="004109BC">
        <w:rPr>
          <w:rFonts w:cs="Times New Roman"/>
          <w:sz w:val="28"/>
          <w:szCs w:val="24"/>
        </w:rPr>
        <w:t>% projektu iesniegumu tika apstiprināti bez nosacījumu izvirzīšanas. No 2017.</w:t>
      </w:r>
      <w:r>
        <w:rPr>
          <w:rFonts w:cs="Times New Roman"/>
          <w:sz w:val="28"/>
          <w:szCs w:val="24"/>
        </w:rPr>
        <w:t> </w:t>
      </w:r>
      <w:r w:rsidRPr="004109BC">
        <w:rPr>
          <w:rFonts w:cs="Times New Roman"/>
          <w:sz w:val="28"/>
          <w:szCs w:val="24"/>
        </w:rPr>
        <w:t>gadā iesniegtajiem 665</w:t>
      </w:r>
      <w:r>
        <w:rPr>
          <w:rFonts w:cs="Times New Roman"/>
          <w:sz w:val="28"/>
          <w:szCs w:val="24"/>
        </w:rPr>
        <w:t> </w:t>
      </w:r>
      <w:r w:rsidRPr="004109BC">
        <w:rPr>
          <w:rFonts w:cs="Times New Roman"/>
          <w:sz w:val="28"/>
          <w:szCs w:val="24"/>
        </w:rPr>
        <w:t xml:space="preserve">projektu iesniegumiem </w:t>
      </w:r>
      <w:r w:rsidRPr="004109BC">
        <w:rPr>
          <w:rFonts w:cs="Times New Roman"/>
          <w:sz w:val="28"/>
          <w:szCs w:val="24"/>
        </w:rPr>
        <w:lastRenderedPageBreak/>
        <w:t>pirmajā vērtēšanas reizē pozitīvu lēmumu par projektu iesniegumu varēja pieņemt tikai 2,1</w:t>
      </w:r>
      <w:r>
        <w:rPr>
          <w:rFonts w:cs="Times New Roman"/>
          <w:sz w:val="28"/>
          <w:szCs w:val="24"/>
        </w:rPr>
        <w:t> </w:t>
      </w:r>
      <w:r w:rsidRPr="004109BC">
        <w:rPr>
          <w:rFonts w:cs="Times New Roman"/>
          <w:sz w:val="28"/>
          <w:szCs w:val="24"/>
        </w:rPr>
        <w:t>% procentu gadījumā (14</w:t>
      </w:r>
      <w:r>
        <w:rPr>
          <w:rFonts w:cs="Times New Roman"/>
          <w:sz w:val="28"/>
          <w:szCs w:val="24"/>
        </w:rPr>
        <w:t> </w:t>
      </w:r>
      <w:r w:rsidRPr="004109BC">
        <w:rPr>
          <w:rFonts w:cs="Times New Roman"/>
          <w:sz w:val="28"/>
          <w:szCs w:val="24"/>
        </w:rPr>
        <w:t>projektu iesniegumi). 2017.</w:t>
      </w:r>
      <w:r>
        <w:rPr>
          <w:rFonts w:cs="Times New Roman"/>
          <w:sz w:val="28"/>
          <w:szCs w:val="24"/>
        </w:rPr>
        <w:t> </w:t>
      </w:r>
      <w:r w:rsidRPr="004109BC">
        <w:rPr>
          <w:rFonts w:cs="Times New Roman"/>
          <w:sz w:val="28"/>
          <w:szCs w:val="24"/>
        </w:rPr>
        <w:t xml:space="preserve">gada </w:t>
      </w:r>
      <w:r>
        <w:rPr>
          <w:rFonts w:cs="Times New Roman"/>
          <w:sz w:val="28"/>
          <w:szCs w:val="24"/>
        </w:rPr>
        <w:t>II </w:t>
      </w:r>
      <w:r w:rsidRPr="004109BC">
        <w:rPr>
          <w:rFonts w:cs="Times New Roman"/>
          <w:sz w:val="28"/>
          <w:szCs w:val="24"/>
        </w:rPr>
        <w:t xml:space="preserve">pusgadā šis rādītājs ir vēl zemāks </w:t>
      </w:r>
      <w:r>
        <w:rPr>
          <w:rFonts w:cs="Times New Roman"/>
          <w:sz w:val="28"/>
          <w:szCs w:val="24"/>
        </w:rPr>
        <w:t>–</w:t>
      </w:r>
      <w:r w:rsidRPr="004109BC">
        <w:rPr>
          <w:rFonts w:cs="Times New Roman"/>
          <w:sz w:val="28"/>
          <w:szCs w:val="24"/>
        </w:rPr>
        <w:t xml:space="preserve"> vien 1,3</w:t>
      </w:r>
      <w:r>
        <w:rPr>
          <w:rFonts w:cs="Times New Roman"/>
          <w:sz w:val="28"/>
          <w:szCs w:val="24"/>
        </w:rPr>
        <w:t> </w:t>
      </w:r>
      <w:r w:rsidRPr="004109BC">
        <w:rPr>
          <w:rFonts w:cs="Times New Roman"/>
          <w:sz w:val="28"/>
          <w:szCs w:val="24"/>
        </w:rPr>
        <w:t>% (no 438</w:t>
      </w:r>
      <w:r>
        <w:rPr>
          <w:rFonts w:cs="Times New Roman"/>
          <w:sz w:val="28"/>
          <w:szCs w:val="24"/>
        </w:rPr>
        <w:t> </w:t>
      </w:r>
      <w:r w:rsidRPr="004109BC">
        <w:rPr>
          <w:rFonts w:cs="Times New Roman"/>
          <w:sz w:val="28"/>
          <w:szCs w:val="24"/>
        </w:rPr>
        <w:t xml:space="preserve">izvērtētajiem projektiem pozitīvs lēmums vien </w:t>
      </w:r>
      <w:r w:rsidR="00635896">
        <w:rPr>
          <w:rFonts w:cs="Times New Roman"/>
          <w:sz w:val="28"/>
          <w:szCs w:val="24"/>
        </w:rPr>
        <w:t>sešu</w:t>
      </w:r>
      <w:r>
        <w:rPr>
          <w:rFonts w:cs="Times New Roman"/>
          <w:sz w:val="28"/>
          <w:szCs w:val="24"/>
        </w:rPr>
        <w:t> </w:t>
      </w:r>
      <w:r w:rsidRPr="004109BC">
        <w:rPr>
          <w:rFonts w:cs="Times New Roman"/>
          <w:sz w:val="28"/>
          <w:szCs w:val="24"/>
        </w:rPr>
        <w:t>projekta iesniegumu gadījumā). Vienlaikus jāatzīmē, ka 2017.</w:t>
      </w:r>
      <w:r>
        <w:rPr>
          <w:rFonts w:cs="Times New Roman"/>
          <w:sz w:val="28"/>
          <w:szCs w:val="24"/>
        </w:rPr>
        <w:t> </w:t>
      </w:r>
      <w:r w:rsidRPr="004109BC">
        <w:rPr>
          <w:rFonts w:cs="Times New Roman"/>
          <w:sz w:val="28"/>
          <w:szCs w:val="24"/>
        </w:rPr>
        <w:t>gadā ir būtiski samazinājies noraidīto projektu iesniegumu apjoms</w:t>
      </w:r>
      <w:r w:rsidR="00635896">
        <w:rPr>
          <w:rFonts w:cs="Times New Roman"/>
          <w:sz w:val="28"/>
          <w:szCs w:val="24"/>
        </w:rPr>
        <w:t> </w:t>
      </w:r>
      <w:r w:rsidRPr="004109BC">
        <w:rPr>
          <w:rFonts w:cs="Times New Roman"/>
          <w:sz w:val="28"/>
          <w:szCs w:val="24"/>
        </w:rPr>
        <w:t>–</w:t>
      </w:r>
      <w:r w:rsidR="00635896">
        <w:rPr>
          <w:rFonts w:cs="Times New Roman"/>
          <w:sz w:val="28"/>
          <w:szCs w:val="24"/>
        </w:rPr>
        <w:t> </w:t>
      </w:r>
      <w:r w:rsidRPr="004109BC">
        <w:rPr>
          <w:rFonts w:cs="Times New Roman"/>
          <w:sz w:val="28"/>
          <w:szCs w:val="24"/>
        </w:rPr>
        <w:t>2017.</w:t>
      </w:r>
      <w:r>
        <w:rPr>
          <w:rFonts w:cs="Times New Roman"/>
          <w:sz w:val="28"/>
          <w:szCs w:val="24"/>
        </w:rPr>
        <w:t> </w:t>
      </w:r>
      <w:r w:rsidRPr="004109BC">
        <w:rPr>
          <w:rFonts w:cs="Times New Roman"/>
          <w:sz w:val="28"/>
          <w:szCs w:val="24"/>
        </w:rPr>
        <w:t>gadā kopumā tas ir 5,1</w:t>
      </w:r>
      <w:r>
        <w:rPr>
          <w:rFonts w:cs="Times New Roman"/>
          <w:sz w:val="28"/>
          <w:szCs w:val="24"/>
        </w:rPr>
        <w:t> </w:t>
      </w:r>
      <w:r w:rsidRPr="004109BC">
        <w:rPr>
          <w:rFonts w:cs="Times New Roman"/>
          <w:sz w:val="28"/>
          <w:szCs w:val="24"/>
        </w:rPr>
        <w:t>%, un 2017.</w:t>
      </w:r>
      <w:r>
        <w:rPr>
          <w:rFonts w:cs="Times New Roman"/>
          <w:sz w:val="28"/>
          <w:szCs w:val="24"/>
        </w:rPr>
        <w:t> </w:t>
      </w:r>
      <w:r w:rsidRPr="004109BC">
        <w:rPr>
          <w:rFonts w:cs="Times New Roman"/>
          <w:sz w:val="28"/>
          <w:szCs w:val="24"/>
        </w:rPr>
        <w:t xml:space="preserve">gada </w:t>
      </w:r>
      <w:r>
        <w:rPr>
          <w:rFonts w:cs="Times New Roman"/>
          <w:sz w:val="28"/>
          <w:szCs w:val="24"/>
        </w:rPr>
        <w:t>II </w:t>
      </w:r>
      <w:r w:rsidRPr="004109BC">
        <w:rPr>
          <w:rFonts w:cs="Times New Roman"/>
          <w:sz w:val="28"/>
          <w:szCs w:val="24"/>
        </w:rPr>
        <w:t>pusgadā vien 1,6</w:t>
      </w:r>
      <w:r>
        <w:rPr>
          <w:rFonts w:cs="Times New Roman"/>
          <w:sz w:val="28"/>
          <w:szCs w:val="24"/>
        </w:rPr>
        <w:t> </w:t>
      </w:r>
      <w:r w:rsidRPr="004109BC">
        <w:rPr>
          <w:rFonts w:cs="Times New Roman"/>
          <w:sz w:val="28"/>
          <w:szCs w:val="24"/>
        </w:rPr>
        <w:t xml:space="preserve">%, kas ir skaidrojams arī ar to, ka šajā pārskata periodā bija mazāks saņemto projektu iesniegumu </w:t>
      </w:r>
      <w:r w:rsidR="00866986">
        <w:rPr>
          <w:rFonts w:cs="Times New Roman"/>
          <w:sz w:val="28"/>
          <w:szCs w:val="24"/>
        </w:rPr>
        <w:t>atklāto projektu iesniegumu atlasēs</w:t>
      </w:r>
      <w:r w:rsidR="00635896">
        <w:rPr>
          <w:rFonts w:cs="Times New Roman"/>
          <w:sz w:val="28"/>
          <w:szCs w:val="24"/>
        </w:rPr>
        <w:t xml:space="preserve"> skaits</w:t>
      </w:r>
      <w:r w:rsidRPr="004109BC">
        <w:rPr>
          <w:rFonts w:cs="Times New Roman"/>
          <w:sz w:val="28"/>
          <w:szCs w:val="24"/>
        </w:rPr>
        <w:t>. Projektu iesniegumu neiesniegšanas iemesli, tāpat kā nepilnības aizvien ir tādas pašas</w:t>
      </w:r>
      <w:r w:rsidR="00635896">
        <w:rPr>
          <w:rFonts w:cs="Times New Roman"/>
          <w:sz w:val="28"/>
          <w:szCs w:val="24"/>
        </w:rPr>
        <w:t> – </w:t>
      </w:r>
      <w:r w:rsidRPr="004109BC">
        <w:rPr>
          <w:rFonts w:cs="Times New Roman"/>
          <w:sz w:val="28"/>
          <w:szCs w:val="24"/>
        </w:rPr>
        <w:t xml:space="preserve">MK noteikumos noteikto nosacījumu neievērošana, vai to neatbilstoša interpretācija, kā arī informācijas nesaskaņotība projekta iesnieguma dažādās sadaļās, kas liecina par nepietiekamu projekta satura pārzināšanu, nepārdomātu projekta ieviešanas laika plānu, kas vienlaikus norāda arī uz riskiem projektu turpmākajā veiksmīgā un savlaicīgā ieviešanā. Vērtējot projektu iesniegumu kvalitāti, jāatzīmē, ka kvalitatīvi sagatavoto projektu iesniegumu skaita samazināšanās varētu būt skaidrojama arī ar apstākli, ka CFLA, vienojoties ar </w:t>
      </w:r>
      <w:r>
        <w:rPr>
          <w:rFonts w:cs="Times New Roman"/>
          <w:sz w:val="28"/>
          <w:szCs w:val="24"/>
        </w:rPr>
        <w:t>VI</w:t>
      </w:r>
      <w:r w:rsidRPr="004109BC">
        <w:rPr>
          <w:rFonts w:cs="Times New Roman"/>
          <w:sz w:val="28"/>
          <w:szCs w:val="24"/>
        </w:rPr>
        <w:t>, lai samazinātu savlaicīgi neiesniegto projektu iesniegumu apjomu, kas 2017.</w:t>
      </w:r>
      <w:r>
        <w:rPr>
          <w:rFonts w:cs="Times New Roman"/>
          <w:sz w:val="28"/>
          <w:szCs w:val="24"/>
        </w:rPr>
        <w:t> </w:t>
      </w:r>
      <w:r w:rsidRPr="004109BC">
        <w:rPr>
          <w:rFonts w:cs="Times New Roman"/>
          <w:sz w:val="28"/>
          <w:szCs w:val="24"/>
        </w:rPr>
        <w:t xml:space="preserve">gada </w:t>
      </w:r>
      <w:r>
        <w:rPr>
          <w:rFonts w:cs="Times New Roman"/>
          <w:sz w:val="28"/>
          <w:szCs w:val="24"/>
        </w:rPr>
        <w:t>I pusgadā</w:t>
      </w:r>
      <w:r w:rsidRPr="004109BC">
        <w:rPr>
          <w:rFonts w:cs="Times New Roman"/>
          <w:sz w:val="28"/>
          <w:szCs w:val="24"/>
        </w:rPr>
        <w:t xml:space="preserve"> ar katru mēnesi turpināja būtiski pieaugt, aicināja </w:t>
      </w:r>
      <w:r>
        <w:rPr>
          <w:rFonts w:cs="Times New Roman"/>
          <w:sz w:val="28"/>
          <w:szCs w:val="24"/>
        </w:rPr>
        <w:t xml:space="preserve">IPIA </w:t>
      </w:r>
      <w:r w:rsidRPr="004109BC">
        <w:rPr>
          <w:rFonts w:cs="Times New Roman"/>
          <w:sz w:val="28"/>
          <w:szCs w:val="24"/>
        </w:rPr>
        <w:t>projektu iesniedzējus iesniegt projektus iespējami ātri.</w:t>
      </w:r>
    </w:p>
    <w:p w14:paraId="31C4720B" w14:textId="6FD92621" w:rsidR="009759AB" w:rsidRDefault="00A03851" w:rsidP="008A0FEC">
      <w:pPr>
        <w:spacing w:before="120" w:after="120"/>
        <w:ind w:firstLine="720"/>
        <w:jc w:val="both"/>
        <w:rPr>
          <w:rFonts w:cs="Times New Roman"/>
          <w:sz w:val="28"/>
        </w:rPr>
      </w:pPr>
      <w:r w:rsidRPr="004109BC">
        <w:rPr>
          <w:rFonts w:cs="Times New Roman"/>
          <w:sz w:val="28"/>
          <w:szCs w:val="24"/>
        </w:rPr>
        <w:t xml:space="preserve">Kavējumi projektu iesniegšanā, kā arī </w:t>
      </w:r>
      <w:r>
        <w:rPr>
          <w:rFonts w:cs="Times New Roman"/>
          <w:sz w:val="28"/>
          <w:szCs w:val="24"/>
        </w:rPr>
        <w:t>FS</w:t>
      </w:r>
      <w:r w:rsidRPr="004109BC">
        <w:rPr>
          <w:rFonts w:cs="Times New Roman"/>
          <w:sz w:val="28"/>
          <w:szCs w:val="24"/>
        </w:rPr>
        <w:t xml:space="preserve"> sniegtā informācija par kavējumiem un problēmām iepirkumu procedūrā, kapacitātes trūkums u.tml. iemesli, radīja novirzes no 2017.</w:t>
      </w:r>
      <w:r>
        <w:rPr>
          <w:rFonts w:cs="Times New Roman"/>
          <w:sz w:val="28"/>
          <w:szCs w:val="24"/>
        </w:rPr>
        <w:t> </w:t>
      </w:r>
      <w:r w:rsidRPr="004109BC">
        <w:rPr>
          <w:rFonts w:cs="Times New Roman"/>
          <w:sz w:val="28"/>
          <w:szCs w:val="24"/>
        </w:rPr>
        <w:t>g</w:t>
      </w:r>
      <w:r>
        <w:rPr>
          <w:rFonts w:cs="Times New Roman"/>
          <w:sz w:val="28"/>
          <w:szCs w:val="24"/>
        </w:rPr>
        <w:t>adam noteiktā maksājumu mērķa – </w:t>
      </w:r>
      <w:r w:rsidRPr="004109BC">
        <w:rPr>
          <w:rFonts w:cs="Times New Roman"/>
          <w:sz w:val="28"/>
          <w:szCs w:val="24"/>
        </w:rPr>
        <w:t>435,6</w:t>
      </w:r>
      <w:r>
        <w:rPr>
          <w:rFonts w:cs="Times New Roman"/>
          <w:sz w:val="28"/>
          <w:szCs w:val="24"/>
        </w:rPr>
        <w:t> milj. </w:t>
      </w:r>
      <w:r w:rsidRPr="00131D0A">
        <w:rPr>
          <w:rFonts w:cs="Times New Roman"/>
          <w:i/>
          <w:sz w:val="28"/>
          <w:szCs w:val="24"/>
        </w:rPr>
        <w:t>euro</w:t>
      </w:r>
      <w:r w:rsidRPr="004109BC">
        <w:rPr>
          <w:rFonts w:cs="Times New Roman"/>
          <w:sz w:val="28"/>
          <w:szCs w:val="24"/>
        </w:rPr>
        <w:t>. Kopumā 2017.</w:t>
      </w:r>
      <w:r>
        <w:rPr>
          <w:rFonts w:cs="Times New Roman"/>
          <w:sz w:val="28"/>
          <w:szCs w:val="24"/>
        </w:rPr>
        <w:t> </w:t>
      </w:r>
      <w:r w:rsidRPr="004109BC">
        <w:rPr>
          <w:rFonts w:cs="Times New Roman"/>
          <w:sz w:val="28"/>
          <w:szCs w:val="24"/>
        </w:rPr>
        <w:t xml:space="preserve">gadā veikti maksājumi </w:t>
      </w:r>
      <w:r w:rsidRPr="004109BC">
        <w:rPr>
          <w:rFonts w:cs="Times New Roman"/>
          <w:sz w:val="28"/>
        </w:rPr>
        <w:t>346,5</w:t>
      </w:r>
      <w:r>
        <w:rPr>
          <w:rFonts w:cs="Times New Roman"/>
          <w:sz w:val="28"/>
        </w:rPr>
        <w:t> milj. </w:t>
      </w:r>
      <w:r w:rsidRPr="005B49F4">
        <w:rPr>
          <w:rFonts w:cs="Times New Roman"/>
          <w:i/>
          <w:sz w:val="28"/>
        </w:rPr>
        <w:t>euro</w:t>
      </w:r>
      <w:r w:rsidRPr="004109BC">
        <w:rPr>
          <w:rFonts w:cs="Times New Roman"/>
          <w:sz w:val="28"/>
        </w:rPr>
        <w:t xml:space="preserve"> apmērā</w:t>
      </w:r>
      <w:r w:rsidR="00B10515">
        <w:rPr>
          <w:rFonts w:cs="Times New Roman"/>
          <w:sz w:val="28"/>
        </w:rPr>
        <w:t>, kas ir 79</w:t>
      </w:r>
      <w:r w:rsidR="0044679F">
        <w:rPr>
          <w:rFonts w:cs="Times New Roman"/>
          <w:sz w:val="28"/>
        </w:rPr>
        <w:t> </w:t>
      </w:r>
      <w:r w:rsidR="00B10515">
        <w:rPr>
          <w:rFonts w:cs="Times New Roman"/>
          <w:sz w:val="28"/>
        </w:rPr>
        <w:t>% izpilde no plānotā</w:t>
      </w:r>
      <w:r w:rsidRPr="004109BC">
        <w:rPr>
          <w:rFonts w:cs="Times New Roman"/>
          <w:sz w:val="28"/>
        </w:rPr>
        <w:t xml:space="preserve">. </w:t>
      </w:r>
      <w:r w:rsidR="00452957">
        <w:rPr>
          <w:rFonts w:cs="Times New Roman"/>
          <w:sz w:val="28"/>
        </w:rPr>
        <w:t>V</w:t>
      </w:r>
      <w:r w:rsidR="0044679F">
        <w:rPr>
          <w:rFonts w:cs="Times New Roman"/>
          <w:sz w:val="28"/>
        </w:rPr>
        <w:t>ā</w:t>
      </w:r>
      <w:r w:rsidR="00452957">
        <w:rPr>
          <w:rFonts w:cs="Times New Roman"/>
          <w:sz w:val="28"/>
        </w:rPr>
        <w:t>jāka</w:t>
      </w:r>
      <w:r w:rsidR="00B10515" w:rsidRPr="00B10515">
        <w:rPr>
          <w:rFonts w:cs="Times New Roman"/>
          <w:sz w:val="28"/>
        </w:rPr>
        <w:t xml:space="preserve"> </w:t>
      </w:r>
      <w:r w:rsidR="00452957" w:rsidRPr="00452957">
        <w:rPr>
          <w:rFonts w:cs="Times New Roman"/>
          <w:sz w:val="28"/>
        </w:rPr>
        <w:t>maksājumu plānu izpild</w:t>
      </w:r>
      <w:r w:rsidR="00452957">
        <w:rPr>
          <w:rFonts w:cs="Times New Roman"/>
          <w:sz w:val="28"/>
        </w:rPr>
        <w:t>e</w:t>
      </w:r>
      <w:r w:rsidR="00452957" w:rsidRPr="00452957">
        <w:rPr>
          <w:rFonts w:cs="Times New Roman"/>
          <w:sz w:val="28"/>
        </w:rPr>
        <w:t xml:space="preserve"> ir dzelzceļa infrastruktūras, ēku energoefektivitātes veicināšanas, degradēto teritoriju </w:t>
      </w:r>
      <w:proofErr w:type="spellStart"/>
      <w:r w:rsidR="00452957" w:rsidRPr="00452957">
        <w:rPr>
          <w:rFonts w:cs="Times New Roman"/>
          <w:sz w:val="28"/>
        </w:rPr>
        <w:t>revitalizācijas</w:t>
      </w:r>
      <w:proofErr w:type="spellEnd"/>
      <w:r w:rsidR="00452957" w:rsidRPr="00452957">
        <w:rPr>
          <w:rFonts w:cs="Times New Roman"/>
          <w:sz w:val="28"/>
        </w:rPr>
        <w:t xml:space="preserve"> un ceļu rekonstrukcijas</w:t>
      </w:r>
      <w:r w:rsidR="00E3062A">
        <w:rPr>
          <w:rStyle w:val="FootnoteReference"/>
          <w:rFonts w:cs="Times New Roman"/>
          <w:sz w:val="28"/>
        </w:rPr>
        <w:footnoteReference w:id="34"/>
      </w:r>
      <w:r w:rsidR="00452957" w:rsidRPr="00452957">
        <w:rPr>
          <w:rFonts w:cs="Times New Roman"/>
          <w:sz w:val="28"/>
        </w:rPr>
        <w:t xml:space="preserve"> jomā</w:t>
      </w:r>
      <w:r w:rsidR="00452957">
        <w:rPr>
          <w:rFonts w:cs="Times New Roman"/>
          <w:sz w:val="28"/>
        </w:rPr>
        <w:t>s</w:t>
      </w:r>
      <w:r w:rsidR="00452957" w:rsidRPr="00452957">
        <w:rPr>
          <w:rFonts w:cs="Times New Roman"/>
          <w:sz w:val="28"/>
        </w:rPr>
        <w:t xml:space="preserve">. </w:t>
      </w:r>
      <w:r w:rsidR="00452957">
        <w:rPr>
          <w:rFonts w:cs="Times New Roman"/>
          <w:sz w:val="28"/>
        </w:rPr>
        <w:t xml:space="preserve">Tas, galvenokārt, </w:t>
      </w:r>
      <w:r w:rsidR="00B10515" w:rsidRPr="00B10515">
        <w:rPr>
          <w:rFonts w:cs="Times New Roman"/>
          <w:sz w:val="28"/>
        </w:rPr>
        <w:t>skaidrojam</w:t>
      </w:r>
      <w:r w:rsidR="00452957">
        <w:rPr>
          <w:rFonts w:cs="Times New Roman"/>
          <w:sz w:val="28"/>
        </w:rPr>
        <w:t>s</w:t>
      </w:r>
      <w:r w:rsidR="00B10515" w:rsidRPr="00B10515">
        <w:rPr>
          <w:rFonts w:cs="Times New Roman"/>
          <w:sz w:val="28"/>
        </w:rPr>
        <w:t xml:space="preserve"> ar kavējumiem investīciju noteikumu virzībā, t.sk. stratēģijas un ieviešanas modeļu maiņu un atsevišķos gadījumos neplānotu skaņošanu ar DG</w:t>
      </w:r>
      <w:r w:rsidR="0044679F">
        <w:rPr>
          <w:rFonts w:cs="Times New Roman"/>
          <w:sz w:val="28"/>
        </w:rPr>
        <w:t> </w:t>
      </w:r>
      <w:r w:rsidR="00B10515" w:rsidRPr="00B10515">
        <w:rPr>
          <w:rFonts w:cs="Times New Roman"/>
          <w:sz w:val="28"/>
        </w:rPr>
        <w:t>COMP par valsts atbalsta jautājum</w:t>
      </w:r>
      <w:r w:rsidR="00FE298E">
        <w:rPr>
          <w:rFonts w:cs="Times New Roman"/>
          <w:sz w:val="28"/>
        </w:rPr>
        <w:t>ie</w:t>
      </w:r>
      <w:r w:rsidR="00B10515" w:rsidRPr="00B10515">
        <w:rPr>
          <w:rFonts w:cs="Times New Roman"/>
          <w:sz w:val="28"/>
        </w:rPr>
        <w:t xml:space="preserve">m u.c., ceļu rekonstrukcijas projektu izmaksu efektīvākiem risinājumiem (ietaupījumi), vēlāk iesniegtiem projektu iesniegumiem, iepirkumu sarežģījumiem un citām projektu uzsākšanas un ieviešanas problēmām. </w:t>
      </w:r>
    </w:p>
    <w:p w14:paraId="7898BC4B" w14:textId="77777777" w:rsidR="00274A4F" w:rsidRDefault="00274A4F" w:rsidP="008A0FEC">
      <w:pPr>
        <w:spacing w:before="120" w:after="120"/>
        <w:ind w:firstLine="720"/>
        <w:jc w:val="both"/>
        <w:rPr>
          <w:rFonts w:cs="Times New Roman"/>
          <w:sz w:val="28"/>
        </w:rPr>
      </w:pPr>
    </w:p>
    <w:p w14:paraId="39ABB691" w14:textId="01158DD6" w:rsidR="00A03851" w:rsidRDefault="009759AB" w:rsidP="00866986">
      <w:pPr>
        <w:rPr>
          <w:rFonts w:cs="Times New Roman"/>
          <w:sz w:val="28"/>
        </w:rPr>
      </w:pPr>
      <w:r>
        <w:rPr>
          <w:rFonts w:cs="Times New Roman"/>
          <w:sz w:val="28"/>
        </w:rPr>
        <w:br w:type="page"/>
      </w:r>
    </w:p>
    <w:p w14:paraId="634F0ED9" w14:textId="0545B767" w:rsidR="003F20BB" w:rsidRPr="00627486" w:rsidRDefault="00422702" w:rsidP="00FE298E">
      <w:pPr>
        <w:spacing w:before="120" w:after="120"/>
        <w:ind w:firstLine="720"/>
        <w:rPr>
          <w:rFonts w:cs="Times New Roman"/>
          <w:i/>
          <w:szCs w:val="24"/>
        </w:rPr>
      </w:pPr>
      <w:r>
        <w:rPr>
          <w:rFonts w:cs="Times New Roman"/>
          <w:i/>
          <w:szCs w:val="24"/>
        </w:rPr>
        <w:lastRenderedPageBreak/>
        <w:t>Ilustrācija</w:t>
      </w:r>
      <w:r w:rsidR="003F20BB" w:rsidRPr="00627486">
        <w:rPr>
          <w:rFonts w:cs="Times New Roman"/>
          <w:i/>
          <w:szCs w:val="24"/>
        </w:rPr>
        <w:t xml:space="preserve"> </w:t>
      </w:r>
      <w:r w:rsidR="003F20BB" w:rsidRPr="00321BDD">
        <w:rPr>
          <w:rFonts w:cs="Times New Roman"/>
          <w:i/>
          <w:szCs w:val="24"/>
        </w:rPr>
        <w:t>Nr.2. ES</w:t>
      </w:r>
      <w:r w:rsidR="003F20BB" w:rsidRPr="00627486">
        <w:rPr>
          <w:rFonts w:cs="Times New Roman"/>
          <w:i/>
          <w:szCs w:val="24"/>
        </w:rPr>
        <w:t xml:space="preserve"> fondu 2014. – 2020. gada plānošanas perioda maksājumu plānu izpilde 2017. gadā, ES fondu finansējums kumulatīvi, milj. euro</w:t>
      </w:r>
    </w:p>
    <w:p w14:paraId="76DACA24" w14:textId="7F0C5F7C" w:rsidR="00084DB1" w:rsidRPr="004109BC" w:rsidRDefault="003F20BB" w:rsidP="008A0FEC">
      <w:pPr>
        <w:spacing w:before="120" w:after="120"/>
        <w:jc w:val="center"/>
        <w:rPr>
          <w:rFonts w:cs="Times New Roman"/>
          <w:sz w:val="28"/>
          <w:szCs w:val="24"/>
        </w:rPr>
      </w:pPr>
      <w:r w:rsidRPr="00627486">
        <w:rPr>
          <w:noProof/>
          <w:lang w:eastAsia="lv-LV"/>
        </w:rPr>
        <w:drawing>
          <wp:inline distT="0" distB="0" distL="0" distR="0" wp14:anchorId="18B8145B" wp14:editId="68F1A7B8">
            <wp:extent cx="5295900" cy="22288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5D3FD0" w14:textId="1E9A861E" w:rsidR="00452957" w:rsidRDefault="00452957" w:rsidP="00452957">
      <w:pPr>
        <w:spacing w:before="120" w:after="120"/>
        <w:ind w:firstLine="720"/>
        <w:jc w:val="both"/>
        <w:rPr>
          <w:rFonts w:eastAsia="Calibri" w:cs="Times New Roman"/>
          <w:sz w:val="28"/>
          <w:szCs w:val="28"/>
        </w:rPr>
      </w:pPr>
      <w:r w:rsidRPr="004109BC">
        <w:rPr>
          <w:rFonts w:cs="Times New Roman"/>
          <w:sz w:val="28"/>
        </w:rPr>
        <w:t>Līdzīgi kā citos gados, maksājumu veikšanas intensitāte pieauga gada nogalē un vislielākais maksājumu apjoms vienā mēnesī veikts decembrī 68,9</w:t>
      </w:r>
      <w:r>
        <w:rPr>
          <w:rFonts w:cs="Times New Roman"/>
          <w:sz w:val="28"/>
        </w:rPr>
        <w:t> milj. </w:t>
      </w:r>
      <w:r w:rsidRPr="005B49F4">
        <w:rPr>
          <w:rFonts w:cs="Times New Roman"/>
          <w:i/>
          <w:sz w:val="28"/>
        </w:rPr>
        <w:t>euro</w:t>
      </w:r>
      <w:r w:rsidRPr="004109BC">
        <w:rPr>
          <w:rFonts w:cs="Times New Roman"/>
          <w:sz w:val="28"/>
        </w:rPr>
        <w:t xml:space="preserve">. </w:t>
      </w:r>
      <w:r w:rsidR="00A03851" w:rsidRPr="004109BC">
        <w:rPr>
          <w:rFonts w:cs="Times New Roman"/>
          <w:sz w:val="28"/>
          <w:szCs w:val="24"/>
        </w:rPr>
        <w:t xml:space="preserve">Maksājumu plānu izpildi plānotajā apmērā vai pat pārsniegumi nodrošināti tehnoloģiju specializācijas un zinātniskas pētniecības, pilsētvides </w:t>
      </w:r>
      <w:proofErr w:type="spellStart"/>
      <w:r w:rsidR="00A03851" w:rsidRPr="004109BC">
        <w:rPr>
          <w:rFonts w:cs="Times New Roman"/>
          <w:sz w:val="28"/>
          <w:szCs w:val="24"/>
        </w:rPr>
        <w:t>revitalizācijas</w:t>
      </w:r>
      <w:proofErr w:type="spellEnd"/>
      <w:r w:rsidR="00A03851" w:rsidRPr="004109BC">
        <w:rPr>
          <w:rFonts w:cs="Times New Roman"/>
          <w:sz w:val="28"/>
          <w:szCs w:val="24"/>
        </w:rPr>
        <w:t xml:space="preserve">, starptautiskās konkurētspējas veicināšanas, kā arī </w:t>
      </w:r>
      <w:r w:rsidR="00A03851" w:rsidRPr="004109BC">
        <w:rPr>
          <w:rFonts w:cs="Times New Roman"/>
          <w:color w:val="000000"/>
          <w:sz w:val="28"/>
          <w:szCs w:val="24"/>
        </w:rPr>
        <w:t xml:space="preserve">pašvaldību energoefektivitātes paaugstināšanu pašvaldību ēkās </w:t>
      </w:r>
      <w:r w:rsidR="00A03851">
        <w:rPr>
          <w:rFonts w:cs="Times New Roman"/>
          <w:color w:val="000000"/>
          <w:sz w:val="28"/>
          <w:szCs w:val="24"/>
        </w:rPr>
        <w:t>SAM</w:t>
      </w:r>
      <w:r w:rsidR="00A03851" w:rsidRPr="004109BC">
        <w:rPr>
          <w:rFonts w:cs="Times New Roman"/>
          <w:color w:val="000000"/>
          <w:sz w:val="28"/>
          <w:szCs w:val="24"/>
        </w:rPr>
        <w:t xml:space="preserve">/pasākumos. </w:t>
      </w:r>
    </w:p>
    <w:p w14:paraId="65A8D3A4" w14:textId="444A6950" w:rsidR="00452957" w:rsidRDefault="00452957" w:rsidP="008A0FEC">
      <w:pPr>
        <w:spacing w:before="120" w:after="120"/>
        <w:ind w:firstLine="720"/>
        <w:jc w:val="both"/>
        <w:rPr>
          <w:rFonts w:eastAsia="Calibri" w:cs="Times New Roman"/>
          <w:sz w:val="28"/>
          <w:szCs w:val="28"/>
        </w:rPr>
      </w:pPr>
      <w:r>
        <w:rPr>
          <w:rFonts w:cs="Times New Roman"/>
          <w:color w:val="000000"/>
          <w:sz w:val="28"/>
          <w:szCs w:val="24"/>
        </w:rPr>
        <w:t>IPIA projektu plānu izpild</w:t>
      </w:r>
      <w:r w:rsidR="004E79E9">
        <w:rPr>
          <w:rFonts w:cs="Times New Roman"/>
          <w:color w:val="000000"/>
          <w:sz w:val="28"/>
          <w:szCs w:val="24"/>
        </w:rPr>
        <w:t>e</w:t>
      </w:r>
      <w:r>
        <w:rPr>
          <w:rFonts w:cs="Times New Roman"/>
          <w:color w:val="000000"/>
          <w:sz w:val="28"/>
          <w:szCs w:val="24"/>
        </w:rPr>
        <w:t xml:space="preserve"> </w:t>
      </w:r>
      <w:r w:rsidR="008D5E47">
        <w:rPr>
          <w:rFonts w:cs="Times New Roman"/>
          <w:color w:val="000000"/>
          <w:sz w:val="28"/>
          <w:szCs w:val="24"/>
        </w:rPr>
        <w:t xml:space="preserve">gadā </w:t>
      </w:r>
      <w:r w:rsidRPr="00452957">
        <w:rPr>
          <w:rFonts w:cs="Times New Roman"/>
          <w:color w:val="000000"/>
          <w:sz w:val="28"/>
          <w:szCs w:val="24"/>
        </w:rPr>
        <w:t xml:space="preserve">kopumā </w:t>
      </w:r>
      <w:r>
        <w:rPr>
          <w:rFonts w:cs="Times New Roman"/>
          <w:color w:val="000000"/>
          <w:sz w:val="28"/>
          <w:szCs w:val="24"/>
        </w:rPr>
        <w:t xml:space="preserve">ir </w:t>
      </w:r>
      <w:r w:rsidRPr="00452957">
        <w:rPr>
          <w:rFonts w:cs="Times New Roman"/>
          <w:color w:val="000000"/>
          <w:sz w:val="28"/>
          <w:szCs w:val="24"/>
        </w:rPr>
        <w:t>bij</w:t>
      </w:r>
      <w:r w:rsidR="004E79E9">
        <w:rPr>
          <w:rFonts w:cs="Times New Roman"/>
          <w:color w:val="000000"/>
          <w:sz w:val="28"/>
          <w:szCs w:val="24"/>
        </w:rPr>
        <w:t>usi</w:t>
      </w:r>
      <w:r w:rsidRPr="00452957">
        <w:rPr>
          <w:rFonts w:cs="Times New Roman"/>
          <w:color w:val="000000"/>
          <w:sz w:val="28"/>
          <w:szCs w:val="24"/>
        </w:rPr>
        <w:t xml:space="preserve"> ar lielām ikmēneša negatīvām novirzēm. Konstatējams, ka </w:t>
      </w:r>
      <w:r w:rsidR="0044679F">
        <w:rPr>
          <w:rFonts w:cs="Times New Roman"/>
          <w:color w:val="000000"/>
          <w:sz w:val="28"/>
          <w:szCs w:val="24"/>
        </w:rPr>
        <w:t>FS</w:t>
      </w:r>
      <w:r w:rsidRPr="00452957">
        <w:rPr>
          <w:rFonts w:cs="Times New Roman"/>
          <w:color w:val="000000"/>
          <w:sz w:val="28"/>
          <w:szCs w:val="24"/>
        </w:rPr>
        <w:t xml:space="preserve"> maksājumu pieprasījumu iesniegšanas prognozes (plāns) izpildē būtiski neievēro disciplīnu </w:t>
      </w:r>
      <w:r w:rsidR="0044679F">
        <w:rPr>
          <w:rFonts w:cs="Times New Roman"/>
          <w:color w:val="000000"/>
          <w:sz w:val="28"/>
          <w:szCs w:val="24"/>
        </w:rPr>
        <w:t>–</w:t>
      </w:r>
      <w:r w:rsidRPr="00452957">
        <w:rPr>
          <w:rFonts w:cs="Times New Roman"/>
          <w:color w:val="000000"/>
          <w:sz w:val="28"/>
          <w:szCs w:val="24"/>
        </w:rPr>
        <w:t xml:space="preserve"> bieži neiesniedz maksājumu pieprasījumus plānotajā termiņā un plānot</w:t>
      </w:r>
      <w:r>
        <w:rPr>
          <w:rFonts w:cs="Times New Roman"/>
          <w:color w:val="000000"/>
          <w:sz w:val="28"/>
          <w:szCs w:val="24"/>
        </w:rPr>
        <w:t>aj</w:t>
      </w:r>
      <w:r w:rsidRPr="00452957">
        <w:rPr>
          <w:rFonts w:cs="Times New Roman"/>
          <w:color w:val="000000"/>
          <w:sz w:val="28"/>
          <w:szCs w:val="24"/>
        </w:rPr>
        <w:t xml:space="preserve">ā finanšu apjomā, kā arī vairākkārtīgi iesniedz izmainītus maksājumu pieprasījumu plānus, tos ievērojami samazinot gan pa mēnešiem, gan gadā kopumā. </w:t>
      </w:r>
      <w:r w:rsidR="004B0BE6" w:rsidRPr="004B0BE6">
        <w:rPr>
          <w:rFonts w:cs="Times New Roman"/>
          <w:color w:val="000000"/>
          <w:sz w:val="28"/>
          <w:szCs w:val="24"/>
        </w:rPr>
        <w:t xml:space="preserve">2017. gadā kopā 494 projektos </w:t>
      </w:r>
      <w:r w:rsidR="008D5E47">
        <w:rPr>
          <w:rFonts w:cs="Times New Roman"/>
          <w:color w:val="000000"/>
          <w:sz w:val="28"/>
          <w:szCs w:val="24"/>
        </w:rPr>
        <w:t>FS</w:t>
      </w:r>
      <w:r w:rsidR="008D5E47" w:rsidRPr="004B0BE6">
        <w:rPr>
          <w:rFonts w:cs="Times New Roman"/>
          <w:color w:val="000000"/>
          <w:sz w:val="28"/>
          <w:szCs w:val="24"/>
        </w:rPr>
        <w:t xml:space="preserve"> </w:t>
      </w:r>
      <w:r w:rsidR="004B0BE6" w:rsidRPr="004B0BE6">
        <w:rPr>
          <w:rFonts w:cs="Times New Roman"/>
          <w:color w:val="000000"/>
          <w:sz w:val="28"/>
          <w:szCs w:val="24"/>
        </w:rPr>
        <w:t>bija plānojuši iesniegt maksājumu pieprasījumus par 373,1</w:t>
      </w:r>
      <w:r w:rsidR="004146B3">
        <w:rPr>
          <w:rFonts w:cs="Times New Roman"/>
          <w:color w:val="000000"/>
          <w:sz w:val="28"/>
          <w:szCs w:val="24"/>
        </w:rPr>
        <w:t> </w:t>
      </w:r>
      <w:r w:rsidR="004B0BE6" w:rsidRPr="004B0BE6">
        <w:rPr>
          <w:rFonts w:cs="Times New Roman"/>
          <w:color w:val="000000"/>
          <w:sz w:val="28"/>
          <w:szCs w:val="24"/>
        </w:rPr>
        <w:t>milj.</w:t>
      </w:r>
      <w:r w:rsidR="004146B3">
        <w:rPr>
          <w:rFonts w:cs="Times New Roman"/>
          <w:color w:val="000000"/>
          <w:sz w:val="28"/>
          <w:szCs w:val="24"/>
        </w:rPr>
        <w:t> </w:t>
      </w:r>
      <w:r w:rsidR="004B0BE6" w:rsidRPr="004B0BE6">
        <w:rPr>
          <w:rFonts w:cs="Times New Roman"/>
          <w:i/>
          <w:color w:val="000000"/>
          <w:sz w:val="28"/>
          <w:szCs w:val="24"/>
        </w:rPr>
        <w:t>euro</w:t>
      </w:r>
      <w:r w:rsidR="004B0BE6" w:rsidRPr="004B0BE6">
        <w:rPr>
          <w:rFonts w:cs="Times New Roman"/>
          <w:color w:val="000000"/>
          <w:sz w:val="28"/>
          <w:szCs w:val="24"/>
        </w:rPr>
        <w:t>. Kumulatīvi maksājumu pieprasījumi 2017.</w:t>
      </w:r>
      <w:r w:rsidR="004146B3">
        <w:rPr>
          <w:rFonts w:cs="Times New Roman"/>
          <w:color w:val="000000"/>
          <w:sz w:val="28"/>
          <w:szCs w:val="24"/>
        </w:rPr>
        <w:t> </w:t>
      </w:r>
      <w:r w:rsidR="004B0BE6" w:rsidRPr="004B0BE6">
        <w:rPr>
          <w:rFonts w:cs="Times New Roman"/>
          <w:color w:val="000000"/>
          <w:sz w:val="28"/>
          <w:szCs w:val="24"/>
        </w:rPr>
        <w:t>gadā iesniegti 97</w:t>
      </w:r>
      <w:r w:rsidR="004146B3">
        <w:rPr>
          <w:rFonts w:cs="Times New Roman"/>
          <w:color w:val="000000"/>
          <w:sz w:val="28"/>
          <w:szCs w:val="24"/>
        </w:rPr>
        <w:t> </w:t>
      </w:r>
      <w:r w:rsidR="004B0BE6" w:rsidRPr="004B0BE6">
        <w:rPr>
          <w:rFonts w:cs="Times New Roman"/>
          <w:color w:val="000000"/>
          <w:sz w:val="28"/>
          <w:szCs w:val="24"/>
        </w:rPr>
        <w:t>% (361,5</w:t>
      </w:r>
      <w:r w:rsidR="004146B3">
        <w:rPr>
          <w:rFonts w:cs="Times New Roman"/>
          <w:color w:val="000000"/>
          <w:sz w:val="28"/>
          <w:szCs w:val="24"/>
        </w:rPr>
        <w:t> </w:t>
      </w:r>
      <w:r w:rsidR="004B0BE6" w:rsidRPr="004B0BE6">
        <w:rPr>
          <w:rFonts w:cs="Times New Roman"/>
          <w:color w:val="000000"/>
          <w:sz w:val="28"/>
          <w:szCs w:val="24"/>
        </w:rPr>
        <w:t>milj.</w:t>
      </w:r>
      <w:r w:rsidR="004146B3">
        <w:rPr>
          <w:rFonts w:cs="Times New Roman"/>
          <w:color w:val="000000"/>
          <w:sz w:val="28"/>
          <w:szCs w:val="24"/>
        </w:rPr>
        <w:t> </w:t>
      </w:r>
      <w:r w:rsidR="004B0BE6" w:rsidRPr="004B0BE6">
        <w:rPr>
          <w:rFonts w:cs="Times New Roman"/>
          <w:i/>
          <w:color w:val="000000"/>
          <w:sz w:val="28"/>
          <w:szCs w:val="24"/>
        </w:rPr>
        <w:t>euro</w:t>
      </w:r>
      <w:r w:rsidR="004B0BE6" w:rsidRPr="004B0BE6">
        <w:rPr>
          <w:rFonts w:cs="Times New Roman"/>
          <w:color w:val="000000"/>
          <w:sz w:val="28"/>
          <w:szCs w:val="24"/>
        </w:rPr>
        <w:t>) no plānotā. Šādus rezultātus izdevās sasniegt pateicoties 233 projektiem, kuri neplānoti iesnieguši 102,5</w:t>
      </w:r>
      <w:r w:rsidR="004146B3">
        <w:rPr>
          <w:rFonts w:cs="Times New Roman"/>
          <w:color w:val="000000"/>
          <w:sz w:val="28"/>
          <w:szCs w:val="24"/>
        </w:rPr>
        <w:t> </w:t>
      </w:r>
      <w:r w:rsidR="004B0BE6" w:rsidRPr="004B0BE6">
        <w:rPr>
          <w:rFonts w:cs="Times New Roman"/>
          <w:color w:val="000000"/>
          <w:sz w:val="28"/>
          <w:szCs w:val="24"/>
        </w:rPr>
        <w:t>(28,4</w:t>
      </w:r>
      <w:r w:rsidR="004146B3">
        <w:rPr>
          <w:rFonts w:cs="Times New Roman"/>
          <w:color w:val="000000"/>
          <w:sz w:val="28"/>
          <w:szCs w:val="24"/>
        </w:rPr>
        <w:t> </w:t>
      </w:r>
      <w:r w:rsidR="004B0BE6" w:rsidRPr="004B0BE6">
        <w:rPr>
          <w:rFonts w:cs="Times New Roman"/>
          <w:color w:val="000000"/>
          <w:sz w:val="28"/>
          <w:szCs w:val="24"/>
        </w:rPr>
        <w:t>% no izpildes)</w:t>
      </w:r>
      <w:r w:rsidR="004146B3">
        <w:rPr>
          <w:rFonts w:cs="Times New Roman"/>
          <w:color w:val="000000"/>
          <w:sz w:val="28"/>
          <w:szCs w:val="24"/>
        </w:rPr>
        <w:t> </w:t>
      </w:r>
      <w:r w:rsidR="004B0BE6" w:rsidRPr="004B0BE6">
        <w:rPr>
          <w:rFonts w:cs="Times New Roman"/>
          <w:color w:val="000000"/>
          <w:sz w:val="28"/>
          <w:szCs w:val="24"/>
        </w:rPr>
        <w:t>milj.</w:t>
      </w:r>
      <w:r w:rsidR="004146B3">
        <w:rPr>
          <w:rFonts w:cs="Times New Roman"/>
          <w:color w:val="000000"/>
          <w:sz w:val="28"/>
          <w:szCs w:val="24"/>
        </w:rPr>
        <w:t> </w:t>
      </w:r>
      <w:r w:rsidR="004B0BE6" w:rsidRPr="004B0BE6">
        <w:rPr>
          <w:rFonts w:cs="Times New Roman"/>
          <w:i/>
          <w:color w:val="000000"/>
          <w:sz w:val="28"/>
          <w:szCs w:val="24"/>
        </w:rPr>
        <w:t>euro</w:t>
      </w:r>
      <w:r w:rsidR="004B0BE6" w:rsidRPr="004B0BE6">
        <w:rPr>
          <w:rFonts w:cs="Times New Roman"/>
          <w:color w:val="000000"/>
          <w:sz w:val="28"/>
          <w:szCs w:val="24"/>
        </w:rPr>
        <w:t>. Vienlaikus 230 projekti kopā neizpildīja savus plānus kopumā par 114,0</w:t>
      </w:r>
      <w:r w:rsidR="004146B3">
        <w:rPr>
          <w:rFonts w:cs="Times New Roman"/>
          <w:color w:val="000000"/>
          <w:sz w:val="28"/>
          <w:szCs w:val="24"/>
        </w:rPr>
        <w:t> </w:t>
      </w:r>
      <w:r w:rsidR="004B0BE6" w:rsidRPr="004B0BE6">
        <w:rPr>
          <w:rFonts w:cs="Times New Roman"/>
          <w:color w:val="000000"/>
          <w:sz w:val="28"/>
          <w:szCs w:val="24"/>
        </w:rPr>
        <w:t>milj.</w:t>
      </w:r>
      <w:r w:rsidR="004146B3">
        <w:rPr>
          <w:rFonts w:cs="Times New Roman"/>
          <w:color w:val="000000"/>
          <w:sz w:val="28"/>
          <w:szCs w:val="24"/>
        </w:rPr>
        <w:t> </w:t>
      </w:r>
      <w:r w:rsidR="004B0BE6" w:rsidRPr="004B0BE6">
        <w:rPr>
          <w:rFonts w:cs="Times New Roman"/>
          <w:i/>
          <w:color w:val="000000"/>
          <w:sz w:val="28"/>
          <w:szCs w:val="24"/>
        </w:rPr>
        <w:t>euro</w:t>
      </w:r>
      <w:r w:rsidR="004E79E9">
        <w:rPr>
          <w:rFonts w:cs="Times New Roman"/>
          <w:i/>
          <w:color w:val="000000"/>
          <w:sz w:val="28"/>
          <w:szCs w:val="24"/>
        </w:rPr>
        <w:t>,</w:t>
      </w:r>
      <w:r w:rsidR="004B0BE6" w:rsidRPr="004B0BE6">
        <w:rPr>
          <w:rFonts w:cs="Times New Roman"/>
          <w:color w:val="000000"/>
          <w:sz w:val="28"/>
          <w:szCs w:val="24"/>
        </w:rPr>
        <w:t xml:space="preserve"> no kuriem 156 (67,4%) projekti savus plānus neizpildīja vairāk kā 25%</w:t>
      </w:r>
      <w:r w:rsidR="004146B3">
        <w:rPr>
          <w:rFonts w:cs="Times New Roman"/>
          <w:color w:val="000000"/>
          <w:sz w:val="28"/>
          <w:szCs w:val="24"/>
        </w:rPr>
        <w:t> </w:t>
      </w:r>
      <w:r w:rsidR="004B0BE6" w:rsidRPr="004B0BE6">
        <w:rPr>
          <w:rFonts w:cs="Times New Roman"/>
          <w:color w:val="000000"/>
          <w:sz w:val="28"/>
          <w:szCs w:val="24"/>
        </w:rPr>
        <w:t>(94,7</w:t>
      </w:r>
      <w:r w:rsidR="004146B3">
        <w:rPr>
          <w:rFonts w:cs="Times New Roman"/>
          <w:color w:val="000000"/>
          <w:sz w:val="28"/>
          <w:szCs w:val="24"/>
        </w:rPr>
        <w:t> </w:t>
      </w:r>
      <w:r w:rsidR="004B0BE6" w:rsidRPr="004B0BE6">
        <w:rPr>
          <w:rFonts w:cs="Times New Roman"/>
          <w:color w:val="000000"/>
          <w:sz w:val="28"/>
          <w:szCs w:val="24"/>
        </w:rPr>
        <w:t>milj.</w:t>
      </w:r>
      <w:r w:rsidR="004146B3">
        <w:rPr>
          <w:rFonts w:cs="Times New Roman"/>
          <w:color w:val="000000"/>
          <w:sz w:val="28"/>
          <w:szCs w:val="24"/>
        </w:rPr>
        <w:t> </w:t>
      </w:r>
      <w:r w:rsidR="004B0BE6" w:rsidRPr="004B0BE6">
        <w:rPr>
          <w:rFonts w:cs="Times New Roman"/>
          <w:i/>
          <w:color w:val="000000"/>
          <w:sz w:val="28"/>
          <w:szCs w:val="24"/>
        </w:rPr>
        <w:t>euro</w:t>
      </w:r>
      <w:r w:rsidR="004B0BE6" w:rsidRPr="004B0BE6">
        <w:rPr>
          <w:rFonts w:cs="Times New Roman"/>
          <w:color w:val="000000"/>
          <w:sz w:val="28"/>
          <w:szCs w:val="24"/>
        </w:rPr>
        <w:t xml:space="preserve">). </w:t>
      </w:r>
      <w:r w:rsidRPr="008124C0">
        <w:rPr>
          <w:rFonts w:eastAsia="Calibri" w:cs="Times New Roman"/>
          <w:sz w:val="28"/>
          <w:szCs w:val="28"/>
        </w:rPr>
        <w:t xml:space="preserve">Plašākus skaidrojumus un aktuālo statusu </w:t>
      </w:r>
      <w:r>
        <w:rPr>
          <w:rFonts w:eastAsia="Calibri" w:cs="Times New Roman"/>
          <w:sz w:val="28"/>
          <w:szCs w:val="28"/>
        </w:rPr>
        <w:t xml:space="preserve">par maksājumu plāniem </w:t>
      </w:r>
      <w:r w:rsidRPr="008124C0">
        <w:rPr>
          <w:rFonts w:eastAsia="Calibri" w:cs="Times New Roman"/>
          <w:sz w:val="28"/>
          <w:szCs w:val="28"/>
        </w:rPr>
        <w:t>skatīt FM ikmēneša ziņojumos MK</w:t>
      </w:r>
      <w:r w:rsidRPr="008124C0">
        <w:rPr>
          <w:rStyle w:val="FootnoteReference"/>
          <w:rFonts w:eastAsia="Calibri" w:cs="Times New Roman"/>
          <w:sz w:val="28"/>
          <w:szCs w:val="28"/>
        </w:rPr>
        <w:footnoteReference w:id="35"/>
      </w:r>
      <w:r w:rsidRPr="008124C0">
        <w:rPr>
          <w:rFonts w:eastAsia="Calibri" w:cs="Times New Roman"/>
          <w:sz w:val="28"/>
          <w:szCs w:val="28"/>
        </w:rPr>
        <w:t>.</w:t>
      </w:r>
      <w:r w:rsidR="008D5E47">
        <w:rPr>
          <w:rFonts w:eastAsia="Calibri" w:cs="Times New Roman"/>
          <w:sz w:val="28"/>
          <w:szCs w:val="28"/>
        </w:rPr>
        <w:t xml:space="preserve"> </w:t>
      </w:r>
    </w:p>
    <w:p w14:paraId="6B45C977" w14:textId="771C6EAF" w:rsidR="0015574B" w:rsidRDefault="003E3667" w:rsidP="003E3667">
      <w:pPr>
        <w:spacing w:before="120" w:after="120"/>
        <w:ind w:firstLine="720"/>
        <w:jc w:val="both"/>
        <w:rPr>
          <w:rFonts w:cs="Times New Roman"/>
          <w:color w:val="000000"/>
          <w:sz w:val="28"/>
          <w:szCs w:val="24"/>
        </w:rPr>
      </w:pPr>
      <w:r>
        <w:rPr>
          <w:rFonts w:cs="Times New Roman"/>
          <w:color w:val="000000"/>
          <w:sz w:val="28"/>
          <w:szCs w:val="24"/>
        </w:rPr>
        <w:t>Savuk</w:t>
      </w:r>
      <w:r w:rsidR="0066604A">
        <w:rPr>
          <w:rFonts w:cs="Times New Roman"/>
          <w:color w:val="000000"/>
          <w:sz w:val="28"/>
          <w:szCs w:val="24"/>
        </w:rPr>
        <w:t>ā</w:t>
      </w:r>
      <w:r>
        <w:rPr>
          <w:rFonts w:cs="Times New Roman"/>
          <w:color w:val="000000"/>
          <w:sz w:val="28"/>
          <w:szCs w:val="24"/>
        </w:rPr>
        <w:t>rt 2018.</w:t>
      </w:r>
      <w:r w:rsidR="00AC00B7">
        <w:rPr>
          <w:rFonts w:cs="Times New Roman"/>
          <w:color w:val="000000"/>
          <w:sz w:val="28"/>
          <w:szCs w:val="24"/>
        </w:rPr>
        <w:t> </w:t>
      </w:r>
      <w:r>
        <w:rPr>
          <w:rFonts w:cs="Times New Roman"/>
          <w:color w:val="000000"/>
          <w:sz w:val="28"/>
          <w:szCs w:val="24"/>
        </w:rPr>
        <w:t>gada j</w:t>
      </w:r>
      <w:r w:rsidRPr="003E3667">
        <w:rPr>
          <w:rFonts w:cs="Times New Roman"/>
          <w:color w:val="000000"/>
          <w:sz w:val="28"/>
          <w:szCs w:val="24"/>
        </w:rPr>
        <w:t>anvār</w:t>
      </w:r>
      <w:r w:rsidR="0015574B">
        <w:rPr>
          <w:rFonts w:cs="Times New Roman"/>
          <w:color w:val="000000"/>
          <w:sz w:val="28"/>
          <w:szCs w:val="24"/>
        </w:rPr>
        <w:t>ī:</w:t>
      </w:r>
    </w:p>
    <w:p w14:paraId="6255B051" w14:textId="4C6F0F5B" w:rsidR="0015574B" w:rsidRPr="004E79E9" w:rsidRDefault="003E3667" w:rsidP="004E79E9">
      <w:pPr>
        <w:pStyle w:val="ListParagraph"/>
        <w:numPr>
          <w:ilvl w:val="0"/>
          <w:numId w:val="47"/>
        </w:numPr>
        <w:spacing w:before="120" w:after="120"/>
        <w:jc w:val="both"/>
        <w:rPr>
          <w:rFonts w:cs="Times New Roman"/>
          <w:color w:val="000000"/>
          <w:sz w:val="28"/>
          <w:szCs w:val="24"/>
        </w:rPr>
      </w:pPr>
      <w:r w:rsidRPr="004E79E9">
        <w:rPr>
          <w:rFonts w:cs="Times New Roman"/>
          <w:color w:val="000000"/>
          <w:sz w:val="28"/>
          <w:szCs w:val="24"/>
        </w:rPr>
        <w:t>kopā bija plānots iesniegt 28 projektu iesniegumus par 25,</w:t>
      </w:r>
      <w:r w:rsidR="0098167F" w:rsidRPr="004E79E9">
        <w:rPr>
          <w:rFonts w:cs="Times New Roman"/>
          <w:color w:val="000000"/>
          <w:sz w:val="28"/>
          <w:szCs w:val="24"/>
        </w:rPr>
        <w:t>0</w:t>
      </w:r>
      <w:r w:rsidR="004146B3" w:rsidRPr="004E79E9">
        <w:rPr>
          <w:rFonts w:cs="Times New Roman"/>
          <w:color w:val="000000"/>
          <w:sz w:val="28"/>
          <w:szCs w:val="24"/>
        </w:rPr>
        <w:t> </w:t>
      </w:r>
      <w:r w:rsidRPr="004E79E9">
        <w:rPr>
          <w:rFonts w:cs="Times New Roman"/>
          <w:color w:val="000000"/>
          <w:sz w:val="28"/>
          <w:szCs w:val="24"/>
        </w:rPr>
        <w:t>milj.</w:t>
      </w:r>
      <w:r w:rsidR="004146B3" w:rsidRPr="004E79E9">
        <w:rPr>
          <w:rFonts w:cs="Times New Roman"/>
          <w:color w:val="000000"/>
          <w:sz w:val="28"/>
          <w:szCs w:val="24"/>
        </w:rPr>
        <w:t> </w:t>
      </w:r>
      <w:r w:rsidRPr="004E79E9">
        <w:rPr>
          <w:rFonts w:cs="Times New Roman"/>
          <w:i/>
          <w:color w:val="000000"/>
          <w:sz w:val="28"/>
          <w:szCs w:val="24"/>
        </w:rPr>
        <w:t>euro</w:t>
      </w:r>
      <w:r w:rsidRPr="004E79E9">
        <w:rPr>
          <w:rFonts w:cs="Times New Roman"/>
          <w:color w:val="000000"/>
          <w:sz w:val="28"/>
          <w:szCs w:val="24"/>
        </w:rPr>
        <w:t>, no kuriem iesniegti 26 projekt</w:t>
      </w:r>
      <w:r w:rsidR="00430273" w:rsidRPr="004E79E9">
        <w:rPr>
          <w:rFonts w:cs="Times New Roman"/>
          <w:color w:val="000000"/>
          <w:sz w:val="28"/>
          <w:szCs w:val="24"/>
        </w:rPr>
        <w:t>i</w:t>
      </w:r>
      <w:r w:rsidRPr="004E79E9">
        <w:rPr>
          <w:rFonts w:cs="Times New Roman"/>
          <w:color w:val="000000"/>
          <w:sz w:val="28"/>
          <w:szCs w:val="24"/>
        </w:rPr>
        <w:t xml:space="preserve"> par </w:t>
      </w:r>
      <w:r w:rsidR="0098167F" w:rsidRPr="004E79E9">
        <w:rPr>
          <w:rFonts w:cs="Times New Roman"/>
          <w:color w:val="000000"/>
          <w:sz w:val="28"/>
          <w:szCs w:val="24"/>
        </w:rPr>
        <w:t>24,2</w:t>
      </w:r>
      <w:r w:rsidR="004146B3">
        <w:t> </w:t>
      </w:r>
      <w:r w:rsidRPr="004E79E9">
        <w:rPr>
          <w:rFonts w:cs="Times New Roman"/>
          <w:color w:val="000000"/>
          <w:sz w:val="28"/>
          <w:szCs w:val="24"/>
        </w:rPr>
        <w:t>mi</w:t>
      </w:r>
      <w:r w:rsidR="00AC00B7" w:rsidRPr="004E79E9">
        <w:rPr>
          <w:rFonts w:cs="Times New Roman"/>
          <w:color w:val="000000"/>
          <w:sz w:val="28"/>
          <w:szCs w:val="24"/>
        </w:rPr>
        <w:t>l</w:t>
      </w:r>
      <w:r w:rsidRPr="004E79E9">
        <w:rPr>
          <w:rFonts w:cs="Times New Roman"/>
          <w:color w:val="000000"/>
          <w:sz w:val="28"/>
          <w:szCs w:val="24"/>
        </w:rPr>
        <w:t>j.</w:t>
      </w:r>
      <w:r w:rsidR="004146B3" w:rsidRPr="004E79E9">
        <w:rPr>
          <w:rFonts w:cs="Times New Roman"/>
          <w:color w:val="000000"/>
          <w:sz w:val="28"/>
          <w:szCs w:val="24"/>
        </w:rPr>
        <w:t> </w:t>
      </w:r>
      <w:r w:rsidRPr="004E79E9">
        <w:rPr>
          <w:rFonts w:cs="Times New Roman"/>
          <w:i/>
          <w:color w:val="000000"/>
          <w:sz w:val="28"/>
          <w:szCs w:val="24"/>
        </w:rPr>
        <w:t>euro</w:t>
      </w:r>
      <w:r w:rsidRPr="004E79E9">
        <w:rPr>
          <w:rFonts w:cs="Times New Roman"/>
          <w:color w:val="000000"/>
          <w:sz w:val="28"/>
          <w:szCs w:val="24"/>
        </w:rPr>
        <w:t xml:space="preserve">, kas parāda, ka gada sākumā nav </w:t>
      </w:r>
      <w:r w:rsidR="00430273" w:rsidRPr="004E79E9">
        <w:rPr>
          <w:rFonts w:cs="Times New Roman"/>
          <w:color w:val="000000"/>
          <w:sz w:val="28"/>
          <w:szCs w:val="24"/>
        </w:rPr>
        <w:t>būtiskas novirzes no pārskata periodā plānotā</w:t>
      </w:r>
      <w:r w:rsidR="004E79E9">
        <w:rPr>
          <w:rFonts w:cs="Times New Roman"/>
          <w:color w:val="000000"/>
          <w:sz w:val="28"/>
          <w:szCs w:val="24"/>
        </w:rPr>
        <w:t>;</w:t>
      </w:r>
      <w:r w:rsidRPr="004E79E9">
        <w:rPr>
          <w:rFonts w:cs="Times New Roman"/>
          <w:color w:val="000000"/>
          <w:sz w:val="28"/>
          <w:szCs w:val="24"/>
        </w:rPr>
        <w:t xml:space="preserve"> </w:t>
      </w:r>
    </w:p>
    <w:p w14:paraId="31F0FA62" w14:textId="1DF89C62" w:rsidR="003E3667" w:rsidRPr="004E79E9" w:rsidRDefault="004E79E9" w:rsidP="004E79E9">
      <w:pPr>
        <w:pStyle w:val="ListParagraph"/>
        <w:numPr>
          <w:ilvl w:val="0"/>
          <w:numId w:val="47"/>
        </w:numPr>
        <w:spacing w:before="120" w:after="120"/>
        <w:jc w:val="both"/>
        <w:rPr>
          <w:rFonts w:cs="Times New Roman"/>
          <w:color w:val="000000"/>
          <w:sz w:val="28"/>
          <w:szCs w:val="24"/>
        </w:rPr>
      </w:pPr>
      <w:r>
        <w:rPr>
          <w:rFonts w:cs="Times New Roman"/>
          <w:color w:val="000000"/>
          <w:sz w:val="28"/>
          <w:szCs w:val="24"/>
        </w:rPr>
        <w:t xml:space="preserve">bet </w:t>
      </w:r>
      <w:r w:rsidR="00430273" w:rsidRPr="004E79E9">
        <w:rPr>
          <w:rFonts w:cs="Times New Roman"/>
          <w:color w:val="000000"/>
          <w:sz w:val="28"/>
          <w:szCs w:val="24"/>
        </w:rPr>
        <w:t>FS</w:t>
      </w:r>
      <w:r w:rsidR="003E3667" w:rsidRPr="004E79E9">
        <w:rPr>
          <w:rFonts w:cs="Times New Roman"/>
          <w:color w:val="000000"/>
          <w:sz w:val="28"/>
          <w:szCs w:val="24"/>
        </w:rPr>
        <w:t xml:space="preserve"> </w:t>
      </w:r>
      <w:r w:rsidR="00430273" w:rsidRPr="004E79E9">
        <w:rPr>
          <w:rFonts w:cs="Times New Roman"/>
          <w:color w:val="000000"/>
          <w:sz w:val="28"/>
          <w:szCs w:val="24"/>
        </w:rPr>
        <w:t xml:space="preserve">plānoto </w:t>
      </w:r>
      <w:r w:rsidR="003E3667" w:rsidRPr="004E79E9">
        <w:rPr>
          <w:rFonts w:cs="Times New Roman"/>
          <w:color w:val="000000"/>
          <w:sz w:val="28"/>
          <w:szCs w:val="24"/>
        </w:rPr>
        <w:t>maksājumu pieprasījumu iesnieg</w:t>
      </w:r>
      <w:r w:rsidR="00430273" w:rsidRPr="004E79E9">
        <w:rPr>
          <w:rFonts w:cs="Times New Roman"/>
          <w:color w:val="000000"/>
          <w:sz w:val="28"/>
          <w:szCs w:val="24"/>
        </w:rPr>
        <w:t>šanas plāna izpilde ir vājāka</w:t>
      </w:r>
      <w:r>
        <w:rPr>
          <w:rFonts w:cs="Times New Roman"/>
          <w:color w:val="000000"/>
          <w:sz w:val="28"/>
          <w:szCs w:val="24"/>
        </w:rPr>
        <w:t xml:space="preserve"> </w:t>
      </w:r>
      <w:r w:rsidR="004146B3" w:rsidRPr="004E79E9">
        <w:rPr>
          <w:rFonts w:cs="Times New Roman"/>
          <w:color w:val="000000"/>
          <w:sz w:val="28"/>
          <w:szCs w:val="24"/>
        </w:rPr>
        <w:t>–</w:t>
      </w:r>
      <w:r w:rsidR="003E3667" w:rsidRPr="004E79E9">
        <w:rPr>
          <w:rFonts w:cs="Times New Roman"/>
          <w:color w:val="000000"/>
          <w:sz w:val="28"/>
          <w:szCs w:val="24"/>
        </w:rPr>
        <w:t xml:space="preserve"> </w:t>
      </w:r>
      <w:r w:rsidR="00430273" w:rsidRPr="004E79E9">
        <w:rPr>
          <w:rFonts w:cs="Times New Roman"/>
          <w:color w:val="000000"/>
          <w:sz w:val="28"/>
          <w:szCs w:val="24"/>
        </w:rPr>
        <w:t xml:space="preserve">no </w:t>
      </w:r>
      <w:r w:rsidR="003E3667" w:rsidRPr="004E79E9">
        <w:rPr>
          <w:rFonts w:cs="Times New Roman"/>
          <w:color w:val="000000"/>
          <w:sz w:val="28"/>
          <w:szCs w:val="24"/>
        </w:rPr>
        <w:t>101,2</w:t>
      </w:r>
      <w:r w:rsidR="004146B3" w:rsidRPr="004E79E9">
        <w:rPr>
          <w:rFonts w:cs="Times New Roman"/>
          <w:color w:val="000000"/>
          <w:sz w:val="28"/>
          <w:szCs w:val="24"/>
        </w:rPr>
        <w:t> </w:t>
      </w:r>
      <w:r w:rsidR="003E3667" w:rsidRPr="004E79E9">
        <w:rPr>
          <w:rFonts w:cs="Times New Roman"/>
          <w:color w:val="000000"/>
          <w:sz w:val="28"/>
          <w:szCs w:val="24"/>
        </w:rPr>
        <w:t>milj.</w:t>
      </w:r>
      <w:r w:rsidR="004146B3" w:rsidRPr="004E79E9">
        <w:rPr>
          <w:rFonts w:cs="Times New Roman"/>
          <w:color w:val="000000"/>
          <w:sz w:val="28"/>
          <w:szCs w:val="24"/>
        </w:rPr>
        <w:t> </w:t>
      </w:r>
      <w:r w:rsidR="003E3667" w:rsidRPr="004E79E9">
        <w:rPr>
          <w:rFonts w:cs="Times New Roman"/>
          <w:i/>
          <w:color w:val="000000"/>
          <w:sz w:val="28"/>
          <w:szCs w:val="24"/>
        </w:rPr>
        <w:t>euro</w:t>
      </w:r>
      <w:r w:rsidR="003E3667" w:rsidRPr="004E79E9">
        <w:rPr>
          <w:rFonts w:cs="Times New Roman"/>
          <w:color w:val="000000"/>
          <w:sz w:val="28"/>
          <w:szCs w:val="24"/>
        </w:rPr>
        <w:t xml:space="preserve"> </w:t>
      </w:r>
      <w:r w:rsidR="00430273" w:rsidRPr="004E79E9">
        <w:rPr>
          <w:rFonts w:cs="Times New Roman"/>
          <w:color w:val="000000"/>
          <w:sz w:val="28"/>
          <w:szCs w:val="24"/>
        </w:rPr>
        <w:t xml:space="preserve">plānotā </w:t>
      </w:r>
      <w:r w:rsidR="003E3667" w:rsidRPr="004E79E9">
        <w:rPr>
          <w:rFonts w:cs="Times New Roman"/>
          <w:color w:val="000000"/>
          <w:sz w:val="28"/>
          <w:szCs w:val="24"/>
        </w:rPr>
        <w:t>iesniegti tikai 67</w:t>
      </w:r>
      <w:r w:rsidR="004146B3" w:rsidRPr="004E79E9">
        <w:rPr>
          <w:rFonts w:cs="Times New Roman"/>
          <w:color w:val="000000"/>
          <w:sz w:val="28"/>
          <w:szCs w:val="24"/>
        </w:rPr>
        <w:t> </w:t>
      </w:r>
      <w:r w:rsidR="003E3667" w:rsidRPr="004E79E9">
        <w:rPr>
          <w:rFonts w:cs="Times New Roman"/>
          <w:color w:val="000000"/>
          <w:sz w:val="28"/>
          <w:szCs w:val="24"/>
        </w:rPr>
        <w:t xml:space="preserve">%, kas radīja neizpildi </w:t>
      </w:r>
      <w:r w:rsidR="0098167F" w:rsidRPr="004E79E9">
        <w:rPr>
          <w:rFonts w:cs="Times New Roman"/>
          <w:color w:val="000000"/>
          <w:sz w:val="28"/>
          <w:szCs w:val="24"/>
        </w:rPr>
        <w:t>33,7</w:t>
      </w:r>
      <w:r w:rsidR="004146B3" w:rsidRPr="004E79E9">
        <w:rPr>
          <w:rFonts w:cs="Times New Roman"/>
          <w:color w:val="000000"/>
          <w:sz w:val="28"/>
          <w:szCs w:val="24"/>
        </w:rPr>
        <w:t> </w:t>
      </w:r>
      <w:r w:rsidR="003E3667" w:rsidRPr="004E79E9">
        <w:rPr>
          <w:rFonts w:cs="Times New Roman"/>
          <w:color w:val="000000"/>
          <w:sz w:val="28"/>
          <w:szCs w:val="24"/>
        </w:rPr>
        <w:t>mi</w:t>
      </w:r>
      <w:r w:rsidR="00AC00B7" w:rsidRPr="004E79E9">
        <w:rPr>
          <w:rFonts w:cs="Times New Roman"/>
          <w:color w:val="000000"/>
          <w:sz w:val="28"/>
          <w:szCs w:val="24"/>
        </w:rPr>
        <w:t>l</w:t>
      </w:r>
      <w:r w:rsidR="003E3667" w:rsidRPr="004E79E9">
        <w:rPr>
          <w:rFonts w:cs="Times New Roman"/>
          <w:color w:val="000000"/>
          <w:sz w:val="28"/>
          <w:szCs w:val="24"/>
        </w:rPr>
        <w:t>j.</w:t>
      </w:r>
      <w:r w:rsidR="004146B3" w:rsidRPr="004E79E9">
        <w:rPr>
          <w:rFonts w:cs="Times New Roman"/>
          <w:color w:val="000000"/>
          <w:sz w:val="28"/>
          <w:szCs w:val="24"/>
        </w:rPr>
        <w:t> </w:t>
      </w:r>
      <w:r w:rsidR="003E3667" w:rsidRPr="004E79E9">
        <w:rPr>
          <w:rFonts w:cs="Times New Roman"/>
          <w:i/>
          <w:color w:val="000000"/>
          <w:sz w:val="28"/>
          <w:szCs w:val="24"/>
        </w:rPr>
        <w:t>euro</w:t>
      </w:r>
      <w:r w:rsidR="003E3667" w:rsidRPr="004E79E9">
        <w:rPr>
          <w:rFonts w:cs="Times New Roman"/>
          <w:color w:val="000000"/>
          <w:sz w:val="28"/>
          <w:szCs w:val="24"/>
        </w:rPr>
        <w:t>. Projekti ar neizpildēm virs 200 tūkst</w:t>
      </w:r>
      <w:r w:rsidR="00AC00B7" w:rsidRPr="004E79E9">
        <w:rPr>
          <w:rFonts w:cs="Times New Roman"/>
          <w:color w:val="000000"/>
          <w:sz w:val="28"/>
          <w:szCs w:val="24"/>
        </w:rPr>
        <w:t>.</w:t>
      </w:r>
      <w:r w:rsidR="003E3667" w:rsidRPr="004E79E9">
        <w:rPr>
          <w:rFonts w:cs="Times New Roman"/>
          <w:color w:val="000000"/>
          <w:sz w:val="28"/>
          <w:szCs w:val="24"/>
        </w:rPr>
        <w:t xml:space="preserve"> </w:t>
      </w:r>
      <w:r>
        <w:rPr>
          <w:rFonts w:cs="Times New Roman"/>
          <w:color w:val="000000"/>
          <w:sz w:val="28"/>
          <w:szCs w:val="24"/>
        </w:rPr>
        <w:t>k</w:t>
      </w:r>
      <w:r w:rsidR="003E3667" w:rsidRPr="004E79E9">
        <w:rPr>
          <w:rFonts w:cs="Times New Roman"/>
          <w:color w:val="000000"/>
          <w:sz w:val="28"/>
          <w:szCs w:val="24"/>
        </w:rPr>
        <w:t>opā</w:t>
      </w:r>
      <w:r>
        <w:rPr>
          <w:rFonts w:cs="Times New Roman"/>
          <w:color w:val="000000"/>
          <w:sz w:val="28"/>
          <w:szCs w:val="24"/>
        </w:rPr>
        <w:t xml:space="preserve"> ir</w:t>
      </w:r>
      <w:r w:rsidR="003E3667" w:rsidRPr="004E79E9">
        <w:rPr>
          <w:rFonts w:cs="Times New Roman"/>
          <w:color w:val="000000"/>
          <w:sz w:val="28"/>
          <w:szCs w:val="24"/>
        </w:rPr>
        <w:t xml:space="preserve"> 46</w:t>
      </w:r>
      <w:r>
        <w:rPr>
          <w:rFonts w:cs="Times New Roman"/>
          <w:color w:val="000000"/>
          <w:sz w:val="28"/>
          <w:szCs w:val="24"/>
        </w:rPr>
        <w:t xml:space="preserve">, kuriem </w:t>
      </w:r>
      <w:r w:rsidR="00FB5EA4">
        <w:rPr>
          <w:rFonts w:cs="Times New Roman"/>
          <w:color w:val="000000"/>
          <w:sz w:val="28"/>
          <w:szCs w:val="24"/>
        </w:rPr>
        <w:t>negatīv</w:t>
      </w:r>
      <w:r>
        <w:rPr>
          <w:rFonts w:cs="Times New Roman"/>
          <w:color w:val="000000"/>
          <w:sz w:val="28"/>
          <w:szCs w:val="24"/>
        </w:rPr>
        <w:t>ā</w:t>
      </w:r>
      <w:r w:rsidR="00071E8C">
        <w:rPr>
          <w:rFonts w:cs="Times New Roman"/>
          <w:color w:val="000000"/>
          <w:sz w:val="28"/>
          <w:szCs w:val="24"/>
        </w:rPr>
        <w:t>s</w:t>
      </w:r>
      <w:r w:rsidR="00FB5EA4">
        <w:rPr>
          <w:rFonts w:cs="Times New Roman"/>
          <w:color w:val="000000"/>
          <w:sz w:val="28"/>
          <w:szCs w:val="24"/>
        </w:rPr>
        <w:t xml:space="preserve"> </w:t>
      </w:r>
      <w:r>
        <w:rPr>
          <w:rFonts w:cs="Times New Roman"/>
          <w:color w:val="000000"/>
          <w:sz w:val="28"/>
          <w:szCs w:val="24"/>
        </w:rPr>
        <w:t xml:space="preserve">novirzes no </w:t>
      </w:r>
      <w:r w:rsidR="00FB5EA4">
        <w:rPr>
          <w:rFonts w:cs="Times New Roman"/>
          <w:color w:val="000000"/>
          <w:sz w:val="28"/>
          <w:szCs w:val="24"/>
        </w:rPr>
        <w:t>plān</w:t>
      </w:r>
      <w:r>
        <w:rPr>
          <w:rFonts w:cs="Times New Roman"/>
          <w:color w:val="000000"/>
          <w:sz w:val="28"/>
          <w:szCs w:val="24"/>
        </w:rPr>
        <w:t>a</w:t>
      </w:r>
      <w:r w:rsidR="00FB5EA4">
        <w:rPr>
          <w:rFonts w:cs="Times New Roman"/>
          <w:color w:val="000000"/>
          <w:sz w:val="28"/>
          <w:szCs w:val="24"/>
        </w:rPr>
        <w:t xml:space="preserve"> </w:t>
      </w:r>
      <w:r>
        <w:rPr>
          <w:rFonts w:cs="Times New Roman"/>
          <w:color w:val="000000"/>
          <w:sz w:val="28"/>
          <w:szCs w:val="24"/>
        </w:rPr>
        <w:t xml:space="preserve">izpildes ir </w:t>
      </w:r>
      <w:r w:rsidR="003E3667" w:rsidRPr="004E79E9">
        <w:rPr>
          <w:rFonts w:cs="Times New Roman"/>
          <w:color w:val="000000"/>
          <w:sz w:val="28"/>
          <w:szCs w:val="24"/>
        </w:rPr>
        <w:t>39,4</w:t>
      </w:r>
      <w:r w:rsidR="004146B3" w:rsidRPr="004E79E9">
        <w:rPr>
          <w:rFonts w:cs="Times New Roman"/>
          <w:color w:val="000000"/>
          <w:sz w:val="28"/>
          <w:szCs w:val="24"/>
        </w:rPr>
        <w:t> </w:t>
      </w:r>
      <w:r w:rsidR="003E3667" w:rsidRPr="004E79E9">
        <w:rPr>
          <w:rFonts w:cs="Times New Roman"/>
          <w:color w:val="000000"/>
          <w:sz w:val="28"/>
          <w:szCs w:val="24"/>
        </w:rPr>
        <w:t>milj.</w:t>
      </w:r>
      <w:r w:rsidR="004146B3" w:rsidRPr="004E79E9">
        <w:rPr>
          <w:rFonts w:cs="Times New Roman"/>
          <w:color w:val="000000"/>
          <w:sz w:val="28"/>
          <w:szCs w:val="24"/>
        </w:rPr>
        <w:t> </w:t>
      </w:r>
      <w:r w:rsidR="003E3667" w:rsidRPr="004E79E9">
        <w:rPr>
          <w:rFonts w:cs="Times New Roman"/>
          <w:i/>
          <w:color w:val="000000"/>
          <w:sz w:val="28"/>
          <w:szCs w:val="24"/>
        </w:rPr>
        <w:t>euro</w:t>
      </w:r>
      <w:r w:rsidR="001F1B2A" w:rsidRPr="004E79E9">
        <w:rPr>
          <w:rFonts w:cs="Times New Roman"/>
          <w:i/>
          <w:color w:val="000000"/>
          <w:sz w:val="28"/>
          <w:szCs w:val="24"/>
        </w:rPr>
        <w:t>.</w:t>
      </w:r>
      <w:r w:rsidR="001F1B2A" w:rsidRPr="004E79E9">
        <w:rPr>
          <w:rFonts w:cs="Times New Roman"/>
          <w:color w:val="000000"/>
          <w:sz w:val="28"/>
          <w:szCs w:val="24"/>
        </w:rPr>
        <w:t xml:space="preserve"> V</w:t>
      </w:r>
      <w:r w:rsidR="003E3667" w:rsidRPr="004E79E9">
        <w:rPr>
          <w:rFonts w:cs="Times New Roman"/>
          <w:color w:val="000000"/>
          <w:sz w:val="28"/>
          <w:szCs w:val="24"/>
        </w:rPr>
        <w:t xml:space="preserve">ienlaikus </w:t>
      </w:r>
      <w:r w:rsidR="003E3667" w:rsidRPr="004E79E9">
        <w:rPr>
          <w:rFonts w:cs="Times New Roman"/>
          <w:color w:val="000000"/>
          <w:sz w:val="28"/>
          <w:szCs w:val="24"/>
        </w:rPr>
        <w:lastRenderedPageBreak/>
        <w:t>11</w:t>
      </w:r>
      <w:r w:rsidR="00227EE8">
        <w:rPr>
          <w:rFonts w:cs="Times New Roman"/>
          <w:color w:val="000000"/>
          <w:sz w:val="28"/>
          <w:szCs w:val="24"/>
        </w:rPr>
        <w:t>5</w:t>
      </w:r>
      <w:r w:rsidR="003E3667" w:rsidRPr="004E79E9">
        <w:rPr>
          <w:rFonts w:cs="Times New Roman"/>
          <w:color w:val="000000"/>
          <w:sz w:val="28"/>
          <w:szCs w:val="24"/>
        </w:rPr>
        <w:t xml:space="preserve"> projekti pārsniedza savus plānus par 11,6</w:t>
      </w:r>
      <w:r w:rsidR="004146B3" w:rsidRPr="004E79E9">
        <w:rPr>
          <w:rFonts w:cs="Times New Roman"/>
          <w:color w:val="000000"/>
          <w:sz w:val="28"/>
          <w:szCs w:val="24"/>
        </w:rPr>
        <w:t> </w:t>
      </w:r>
      <w:r w:rsidR="003E3667" w:rsidRPr="004E79E9">
        <w:rPr>
          <w:rFonts w:cs="Times New Roman"/>
          <w:color w:val="000000"/>
          <w:sz w:val="28"/>
          <w:szCs w:val="24"/>
        </w:rPr>
        <w:t>milj.</w:t>
      </w:r>
      <w:r w:rsidR="004146B3" w:rsidRPr="004E79E9">
        <w:rPr>
          <w:rFonts w:cs="Times New Roman"/>
          <w:color w:val="000000"/>
          <w:sz w:val="28"/>
          <w:szCs w:val="24"/>
        </w:rPr>
        <w:t> </w:t>
      </w:r>
      <w:r w:rsidR="003E3667" w:rsidRPr="004E79E9">
        <w:rPr>
          <w:rFonts w:cs="Times New Roman"/>
          <w:i/>
          <w:color w:val="000000"/>
          <w:sz w:val="28"/>
          <w:szCs w:val="24"/>
        </w:rPr>
        <w:t>euro</w:t>
      </w:r>
      <w:r w:rsidR="003E3667" w:rsidRPr="004E79E9">
        <w:rPr>
          <w:rFonts w:cs="Times New Roman"/>
          <w:color w:val="000000"/>
          <w:sz w:val="28"/>
          <w:szCs w:val="24"/>
        </w:rPr>
        <w:t xml:space="preserve">. </w:t>
      </w:r>
      <w:r w:rsidR="0015574B" w:rsidRPr="004E79E9">
        <w:rPr>
          <w:rFonts w:cs="Times New Roman"/>
          <w:color w:val="000000"/>
          <w:sz w:val="28"/>
          <w:szCs w:val="24"/>
        </w:rPr>
        <w:t>2018.</w:t>
      </w:r>
      <w:r w:rsidR="00071E8C">
        <w:rPr>
          <w:rFonts w:cs="Times New Roman"/>
          <w:color w:val="000000"/>
          <w:sz w:val="28"/>
          <w:szCs w:val="24"/>
        </w:rPr>
        <w:t> </w:t>
      </w:r>
      <w:r w:rsidR="0015574B" w:rsidRPr="004E79E9">
        <w:rPr>
          <w:rFonts w:cs="Times New Roman"/>
          <w:color w:val="000000"/>
          <w:sz w:val="28"/>
          <w:szCs w:val="24"/>
        </w:rPr>
        <w:t xml:space="preserve">gada </w:t>
      </w:r>
      <w:r w:rsidR="003E3667" w:rsidRPr="004E79E9">
        <w:rPr>
          <w:rFonts w:cs="Times New Roman"/>
          <w:color w:val="000000"/>
          <w:sz w:val="28"/>
          <w:szCs w:val="24"/>
        </w:rPr>
        <w:t xml:space="preserve"> janvār</w:t>
      </w:r>
      <w:r w:rsidR="0015574B" w:rsidRPr="004E79E9">
        <w:rPr>
          <w:rFonts w:cs="Times New Roman"/>
          <w:color w:val="000000"/>
          <w:sz w:val="28"/>
          <w:szCs w:val="24"/>
        </w:rPr>
        <w:t>ī</w:t>
      </w:r>
      <w:r w:rsidR="003E3667" w:rsidRPr="004E79E9">
        <w:rPr>
          <w:rFonts w:cs="Times New Roman"/>
          <w:color w:val="000000"/>
          <w:sz w:val="28"/>
          <w:szCs w:val="24"/>
        </w:rPr>
        <w:t xml:space="preserve"> </w:t>
      </w:r>
      <w:r w:rsidR="00227EE8">
        <w:rPr>
          <w:rFonts w:cs="Times New Roman"/>
          <w:color w:val="000000"/>
          <w:sz w:val="28"/>
          <w:szCs w:val="24"/>
        </w:rPr>
        <w:t xml:space="preserve">158 </w:t>
      </w:r>
      <w:r w:rsidR="003E3667" w:rsidRPr="004E79E9">
        <w:rPr>
          <w:rFonts w:cs="Times New Roman"/>
          <w:color w:val="000000"/>
          <w:sz w:val="28"/>
          <w:szCs w:val="24"/>
        </w:rPr>
        <w:t xml:space="preserve">projektiem </w:t>
      </w:r>
      <w:r w:rsidR="0015574B" w:rsidRPr="004E79E9">
        <w:rPr>
          <w:rFonts w:cs="Times New Roman"/>
          <w:color w:val="000000"/>
          <w:sz w:val="28"/>
          <w:szCs w:val="24"/>
        </w:rPr>
        <w:t xml:space="preserve">plānu izpildes </w:t>
      </w:r>
      <w:r w:rsidR="003E3667" w:rsidRPr="004E79E9">
        <w:rPr>
          <w:rFonts w:cs="Times New Roman"/>
          <w:color w:val="000000"/>
          <w:sz w:val="28"/>
          <w:szCs w:val="24"/>
        </w:rPr>
        <w:t xml:space="preserve">lielākas par 25% </w:t>
      </w:r>
      <w:r w:rsidR="00FB5EA4">
        <w:rPr>
          <w:rFonts w:cs="Times New Roman"/>
          <w:color w:val="000000"/>
          <w:sz w:val="28"/>
          <w:szCs w:val="24"/>
        </w:rPr>
        <w:t xml:space="preserve">ir </w:t>
      </w:r>
      <w:r w:rsidR="003E3667" w:rsidRPr="004E79E9">
        <w:rPr>
          <w:rFonts w:cs="Times New Roman"/>
          <w:color w:val="000000"/>
          <w:sz w:val="28"/>
          <w:szCs w:val="24"/>
        </w:rPr>
        <w:t>kop</w:t>
      </w:r>
      <w:r w:rsidR="00FB5EA4">
        <w:rPr>
          <w:rFonts w:cs="Times New Roman"/>
          <w:color w:val="000000"/>
          <w:sz w:val="28"/>
          <w:szCs w:val="24"/>
        </w:rPr>
        <w:t>ā</w:t>
      </w:r>
      <w:r w:rsidR="00227EE8">
        <w:rPr>
          <w:rFonts w:cs="Times New Roman"/>
          <w:color w:val="000000"/>
          <w:sz w:val="28"/>
          <w:szCs w:val="24"/>
        </w:rPr>
        <w:t xml:space="preserve"> </w:t>
      </w:r>
      <w:r w:rsidR="003E3667" w:rsidRPr="004E79E9">
        <w:rPr>
          <w:rFonts w:cs="Times New Roman"/>
          <w:color w:val="000000"/>
          <w:sz w:val="28"/>
          <w:szCs w:val="24"/>
        </w:rPr>
        <w:t>43,6</w:t>
      </w:r>
      <w:r w:rsidR="004146B3" w:rsidRPr="004E79E9">
        <w:rPr>
          <w:rFonts w:cs="Times New Roman"/>
          <w:color w:val="000000"/>
          <w:sz w:val="28"/>
          <w:szCs w:val="24"/>
        </w:rPr>
        <w:t> </w:t>
      </w:r>
      <w:r w:rsidR="003E3667" w:rsidRPr="004E79E9">
        <w:rPr>
          <w:rFonts w:cs="Times New Roman"/>
          <w:color w:val="000000"/>
          <w:sz w:val="28"/>
          <w:szCs w:val="24"/>
        </w:rPr>
        <w:t>milj.</w:t>
      </w:r>
      <w:r w:rsidR="004146B3" w:rsidRPr="004E79E9">
        <w:rPr>
          <w:rFonts w:cs="Times New Roman"/>
          <w:color w:val="000000"/>
          <w:sz w:val="28"/>
          <w:szCs w:val="24"/>
        </w:rPr>
        <w:t> </w:t>
      </w:r>
      <w:r w:rsidR="003E3667" w:rsidRPr="004E79E9">
        <w:rPr>
          <w:rFonts w:cs="Times New Roman"/>
          <w:i/>
          <w:color w:val="000000"/>
          <w:sz w:val="28"/>
          <w:szCs w:val="24"/>
        </w:rPr>
        <w:t>euro</w:t>
      </w:r>
      <w:r w:rsidR="00227EE8">
        <w:rPr>
          <w:rFonts w:cs="Times New Roman"/>
          <w:color w:val="000000"/>
          <w:sz w:val="28"/>
          <w:szCs w:val="24"/>
        </w:rPr>
        <w:t xml:space="preserve">. Kopējā neizpilde </w:t>
      </w:r>
      <w:r w:rsidR="003E3667" w:rsidRPr="004E79E9">
        <w:rPr>
          <w:rFonts w:cs="Times New Roman"/>
          <w:color w:val="000000"/>
          <w:sz w:val="28"/>
          <w:szCs w:val="24"/>
        </w:rPr>
        <w:t>29,2</w:t>
      </w:r>
      <w:r w:rsidR="004146B3" w:rsidRPr="004E79E9">
        <w:rPr>
          <w:rFonts w:cs="Times New Roman"/>
          <w:color w:val="000000"/>
          <w:sz w:val="28"/>
          <w:szCs w:val="24"/>
        </w:rPr>
        <w:t> </w:t>
      </w:r>
      <w:r w:rsidR="003E3667" w:rsidRPr="004E79E9">
        <w:rPr>
          <w:rFonts w:cs="Times New Roman"/>
          <w:color w:val="000000"/>
          <w:sz w:val="28"/>
          <w:szCs w:val="24"/>
        </w:rPr>
        <w:t>milj.</w:t>
      </w:r>
      <w:r w:rsidR="004146B3" w:rsidRPr="004E79E9">
        <w:rPr>
          <w:rFonts w:cs="Times New Roman"/>
          <w:color w:val="000000"/>
          <w:sz w:val="28"/>
          <w:szCs w:val="24"/>
        </w:rPr>
        <w:t> </w:t>
      </w:r>
      <w:r w:rsidR="003E3667" w:rsidRPr="004E79E9">
        <w:rPr>
          <w:rFonts w:cs="Times New Roman"/>
          <w:i/>
          <w:color w:val="000000"/>
          <w:sz w:val="28"/>
          <w:szCs w:val="24"/>
        </w:rPr>
        <w:t>euro</w:t>
      </w:r>
      <w:r w:rsidR="003E3667" w:rsidRPr="004E79E9">
        <w:rPr>
          <w:rFonts w:cs="Times New Roman"/>
          <w:color w:val="000000"/>
          <w:sz w:val="28"/>
          <w:szCs w:val="24"/>
        </w:rPr>
        <w:t xml:space="preserve"> bija no projektiem ar noslēgtiem līgumiem un tikai 4,5</w:t>
      </w:r>
      <w:r w:rsidR="004146B3" w:rsidRPr="004E79E9">
        <w:rPr>
          <w:rFonts w:cs="Times New Roman"/>
          <w:color w:val="000000"/>
          <w:sz w:val="28"/>
          <w:szCs w:val="24"/>
        </w:rPr>
        <w:t> </w:t>
      </w:r>
      <w:r w:rsidR="003E3667" w:rsidRPr="004E79E9">
        <w:rPr>
          <w:rFonts w:cs="Times New Roman"/>
          <w:color w:val="000000"/>
          <w:sz w:val="28"/>
          <w:szCs w:val="24"/>
        </w:rPr>
        <w:t>milj.</w:t>
      </w:r>
      <w:r w:rsidR="004146B3" w:rsidRPr="004E79E9">
        <w:rPr>
          <w:rFonts w:cs="Times New Roman"/>
          <w:color w:val="000000"/>
          <w:sz w:val="28"/>
          <w:szCs w:val="24"/>
        </w:rPr>
        <w:t> </w:t>
      </w:r>
      <w:r w:rsidR="003E3667" w:rsidRPr="004E79E9">
        <w:rPr>
          <w:rFonts w:cs="Times New Roman"/>
          <w:i/>
          <w:color w:val="000000"/>
          <w:sz w:val="28"/>
          <w:szCs w:val="24"/>
        </w:rPr>
        <w:t>euro</w:t>
      </w:r>
      <w:r w:rsidR="003E3667" w:rsidRPr="004E79E9">
        <w:rPr>
          <w:rFonts w:cs="Times New Roman"/>
          <w:color w:val="000000"/>
          <w:sz w:val="28"/>
          <w:szCs w:val="24"/>
        </w:rPr>
        <w:t xml:space="preserve"> tādiem projektiem, kuri bija plānojuši maksājumus pirms līguma noslēgšanas. </w:t>
      </w:r>
      <w:r w:rsidR="00FB5EA4">
        <w:rPr>
          <w:rFonts w:cs="Times New Roman"/>
          <w:color w:val="000000"/>
          <w:sz w:val="28"/>
          <w:szCs w:val="24"/>
        </w:rPr>
        <w:t xml:space="preserve">No kopējām plānu neizpildēm </w:t>
      </w:r>
      <w:r w:rsidR="003E3667" w:rsidRPr="004E79E9">
        <w:rPr>
          <w:rFonts w:cs="Times New Roman"/>
          <w:color w:val="000000"/>
          <w:sz w:val="28"/>
          <w:szCs w:val="24"/>
        </w:rPr>
        <w:t>30,7</w:t>
      </w:r>
      <w:r w:rsidR="00FB5EA4">
        <w:rPr>
          <w:rFonts w:cs="Times New Roman"/>
          <w:color w:val="000000"/>
          <w:sz w:val="28"/>
          <w:szCs w:val="24"/>
        </w:rPr>
        <w:t xml:space="preserve"> </w:t>
      </w:r>
      <w:r w:rsidR="003E3667" w:rsidRPr="004E79E9">
        <w:rPr>
          <w:rFonts w:cs="Times New Roman"/>
          <w:color w:val="000000"/>
          <w:sz w:val="28"/>
          <w:szCs w:val="24"/>
        </w:rPr>
        <w:t>milj.</w:t>
      </w:r>
      <w:r w:rsidR="004146B3" w:rsidRPr="004E79E9">
        <w:rPr>
          <w:rFonts w:cs="Times New Roman"/>
          <w:color w:val="000000"/>
          <w:sz w:val="28"/>
          <w:szCs w:val="24"/>
        </w:rPr>
        <w:t> </w:t>
      </w:r>
      <w:r w:rsidR="003E3667" w:rsidRPr="004E79E9">
        <w:rPr>
          <w:rFonts w:cs="Times New Roman"/>
          <w:i/>
          <w:color w:val="000000"/>
          <w:sz w:val="28"/>
          <w:szCs w:val="24"/>
        </w:rPr>
        <w:t>euro</w:t>
      </w:r>
      <w:r w:rsidR="003E3667" w:rsidRPr="004E79E9">
        <w:rPr>
          <w:rFonts w:cs="Times New Roman"/>
          <w:color w:val="000000"/>
          <w:sz w:val="28"/>
          <w:szCs w:val="24"/>
        </w:rPr>
        <w:t xml:space="preserve"> </w:t>
      </w:r>
      <w:r w:rsidR="00FB5EA4">
        <w:rPr>
          <w:rFonts w:cs="Times New Roman"/>
          <w:color w:val="000000"/>
          <w:sz w:val="28"/>
          <w:szCs w:val="24"/>
        </w:rPr>
        <w:t>ir</w:t>
      </w:r>
      <w:r w:rsidR="00FB5EA4" w:rsidRPr="004E79E9">
        <w:rPr>
          <w:rFonts w:cs="Times New Roman"/>
          <w:color w:val="000000"/>
          <w:sz w:val="28"/>
          <w:szCs w:val="24"/>
        </w:rPr>
        <w:t xml:space="preserve"> </w:t>
      </w:r>
      <w:r w:rsidR="004146B3" w:rsidRPr="004E79E9">
        <w:rPr>
          <w:rFonts w:cs="Times New Roman"/>
          <w:color w:val="000000"/>
          <w:sz w:val="28"/>
          <w:szCs w:val="24"/>
        </w:rPr>
        <w:t>IPIA</w:t>
      </w:r>
      <w:r w:rsidR="0043572B" w:rsidRPr="004E79E9">
        <w:rPr>
          <w:rFonts w:cs="Times New Roman"/>
          <w:color w:val="000000"/>
          <w:sz w:val="28"/>
          <w:szCs w:val="24"/>
        </w:rPr>
        <w:t xml:space="preserve"> </w:t>
      </w:r>
      <w:r w:rsidR="003E3667" w:rsidRPr="004E79E9">
        <w:rPr>
          <w:rFonts w:cs="Times New Roman"/>
          <w:color w:val="000000"/>
          <w:sz w:val="28"/>
          <w:szCs w:val="24"/>
        </w:rPr>
        <w:t>projekt</w:t>
      </w:r>
      <w:r w:rsidR="00FB5EA4">
        <w:rPr>
          <w:rFonts w:cs="Times New Roman"/>
          <w:color w:val="000000"/>
          <w:sz w:val="28"/>
          <w:szCs w:val="24"/>
        </w:rPr>
        <w:t xml:space="preserve">os un </w:t>
      </w:r>
      <w:r w:rsidR="00FB5EA4" w:rsidRPr="006B65D3">
        <w:rPr>
          <w:rFonts w:cs="Times New Roman"/>
          <w:color w:val="000000"/>
          <w:sz w:val="28"/>
          <w:szCs w:val="24"/>
        </w:rPr>
        <w:t>3,0 milj. </w:t>
      </w:r>
      <w:r w:rsidR="00FB5EA4" w:rsidRPr="006B65D3">
        <w:rPr>
          <w:rFonts w:cs="Times New Roman"/>
          <w:i/>
          <w:color w:val="000000"/>
          <w:sz w:val="28"/>
          <w:szCs w:val="24"/>
        </w:rPr>
        <w:t>euro</w:t>
      </w:r>
      <w:r w:rsidR="00FB5EA4" w:rsidRPr="00FB5EA4" w:rsidDel="00FB5EA4">
        <w:rPr>
          <w:rFonts w:cs="Times New Roman"/>
          <w:color w:val="000000"/>
          <w:sz w:val="28"/>
          <w:szCs w:val="24"/>
        </w:rPr>
        <w:t xml:space="preserve"> </w:t>
      </w:r>
      <w:r w:rsidR="003E3667" w:rsidRPr="004E79E9">
        <w:rPr>
          <w:rFonts w:cs="Times New Roman"/>
          <w:color w:val="000000"/>
          <w:sz w:val="28"/>
          <w:szCs w:val="24"/>
        </w:rPr>
        <w:t>atklāt</w:t>
      </w:r>
      <w:r w:rsidR="00FB5EA4">
        <w:rPr>
          <w:rFonts w:cs="Times New Roman"/>
          <w:color w:val="000000"/>
          <w:sz w:val="28"/>
          <w:szCs w:val="24"/>
        </w:rPr>
        <w:t>ajās</w:t>
      </w:r>
      <w:r w:rsidR="003E3667" w:rsidRPr="004E79E9">
        <w:rPr>
          <w:rFonts w:cs="Times New Roman"/>
          <w:color w:val="000000"/>
          <w:sz w:val="28"/>
          <w:szCs w:val="24"/>
        </w:rPr>
        <w:t xml:space="preserve"> atlas</w:t>
      </w:r>
      <w:r w:rsidR="00FB5EA4">
        <w:rPr>
          <w:rFonts w:cs="Times New Roman"/>
          <w:color w:val="000000"/>
          <w:sz w:val="28"/>
          <w:szCs w:val="24"/>
        </w:rPr>
        <w:t>ēs</w:t>
      </w:r>
      <w:r w:rsidR="003E3667" w:rsidRPr="004E79E9">
        <w:rPr>
          <w:rFonts w:cs="Times New Roman"/>
          <w:color w:val="000000"/>
          <w:sz w:val="28"/>
          <w:szCs w:val="24"/>
        </w:rPr>
        <w:t xml:space="preserve">. Detālāku informāciju par projektu iesniegumiem un maksājumu iesniegumiem pieejama ES fondu </w:t>
      </w:r>
      <w:r w:rsidR="00A87577" w:rsidRPr="004E79E9">
        <w:rPr>
          <w:rFonts w:cs="Times New Roman"/>
          <w:color w:val="000000"/>
          <w:sz w:val="28"/>
          <w:szCs w:val="24"/>
        </w:rPr>
        <w:t>tīmekļa vietnē</w:t>
      </w:r>
      <w:r w:rsidR="0009099A">
        <w:rPr>
          <w:rStyle w:val="FootnoteReference"/>
          <w:rFonts w:cs="Times New Roman"/>
          <w:color w:val="000000"/>
          <w:sz w:val="28"/>
          <w:szCs w:val="24"/>
        </w:rPr>
        <w:footnoteReference w:id="36"/>
      </w:r>
      <w:r w:rsidR="003E3667" w:rsidRPr="004E79E9">
        <w:rPr>
          <w:rFonts w:cs="Times New Roman"/>
          <w:color w:val="000000"/>
          <w:sz w:val="28"/>
          <w:szCs w:val="24"/>
        </w:rPr>
        <w:t>.</w:t>
      </w:r>
    </w:p>
    <w:p w14:paraId="78E440E5" w14:textId="410D9BC9" w:rsidR="009759AB" w:rsidRPr="00866986" w:rsidRDefault="00FB13B5" w:rsidP="00866986">
      <w:pPr>
        <w:spacing w:before="120" w:after="120"/>
        <w:ind w:firstLine="720"/>
        <w:jc w:val="both"/>
        <w:rPr>
          <w:rFonts w:eastAsia="Calibri" w:cs="Times New Roman"/>
          <w:sz w:val="28"/>
          <w:szCs w:val="28"/>
        </w:rPr>
      </w:pPr>
      <w:r w:rsidRPr="00FB13B5">
        <w:rPr>
          <w:rFonts w:cs="Times New Roman"/>
          <w:sz w:val="28"/>
        </w:rPr>
        <w:t>Negatīvās plānu novirzes projektu līmenī ietekmē kopējo Latvijas sniegumu pret EK noteiktajiem mērķiem (kas minēti iepriekš) un rada risku gan prioritārajam virzienam zaudēt finansējumu, gan iespējamu “neto” ES fondu zaudējumu Latvijai.</w:t>
      </w:r>
      <w:r w:rsidR="003D4393">
        <w:rPr>
          <w:rFonts w:cs="Times New Roman"/>
          <w:sz w:val="28"/>
        </w:rPr>
        <w:t xml:space="preserve"> </w:t>
      </w:r>
      <w:r w:rsidR="00F42611" w:rsidRPr="00C16494">
        <w:rPr>
          <w:rFonts w:eastAsia="Calibri" w:cs="Times New Roman"/>
          <w:sz w:val="28"/>
          <w:szCs w:val="28"/>
        </w:rPr>
        <w:t>Neskatoties uz ambiciozāku nacionālo ikgadējo maksājumu plāna nesasniegš</w:t>
      </w:r>
      <w:r w:rsidR="00F42611">
        <w:rPr>
          <w:rFonts w:eastAsia="Calibri" w:cs="Times New Roman"/>
          <w:sz w:val="28"/>
          <w:szCs w:val="28"/>
        </w:rPr>
        <w:t>anu pilnā apmērā, veiktie un EK</w:t>
      </w:r>
      <w:r w:rsidR="00F42611" w:rsidRPr="00C16494">
        <w:rPr>
          <w:rFonts w:eastAsia="Calibri" w:cs="Times New Roman"/>
          <w:sz w:val="28"/>
          <w:szCs w:val="28"/>
        </w:rPr>
        <w:t xml:space="preserve"> deklarētie izdevumi līdz 2017.</w:t>
      </w:r>
      <w:r w:rsidR="00F42611">
        <w:rPr>
          <w:rFonts w:eastAsia="Calibri" w:cs="Times New Roman"/>
          <w:sz w:val="28"/>
          <w:szCs w:val="28"/>
        </w:rPr>
        <w:t> </w:t>
      </w:r>
      <w:r w:rsidR="00F42611" w:rsidRPr="00C16494">
        <w:rPr>
          <w:rFonts w:eastAsia="Calibri" w:cs="Times New Roman"/>
          <w:sz w:val="28"/>
          <w:szCs w:val="28"/>
        </w:rPr>
        <w:t>gada beigām ir pietiekamā apmērā un Latvija ir izpildījusi 2017.</w:t>
      </w:r>
      <w:r w:rsidR="00F42611">
        <w:rPr>
          <w:rFonts w:eastAsia="Calibri" w:cs="Times New Roman"/>
          <w:sz w:val="28"/>
          <w:szCs w:val="28"/>
        </w:rPr>
        <w:t> </w:t>
      </w:r>
      <w:r w:rsidR="00F42611" w:rsidRPr="00C16494">
        <w:rPr>
          <w:rFonts w:eastAsia="Calibri" w:cs="Times New Roman"/>
          <w:sz w:val="28"/>
          <w:szCs w:val="28"/>
        </w:rPr>
        <w:t>gada “</w:t>
      </w:r>
      <w:r w:rsidR="00F42611">
        <w:rPr>
          <w:rFonts w:eastAsia="Calibri" w:cs="Times New Roman"/>
          <w:sz w:val="28"/>
          <w:szCs w:val="28"/>
        </w:rPr>
        <w:t>N</w:t>
      </w:r>
      <w:r w:rsidR="00F42611" w:rsidRPr="00C16494">
        <w:rPr>
          <w:rFonts w:eastAsia="Calibri" w:cs="Times New Roman"/>
          <w:sz w:val="28"/>
          <w:szCs w:val="28"/>
        </w:rPr>
        <w:t>+3” EK noteikto ikgadējo mērķi – nav iestājies risks “neto” ES finansējuma samazinājumam proporcionāli neizpildei.</w:t>
      </w:r>
    </w:p>
    <w:p w14:paraId="40DF7676" w14:textId="075F9503" w:rsidR="00DE1CD1" w:rsidRPr="00DE1CD1" w:rsidRDefault="00DE1CD1" w:rsidP="00321BDD">
      <w:pPr>
        <w:ind w:firstLine="720"/>
        <w:jc w:val="both"/>
        <w:rPr>
          <w:rFonts w:cs="Times New Roman"/>
          <w:b/>
          <w:i/>
          <w:sz w:val="28"/>
          <w:szCs w:val="28"/>
        </w:rPr>
      </w:pPr>
      <w:r w:rsidRPr="00DE1CD1">
        <w:rPr>
          <w:rFonts w:cs="Times New Roman"/>
          <w:b/>
          <w:i/>
          <w:sz w:val="28"/>
          <w:szCs w:val="28"/>
        </w:rPr>
        <w:t>ES fondu ieviešanas progress nozarēs</w:t>
      </w:r>
    </w:p>
    <w:p w14:paraId="6EE21940" w14:textId="4CE210D9" w:rsidR="00321BDD" w:rsidRPr="00801C55" w:rsidRDefault="00DE1CD1" w:rsidP="00801C55">
      <w:pPr>
        <w:spacing w:before="120" w:after="120"/>
        <w:ind w:firstLine="720"/>
        <w:jc w:val="both"/>
        <w:rPr>
          <w:rFonts w:cs="Times New Roman"/>
          <w:sz w:val="28"/>
          <w:szCs w:val="28"/>
        </w:rPr>
      </w:pPr>
      <w:r w:rsidRPr="00DE1CD1">
        <w:rPr>
          <w:rFonts w:cs="Times New Roman"/>
          <w:sz w:val="28"/>
          <w:szCs w:val="28"/>
        </w:rPr>
        <w:t>2017.</w:t>
      </w:r>
      <w:r w:rsidR="005F1032">
        <w:rPr>
          <w:rFonts w:cs="Times New Roman"/>
          <w:sz w:val="28"/>
          <w:szCs w:val="28"/>
        </w:rPr>
        <w:t> </w:t>
      </w:r>
      <w:r w:rsidRPr="00DE1CD1">
        <w:rPr>
          <w:rFonts w:cs="Times New Roman"/>
          <w:sz w:val="28"/>
          <w:szCs w:val="28"/>
        </w:rPr>
        <w:t xml:space="preserve">gadā </w:t>
      </w:r>
      <w:r w:rsidR="003A7618">
        <w:rPr>
          <w:rFonts w:cs="Times New Roman"/>
          <w:sz w:val="28"/>
          <w:szCs w:val="28"/>
        </w:rPr>
        <w:t>SI bija plānojusi</w:t>
      </w:r>
      <w:r w:rsidRPr="00DE1CD1">
        <w:rPr>
          <w:rFonts w:cs="Times New Roman"/>
          <w:sz w:val="28"/>
          <w:szCs w:val="28"/>
        </w:rPr>
        <w:t xml:space="preserve">, ka </w:t>
      </w:r>
      <w:r w:rsidR="003A7618">
        <w:rPr>
          <w:rFonts w:cs="Times New Roman"/>
          <w:sz w:val="28"/>
          <w:szCs w:val="28"/>
        </w:rPr>
        <w:t xml:space="preserve">projektu </w:t>
      </w:r>
      <w:r w:rsidRPr="00DE1CD1">
        <w:rPr>
          <w:rFonts w:cs="Times New Roman"/>
          <w:sz w:val="28"/>
          <w:szCs w:val="28"/>
        </w:rPr>
        <w:t>līgumi tiks noslēgti 1,7</w:t>
      </w:r>
      <w:r w:rsidR="00845F9E">
        <w:rPr>
          <w:rFonts w:cs="Times New Roman"/>
          <w:sz w:val="28"/>
          <w:szCs w:val="28"/>
        </w:rPr>
        <w:t> </w:t>
      </w:r>
      <w:r w:rsidRPr="00DE1CD1">
        <w:rPr>
          <w:rFonts w:cs="Times New Roman"/>
          <w:sz w:val="28"/>
          <w:szCs w:val="28"/>
        </w:rPr>
        <w:t>mljrd.</w:t>
      </w:r>
      <w:r w:rsidR="00845F9E">
        <w:rPr>
          <w:rFonts w:cs="Times New Roman"/>
          <w:sz w:val="28"/>
          <w:szCs w:val="28"/>
        </w:rPr>
        <w:t> </w:t>
      </w:r>
      <w:r w:rsidRPr="00DE1CD1">
        <w:rPr>
          <w:rFonts w:cs="Times New Roman"/>
          <w:i/>
          <w:sz w:val="28"/>
          <w:szCs w:val="28"/>
        </w:rPr>
        <w:t>euro</w:t>
      </w:r>
      <w:r w:rsidR="00991FF3">
        <w:rPr>
          <w:rFonts w:cs="Times New Roman"/>
          <w:sz w:val="28"/>
          <w:szCs w:val="28"/>
        </w:rPr>
        <w:t xml:space="preserve"> apmē</w:t>
      </w:r>
      <w:r w:rsidRPr="00DE1CD1">
        <w:rPr>
          <w:rFonts w:cs="Times New Roman"/>
          <w:sz w:val="28"/>
          <w:szCs w:val="28"/>
        </w:rPr>
        <w:t>rā (kumulatīvi 3,0</w:t>
      </w:r>
      <w:r w:rsidR="00845F9E">
        <w:rPr>
          <w:rFonts w:cs="Times New Roman"/>
          <w:sz w:val="28"/>
          <w:szCs w:val="28"/>
        </w:rPr>
        <w:t> </w:t>
      </w:r>
      <w:r w:rsidRPr="00DE1CD1">
        <w:rPr>
          <w:rFonts w:cs="Times New Roman"/>
          <w:sz w:val="28"/>
          <w:szCs w:val="28"/>
        </w:rPr>
        <w:t>mljrd.</w:t>
      </w:r>
      <w:r w:rsidR="00845F9E">
        <w:rPr>
          <w:rFonts w:cs="Times New Roman"/>
          <w:sz w:val="28"/>
          <w:szCs w:val="28"/>
        </w:rPr>
        <w:t> </w:t>
      </w:r>
      <w:r w:rsidRPr="00DE1CD1">
        <w:rPr>
          <w:rFonts w:cs="Times New Roman"/>
          <w:i/>
          <w:sz w:val="28"/>
          <w:szCs w:val="28"/>
        </w:rPr>
        <w:t>euro</w:t>
      </w:r>
      <w:r w:rsidRPr="00DE1CD1">
        <w:rPr>
          <w:rFonts w:cs="Times New Roman"/>
          <w:sz w:val="28"/>
          <w:szCs w:val="28"/>
        </w:rPr>
        <w:t>) E</w:t>
      </w:r>
      <w:r w:rsidR="00845F9E">
        <w:rPr>
          <w:rFonts w:cs="Times New Roman"/>
          <w:sz w:val="28"/>
          <w:szCs w:val="28"/>
        </w:rPr>
        <w:t>S</w:t>
      </w:r>
      <w:r w:rsidRPr="00DE1CD1">
        <w:rPr>
          <w:rFonts w:cs="Times New Roman"/>
          <w:sz w:val="28"/>
          <w:szCs w:val="28"/>
        </w:rPr>
        <w:t xml:space="preserve"> fondu finansējuma. </w:t>
      </w:r>
    </w:p>
    <w:p w14:paraId="3A17618B" w14:textId="59CE9AF5" w:rsidR="00DE1CD1" w:rsidRPr="00DE1CD1" w:rsidRDefault="00DE1CD1" w:rsidP="008A0FEC">
      <w:pPr>
        <w:spacing w:before="120" w:after="120"/>
        <w:ind w:firstLine="720"/>
        <w:jc w:val="both"/>
        <w:rPr>
          <w:rFonts w:cs="Times New Roman"/>
          <w:i/>
          <w:szCs w:val="28"/>
        </w:rPr>
      </w:pPr>
      <w:r w:rsidRPr="00DE1CD1">
        <w:rPr>
          <w:rFonts w:cs="Times New Roman"/>
          <w:i/>
          <w:szCs w:val="28"/>
        </w:rPr>
        <w:t xml:space="preserve">Ilustrācija </w:t>
      </w:r>
      <w:r w:rsidR="00FE298E">
        <w:rPr>
          <w:rFonts w:cs="Times New Roman"/>
          <w:i/>
          <w:szCs w:val="28"/>
        </w:rPr>
        <w:t>N</w:t>
      </w:r>
      <w:r w:rsidRPr="00DE1CD1">
        <w:rPr>
          <w:rFonts w:cs="Times New Roman"/>
          <w:i/>
          <w:szCs w:val="28"/>
        </w:rPr>
        <w:t>r.</w:t>
      </w:r>
      <w:r w:rsidR="003B5107">
        <w:rPr>
          <w:rFonts w:cs="Times New Roman"/>
          <w:i/>
          <w:szCs w:val="28"/>
        </w:rPr>
        <w:t>3</w:t>
      </w:r>
      <w:r w:rsidRPr="00DE1CD1">
        <w:rPr>
          <w:rFonts w:cs="Times New Roman"/>
          <w:i/>
          <w:szCs w:val="28"/>
        </w:rPr>
        <w:t xml:space="preserve"> “Plānotie projektu līgumi līdz 2017. gada beigām, faktiskā izpilde un plāns 2018. gadam nozarēs,</w:t>
      </w:r>
      <w:r w:rsidRPr="00DE1CD1">
        <w:rPr>
          <w:rFonts w:cs="Times New Roman"/>
          <w:bCs/>
          <w:i/>
          <w:szCs w:val="28"/>
        </w:rPr>
        <w:t xml:space="preserve"> milj.</w:t>
      </w:r>
      <w:r w:rsidR="00845F9E">
        <w:rPr>
          <w:rFonts w:cs="Times New Roman"/>
          <w:bCs/>
          <w:i/>
          <w:szCs w:val="28"/>
        </w:rPr>
        <w:t> </w:t>
      </w:r>
      <w:r w:rsidRPr="00DE1CD1">
        <w:rPr>
          <w:rFonts w:cs="Times New Roman"/>
          <w:bCs/>
          <w:i/>
          <w:szCs w:val="28"/>
        </w:rPr>
        <w:t>euro, % no pieejamā ES fondu finansējuma</w:t>
      </w:r>
      <w:r w:rsidRPr="00DE1CD1">
        <w:rPr>
          <w:rFonts w:cs="Times New Roman"/>
          <w:i/>
          <w:szCs w:val="28"/>
        </w:rPr>
        <w:t>”</w:t>
      </w:r>
    </w:p>
    <w:p w14:paraId="2E05DBFA" w14:textId="77777777" w:rsidR="00DE1CD1" w:rsidRPr="00E94DEB" w:rsidRDefault="00DE1CD1" w:rsidP="00DE1CD1">
      <w:pPr>
        <w:jc w:val="both"/>
        <w:rPr>
          <w:rFonts w:cs="Times New Roman"/>
          <w:sz w:val="28"/>
          <w:szCs w:val="28"/>
          <w:highlight w:val="yellow"/>
        </w:rPr>
      </w:pPr>
      <w:r>
        <w:rPr>
          <w:noProof/>
          <w:lang w:eastAsia="lv-LV"/>
        </w:rPr>
        <w:drawing>
          <wp:inline distT="0" distB="0" distL="0" distR="0" wp14:anchorId="4C0005D0" wp14:editId="2ACF4A1C">
            <wp:extent cx="5760085" cy="3518535"/>
            <wp:effectExtent l="0" t="0" r="1206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8E9590" w14:textId="65288C57" w:rsidR="00DE1CD1" w:rsidRDefault="00991FF3" w:rsidP="0062255B">
      <w:pPr>
        <w:spacing w:before="120" w:after="120"/>
        <w:ind w:firstLine="709"/>
        <w:jc w:val="both"/>
        <w:rPr>
          <w:sz w:val="28"/>
        </w:rPr>
      </w:pPr>
      <w:r>
        <w:rPr>
          <w:rFonts w:cs="Times New Roman"/>
          <w:sz w:val="28"/>
          <w:szCs w:val="28"/>
        </w:rPr>
        <w:t>Kā redzams ilus</w:t>
      </w:r>
      <w:r w:rsidR="00DE1CD1" w:rsidRPr="00DE1CD1">
        <w:rPr>
          <w:rFonts w:cs="Times New Roman"/>
          <w:sz w:val="28"/>
          <w:szCs w:val="28"/>
        </w:rPr>
        <w:t>trācijā Nr.</w:t>
      </w:r>
      <w:r w:rsidR="003B5107">
        <w:rPr>
          <w:rFonts w:cs="Times New Roman"/>
          <w:sz w:val="28"/>
          <w:szCs w:val="28"/>
        </w:rPr>
        <w:t> 3</w:t>
      </w:r>
      <w:r w:rsidR="00DE1CD1" w:rsidRPr="00DE1CD1">
        <w:rPr>
          <w:rFonts w:cs="Times New Roman"/>
          <w:sz w:val="28"/>
          <w:szCs w:val="28"/>
        </w:rPr>
        <w:t>, tad tikai pētniecības un inovāciju jomā ir noslēgti līgumi vairāk kā plānots, sav</w:t>
      </w:r>
      <w:r>
        <w:rPr>
          <w:rFonts w:cs="Times New Roman"/>
          <w:sz w:val="28"/>
          <w:szCs w:val="28"/>
        </w:rPr>
        <w:t>u</w:t>
      </w:r>
      <w:r w:rsidR="00DE1CD1" w:rsidRPr="00DE1CD1">
        <w:rPr>
          <w:rFonts w:cs="Times New Roman"/>
          <w:sz w:val="28"/>
          <w:szCs w:val="28"/>
        </w:rPr>
        <w:t xml:space="preserve">kārt nodarbinātības jomā un atbalstam ES </w:t>
      </w:r>
      <w:r w:rsidR="00DE1CD1" w:rsidRPr="00DE1CD1">
        <w:rPr>
          <w:rFonts w:cs="Times New Roman"/>
          <w:sz w:val="28"/>
          <w:szCs w:val="28"/>
        </w:rPr>
        <w:lastRenderedPageBreak/>
        <w:t>fondu vadībā 2017. gada plāns izpildīts ļoti precīzi. Pārējās nozarēs nav izdevies izpildīt plānu – šāds secinājums tika arī izdarīts iepriekšējā ziņojumā, ka balstoties uz aktualizēto plānu gada vidū, netiks sasniegts gada sākumā plānotais apjoms. Lai gan aktualizētās prognozes rādīja, ka transporta jomā plānu varētu pat pārpildīt, neizpilde saistāma ar Latvijas dzelzceļa tīkla elektrifikācijas projektu, kam ir mainīts iesniegšanas termiņš CFLA</w:t>
      </w:r>
      <w:r w:rsidR="00625918">
        <w:rPr>
          <w:rFonts w:cs="Times New Roman"/>
          <w:sz w:val="28"/>
          <w:szCs w:val="28"/>
        </w:rPr>
        <w:t> </w:t>
      </w:r>
      <w:r w:rsidR="00DE1CD1" w:rsidRPr="00DE1CD1">
        <w:rPr>
          <w:rFonts w:cs="Times New Roman"/>
          <w:sz w:val="28"/>
          <w:szCs w:val="28"/>
        </w:rPr>
        <w:t>–</w:t>
      </w:r>
      <w:r w:rsidR="00625918">
        <w:rPr>
          <w:rFonts w:cs="Times New Roman"/>
          <w:sz w:val="28"/>
          <w:szCs w:val="28"/>
        </w:rPr>
        <w:t> </w:t>
      </w:r>
      <w:r w:rsidR="00DE1CD1" w:rsidRPr="00DE1CD1">
        <w:rPr>
          <w:rFonts w:cs="Times New Roman"/>
          <w:sz w:val="28"/>
          <w:szCs w:val="28"/>
        </w:rPr>
        <w:t>2018. gada 28. februāris.</w:t>
      </w:r>
    </w:p>
    <w:p w14:paraId="5F4B63A6" w14:textId="635CCCA4" w:rsidR="00DE1CD1" w:rsidRDefault="00DE1CD1" w:rsidP="0062255B">
      <w:pPr>
        <w:spacing w:before="120" w:after="120"/>
        <w:ind w:firstLine="709"/>
        <w:jc w:val="both"/>
        <w:rPr>
          <w:sz w:val="28"/>
        </w:rPr>
      </w:pPr>
      <w:r w:rsidRPr="00475F1E">
        <w:rPr>
          <w:sz w:val="28"/>
        </w:rPr>
        <w:t>Pozitīvi vērtējams augstais ES fondu finansējuma pieprasījums centralizētās siltumapgādes projektiem, pārsniedz</w:t>
      </w:r>
      <w:r>
        <w:rPr>
          <w:sz w:val="28"/>
        </w:rPr>
        <w:t>ot</w:t>
      </w:r>
      <w:r w:rsidRPr="00475F1E">
        <w:rPr>
          <w:sz w:val="28"/>
        </w:rPr>
        <w:t xml:space="preserve"> </w:t>
      </w:r>
      <w:r>
        <w:rPr>
          <w:sz w:val="28"/>
        </w:rPr>
        <w:t xml:space="preserve">projektiem </w:t>
      </w:r>
      <w:r w:rsidRPr="00475F1E">
        <w:rPr>
          <w:sz w:val="28"/>
        </w:rPr>
        <w:t>pieejamo finansējumu. Papildu nepieciešam</w:t>
      </w:r>
      <w:r>
        <w:rPr>
          <w:sz w:val="28"/>
        </w:rPr>
        <w:t>ais finansējums</w:t>
      </w:r>
      <w:r w:rsidRPr="00475F1E">
        <w:rPr>
          <w:sz w:val="28"/>
        </w:rPr>
        <w:t xml:space="preserve"> </w:t>
      </w:r>
      <w:r w:rsidRPr="00E94DEB">
        <w:rPr>
          <w:sz w:val="28"/>
        </w:rPr>
        <w:t>6</w:t>
      </w:r>
      <w:r>
        <w:rPr>
          <w:sz w:val="28"/>
        </w:rPr>
        <w:t> </w:t>
      </w:r>
      <w:r w:rsidRPr="00E94DEB">
        <w:rPr>
          <w:sz w:val="28"/>
        </w:rPr>
        <w:t>805</w:t>
      </w:r>
      <w:r>
        <w:rPr>
          <w:sz w:val="28"/>
        </w:rPr>
        <w:t> </w:t>
      </w:r>
      <w:r w:rsidRPr="00E94DEB">
        <w:rPr>
          <w:sz w:val="28"/>
        </w:rPr>
        <w:t>775</w:t>
      </w:r>
      <w:r>
        <w:rPr>
          <w:sz w:val="28"/>
        </w:rPr>
        <w:t> </w:t>
      </w:r>
      <w:r w:rsidRPr="00E94DEB">
        <w:rPr>
          <w:i/>
          <w:sz w:val="28"/>
        </w:rPr>
        <w:t xml:space="preserve">euro </w:t>
      </w:r>
      <w:r>
        <w:rPr>
          <w:sz w:val="28"/>
        </w:rPr>
        <w:t xml:space="preserve">apmērā </w:t>
      </w:r>
      <w:r w:rsidRPr="00E94DEB">
        <w:rPr>
          <w:sz w:val="28"/>
        </w:rPr>
        <w:t>tika pārdalīt</w:t>
      </w:r>
      <w:r>
        <w:rPr>
          <w:sz w:val="28"/>
        </w:rPr>
        <w:t>s</w:t>
      </w:r>
      <w:r w:rsidRPr="00E94DEB">
        <w:rPr>
          <w:sz w:val="28"/>
        </w:rPr>
        <w:t xml:space="preserve"> no daudzīvokļu ēku energoefektivitātes programmas.</w:t>
      </w:r>
    </w:p>
    <w:p w14:paraId="1193A6A2" w14:textId="41B109E3" w:rsidR="00DE1CD1" w:rsidRDefault="00DE1CD1" w:rsidP="0062255B">
      <w:pPr>
        <w:spacing w:before="120" w:after="120"/>
        <w:ind w:firstLine="709"/>
        <w:jc w:val="both"/>
        <w:rPr>
          <w:rFonts w:cs="Times New Roman"/>
          <w:sz w:val="28"/>
          <w:szCs w:val="28"/>
        </w:rPr>
      </w:pPr>
      <w:r w:rsidRPr="00FE298E">
        <w:rPr>
          <w:rFonts w:cs="Times New Roman"/>
          <w:sz w:val="28"/>
          <w:szCs w:val="28"/>
        </w:rPr>
        <w:t xml:space="preserve">2018. gada 4. janvāra MK sēdē </w:t>
      </w:r>
      <w:r>
        <w:rPr>
          <w:rFonts w:cs="Times New Roman"/>
          <w:sz w:val="28"/>
          <w:szCs w:val="28"/>
        </w:rPr>
        <w:t>apstiprināti MK noteikumi</w:t>
      </w:r>
      <w:r w:rsidRPr="00FE298E">
        <w:rPr>
          <w:rFonts w:cs="Times New Roman"/>
          <w:sz w:val="28"/>
          <w:szCs w:val="28"/>
        </w:rPr>
        <w:t xml:space="preserve"> </w:t>
      </w:r>
      <w:r w:rsidR="00FA2EB8">
        <w:rPr>
          <w:rFonts w:cs="Times New Roman"/>
          <w:sz w:val="28"/>
          <w:szCs w:val="28"/>
        </w:rPr>
        <w:t>valsts ēku energoefektivitātes</w:t>
      </w:r>
      <w:r w:rsidR="00FA2EB8">
        <w:rPr>
          <w:rStyle w:val="FootnoteReference"/>
          <w:rFonts w:cs="Times New Roman"/>
          <w:sz w:val="28"/>
          <w:szCs w:val="28"/>
        </w:rPr>
        <w:footnoteReference w:id="37"/>
      </w:r>
      <w:r w:rsidR="00FA2EB8">
        <w:rPr>
          <w:rFonts w:cs="Times New Roman"/>
          <w:sz w:val="28"/>
          <w:szCs w:val="28"/>
        </w:rPr>
        <w:t xml:space="preserve"> jomā otrās</w:t>
      </w:r>
      <w:r>
        <w:rPr>
          <w:rFonts w:cs="Times New Roman"/>
          <w:sz w:val="28"/>
          <w:szCs w:val="28"/>
        </w:rPr>
        <w:t xml:space="preserve"> kārtas īstenošanai</w:t>
      </w:r>
      <w:r w:rsidRPr="00FE298E">
        <w:rPr>
          <w:rFonts w:cs="Times New Roman"/>
          <w:sz w:val="28"/>
          <w:szCs w:val="28"/>
        </w:rPr>
        <w:t>, kā arī izpildīts valdības u</w:t>
      </w:r>
      <w:r w:rsidR="00FA2EB8">
        <w:rPr>
          <w:rFonts w:cs="Times New Roman"/>
          <w:sz w:val="28"/>
          <w:szCs w:val="28"/>
        </w:rPr>
        <w:t>z</w:t>
      </w:r>
      <w:r w:rsidRPr="00FE298E">
        <w:rPr>
          <w:rFonts w:cs="Times New Roman"/>
          <w:sz w:val="28"/>
          <w:szCs w:val="28"/>
        </w:rPr>
        <w:t>devums izstrādāt papildinošas saimnieciskās darbības aprēķina metodiku, tādējādi būtiski samazinot projekta iesnieguma sagatavošanas un vērtēšanas procesa administratīvo slogu.</w:t>
      </w:r>
      <w:r w:rsidR="000A21CC">
        <w:rPr>
          <w:rFonts w:cs="Times New Roman"/>
          <w:sz w:val="28"/>
          <w:szCs w:val="28"/>
        </w:rPr>
        <w:t xml:space="preserve"> Vienlaikus projektu uzsākšana ir ievērojami kavēta, salīdzinot ar sākotnēji plānoto.</w:t>
      </w:r>
    </w:p>
    <w:p w14:paraId="03248E4F" w14:textId="301B25DE" w:rsidR="00861712" w:rsidRDefault="007B0ADF" w:rsidP="0062255B">
      <w:pPr>
        <w:spacing w:before="120" w:after="120"/>
        <w:ind w:firstLine="720"/>
        <w:jc w:val="both"/>
        <w:rPr>
          <w:rFonts w:cs="Times New Roman"/>
          <w:sz w:val="28"/>
          <w:szCs w:val="28"/>
        </w:rPr>
      </w:pPr>
      <w:r w:rsidRPr="00FD1165">
        <w:rPr>
          <w:rFonts w:cs="Times New Roman"/>
          <w:sz w:val="28"/>
          <w:szCs w:val="28"/>
        </w:rPr>
        <w:t>Pārskata periodā risinātas arī problēmas, kas sa</w:t>
      </w:r>
      <w:r w:rsidR="00347718" w:rsidRPr="00FD1165">
        <w:rPr>
          <w:rFonts w:cs="Times New Roman"/>
          <w:sz w:val="28"/>
          <w:szCs w:val="28"/>
        </w:rPr>
        <w:t>i</w:t>
      </w:r>
      <w:r w:rsidRPr="00FD1165">
        <w:rPr>
          <w:rFonts w:cs="Times New Roman"/>
          <w:sz w:val="28"/>
          <w:szCs w:val="28"/>
        </w:rPr>
        <w:t xml:space="preserve">stītas ar </w:t>
      </w:r>
      <w:r w:rsidR="00861712" w:rsidRPr="00FD1165">
        <w:rPr>
          <w:rFonts w:cs="Times New Roman"/>
          <w:sz w:val="28"/>
          <w:szCs w:val="28"/>
        </w:rPr>
        <w:t>vāj</w:t>
      </w:r>
      <w:r w:rsidRPr="00FD1165">
        <w:rPr>
          <w:rFonts w:cs="Times New Roman"/>
          <w:sz w:val="28"/>
          <w:szCs w:val="28"/>
        </w:rPr>
        <w:t>o</w:t>
      </w:r>
      <w:r w:rsidR="00861712" w:rsidRPr="00FD1165">
        <w:rPr>
          <w:rFonts w:cs="Times New Roman"/>
          <w:sz w:val="28"/>
          <w:szCs w:val="28"/>
        </w:rPr>
        <w:t xml:space="preserve"> sniegum</w:t>
      </w:r>
      <w:r w:rsidRPr="00FD1165">
        <w:rPr>
          <w:rFonts w:cs="Times New Roman"/>
          <w:sz w:val="28"/>
          <w:szCs w:val="28"/>
        </w:rPr>
        <w:t>u</w:t>
      </w:r>
      <w:r w:rsidR="00861712" w:rsidRPr="00FD1165">
        <w:rPr>
          <w:rFonts w:cs="Times New Roman"/>
          <w:sz w:val="28"/>
          <w:szCs w:val="28"/>
        </w:rPr>
        <w:t xml:space="preserve"> </w:t>
      </w:r>
      <w:r w:rsidR="00FA2EB8">
        <w:rPr>
          <w:rFonts w:cs="Times New Roman"/>
          <w:sz w:val="28"/>
          <w:szCs w:val="28"/>
        </w:rPr>
        <w:t>daudzdzīvokļu māju energoefektivitātes</w:t>
      </w:r>
      <w:r w:rsidR="00FA2EB8">
        <w:rPr>
          <w:rStyle w:val="FootnoteReference"/>
          <w:rFonts w:cs="Times New Roman"/>
          <w:sz w:val="28"/>
          <w:szCs w:val="28"/>
        </w:rPr>
        <w:footnoteReference w:id="38"/>
      </w:r>
      <w:r w:rsidR="00FA2EB8">
        <w:rPr>
          <w:rFonts w:cs="Times New Roman"/>
          <w:sz w:val="28"/>
          <w:szCs w:val="28"/>
        </w:rPr>
        <w:t xml:space="preserve"> jomā</w:t>
      </w:r>
      <w:r w:rsidR="00625918">
        <w:rPr>
          <w:rFonts w:cs="Times New Roman"/>
          <w:sz w:val="28"/>
          <w:szCs w:val="28"/>
        </w:rPr>
        <w:t xml:space="preserve"> </w:t>
      </w:r>
      <w:r w:rsidR="00FA2EB8">
        <w:rPr>
          <w:rFonts w:cs="Times New Roman"/>
          <w:sz w:val="28"/>
          <w:szCs w:val="28"/>
        </w:rPr>
        <w:t>–</w:t>
      </w:r>
      <w:r w:rsidRPr="00FD1165">
        <w:rPr>
          <w:rFonts w:cs="Times New Roman"/>
          <w:sz w:val="28"/>
          <w:szCs w:val="28"/>
        </w:rPr>
        <w:t xml:space="preserve"> veikti grozījumi SAM regulējušajos MK noteikumos</w:t>
      </w:r>
      <w:r w:rsidR="00036DE2" w:rsidRPr="00FD1165">
        <w:rPr>
          <w:rStyle w:val="FootnoteReference"/>
          <w:rFonts w:cs="Times New Roman"/>
          <w:sz w:val="28"/>
          <w:szCs w:val="28"/>
        </w:rPr>
        <w:footnoteReference w:id="39"/>
      </w:r>
      <w:r w:rsidR="00036DE2" w:rsidRPr="00FD1165">
        <w:rPr>
          <w:rFonts w:cs="Times New Roman"/>
          <w:sz w:val="28"/>
          <w:szCs w:val="28"/>
        </w:rPr>
        <w:t>,</w:t>
      </w:r>
      <w:r w:rsidRPr="00FD1165">
        <w:rPr>
          <w:rFonts w:cs="Times New Roman"/>
          <w:sz w:val="28"/>
          <w:szCs w:val="28"/>
        </w:rPr>
        <w:t xml:space="preserve"> ar kuriem tika veikta virkne uzlabojumu programmas darbībā.</w:t>
      </w:r>
      <w:r w:rsidR="00861712" w:rsidRPr="00FD1165">
        <w:rPr>
          <w:rFonts w:cs="Times New Roman"/>
          <w:sz w:val="28"/>
          <w:szCs w:val="28"/>
        </w:rPr>
        <w:t xml:space="preserve"> </w:t>
      </w:r>
      <w:r w:rsidRPr="00FD1165">
        <w:rPr>
          <w:rFonts w:cs="Times New Roman"/>
          <w:sz w:val="28"/>
          <w:szCs w:val="28"/>
        </w:rPr>
        <w:t>Papildus tam ALTUM tīmekļa vietnē tika publicētas precizētas un no informācijas apjoma pieprasīšanas viedokļa būtiski samazinātas pieteikumu veidlapas. EM un ALTUM nepārtraukti analizē programmas ieviešanas progresu un meklē risinājumus ātrākai projektu sagatavošanai un izvērtēšanai.</w:t>
      </w:r>
      <w:r w:rsidR="00BF4B61" w:rsidRPr="00FD1165">
        <w:rPr>
          <w:rFonts w:cs="Times New Roman"/>
          <w:sz w:val="28"/>
          <w:szCs w:val="28"/>
        </w:rPr>
        <w:t xml:space="preserve"> Ņemot vērā SAM lēno ieviešanu EM </w:t>
      </w:r>
      <w:r w:rsidR="00A80347" w:rsidRPr="00FD1165">
        <w:rPr>
          <w:rFonts w:cs="Times New Roman"/>
          <w:sz w:val="28"/>
          <w:szCs w:val="28"/>
        </w:rPr>
        <w:t xml:space="preserve">ir izstrādājusi grozījumus SAM regulējušajos MK noteikumos, kuri tika </w:t>
      </w:r>
      <w:r w:rsidR="00307126" w:rsidRPr="00FD1165">
        <w:rPr>
          <w:rFonts w:cs="Times New Roman"/>
          <w:sz w:val="28"/>
          <w:szCs w:val="28"/>
        </w:rPr>
        <w:t>izsludināti</w:t>
      </w:r>
      <w:r w:rsidR="00A80347" w:rsidRPr="00FD1165">
        <w:rPr>
          <w:rFonts w:cs="Times New Roman"/>
          <w:sz w:val="28"/>
          <w:szCs w:val="28"/>
        </w:rPr>
        <w:t xml:space="preserve"> VSS 2017.</w:t>
      </w:r>
      <w:r w:rsidR="00FA2EB8">
        <w:rPr>
          <w:rFonts w:cs="Times New Roman"/>
          <w:sz w:val="28"/>
          <w:szCs w:val="28"/>
        </w:rPr>
        <w:t> </w:t>
      </w:r>
      <w:r w:rsidR="00A80347" w:rsidRPr="00FD1165">
        <w:rPr>
          <w:rFonts w:cs="Times New Roman"/>
          <w:sz w:val="28"/>
          <w:szCs w:val="28"/>
        </w:rPr>
        <w:t>gada 14.</w:t>
      </w:r>
      <w:r w:rsidR="00FA2EB8">
        <w:rPr>
          <w:rFonts w:cs="Times New Roman"/>
          <w:sz w:val="28"/>
          <w:szCs w:val="28"/>
        </w:rPr>
        <w:t> </w:t>
      </w:r>
      <w:r w:rsidR="00A80347" w:rsidRPr="00FD1165">
        <w:rPr>
          <w:rFonts w:cs="Times New Roman"/>
          <w:sz w:val="28"/>
          <w:szCs w:val="28"/>
        </w:rPr>
        <w:t>decembr</w:t>
      </w:r>
      <w:r w:rsidR="004C56BF" w:rsidRPr="00FD1165">
        <w:rPr>
          <w:rFonts w:cs="Times New Roman"/>
          <w:sz w:val="28"/>
          <w:szCs w:val="28"/>
        </w:rPr>
        <w:t xml:space="preserve">ī un </w:t>
      </w:r>
      <w:r w:rsidR="00036DE2" w:rsidRPr="00FD1165">
        <w:rPr>
          <w:rFonts w:cs="Times New Roman"/>
          <w:sz w:val="28"/>
          <w:szCs w:val="28"/>
        </w:rPr>
        <w:t>paredz vair</w:t>
      </w:r>
      <w:r w:rsidR="00FA2EB8">
        <w:rPr>
          <w:rFonts w:cs="Times New Roman"/>
          <w:sz w:val="28"/>
          <w:szCs w:val="28"/>
        </w:rPr>
        <w:t>ā</w:t>
      </w:r>
      <w:r w:rsidR="00036DE2" w:rsidRPr="00FD1165">
        <w:rPr>
          <w:rFonts w:cs="Times New Roman"/>
          <w:sz w:val="28"/>
          <w:szCs w:val="28"/>
        </w:rPr>
        <w:t>kus uzlabojumus programmas darbībā</w:t>
      </w:r>
      <w:r w:rsidR="00BF4B61" w:rsidRPr="00FD1165">
        <w:rPr>
          <w:rFonts w:cs="Times New Roman"/>
          <w:sz w:val="28"/>
          <w:szCs w:val="28"/>
        </w:rPr>
        <w:t>.</w:t>
      </w:r>
      <w:r w:rsidR="00036DE2" w:rsidRPr="00FD1165">
        <w:rPr>
          <w:rFonts w:cs="Times New Roman"/>
          <w:sz w:val="28"/>
          <w:szCs w:val="28"/>
        </w:rPr>
        <w:t xml:space="preserve"> DP grozījum</w:t>
      </w:r>
      <w:r w:rsidR="004C56BF" w:rsidRPr="00FD1165">
        <w:rPr>
          <w:rFonts w:cs="Times New Roman"/>
          <w:sz w:val="28"/>
          <w:szCs w:val="28"/>
        </w:rPr>
        <w:t>os Nr.</w:t>
      </w:r>
      <w:r w:rsidR="00FA2EB8">
        <w:rPr>
          <w:rFonts w:cs="Times New Roman"/>
          <w:sz w:val="28"/>
          <w:szCs w:val="28"/>
        </w:rPr>
        <w:t> </w:t>
      </w:r>
      <w:r w:rsidR="004C56BF" w:rsidRPr="00FD1165">
        <w:rPr>
          <w:rFonts w:cs="Times New Roman"/>
          <w:sz w:val="28"/>
          <w:szCs w:val="28"/>
        </w:rPr>
        <w:t>3</w:t>
      </w:r>
      <w:r w:rsidR="00036DE2" w:rsidRPr="00FD1165">
        <w:rPr>
          <w:rFonts w:cs="Times New Roman"/>
          <w:sz w:val="28"/>
          <w:szCs w:val="28"/>
        </w:rPr>
        <w:t>,</w:t>
      </w:r>
      <w:r w:rsidR="004C56BF" w:rsidRPr="00FD1165">
        <w:rPr>
          <w:rFonts w:cs="Times New Roman"/>
          <w:sz w:val="28"/>
          <w:szCs w:val="28"/>
        </w:rPr>
        <w:t xml:space="preserve"> kas</w:t>
      </w:r>
      <w:r w:rsidR="004C56BF" w:rsidRPr="004C56BF">
        <w:rPr>
          <w:rFonts w:cs="Times New Roman"/>
          <w:sz w:val="28"/>
          <w:szCs w:val="28"/>
        </w:rPr>
        <w:t xml:space="preserve"> šobrīd tiek izstrādāti</w:t>
      </w:r>
      <w:r w:rsidR="00FD1165">
        <w:rPr>
          <w:rFonts w:cs="Times New Roman"/>
          <w:sz w:val="28"/>
          <w:szCs w:val="28"/>
        </w:rPr>
        <w:t>,</w:t>
      </w:r>
      <w:r w:rsidR="004C56BF" w:rsidRPr="004C56BF">
        <w:rPr>
          <w:rFonts w:cs="Times New Roman"/>
          <w:sz w:val="28"/>
          <w:szCs w:val="28"/>
        </w:rPr>
        <w:t xml:space="preserve"> ir plānots</w:t>
      </w:r>
      <w:r w:rsidR="00036DE2" w:rsidRPr="004C56BF">
        <w:rPr>
          <w:rFonts w:cs="Times New Roman"/>
          <w:sz w:val="28"/>
          <w:szCs w:val="28"/>
        </w:rPr>
        <w:t xml:space="preserve"> samazināt programmas snieguma ietvara mērķi 2018.</w:t>
      </w:r>
      <w:r w:rsidR="00FA2EB8">
        <w:rPr>
          <w:rFonts w:cs="Times New Roman"/>
          <w:sz w:val="28"/>
          <w:szCs w:val="28"/>
        </w:rPr>
        <w:t> </w:t>
      </w:r>
      <w:r w:rsidR="00036DE2" w:rsidRPr="004C56BF">
        <w:rPr>
          <w:rFonts w:cs="Times New Roman"/>
          <w:sz w:val="28"/>
          <w:szCs w:val="28"/>
        </w:rPr>
        <w:t>gadam par 9,6</w:t>
      </w:r>
      <w:r w:rsidR="00FA2EB8">
        <w:rPr>
          <w:rFonts w:cs="Times New Roman"/>
          <w:sz w:val="28"/>
          <w:szCs w:val="28"/>
        </w:rPr>
        <w:t> </w:t>
      </w:r>
      <w:r w:rsidR="00036DE2" w:rsidRPr="004C56BF">
        <w:rPr>
          <w:rFonts w:cs="Times New Roman"/>
          <w:sz w:val="28"/>
          <w:szCs w:val="28"/>
        </w:rPr>
        <w:t>milj.</w:t>
      </w:r>
      <w:r w:rsidR="00FA2EB8">
        <w:rPr>
          <w:rFonts w:cs="Times New Roman"/>
          <w:sz w:val="28"/>
          <w:szCs w:val="28"/>
        </w:rPr>
        <w:t> </w:t>
      </w:r>
      <w:r w:rsidR="00036DE2" w:rsidRPr="004C56BF">
        <w:rPr>
          <w:rFonts w:cs="Times New Roman"/>
          <w:i/>
          <w:sz w:val="28"/>
          <w:szCs w:val="28"/>
        </w:rPr>
        <w:t>e</w:t>
      </w:r>
      <w:r w:rsidR="00FA2EB8">
        <w:rPr>
          <w:rFonts w:cs="Times New Roman"/>
          <w:i/>
          <w:sz w:val="28"/>
          <w:szCs w:val="28"/>
        </w:rPr>
        <w:t>u</w:t>
      </w:r>
      <w:r w:rsidR="00036DE2" w:rsidRPr="004C56BF">
        <w:rPr>
          <w:rFonts w:cs="Times New Roman"/>
          <w:i/>
          <w:sz w:val="28"/>
          <w:szCs w:val="28"/>
        </w:rPr>
        <w:t>ro</w:t>
      </w:r>
      <w:r w:rsidR="00036DE2" w:rsidRPr="004C56BF">
        <w:rPr>
          <w:rFonts w:cs="Times New Roman"/>
          <w:sz w:val="28"/>
          <w:szCs w:val="28"/>
        </w:rPr>
        <w:t xml:space="preserve">. </w:t>
      </w:r>
    </w:p>
    <w:p w14:paraId="546E96D6" w14:textId="3C0B780D" w:rsidR="00AA3D7D" w:rsidRDefault="00AA3D7D" w:rsidP="00AA3D7D">
      <w:pPr>
        <w:spacing w:before="120" w:after="120"/>
        <w:ind w:firstLine="720"/>
        <w:jc w:val="both"/>
        <w:rPr>
          <w:rFonts w:eastAsia="Calibri" w:cs="Times New Roman"/>
          <w:sz w:val="28"/>
          <w:szCs w:val="28"/>
        </w:rPr>
      </w:pPr>
      <w:r>
        <w:rPr>
          <w:rFonts w:eastAsia="Calibri" w:cs="Times New Roman"/>
          <w:sz w:val="28"/>
          <w:szCs w:val="28"/>
        </w:rPr>
        <w:t>Finanšu instrumentos</w:t>
      </w:r>
      <w:r>
        <w:rPr>
          <w:rStyle w:val="FootnoteReference"/>
          <w:rFonts w:eastAsia="Calibri" w:cs="Times New Roman"/>
          <w:sz w:val="28"/>
          <w:szCs w:val="28"/>
        </w:rPr>
        <w:footnoteReference w:id="40"/>
      </w:r>
      <w:r w:rsidR="00E702BD">
        <w:rPr>
          <w:rFonts w:eastAsia="Calibri" w:cs="Times New Roman"/>
          <w:sz w:val="28"/>
          <w:szCs w:val="28"/>
        </w:rPr>
        <w:t xml:space="preserve"> kumulatīvi līdz 2017. gadā</w:t>
      </w:r>
      <w:r>
        <w:rPr>
          <w:rFonts w:eastAsia="Calibri" w:cs="Times New Roman"/>
          <w:sz w:val="28"/>
          <w:szCs w:val="28"/>
        </w:rPr>
        <w:t xml:space="preserve"> gala saņēmēju līmenī investēti 4</w:t>
      </w:r>
      <w:r w:rsidR="00E702BD">
        <w:rPr>
          <w:rFonts w:eastAsia="Calibri" w:cs="Times New Roman"/>
          <w:sz w:val="28"/>
          <w:szCs w:val="28"/>
        </w:rPr>
        <w:t>5</w:t>
      </w:r>
      <w:r>
        <w:rPr>
          <w:rFonts w:eastAsia="Calibri" w:cs="Times New Roman"/>
          <w:sz w:val="28"/>
          <w:szCs w:val="28"/>
        </w:rPr>
        <w:t>,</w:t>
      </w:r>
      <w:r w:rsidR="00E702BD">
        <w:rPr>
          <w:rFonts w:eastAsia="Calibri" w:cs="Times New Roman"/>
          <w:sz w:val="28"/>
          <w:szCs w:val="28"/>
        </w:rPr>
        <w:t>5</w:t>
      </w:r>
      <w:r>
        <w:rPr>
          <w:rFonts w:eastAsia="Calibri" w:cs="Times New Roman"/>
          <w:sz w:val="28"/>
          <w:szCs w:val="28"/>
        </w:rPr>
        <w:t> milj. </w:t>
      </w:r>
      <w:r w:rsidRPr="00446547">
        <w:rPr>
          <w:rFonts w:eastAsia="Calibri" w:cs="Times New Roman"/>
          <w:i/>
          <w:sz w:val="28"/>
          <w:szCs w:val="28"/>
        </w:rPr>
        <w:t>euro</w:t>
      </w:r>
      <w:r>
        <w:rPr>
          <w:rFonts w:eastAsia="Calibri" w:cs="Times New Roman"/>
          <w:sz w:val="28"/>
          <w:szCs w:val="28"/>
        </w:rPr>
        <w:t xml:space="preserve">, t.sk. </w:t>
      </w:r>
      <w:r w:rsidR="00E702BD">
        <w:rPr>
          <w:rFonts w:eastAsia="Calibri" w:cs="Times New Roman"/>
          <w:sz w:val="28"/>
          <w:szCs w:val="28"/>
        </w:rPr>
        <w:t>10</w:t>
      </w:r>
      <w:r>
        <w:rPr>
          <w:rFonts w:eastAsia="Calibri" w:cs="Times New Roman"/>
          <w:sz w:val="28"/>
          <w:szCs w:val="28"/>
        </w:rPr>
        <w:t>,</w:t>
      </w:r>
      <w:r w:rsidR="00E702BD">
        <w:rPr>
          <w:rFonts w:eastAsia="Calibri" w:cs="Times New Roman"/>
          <w:sz w:val="28"/>
          <w:szCs w:val="28"/>
        </w:rPr>
        <w:t>2</w:t>
      </w:r>
      <w:r>
        <w:rPr>
          <w:rFonts w:eastAsia="Calibri" w:cs="Times New Roman"/>
          <w:sz w:val="28"/>
          <w:szCs w:val="28"/>
        </w:rPr>
        <w:t> milj. </w:t>
      </w:r>
      <w:r w:rsidRPr="008124C0">
        <w:rPr>
          <w:rFonts w:eastAsia="Calibri" w:cs="Times New Roman"/>
          <w:i/>
          <w:sz w:val="28"/>
          <w:szCs w:val="28"/>
        </w:rPr>
        <w:t>euro</w:t>
      </w:r>
      <w:r>
        <w:rPr>
          <w:rFonts w:eastAsia="Calibri" w:cs="Times New Roman"/>
          <w:sz w:val="28"/>
          <w:szCs w:val="28"/>
        </w:rPr>
        <w:t xml:space="preserve"> ERAF finansējums. Aizdevumu garantijām</w:t>
      </w:r>
      <w:r>
        <w:rPr>
          <w:rStyle w:val="FootnoteReference"/>
          <w:rFonts w:eastAsia="Calibri" w:cs="Times New Roman"/>
          <w:sz w:val="28"/>
          <w:szCs w:val="28"/>
        </w:rPr>
        <w:footnoteReference w:id="41"/>
      </w:r>
      <w:r>
        <w:rPr>
          <w:rFonts w:eastAsia="Calibri" w:cs="Times New Roman"/>
          <w:sz w:val="28"/>
          <w:szCs w:val="28"/>
        </w:rPr>
        <w:t xml:space="preserve"> ir ievērojams progress.</w:t>
      </w:r>
      <w:r w:rsidRPr="002960C4">
        <w:rPr>
          <w:rFonts w:eastAsia="Calibri" w:cs="Times New Roman"/>
          <w:sz w:val="28"/>
          <w:szCs w:val="28"/>
        </w:rPr>
        <w:t xml:space="preserve"> </w:t>
      </w:r>
      <w:r>
        <w:rPr>
          <w:rFonts w:eastAsia="Calibri" w:cs="Times New Roman"/>
          <w:sz w:val="28"/>
          <w:szCs w:val="28"/>
        </w:rPr>
        <w:t xml:space="preserve">2017. gada novembrī </w:t>
      </w:r>
      <w:r w:rsidRPr="0052124F">
        <w:rPr>
          <w:rFonts w:eastAsia="Calibri" w:cs="Times New Roman"/>
          <w:sz w:val="28"/>
          <w:szCs w:val="28"/>
        </w:rPr>
        <w:t>A</w:t>
      </w:r>
      <w:r>
        <w:rPr>
          <w:rFonts w:eastAsia="Calibri" w:cs="Times New Roman"/>
          <w:sz w:val="28"/>
          <w:szCs w:val="28"/>
        </w:rPr>
        <w:t xml:space="preserve">LTUM parakstīja līgumu ar izaugsmes riska kapitāla fondu “ZGI-4”, kā arī ir noslēdzies </w:t>
      </w:r>
      <w:r w:rsidRPr="0047354F">
        <w:rPr>
          <w:rFonts w:eastAsia="Calibri" w:cs="Times New Roman"/>
          <w:sz w:val="28"/>
          <w:szCs w:val="28"/>
        </w:rPr>
        <w:t xml:space="preserve">izsludinātais iepirkums </w:t>
      </w:r>
      <w:r w:rsidRPr="00865260">
        <w:rPr>
          <w:rFonts w:eastAsia="Calibri" w:cs="Times New Roman"/>
          <w:sz w:val="28"/>
          <w:szCs w:val="28"/>
        </w:rPr>
        <w:t xml:space="preserve">sēklas un sākuma kapitāla fondu atlasei, izvēlēti divi pretendenti līgumu slēgšanai. Detalizēta informācija par finanšu instrumentu </w:t>
      </w:r>
      <w:r w:rsidRPr="00865260">
        <w:rPr>
          <w:rFonts w:eastAsia="Calibri" w:cs="Times New Roman"/>
          <w:sz w:val="28"/>
          <w:szCs w:val="28"/>
        </w:rPr>
        <w:lastRenderedPageBreak/>
        <w:t>ieviešanas progresu ir pieejama tīmekļa vietnē</w:t>
      </w:r>
      <w:r w:rsidRPr="00865260">
        <w:rPr>
          <w:rStyle w:val="FootnoteReference"/>
          <w:rFonts w:eastAsia="Calibri" w:cs="Times New Roman"/>
          <w:sz w:val="28"/>
          <w:szCs w:val="28"/>
        </w:rPr>
        <w:footnoteReference w:id="42"/>
      </w:r>
      <w:r w:rsidRPr="00865260">
        <w:rPr>
          <w:rFonts w:eastAsia="Calibri" w:cs="Times New Roman"/>
          <w:sz w:val="28"/>
          <w:szCs w:val="28"/>
        </w:rPr>
        <w:t>. Attiecībā uz 2018. gadu – plānotās investīcijas gala saņ</w:t>
      </w:r>
      <w:r>
        <w:rPr>
          <w:rFonts w:eastAsia="Calibri" w:cs="Times New Roman"/>
          <w:sz w:val="28"/>
          <w:szCs w:val="28"/>
        </w:rPr>
        <w:t>ē</w:t>
      </w:r>
      <w:r w:rsidRPr="00865260">
        <w:rPr>
          <w:rFonts w:eastAsia="Calibri" w:cs="Times New Roman"/>
          <w:sz w:val="28"/>
          <w:szCs w:val="28"/>
        </w:rPr>
        <w:t xml:space="preserve">mēju līmenī </w:t>
      </w:r>
      <w:r>
        <w:rPr>
          <w:rFonts w:eastAsia="Calibri" w:cs="Times New Roman"/>
          <w:sz w:val="28"/>
          <w:szCs w:val="28"/>
        </w:rPr>
        <w:t>–</w:t>
      </w:r>
      <w:r w:rsidRPr="00865260">
        <w:rPr>
          <w:rFonts w:eastAsia="Calibri" w:cs="Times New Roman"/>
          <w:sz w:val="28"/>
          <w:szCs w:val="28"/>
        </w:rPr>
        <w:t xml:space="preserve"> pieejamas ES fondu tīmekļa vietnē</w:t>
      </w:r>
      <w:r w:rsidRPr="00865260">
        <w:rPr>
          <w:rStyle w:val="FootnoteReference"/>
          <w:rFonts w:eastAsia="Calibri" w:cs="Times New Roman"/>
          <w:sz w:val="28"/>
          <w:szCs w:val="28"/>
        </w:rPr>
        <w:footnoteReference w:id="43"/>
      </w:r>
      <w:r w:rsidRPr="00865260">
        <w:rPr>
          <w:rFonts w:eastAsia="Calibri" w:cs="Times New Roman"/>
          <w:sz w:val="28"/>
          <w:szCs w:val="28"/>
        </w:rPr>
        <w:t>.</w:t>
      </w:r>
    </w:p>
    <w:p w14:paraId="5C8599EE" w14:textId="5EB43B93" w:rsidR="00CC6500" w:rsidRPr="00125401" w:rsidRDefault="00204EE7" w:rsidP="0062255B">
      <w:pPr>
        <w:spacing w:before="120" w:after="120"/>
        <w:ind w:firstLine="720"/>
        <w:jc w:val="both"/>
        <w:rPr>
          <w:rFonts w:cs="Times New Roman"/>
          <w:sz w:val="28"/>
          <w:szCs w:val="28"/>
        </w:rPr>
      </w:pPr>
      <w:r w:rsidRPr="00E94DEB">
        <w:rPr>
          <w:rFonts w:cs="Times New Roman"/>
          <w:sz w:val="28"/>
          <w:szCs w:val="28"/>
        </w:rPr>
        <w:t>MK 2017.</w:t>
      </w:r>
      <w:r w:rsidR="000A6EE7">
        <w:rPr>
          <w:rFonts w:cs="Times New Roman"/>
          <w:sz w:val="28"/>
          <w:szCs w:val="28"/>
        </w:rPr>
        <w:t> </w:t>
      </w:r>
      <w:r w:rsidRPr="00E94DEB">
        <w:rPr>
          <w:rFonts w:cs="Times New Roman"/>
          <w:sz w:val="28"/>
          <w:szCs w:val="28"/>
        </w:rPr>
        <w:t>gada 13.</w:t>
      </w:r>
      <w:r w:rsidR="000A6EE7">
        <w:rPr>
          <w:rFonts w:cs="Times New Roman"/>
          <w:sz w:val="28"/>
          <w:szCs w:val="28"/>
        </w:rPr>
        <w:t> </w:t>
      </w:r>
      <w:r w:rsidRPr="00E94DEB">
        <w:rPr>
          <w:rFonts w:cs="Times New Roman"/>
          <w:sz w:val="28"/>
          <w:szCs w:val="28"/>
        </w:rPr>
        <w:t xml:space="preserve">jūnijā tika atbalstīti VARAM virzītie grozījumi MK rīkojumā par ITI finansējuma sadalījumu un sasniedzamajiem rādītājiem nacionālas nozīmes attīstības centru grupai, paredzot valsts budžeta </w:t>
      </w:r>
      <w:proofErr w:type="spellStart"/>
      <w:r w:rsidRPr="00E94DEB">
        <w:rPr>
          <w:rFonts w:cs="Times New Roman"/>
          <w:sz w:val="28"/>
          <w:szCs w:val="28"/>
        </w:rPr>
        <w:t>virssaistību</w:t>
      </w:r>
      <w:proofErr w:type="spellEnd"/>
      <w:r w:rsidRPr="00E94DEB">
        <w:rPr>
          <w:rFonts w:cs="Times New Roman"/>
          <w:sz w:val="28"/>
          <w:szCs w:val="28"/>
        </w:rPr>
        <w:t xml:space="preserve"> finansējuma pārdali 24</w:t>
      </w:r>
      <w:r w:rsidR="000A6EE7">
        <w:rPr>
          <w:rFonts w:cs="Times New Roman"/>
          <w:sz w:val="28"/>
          <w:szCs w:val="28"/>
        </w:rPr>
        <w:t> </w:t>
      </w:r>
      <w:r w:rsidRPr="00E94DEB">
        <w:rPr>
          <w:rFonts w:cs="Times New Roman"/>
          <w:sz w:val="28"/>
          <w:szCs w:val="28"/>
        </w:rPr>
        <w:t>919</w:t>
      </w:r>
      <w:r w:rsidR="000A6EE7">
        <w:rPr>
          <w:rFonts w:cs="Times New Roman"/>
          <w:sz w:val="28"/>
          <w:szCs w:val="28"/>
        </w:rPr>
        <w:t> </w:t>
      </w:r>
      <w:r w:rsidRPr="00E94DEB">
        <w:rPr>
          <w:rFonts w:cs="Times New Roman"/>
          <w:sz w:val="28"/>
          <w:szCs w:val="28"/>
        </w:rPr>
        <w:t>516</w:t>
      </w:r>
      <w:r w:rsidR="000A6EE7">
        <w:rPr>
          <w:rFonts w:cs="Times New Roman"/>
          <w:sz w:val="28"/>
          <w:szCs w:val="28"/>
        </w:rPr>
        <w:t> </w:t>
      </w:r>
      <w:proofErr w:type="spellStart"/>
      <w:r w:rsidRPr="00307126">
        <w:rPr>
          <w:rFonts w:cs="Times New Roman"/>
          <w:i/>
          <w:sz w:val="28"/>
          <w:szCs w:val="28"/>
        </w:rPr>
        <w:t>euro</w:t>
      </w:r>
      <w:proofErr w:type="spellEnd"/>
      <w:r w:rsidRPr="00E94DEB">
        <w:rPr>
          <w:rFonts w:cs="Times New Roman"/>
          <w:sz w:val="28"/>
          <w:szCs w:val="28"/>
        </w:rPr>
        <w:t xml:space="preserve"> apmērā uz </w:t>
      </w:r>
      <w:r w:rsidR="00A54E33">
        <w:rPr>
          <w:rFonts w:cs="Times New Roman"/>
          <w:sz w:val="28"/>
          <w:szCs w:val="28"/>
        </w:rPr>
        <w:t>dabas un kultūras mantojuma jomu</w:t>
      </w:r>
      <w:r w:rsidR="00A54E33">
        <w:rPr>
          <w:rStyle w:val="FootnoteReference"/>
          <w:rFonts w:cs="Times New Roman"/>
          <w:sz w:val="28"/>
          <w:szCs w:val="28"/>
        </w:rPr>
        <w:footnoteReference w:id="44"/>
      </w:r>
      <w:r w:rsidRPr="00E94DEB">
        <w:rPr>
          <w:rFonts w:cs="Times New Roman"/>
          <w:sz w:val="28"/>
          <w:szCs w:val="28"/>
        </w:rPr>
        <w:t xml:space="preserve">, tādejādi paplašinot ITI SAM sarakstu. </w:t>
      </w:r>
      <w:r w:rsidR="00A54E33">
        <w:rPr>
          <w:rFonts w:cs="Times New Roman"/>
          <w:sz w:val="28"/>
          <w:szCs w:val="28"/>
        </w:rPr>
        <w:t xml:space="preserve">Attiecīgie </w:t>
      </w:r>
      <w:r w:rsidR="00821488">
        <w:rPr>
          <w:rFonts w:cs="Times New Roman"/>
          <w:sz w:val="28"/>
          <w:szCs w:val="28"/>
        </w:rPr>
        <w:t xml:space="preserve">dabas un kultūras </w:t>
      </w:r>
      <w:r w:rsidR="007F3BF6" w:rsidRPr="00125401">
        <w:rPr>
          <w:rFonts w:cs="Times New Roman"/>
          <w:sz w:val="28"/>
          <w:szCs w:val="28"/>
        </w:rPr>
        <w:t>mantojuma</w:t>
      </w:r>
      <w:r w:rsidR="00821488" w:rsidRPr="00125401">
        <w:rPr>
          <w:rFonts w:cs="Times New Roman"/>
          <w:sz w:val="28"/>
          <w:szCs w:val="28"/>
        </w:rPr>
        <w:t xml:space="preserve"> </w:t>
      </w:r>
      <w:r w:rsidR="00A54E33" w:rsidRPr="00125401">
        <w:rPr>
          <w:rFonts w:cs="Times New Roman"/>
          <w:sz w:val="28"/>
          <w:szCs w:val="28"/>
        </w:rPr>
        <w:t xml:space="preserve">MK noteikumi </w:t>
      </w:r>
      <w:r w:rsidR="007F3BF6" w:rsidRPr="00125401">
        <w:rPr>
          <w:rFonts w:cs="Times New Roman"/>
          <w:sz w:val="28"/>
          <w:szCs w:val="28"/>
        </w:rPr>
        <w:t>apstiprināti</w:t>
      </w:r>
      <w:r w:rsidR="00A54E33" w:rsidRPr="00125401">
        <w:rPr>
          <w:rFonts w:cs="Times New Roman"/>
          <w:sz w:val="28"/>
          <w:szCs w:val="28"/>
        </w:rPr>
        <w:t xml:space="preserve"> </w:t>
      </w:r>
      <w:r w:rsidRPr="00125401">
        <w:rPr>
          <w:rFonts w:cs="Times New Roman"/>
          <w:sz w:val="28"/>
          <w:szCs w:val="28"/>
        </w:rPr>
        <w:t>2017.</w:t>
      </w:r>
      <w:r w:rsidR="000A6EE7" w:rsidRPr="00125401">
        <w:rPr>
          <w:rFonts w:cs="Times New Roman"/>
          <w:sz w:val="28"/>
          <w:szCs w:val="28"/>
        </w:rPr>
        <w:t> </w:t>
      </w:r>
      <w:r w:rsidRPr="00125401">
        <w:rPr>
          <w:rFonts w:cs="Times New Roman"/>
          <w:sz w:val="28"/>
          <w:szCs w:val="28"/>
        </w:rPr>
        <w:t>gada 24.</w:t>
      </w:r>
      <w:r w:rsidR="000A6EE7" w:rsidRPr="00125401">
        <w:rPr>
          <w:rFonts w:cs="Times New Roman"/>
          <w:sz w:val="28"/>
          <w:szCs w:val="28"/>
        </w:rPr>
        <w:t> </w:t>
      </w:r>
      <w:r w:rsidRPr="00125401">
        <w:rPr>
          <w:rFonts w:cs="Times New Roman"/>
          <w:sz w:val="28"/>
          <w:szCs w:val="28"/>
        </w:rPr>
        <w:t>oktobrī MK.</w:t>
      </w:r>
    </w:p>
    <w:p w14:paraId="435E6E37" w14:textId="7550DC4E" w:rsidR="001C5AF9" w:rsidRPr="00783F1D" w:rsidRDefault="001C5AF9" w:rsidP="00125401">
      <w:pPr>
        <w:spacing w:before="120" w:after="120"/>
        <w:ind w:firstLine="720"/>
        <w:jc w:val="both"/>
        <w:rPr>
          <w:sz w:val="28"/>
          <w:szCs w:val="28"/>
        </w:rPr>
      </w:pPr>
      <w:r w:rsidRPr="00125401">
        <w:rPr>
          <w:rFonts w:cs="Times New Roman"/>
          <w:sz w:val="28"/>
          <w:szCs w:val="28"/>
        </w:rPr>
        <w:t>Pamatojoties uz MK 2016.</w:t>
      </w:r>
      <w:r w:rsidR="004146B3">
        <w:rPr>
          <w:rFonts w:cs="Times New Roman"/>
          <w:sz w:val="28"/>
          <w:szCs w:val="28"/>
        </w:rPr>
        <w:t> </w:t>
      </w:r>
      <w:r w:rsidRPr="00125401">
        <w:rPr>
          <w:rFonts w:cs="Times New Roman"/>
          <w:sz w:val="28"/>
          <w:szCs w:val="28"/>
        </w:rPr>
        <w:t>gada 14.</w:t>
      </w:r>
      <w:r w:rsidR="004146B3">
        <w:rPr>
          <w:rFonts w:cs="Times New Roman"/>
          <w:sz w:val="28"/>
          <w:szCs w:val="28"/>
        </w:rPr>
        <w:t> </w:t>
      </w:r>
      <w:r w:rsidRPr="00125401">
        <w:rPr>
          <w:rFonts w:cs="Times New Roman"/>
          <w:sz w:val="28"/>
          <w:szCs w:val="28"/>
        </w:rPr>
        <w:t>novembra rīkojumu Nr.</w:t>
      </w:r>
      <w:r w:rsidR="004146B3">
        <w:rPr>
          <w:rFonts w:cs="Times New Roman"/>
          <w:sz w:val="28"/>
          <w:szCs w:val="28"/>
        </w:rPr>
        <w:t> </w:t>
      </w:r>
      <w:r w:rsidRPr="00125401">
        <w:rPr>
          <w:rFonts w:cs="Times New Roman"/>
          <w:sz w:val="28"/>
          <w:szCs w:val="28"/>
        </w:rPr>
        <w:t>673 „Par konceptuālo ziņojumu „Par akustiskās koncertzāles īstenošanas modeli Rīgā””</w:t>
      </w:r>
      <w:r w:rsidR="007919E2" w:rsidRPr="00125401">
        <w:rPr>
          <w:rFonts w:cs="Times New Roman"/>
          <w:sz w:val="28"/>
          <w:szCs w:val="28"/>
        </w:rPr>
        <w:t xml:space="preserve"> </w:t>
      </w:r>
      <w:r w:rsidRPr="00125401">
        <w:rPr>
          <w:rFonts w:cs="Times New Roman"/>
          <w:sz w:val="28"/>
          <w:szCs w:val="28"/>
        </w:rPr>
        <w:t>2</w:t>
      </w:r>
      <w:r w:rsidR="004146B3">
        <w:rPr>
          <w:rFonts w:cs="Times New Roman"/>
          <w:sz w:val="28"/>
          <w:szCs w:val="28"/>
        </w:rPr>
        <w:t>.</w:t>
      </w:r>
      <w:r w:rsidRPr="00125401">
        <w:rPr>
          <w:rFonts w:cs="Times New Roman"/>
          <w:sz w:val="28"/>
          <w:szCs w:val="28"/>
        </w:rPr>
        <w:t xml:space="preserve"> un 3.</w:t>
      </w:r>
      <w:r w:rsidR="00957D86">
        <w:rPr>
          <w:rFonts w:cs="Times New Roman"/>
          <w:sz w:val="28"/>
          <w:szCs w:val="28"/>
        </w:rPr>
        <w:t> </w:t>
      </w:r>
      <w:r w:rsidRPr="00125401">
        <w:rPr>
          <w:rFonts w:cs="Times New Roman"/>
          <w:sz w:val="28"/>
          <w:szCs w:val="28"/>
        </w:rPr>
        <w:t>punktu, KM noslēdza līgumu par finanšu un ekonomisko aprēķinu izstrādi Nacionālās koncertzāles projekta īstenošanai publiskās un privātās partnerības jomā Rīgā un tika uzsākts darbs pie iespējamo īstenošanas modeļu izpētes un aprēķinu izstrādes.</w:t>
      </w:r>
      <w:r w:rsidRPr="00E27B79">
        <w:rPr>
          <w:sz w:val="28"/>
          <w:szCs w:val="28"/>
        </w:rPr>
        <w:t xml:space="preserve"> </w:t>
      </w:r>
      <w:r w:rsidR="00125401" w:rsidRPr="00E27B79">
        <w:rPr>
          <w:sz w:val="28"/>
          <w:szCs w:val="28"/>
        </w:rPr>
        <w:t>Padziļinātas situācijas izpētes un aprēķinu izstrādes gaitā tika secināts, ka, lai atrastu atbilstošāko koncertzāles projekta īstenošanas modeli, papildus nepieciešams veikt izpēti un aprēķinus arī 2016.</w:t>
      </w:r>
      <w:r w:rsidR="004146B3">
        <w:rPr>
          <w:sz w:val="28"/>
          <w:szCs w:val="28"/>
        </w:rPr>
        <w:t> </w:t>
      </w:r>
      <w:r w:rsidR="00125401" w:rsidRPr="00E27B79">
        <w:rPr>
          <w:sz w:val="28"/>
          <w:szCs w:val="28"/>
        </w:rPr>
        <w:t>gada 14.</w:t>
      </w:r>
      <w:r w:rsidR="004146B3">
        <w:rPr>
          <w:sz w:val="28"/>
          <w:szCs w:val="28"/>
        </w:rPr>
        <w:t> </w:t>
      </w:r>
      <w:r w:rsidR="00125401" w:rsidRPr="00E27B79">
        <w:rPr>
          <w:sz w:val="28"/>
          <w:szCs w:val="28"/>
        </w:rPr>
        <w:t xml:space="preserve">novembra konceptuālā ziņojumā „Par akustiskās koncertzāles īstenošanas modeli Rīgā”” minētajām alternatīvām „A” un „B”. </w:t>
      </w:r>
      <w:r w:rsidR="00125401" w:rsidRPr="00125401">
        <w:rPr>
          <w:rFonts w:cs="Times New Roman"/>
          <w:sz w:val="28"/>
          <w:szCs w:val="28"/>
        </w:rPr>
        <w:t xml:space="preserve">Ar MK </w:t>
      </w:r>
      <w:proofErr w:type="spellStart"/>
      <w:r w:rsidR="00125401" w:rsidRPr="00125401">
        <w:rPr>
          <w:rFonts w:cs="Times New Roman"/>
          <w:sz w:val="28"/>
          <w:szCs w:val="28"/>
        </w:rPr>
        <w:t>protokollēmumu</w:t>
      </w:r>
      <w:proofErr w:type="spellEnd"/>
      <w:r w:rsidR="00125401" w:rsidRPr="00125401">
        <w:rPr>
          <w:rFonts w:cs="Times New Roman"/>
          <w:sz w:val="28"/>
          <w:szCs w:val="28"/>
        </w:rPr>
        <w:t xml:space="preserve"> tiek </w:t>
      </w:r>
      <w:r w:rsidR="00E9293A">
        <w:rPr>
          <w:rFonts w:cs="Times New Roman"/>
          <w:sz w:val="28"/>
          <w:szCs w:val="28"/>
        </w:rPr>
        <w:t>pieņemts zināšanai</w:t>
      </w:r>
      <w:r w:rsidR="00125401" w:rsidRPr="00125401">
        <w:rPr>
          <w:rFonts w:cs="Times New Roman"/>
          <w:sz w:val="28"/>
          <w:szCs w:val="28"/>
        </w:rPr>
        <w:t>, ka</w:t>
      </w:r>
      <w:r w:rsidR="00125401">
        <w:rPr>
          <w:rFonts w:cs="Times New Roman"/>
          <w:sz w:val="28"/>
          <w:szCs w:val="28"/>
        </w:rPr>
        <w:t xml:space="preserve"> </w:t>
      </w:r>
      <w:r w:rsidR="00E9293A">
        <w:rPr>
          <w:rFonts w:cs="Times New Roman"/>
          <w:sz w:val="28"/>
          <w:szCs w:val="28"/>
        </w:rPr>
        <w:t>KM</w:t>
      </w:r>
      <w:r w:rsidR="00E9293A" w:rsidRPr="00E9293A">
        <w:rPr>
          <w:rFonts w:cs="Times New Roman"/>
          <w:sz w:val="28"/>
          <w:szCs w:val="28"/>
        </w:rPr>
        <w:t xml:space="preserve"> līdz 2018. gada 1. maijam lēmuma pieņemšanai </w:t>
      </w:r>
      <w:r w:rsidR="00E9293A">
        <w:rPr>
          <w:rFonts w:cs="Times New Roman"/>
          <w:sz w:val="28"/>
          <w:szCs w:val="28"/>
        </w:rPr>
        <w:t>MK</w:t>
      </w:r>
      <w:r w:rsidR="00E9293A" w:rsidRPr="00E9293A">
        <w:rPr>
          <w:rFonts w:cs="Times New Roman"/>
          <w:sz w:val="28"/>
          <w:szCs w:val="28"/>
        </w:rPr>
        <w:t xml:space="preserve"> plāno iesniegt izvēlēto nacionālās koncertzāles Rīgā projekta īstenošanas modeļa risinājumu 5.6.1.</w:t>
      </w:r>
      <w:r w:rsidR="00F03784">
        <w:rPr>
          <w:rFonts w:cs="Times New Roman"/>
          <w:sz w:val="28"/>
          <w:szCs w:val="28"/>
        </w:rPr>
        <w:t> SAM</w:t>
      </w:r>
      <w:r w:rsidR="00E9293A" w:rsidRPr="00E9293A">
        <w:rPr>
          <w:rFonts w:cs="Times New Roman"/>
          <w:sz w:val="28"/>
          <w:szCs w:val="28"/>
        </w:rPr>
        <w:t xml:space="preserve"> “Veicināt Rīgas pilsētas </w:t>
      </w:r>
      <w:proofErr w:type="spellStart"/>
      <w:r w:rsidR="00E9293A" w:rsidRPr="00E9293A">
        <w:rPr>
          <w:rFonts w:cs="Times New Roman"/>
          <w:sz w:val="28"/>
          <w:szCs w:val="28"/>
        </w:rPr>
        <w:t>revitalizāciju</w:t>
      </w:r>
      <w:proofErr w:type="spellEnd"/>
      <w:r w:rsidR="00E9293A" w:rsidRPr="00E9293A">
        <w:rPr>
          <w:rFonts w:cs="Times New Roman"/>
          <w:sz w:val="28"/>
          <w:szCs w:val="28"/>
        </w:rPr>
        <w:t>, nodrošinot teritorijas efektīvu sociāleko</w:t>
      </w:r>
      <w:r w:rsidR="00E9293A">
        <w:rPr>
          <w:rFonts w:cs="Times New Roman"/>
          <w:sz w:val="28"/>
          <w:szCs w:val="28"/>
        </w:rPr>
        <w:t xml:space="preserve">nomisko izmantošanu” ietvaros. </w:t>
      </w:r>
    </w:p>
    <w:p w14:paraId="1A16C75D" w14:textId="00DD0A40" w:rsidR="001D6218" w:rsidRPr="00942973" w:rsidRDefault="001D6218" w:rsidP="001D6218">
      <w:pPr>
        <w:spacing w:before="120" w:after="120"/>
        <w:ind w:firstLine="720"/>
        <w:jc w:val="both"/>
        <w:rPr>
          <w:rFonts w:eastAsia="Calibri"/>
          <w:bCs/>
          <w:sz w:val="28"/>
          <w:szCs w:val="28"/>
        </w:rPr>
      </w:pPr>
      <w:r w:rsidRPr="00125401">
        <w:rPr>
          <w:sz w:val="28"/>
          <w:szCs w:val="28"/>
        </w:rPr>
        <w:t>EK 2017. gada ziņojumā</w:t>
      </w:r>
      <w:r w:rsidRPr="00942973">
        <w:rPr>
          <w:sz w:val="28"/>
          <w:szCs w:val="28"/>
        </w:rPr>
        <w:t xml:space="preserve"> par Latviju ir norādījusi, ka atkritumu pārstrādes līmenis ir zems un lielākā daļa atkritumu tiek apglabāti poligonos, tādējādi pastāv risks, ka Latvija 2020.</w:t>
      </w:r>
      <w:r w:rsidR="00FA2EB8">
        <w:rPr>
          <w:sz w:val="28"/>
          <w:szCs w:val="28"/>
        </w:rPr>
        <w:t> </w:t>
      </w:r>
      <w:r w:rsidRPr="00942973">
        <w:rPr>
          <w:sz w:val="28"/>
          <w:szCs w:val="28"/>
        </w:rPr>
        <w:t>gadā nespēs sasniegt tai noteiktos mērķus Padomes 1999.</w:t>
      </w:r>
      <w:r>
        <w:rPr>
          <w:sz w:val="28"/>
          <w:szCs w:val="28"/>
        </w:rPr>
        <w:t> </w:t>
      </w:r>
      <w:r w:rsidRPr="00942973">
        <w:rPr>
          <w:sz w:val="28"/>
          <w:szCs w:val="28"/>
        </w:rPr>
        <w:t>gada 26.</w:t>
      </w:r>
      <w:r>
        <w:rPr>
          <w:sz w:val="28"/>
          <w:szCs w:val="28"/>
        </w:rPr>
        <w:t> </w:t>
      </w:r>
      <w:r w:rsidRPr="00942973">
        <w:rPr>
          <w:sz w:val="28"/>
          <w:szCs w:val="28"/>
        </w:rPr>
        <w:t xml:space="preserve">aprīļa Direktīvā 1999/31/EK </w:t>
      </w:r>
      <w:r w:rsidRPr="00942973">
        <w:rPr>
          <w:i/>
          <w:sz w:val="28"/>
          <w:szCs w:val="28"/>
        </w:rPr>
        <w:t>par atkritumu poligoniem</w:t>
      </w:r>
      <w:r w:rsidRPr="00942973">
        <w:rPr>
          <w:sz w:val="28"/>
          <w:szCs w:val="28"/>
        </w:rPr>
        <w:t xml:space="preserve"> un jo īpaši attiecībā uz BNA apjoma samazināšanu. </w:t>
      </w:r>
      <w:r w:rsidR="007B2133" w:rsidRPr="007E5007">
        <w:rPr>
          <w:sz w:val="28"/>
          <w:szCs w:val="28"/>
        </w:rPr>
        <w:t>Atkritumu pārstrādes</w:t>
      </w:r>
      <w:r w:rsidR="007B2133" w:rsidRPr="007E5007">
        <w:rPr>
          <w:rStyle w:val="FootnoteReference"/>
          <w:sz w:val="28"/>
          <w:szCs w:val="28"/>
        </w:rPr>
        <w:footnoteReference w:id="45"/>
      </w:r>
      <w:r w:rsidR="007B2133" w:rsidRPr="007E5007">
        <w:rPr>
          <w:sz w:val="28"/>
          <w:szCs w:val="28"/>
        </w:rPr>
        <w:t xml:space="preserve"> </w:t>
      </w:r>
      <w:r w:rsidR="007B2133" w:rsidRPr="007E5007">
        <w:rPr>
          <w:sz w:val="28"/>
          <w:szCs w:val="28"/>
          <w:lang w:eastAsia="lv-LV"/>
        </w:rPr>
        <w:t>treša</w:t>
      </w:r>
      <w:r w:rsidR="00064BC1">
        <w:rPr>
          <w:sz w:val="28"/>
          <w:szCs w:val="28"/>
          <w:lang w:eastAsia="lv-LV"/>
        </w:rPr>
        <w:t>ja</w:t>
      </w:r>
      <w:r w:rsidR="007B2133" w:rsidRPr="007E5007">
        <w:rPr>
          <w:sz w:val="28"/>
          <w:szCs w:val="28"/>
          <w:lang w:eastAsia="lv-LV"/>
        </w:rPr>
        <w:t>i projektu iesniegumu atlases kārtai “BNA pārstrādes iekārtu izveide” līdz 2018. gada 31. decembrim pieejam</w:t>
      </w:r>
      <w:r w:rsidR="007E5007">
        <w:rPr>
          <w:sz w:val="28"/>
          <w:szCs w:val="28"/>
          <w:lang w:eastAsia="lv-LV"/>
        </w:rPr>
        <w:t>ai</w:t>
      </w:r>
      <w:r w:rsidR="007B2133" w:rsidRPr="007E5007">
        <w:rPr>
          <w:sz w:val="28"/>
          <w:szCs w:val="28"/>
          <w:lang w:eastAsia="lv-LV"/>
        </w:rPr>
        <w:t xml:space="preserve">s KF finansējums </w:t>
      </w:r>
      <w:r w:rsidR="007E5007">
        <w:rPr>
          <w:sz w:val="28"/>
          <w:szCs w:val="28"/>
          <w:lang w:eastAsia="lv-LV"/>
        </w:rPr>
        <w:t xml:space="preserve">ir </w:t>
      </w:r>
      <w:r w:rsidR="007B2133" w:rsidRPr="007E5007">
        <w:rPr>
          <w:sz w:val="28"/>
          <w:szCs w:val="28"/>
          <w:lang w:eastAsia="lv-LV"/>
        </w:rPr>
        <w:t>15,3 milj. </w:t>
      </w:r>
      <w:r w:rsidR="007B2133" w:rsidRPr="007E5007">
        <w:rPr>
          <w:i/>
          <w:iCs/>
          <w:sz w:val="28"/>
          <w:szCs w:val="28"/>
          <w:lang w:eastAsia="lv-LV"/>
        </w:rPr>
        <w:t>euro</w:t>
      </w:r>
      <w:r w:rsidR="007B2133" w:rsidRPr="007E5007">
        <w:rPr>
          <w:sz w:val="28"/>
          <w:szCs w:val="28"/>
          <w:lang w:eastAsia="lv-LV"/>
        </w:rPr>
        <w:t xml:space="preserve">. </w:t>
      </w:r>
      <w:r w:rsidR="007E5007">
        <w:rPr>
          <w:sz w:val="28"/>
          <w:szCs w:val="28"/>
          <w:lang w:eastAsia="lv-LV"/>
        </w:rPr>
        <w:t xml:space="preserve">Lai nodrošinātu </w:t>
      </w:r>
      <w:r w:rsidR="007E5007" w:rsidRPr="007E5007">
        <w:rPr>
          <w:sz w:val="28"/>
          <w:szCs w:val="28"/>
          <w:lang w:eastAsia="lv-LV"/>
        </w:rPr>
        <w:t>efektīvu pārstrādes iekārtu izveidi un direktīvās noteikto mērķu sasniegšan</w:t>
      </w:r>
      <w:r w:rsidR="007E5007">
        <w:rPr>
          <w:sz w:val="28"/>
          <w:szCs w:val="28"/>
          <w:lang w:eastAsia="lv-LV"/>
        </w:rPr>
        <w:t xml:space="preserve">u, </w:t>
      </w:r>
      <w:r w:rsidR="007E5007" w:rsidRPr="007E5007">
        <w:rPr>
          <w:sz w:val="28"/>
          <w:szCs w:val="28"/>
          <w:lang w:eastAsia="lv-LV"/>
        </w:rPr>
        <w:t>treš</w:t>
      </w:r>
      <w:r w:rsidR="00423E28">
        <w:rPr>
          <w:sz w:val="28"/>
          <w:szCs w:val="28"/>
          <w:lang w:eastAsia="lv-LV"/>
        </w:rPr>
        <w:t>ās</w:t>
      </w:r>
      <w:r w:rsidR="007E5007" w:rsidRPr="007E5007">
        <w:rPr>
          <w:sz w:val="28"/>
          <w:szCs w:val="28"/>
          <w:lang w:eastAsia="lv-LV"/>
        </w:rPr>
        <w:t xml:space="preserve"> projektu iesniegumu atlases kārta</w:t>
      </w:r>
      <w:r w:rsidR="00423E28">
        <w:rPr>
          <w:sz w:val="28"/>
          <w:szCs w:val="28"/>
          <w:lang w:eastAsia="lv-LV"/>
        </w:rPr>
        <w:t>s īstenošanai tika novirzīts</w:t>
      </w:r>
      <w:r w:rsidR="007E5007" w:rsidRPr="007E5007">
        <w:rPr>
          <w:sz w:val="28"/>
          <w:szCs w:val="28"/>
          <w:lang w:eastAsia="lv-LV"/>
        </w:rPr>
        <w:t xml:space="preserve"> </w:t>
      </w:r>
      <w:r w:rsidR="007E5007">
        <w:rPr>
          <w:sz w:val="28"/>
          <w:szCs w:val="28"/>
          <w:lang w:eastAsia="lv-LV"/>
        </w:rPr>
        <w:t>papildu finansējums</w:t>
      </w:r>
      <w:r w:rsidR="00423E28">
        <w:rPr>
          <w:sz w:val="28"/>
          <w:szCs w:val="28"/>
          <w:lang w:eastAsia="lv-LV"/>
        </w:rPr>
        <w:t>,</w:t>
      </w:r>
      <w:r w:rsidR="007E5007" w:rsidRPr="007E5007">
        <w:rPr>
          <w:sz w:val="28"/>
          <w:szCs w:val="28"/>
          <w:lang w:eastAsia="lv-LV"/>
        </w:rPr>
        <w:t xml:space="preserve"> </w:t>
      </w:r>
      <w:r w:rsidR="007E5007">
        <w:rPr>
          <w:sz w:val="28"/>
          <w:szCs w:val="28"/>
          <w:lang w:eastAsia="lv-LV"/>
        </w:rPr>
        <w:t xml:space="preserve">to </w:t>
      </w:r>
      <w:r w:rsidR="007E5007" w:rsidRPr="007E5007">
        <w:rPr>
          <w:sz w:val="28"/>
          <w:szCs w:val="28"/>
          <w:lang w:eastAsia="lv-LV"/>
        </w:rPr>
        <w:t>pārdal</w:t>
      </w:r>
      <w:r w:rsidR="00423E28">
        <w:rPr>
          <w:sz w:val="28"/>
          <w:szCs w:val="28"/>
          <w:lang w:eastAsia="lv-LV"/>
        </w:rPr>
        <w:t>ot</w:t>
      </w:r>
      <w:r w:rsidR="007E5007" w:rsidRPr="007E5007">
        <w:rPr>
          <w:sz w:val="28"/>
          <w:szCs w:val="28"/>
          <w:lang w:eastAsia="lv-LV"/>
        </w:rPr>
        <w:t xml:space="preserve"> no atkritumu dalītās vākšanas pasākuma</w:t>
      </w:r>
      <w:r w:rsidR="0071145D">
        <w:rPr>
          <w:sz w:val="28"/>
          <w:szCs w:val="28"/>
          <w:lang w:eastAsia="lv-LV"/>
        </w:rPr>
        <w:t xml:space="preserve"> </w:t>
      </w:r>
      <w:r w:rsidR="0042409D">
        <w:rPr>
          <w:sz w:val="28"/>
          <w:szCs w:val="28"/>
          <w:lang w:eastAsia="lv-LV"/>
        </w:rPr>
        <w:t>5</w:t>
      </w:r>
      <w:r w:rsidR="004146B3">
        <w:rPr>
          <w:sz w:val="28"/>
          <w:szCs w:val="28"/>
          <w:lang w:eastAsia="lv-LV"/>
        </w:rPr>
        <w:t> </w:t>
      </w:r>
      <w:r w:rsidR="0042409D">
        <w:rPr>
          <w:sz w:val="28"/>
          <w:szCs w:val="28"/>
          <w:lang w:eastAsia="lv-LV"/>
        </w:rPr>
        <w:t>316</w:t>
      </w:r>
      <w:r w:rsidR="004146B3">
        <w:rPr>
          <w:sz w:val="28"/>
          <w:szCs w:val="28"/>
          <w:lang w:eastAsia="lv-LV"/>
        </w:rPr>
        <w:t> </w:t>
      </w:r>
      <w:r w:rsidR="0042409D">
        <w:rPr>
          <w:sz w:val="28"/>
          <w:szCs w:val="28"/>
          <w:lang w:eastAsia="lv-LV"/>
        </w:rPr>
        <w:t>197</w:t>
      </w:r>
      <w:r w:rsidR="004146B3">
        <w:rPr>
          <w:sz w:val="28"/>
          <w:szCs w:val="28"/>
          <w:lang w:eastAsia="lv-LV"/>
        </w:rPr>
        <w:t> </w:t>
      </w:r>
      <w:r w:rsidR="0042409D" w:rsidRPr="00E27B79">
        <w:rPr>
          <w:i/>
          <w:sz w:val="28"/>
          <w:szCs w:val="28"/>
          <w:lang w:eastAsia="lv-LV"/>
        </w:rPr>
        <w:t>e</w:t>
      </w:r>
      <w:r w:rsidR="004146B3">
        <w:rPr>
          <w:i/>
          <w:sz w:val="28"/>
          <w:szCs w:val="28"/>
          <w:lang w:eastAsia="lv-LV"/>
        </w:rPr>
        <w:t>u</w:t>
      </w:r>
      <w:r w:rsidR="0042409D" w:rsidRPr="00E27B79">
        <w:rPr>
          <w:i/>
          <w:sz w:val="28"/>
          <w:szCs w:val="28"/>
          <w:lang w:eastAsia="lv-LV"/>
        </w:rPr>
        <w:t>ro</w:t>
      </w:r>
      <w:r w:rsidR="0042409D">
        <w:rPr>
          <w:sz w:val="28"/>
          <w:szCs w:val="28"/>
          <w:lang w:eastAsia="lv-LV"/>
        </w:rPr>
        <w:t xml:space="preserve"> ap</w:t>
      </w:r>
      <w:r w:rsidR="004146B3">
        <w:rPr>
          <w:sz w:val="28"/>
          <w:szCs w:val="28"/>
          <w:lang w:eastAsia="lv-LV"/>
        </w:rPr>
        <w:t>m</w:t>
      </w:r>
      <w:r w:rsidR="0042409D">
        <w:rPr>
          <w:sz w:val="28"/>
          <w:szCs w:val="28"/>
          <w:lang w:eastAsia="lv-LV"/>
        </w:rPr>
        <w:t>ērā</w:t>
      </w:r>
      <w:r w:rsidR="007E5007" w:rsidRPr="007E5007">
        <w:rPr>
          <w:sz w:val="28"/>
          <w:szCs w:val="28"/>
          <w:lang w:eastAsia="lv-LV"/>
        </w:rPr>
        <w:t xml:space="preserve"> un atkritumu pārstrādes pirmās projektu iesniegumu atlases kārtas</w:t>
      </w:r>
      <w:r w:rsidR="0042409D">
        <w:rPr>
          <w:sz w:val="28"/>
          <w:szCs w:val="28"/>
          <w:lang w:eastAsia="lv-LV"/>
        </w:rPr>
        <w:t xml:space="preserve"> 4 163 296</w:t>
      </w:r>
      <w:r w:rsidR="007E5007" w:rsidRPr="007E5007">
        <w:rPr>
          <w:sz w:val="28"/>
          <w:szCs w:val="28"/>
          <w:lang w:eastAsia="lv-LV"/>
        </w:rPr>
        <w:t> </w:t>
      </w:r>
      <w:r w:rsidR="007E5007" w:rsidRPr="007E5007">
        <w:rPr>
          <w:i/>
          <w:sz w:val="28"/>
          <w:szCs w:val="28"/>
          <w:lang w:eastAsia="lv-LV"/>
        </w:rPr>
        <w:t>euro</w:t>
      </w:r>
      <w:r w:rsidR="007E5007" w:rsidRPr="007E5007">
        <w:rPr>
          <w:sz w:val="28"/>
          <w:szCs w:val="28"/>
          <w:lang w:eastAsia="lv-LV"/>
        </w:rPr>
        <w:t xml:space="preserve"> apmērā uz atkritumu pārstrādes trešo projektu iesniegumu atlases kārtu. Pārdale veicinās ātrāk</w:t>
      </w:r>
      <w:r w:rsidR="007E5007">
        <w:rPr>
          <w:sz w:val="28"/>
          <w:szCs w:val="28"/>
          <w:lang w:eastAsia="lv-LV"/>
        </w:rPr>
        <w:t>as</w:t>
      </w:r>
      <w:r w:rsidR="007E5007" w:rsidRPr="007E5007">
        <w:rPr>
          <w:sz w:val="28"/>
          <w:szCs w:val="28"/>
          <w:lang w:eastAsia="lv-LV"/>
        </w:rPr>
        <w:t xml:space="preserve"> invest</w:t>
      </w:r>
      <w:r w:rsidR="007E5007">
        <w:rPr>
          <w:sz w:val="28"/>
          <w:szCs w:val="28"/>
          <w:lang w:eastAsia="lv-LV"/>
        </w:rPr>
        <w:t>īcijas</w:t>
      </w:r>
      <w:r w:rsidR="007E5007" w:rsidRPr="007E5007">
        <w:rPr>
          <w:sz w:val="28"/>
          <w:szCs w:val="28"/>
          <w:lang w:eastAsia="lv-LV"/>
        </w:rPr>
        <w:t xml:space="preserve"> un DP 5. PV 2018. gada starpposma KF finanšu rādītāja izpildi, kā arī nodrošinās, ka BNA pārstrādes iekārtas tiek iepirktas, uzstādītas un uzsākta to ekspluatācija pirms 1999. gada 26. aprīļa </w:t>
      </w:r>
      <w:r w:rsidR="007E5007" w:rsidRPr="007E5007">
        <w:rPr>
          <w:sz w:val="28"/>
          <w:szCs w:val="28"/>
          <w:lang w:eastAsia="lv-LV"/>
        </w:rPr>
        <w:lastRenderedPageBreak/>
        <w:t>direktīvas 1999/31/EK par atkritumu poligoniem mērķu sasniegšanas termiņa. Tā kā atkārtota projektu iesniegumu atlase atkritumu dalītajā vākšanā netiks īstenota,</w:t>
      </w:r>
      <w:r w:rsidR="001E2E9F">
        <w:rPr>
          <w:sz w:val="28"/>
          <w:szCs w:val="28"/>
          <w:lang w:eastAsia="lv-LV"/>
        </w:rPr>
        <w:t xml:space="preserve"> finanšu rādītājs</w:t>
      </w:r>
      <w:r w:rsidR="007E5007" w:rsidRPr="007E5007">
        <w:rPr>
          <w:sz w:val="28"/>
          <w:szCs w:val="28"/>
          <w:lang w:eastAsia="lv-LV"/>
        </w:rPr>
        <w:t xml:space="preserve"> no atkritumu dalītās vākšanas pasākuma pārcelts uz atkritumu pārstrādes pasākumu</w:t>
      </w:r>
      <w:r w:rsidR="007E5007">
        <w:rPr>
          <w:sz w:val="28"/>
          <w:szCs w:val="28"/>
          <w:lang w:eastAsia="lv-LV"/>
        </w:rPr>
        <w:t xml:space="preserve">. </w:t>
      </w:r>
      <w:r w:rsidRPr="00942973">
        <w:rPr>
          <w:rFonts w:eastAsia="Calibri" w:cs="Times New Roman"/>
          <w:bCs/>
          <w:sz w:val="28"/>
          <w:szCs w:val="28"/>
          <w:lang w:eastAsia="lv-LV"/>
        </w:rPr>
        <w:t xml:space="preserve">Savukārt </w:t>
      </w:r>
      <w:r w:rsidR="00C06AB0">
        <w:rPr>
          <w:rFonts w:eastAsia="Calibri" w:cs="Times New Roman"/>
          <w:bCs/>
          <w:sz w:val="28"/>
          <w:szCs w:val="28"/>
          <w:lang w:eastAsia="lv-LV"/>
        </w:rPr>
        <w:t>atkritumu dalītās vākšanas</w:t>
      </w:r>
      <w:r w:rsidR="00C06AB0">
        <w:rPr>
          <w:rStyle w:val="FootnoteReference"/>
          <w:rFonts w:eastAsia="Calibri" w:cs="Times New Roman"/>
          <w:bCs/>
          <w:sz w:val="28"/>
          <w:szCs w:val="28"/>
          <w:lang w:eastAsia="lv-LV"/>
        </w:rPr>
        <w:footnoteReference w:id="46"/>
      </w:r>
      <w:r w:rsidRPr="00942973">
        <w:rPr>
          <w:rFonts w:eastAsia="Calibri" w:cs="Times New Roman"/>
          <w:bCs/>
          <w:sz w:val="28"/>
          <w:szCs w:val="28"/>
          <w:lang w:eastAsia="lv-LV"/>
        </w:rPr>
        <w:t xml:space="preserve"> </w:t>
      </w:r>
      <w:r w:rsidRPr="00942973">
        <w:rPr>
          <w:rFonts w:eastAsia="Calibri"/>
          <w:bCs/>
          <w:sz w:val="28"/>
          <w:szCs w:val="28"/>
        </w:rPr>
        <w:t>projektu iesniegumu atlasē tika saņemti deviņi pieteikumi, no kuriem projektu vērtēšanas kritēriju neatbilstības dēļ tika noraidīti pieci projektu iesniegumi.</w:t>
      </w:r>
    </w:p>
    <w:p w14:paraId="24CDDEC4" w14:textId="36E27C19" w:rsidR="00014916" w:rsidRPr="00E94DEB" w:rsidRDefault="00014916" w:rsidP="0062255B">
      <w:pPr>
        <w:spacing w:before="120" w:after="120"/>
        <w:ind w:firstLine="709"/>
        <w:jc w:val="both"/>
        <w:rPr>
          <w:rFonts w:cs="Times New Roman"/>
          <w:sz w:val="28"/>
          <w:szCs w:val="28"/>
          <w:highlight w:val="yellow"/>
        </w:rPr>
      </w:pPr>
      <w:r w:rsidRPr="00E94DEB">
        <w:rPr>
          <w:rFonts w:eastAsia="Times New Roman" w:cs="Times New Roman"/>
          <w:color w:val="0D0D0D" w:themeColor="text1" w:themeTint="F2"/>
          <w:sz w:val="28"/>
          <w:szCs w:val="28"/>
          <w:lang w:eastAsia="lv-LV"/>
        </w:rPr>
        <w:t>SM uzsākusi grozījumu sagatavošanu MK noteikumos par iespēju izmantot publiskā finansējumu snieguma rezervi 15 899 728 </w:t>
      </w:r>
      <w:r w:rsidRPr="00E94DEB">
        <w:rPr>
          <w:rFonts w:eastAsia="Times New Roman" w:cs="Times New Roman"/>
          <w:i/>
          <w:color w:val="0D0D0D" w:themeColor="text1" w:themeTint="F2"/>
          <w:sz w:val="28"/>
          <w:szCs w:val="28"/>
          <w:lang w:eastAsia="lv-LV"/>
        </w:rPr>
        <w:t>euro</w:t>
      </w:r>
      <w:r>
        <w:rPr>
          <w:rFonts w:eastAsia="Times New Roman" w:cs="Times New Roman"/>
          <w:i/>
          <w:color w:val="0D0D0D" w:themeColor="text1" w:themeTint="F2"/>
          <w:sz w:val="28"/>
          <w:szCs w:val="28"/>
          <w:lang w:eastAsia="lv-LV"/>
        </w:rPr>
        <w:t xml:space="preserve"> </w:t>
      </w:r>
      <w:r w:rsidRPr="0052257B">
        <w:rPr>
          <w:rFonts w:eastAsia="Times New Roman" w:cs="Times New Roman"/>
          <w:color w:val="0D0D0D" w:themeColor="text1" w:themeTint="F2"/>
          <w:sz w:val="28"/>
          <w:szCs w:val="28"/>
          <w:lang w:eastAsia="lv-LV"/>
        </w:rPr>
        <w:t>veicot ieguldījumus</w:t>
      </w:r>
      <w:r w:rsidRPr="00E94DEB">
        <w:rPr>
          <w:rFonts w:eastAsia="Times New Roman" w:cs="Times New Roman"/>
          <w:color w:val="0D0D0D" w:themeColor="text1" w:themeTint="F2"/>
          <w:sz w:val="28"/>
          <w:szCs w:val="28"/>
          <w:lang w:eastAsia="lv-LV"/>
        </w:rPr>
        <w:t xml:space="preserve"> </w:t>
      </w:r>
      <w:r>
        <w:rPr>
          <w:rFonts w:eastAsia="Times New Roman" w:cs="Times New Roman"/>
          <w:color w:val="0D0D0D" w:themeColor="text1" w:themeTint="F2"/>
          <w:sz w:val="28"/>
          <w:szCs w:val="28"/>
          <w:lang w:eastAsia="lv-LV"/>
        </w:rPr>
        <w:t>g</w:t>
      </w:r>
      <w:r w:rsidRPr="00A0107F">
        <w:rPr>
          <w:rFonts w:eastAsia="Times New Roman" w:cs="Times New Roman"/>
          <w:color w:val="0D0D0D" w:themeColor="text1" w:themeTint="F2"/>
          <w:sz w:val="28"/>
          <w:szCs w:val="28"/>
          <w:lang w:eastAsia="lv-LV"/>
        </w:rPr>
        <w:t>alveno autoceļu pārbūve</w:t>
      </w:r>
      <w:r>
        <w:rPr>
          <w:rFonts w:eastAsia="Times New Roman" w:cs="Times New Roman"/>
          <w:color w:val="0D0D0D" w:themeColor="text1" w:themeTint="F2"/>
          <w:sz w:val="28"/>
          <w:szCs w:val="28"/>
          <w:lang w:eastAsia="lv-LV"/>
        </w:rPr>
        <w:t>i</w:t>
      </w:r>
      <w:r>
        <w:rPr>
          <w:rStyle w:val="FootnoteReference"/>
          <w:rFonts w:eastAsia="Times New Roman" w:cs="Times New Roman"/>
          <w:color w:val="0D0D0D" w:themeColor="text1" w:themeTint="F2"/>
          <w:sz w:val="28"/>
          <w:szCs w:val="28"/>
          <w:lang w:eastAsia="lv-LV"/>
        </w:rPr>
        <w:footnoteReference w:id="47"/>
      </w:r>
      <w:r w:rsidRPr="00E94DEB">
        <w:rPr>
          <w:rFonts w:eastAsia="Times New Roman" w:cs="Times New Roman"/>
          <w:color w:val="0D0D0D" w:themeColor="text1" w:themeTint="F2"/>
          <w:sz w:val="28"/>
          <w:szCs w:val="28"/>
          <w:lang w:eastAsia="lv-LV"/>
        </w:rPr>
        <w:t xml:space="preserve"> un 16 897 660 </w:t>
      </w:r>
      <w:r w:rsidRPr="00E94DEB">
        <w:rPr>
          <w:rFonts w:eastAsia="Times New Roman" w:cs="Times New Roman"/>
          <w:i/>
          <w:color w:val="0D0D0D" w:themeColor="text1" w:themeTint="F2"/>
          <w:sz w:val="28"/>
          <w:szCs w:val="28"/>
          <w:lang w:eastAsia="lv-LV"/>
        </w:rPr>
        <w:t>euro</w:t>
      </w:r>
      <w:r w:rsidRPr="00E94DEB">
        <w:rPr>
          <w:rFonts w:eastAsia="Times New Roman" w:cs="Times New Roman"/>
          <w:color w:val="0D0D0D" w:themeColor="text1" w:themeTint="F2"/>
          <w:sz w:val="28"/>
          <w:szCs w:val="28"/>
          <w:lang w:eastAsia="lv-LV"/>
        </w:rPr>
        <w:t xml:space="preserve"> </w:t>
      </w:r>
      <w:r>
        <w:rPr>
          <w:rFonts w:eastAsia="Times New Roman" w:cs="Times New Roman"/>
          <w:color w:val="0D0D0D" w:themeColor="text1" w:themeTint="F2"/>
          <w:sz w:val="28"/>
          <w:szCs w:val="28"/>
          <w:lang w:eastAsia="lv-LV"/>
        </w:rPr>
        <w:t>r</w:t>
      </w:r>
      <w:r w:rsidRPr="00A0107F">
        <w:rPr>
          <w:rFonts w:eastAsia="Times New Roman" w:cs="Times New Roman"/>
          <w:color w:val="0D0D0D" w:themeColor="text1" w:themeTint="F2"/>
          <w:sz w:val="28"/>
          <w:szCs w:val="28"/>
          <w:lang w:eastAsia="lv-LV"/>
        </w:rPr>
        <w:t>eģionālo autoceļu pārbūve</w:t>
      </w:r>
      <w:r>
        <w:rPr>
          <w:rFonts w:eastAsia="Times New Roman" w:cs="Times New Roman"/>
          <w:color w:val="0D0D0D" w:themeColor="text1" w:themeTint="F2"/>
          <w:sz w:val="28"/>
          <w:szCs w:val="28"/>
          <w:lang w:eastAsia="lv-LV"/>
        </w:rPr>
        <w:t>i</w:t>
      </w:r>
      <w:r>
        <w:rPr>
          <w:rStyle w:val="FootnoteReference"/>
          <w:rFonts w:eastAsia="Times New Roman" w:cs="Times New Roman"/>
          <w:color w:val="0D0D0D" w:themeColor="text1" w:themeTint="F2"/>
          <w:sz w:val="28"/>
          <w:szCs w:val="28"/>
          <w:lang w:eastAsia="lv-LV"/>
        </w:rPr>
        <w:footnoteReference w:id="48"/>
      </w:r>
      <w:r w:rsidRPr="00E94DEB">
        <w:rPr>
          <w:rFonts w:eastAsia="Times New Roman" w:cs="Times New Roman"/>
          <w:color w:val="0D0D0D" w:themeColor="text1" w:themeTint="F2"/>
          <w:sz w:val="28"/>
          <w:szCs w:val="28"/>
          <w:lang w:eastAsia="lv-LV"/>
        </w:rPr>
        <w:t xml:space="preserve"> pirms EK lēmuma par snieguma ietvara mērķu izpildi atbilstoši Sadarbības partneru par ES fondu jautājumiem darba grupas 24. oktobra sēdē lemtajam. </w:t>
      </w:r>
    </w:p>
    <w:p w14:paraId="1EFB5623" w14:textId="588CC0B3" w:rsidR="002E4AF1" w:rsidRDefault="001240C5" w:rsidP="0062255B">
      <w:pPr>
        <w:spacing w:before="120" w:after="120"/>
        <w:ind w:firstLine="709"/>
        <w:jc w:val="both"/>
        <w:rPr>
          <w:rFonts w:cs="Times New Roman"/>
          <w:sz w:val="28"/>
          <w:szCs w:val="28"/>
        </w:rPr>
      </w:pPr>
      <w:r w:rsidRPr="00DE1CD1">
        <w:rPr>
          <w:rFonts w:cs="Times New Roman"/>
          <w:sz w:val="28"/>
          <w:szCs w:val="28"/>
        </w:rPr>
        <w:t>JNI ieviešanas riski novērsti, ņemot vērā IZM piedāvāto rīcību, kas atbalstīta MK 2017. gada 16. augusta sēdē</w:t>
      </w:r>
      <w:r w:rsidRPr="007233BA">
        <w:rPr>
          <w:rStyle w:val="FootnoteReference"/>
          <w:rFonts w:cs="Times New Roman"/>
          <w:sz w:val="28"/>
          <w:szCs w:val="28"/>
        </w:rPr>
        <w:footnoteReference w:id="49"/>
      </w:r>
      <w:r w:rsidRPr="00DE1CD1">
        <w:rPr>
          <w:rFonts w:cs="Times New Roman"/>
          <w:sz w:val="28"/>
          <w:szCs w:val="28"/>
        </w:rPr>
        <w:t xml:space="preserve"> </w:t>
      </w:r>
      <w:r w:rsidR="00F61443">
        <w:rPr>
          <w:rFonts w:cs="Times New Roman"/>
          <w:sz w:val="28"/>
          <w:szCs w:val="28"/>
        </w:rPr>
        <w:t>, uz kā pamata</w:t>
      </w:r>
      <w:r w:rsidRPr="00DE1CD1">
        <w:rPr>
          <w:rFonts w:cs="Times New Roman"/>
          <w:sz w:val="28"/>
          <w:szCs w:val="28"/>
        </w:rPr>
        <w:t xml:space="preserve"> </w:t>
      </w:r>
      <w:r w:rsidR="00F61443">
        <w:rPr>
          <w:rFonts w:cs="Times New Roman"/>
          <w:sz w:val="28"/>
          <w:szCs w:val="28"/>
        </w:rPr>
        <w:t xml:space="preserve">LM piedāvāja priekšlikumu </w:t>
      </w:r>
      <w:r w:rsidRPr="00DE1CD1">
        <w:rPr>
          <w:rFonts w:cs="Times New Roman"/>
          <w:sz w:val="28"/>
          <w:szCs w:val="28"/>
        </w:rPr>
        <w:t>DP grozījumiem Nr.</w:t>
      </w:r>
      <w:r w:rsidR="00C06AB0">
        <w:rPr>
          <w:rFonts w:cs="Times New Roman"/>
          <w:sz w:val="28"/>
          <w:szCs w:val="28"/>
        </w:rPr>
        <w:t> </w:t>
      </w:r>
      <w:r w:rsidRPr="00DE1CD1">
        <w:rPr>
          <w:rFonts w:cs="Times New Roman"/>
          <w:sz w:val="28"/>
          <w:szCs w:val="28"/>
        </w:rPr>
        <w:t>3</w:t>
      </w:r>
      <w:r w:rsidR="00F61443">
        <w:rPr>
          <w:rFonts w:cs="Times New Roman"/>
          <w:sz w:val="28"/>
          <w:szCs w:val="28"/>
        </w:rPr>
        <w:t>, kas</w:t>
      </w:r>
      <w:r w:rsidRPr="00DE1CD1">
        <w:rPr>
          <w:rFonts w:cs="Times New Roman"/>
          <w:sz w:val="28"/>
          <w:szCs w:val="28"/>
        </w:rPr>
        <w:t xml:space="preserve"> paredz atbalsta JNI īstenošanas pagarināšanai līdz 2023. gadam, t.sk. atbalsta nenodarbinātiem jauniešiem turpināšanu citu LM pārziņā esošo SAM ietvaros, kā arī nodarbināto jauniešu atbalstu paredzot IZM pārziņā esošā </w:t>
      </w:r>
      <w:r w:rsidR="00C06AB0">
        <w:rPr>
          <w:rFonts w:cs="Times New Roman"/>
          <w:sz w:val="28"/>
          <w:szCs w:val="28"/>
        </w:rPr>
        <w:t>mūžizglītības</w:t>
      </w:r>
      <w:r w:rsidRPr="007233BA">
        <w:rPr>
          <w:rStyle w:val="FootnoteReference"/>
          <w:rFonts w:cs="Times New Roman"/>
          <w:sz w:val="28"/>
          <w:szCs w:val="28"/>
        </w:rPr>
        <w:footnoteReference w:id="50"/>
      </w:r>
      <w:r w:rsidRPr="00DE1CD1">
        <w:rPr>
          <w:rFonts w:cs="Times New Roman"/>
          <w:sz w:val="28"/>
          <w:szCs w:val="28"/>
        </w:rPr>
        <w:t xml:space="preserve"> </w:t>
      </w:r>
      <w:r w:rsidR="00C06AB0">
        <w:rPr>
          <w:rFonts w:cs="Times New Roman"/>
          <w:sz w:val="28"/>
          <w:szCs w:val="28"/>
        </w:rPr>
        <w:t xml:space="preserve">pasākuma </w:t>
      </w:r>
      <w:r w:rsidRPr="00DE1CD1">
        <w:rPr>
          <w:rFonts w:cs="Times New Roman"/>
          <w:sz w:val="28"/>
          <w:szCs w:val="28"/>
        </w:rPr>
        <w:t>ietvaros.</w:t>
      </w:r>
    </w:p>
    <w:p w14:paraId="07776F26" w14:textId="2AC98632" w:rsidR="00142E3E" w:rsidRPr="00DE1CD1" w:rsidRDefault="001240C5" w:rsidP="003B5107">
      <w:pPr>
        <w:spacing w:before="120" w:after="120"/>
        <w:ind w:firstLine="851"/>
        <w:jc w:val="both"/>
        <w:rPr>
          <w:rFonts w:cs="Times New Roman"/>
          <w:sz w:val="28"/>
          <w:szCs w:val="28"/>
        </w:rPr>
      </w:pPr>
      <w:r w:rsidRPr="00DE1CD1">
        <w:rPr>
          <w:rFonts w:cs="Times New Roman"/>
          <w:sz w:val="28"/>
          <w:szCs w:val="28"/>
        </w:rPr>
        <w:t>Izpildot MK 2017. gada 12. septembra sēdes uzdevumu</w:t>
      </w:r>
      <w:r>
        <w:rPr>
          <w:rStyle w:val="FootnoteReference"/>
          <w:rFonts w:cs="Times New Roman"/>
          <w:sz w:val="28"/>
          <w:szCs w:val="28"/>
        </w:rPr>
        <w:footnoteReference w:id="51"/>
      </w:r>
      <w:r w:rsidRPr="00DE1CD1">
        <w:rPr>
          <w:rFonts w:cs="Times New Roman"/>
          <w:sz w:val="28"/>
          <w:szCs w:val="28"/>
        </w:rPr>
        <w:t xml:space="preserve">, MK 2017. gada 21. novembra sēdē izskatīts LM informatīvais ziņojums, kurā tika izvērtēti </w:t>
      </w:r>
      <w:r w:rsidR="00254C21">
        <w:rPr>
          <w:rFonts w:cs="Times New Roman"/>
          <w:sz w:val="28"/>
          <w:szCs w:val="28"/>
        </w:rPr>
        <w:t>atbalsts bezdarbnieku izglītībai</w:t>
      </w:r>
      <w:r w:rsidRPr="00DE1CD1">
        <w:rPr>
          <w:rFonts w:cs="Times New Roman"/>
          <w:sz w:val="28"/>
          <w:szCs w:val="28"/>
        </w:rPr>
        <w:t xml:space="preserve">, </w:t>
      </w:r>
      <w:r w:rsidR="00254C21">
        <w:rPr>
          <w:rFonts w:cs="Times New Roman"/>
          <w:sz w:val="28"/>
          <w:szCs w:val="28"/>
        </w:rPr>
        <w:t>jauniešu garantijas</w:t>
      </w:r>
      <w:r w:rsidRPr="00DE1CD1">
        <w:rPr>
          <w:rFonts w:cs="Times New Roman"/>
          <w:sz w:val="28"/>
          <w:szCs w:val="28"/>
        </w:rPr>
        <w:t xml:space="preserve"> un </w:t>
      </w:r>
      <w:r w:rsidR="00254C21">
        <w:rPr>
          <w:rFonts w:cs="Times New Roman"/>
          <w:sz w:val="28"/>
          <w:szCs w:val="28"/>
        </w:rPr>
        <w:t>nelabvēlīgākā situācijā esošo bezdarbnieku iekļaušanas</w:t>
      </w:r>
      <w:r>
        <w:rPr>
          <w:rStyle w:val="FootnoteReference"/>
          <w:rFonts w:cs="Times New Roman"/>
          <w:sz w:val="28"/>
          <w:szCs w:val="28"/>
        </w:rPr>
        <w:footnoteReference w:id="52"/>
      </w:r>
      <w:r w:rsidRPr="00DE1CD1">
        <w:rPr>
          <w:rFonts w:cs="Times New Roman"/>
          <w:sz w:val="28"/>
          <w:szCs w:val="28"/>
        </w:rPr>
        <w:t xml:space="preserve"> projektu ieviešanas nosacījumi, izvērtēta NVA projektu īstenošanas gaita, efektivitāte, sasniegtie rezultāti un iekšējās kontroles sistēmas atbilstība drošas finanšu pārvaldības principiem, kā arī sniegts situācijas novērtējums, definēti pasākumiem konstatēto trūkumu novēršanai</w:t>
      </w:r>
      <w:r>
        <w:rPr>
          <w:rStyle w:val="FootnoteReference"/>
          <w:rFonts w:cs="Times New Roman"/>
          <w:sz w:val="28"/>
          <w:szCs w:val="28"/>
        </w:rPr>
        <w:footnoteReference w:id="53"/>
      </w:r>
      <w:r w:rsidRPr="00DE1CD1">
        <w:rPr>
          <w:rFonts w:cs="Times New Roman"/>
          <w:sz w:val="28"/>
          <w:szCs w:val="28"/>
        </w:rPr>
        <w:t>.</w:t>
      </w:r>
      <w:r w:rsidR="00625918">
        <w:rPr>
          <w:rFonts w:cs="Times New Roman"/>
          <w:sz w:val="28"/>
          <w:szCs w:val="28"/>
        </w:rPr>
        <w:t xml:space="preserve"> </w:t>
      </w:r>
      <w:r w:rsidR="002771C7" w:rsidRPr="00DE1CD1">
        <w:rPr>
          <w:rFonts w:cs="Times New Roman"/>
          <w:sz w:val="28"/>
          <w:szCs w:val="28"/>
        </w:rPr>
        <w:t xml:space="preserve">2017. gada novembrī </w:t>
      </w:r>
      <w:r w:rsidR="002771C7" w:rsidRPr="00BC0790">
        <w:rPr>
          <w:rFonts w:cs="Times New Roman"/>
          <w:sz w:val="28"/>
          <w:szCs w:val="28"/>
        </w:rPr>
        <w:t>IZM</w:t>
      </w:r>
      <w:r w:rsidR="002771C7" w:rsidRPr="00DE1CD1">
        <w:rPr>
          <w:rFonts w:cs="Times New Roman"/>
          <w:sz w:val="28"/>
          <w:szCs w:val="28"/>
        </w:rPr>
        <w:t xml:space="preserve"> apstiprinājusi vienas vienības izmaksu metodiku pedagogu un izglītības iestāžu atbalsta personāla (psihologi, sociālie pedagogi, logopēdi, speciāl</w:t>
      </w:r>
      <w:r w:rsidR="00227CAA">
        <w:rPr>
          <w:rFonts w:cs="Times New Roman"/>
          <w:sz w:val="28"/>
          <w:szCs w:val="28"/>
        </w:rPr>
        <w:t>ās izglītības</w:t>
      </w:r>
      <w:r w:rsidR="002771C7" w:rsidRPr="00DE1CD1">
        <w:rPr>
          <w:rFonts w:cs="Times New Roman"/>
          <w:sz w:val="28"/>
          <w:szCs w:val="28"/>
        </w:rPr>
        <w:t xml:space="preserve"> pedagogi</w:t>
      </w:r>
      <w:r w:rsidR="00227CAA">
        <w:rPr>
          <w:rFonts w:cs="Times New Roman"/>
          <w:sz w:val="28"/>
          <w:szCs w:val="28"/>
        </w:rPr>
        <w:t>, pedagogu palīgi</w:t>
      </w:r>
      <w:r w:rsidR="002771C7" w:rsidRPr="00DE1CD1">
        <w:rPr>
          <w:rFonts w:cs="Times New Roman"/>
          <w:sz w:val="28"/>
          <w:szCs w:val="28"/>
        </w:rPr>
        <w:t>) atlīdzības izmaksu likmes noteikšanai priekšlaicīgas mācību pārtraukšanas samazināšanas</w:t>
      </w:r>
      <w:r w:rsidR="002771C7" w:rsidRPr="007233BA">
        <w:rPr>
          <w:rStyle w:val="FootnoteReference"/>
          <w:rFonts w:cs="Times New Roman"/>
          <w:sz w:val="28"/>
          <w:szCs w:val="28"/>
        </w:rPr>
        <w:footnoteReference w:id="54"/>
      </w:r>
      <w:r w:rsidR="002771C7" w:rsidRPr="00DE1CD1">
        <w:rPr>
          <w:rFonts w:cs="Times New Roman"/>
          <w:sz w:val="28"/>
          <w:szCs w:val="28"/>
        </w:rPr>
        <w:t xml:space="preserve"> un pasākuma </w:t>
      </w:r>
      <w:r w:rsidR="002771C7" w:rsidRPr="00DE1CD1">
        <w:rPr>
          <w:rFonts w:cs="Times New Roman"/>
          <w:sz w:val="28"/>
          <w:szCs w:val="28"/>
        </w:rPr>
        <w:lastRenderedPageBreak/>
        <w:t>individuālo kompetenču attīstība</w:t>
      </w:r>
      <w:r w:rsidR="002771C7" w:rsidRPr="007233BA">
        <w:rPr>
          <w:rStyle w:val="FootnoteReference"/>
          <w:rFonts w:cs="Times New Roman"/>
          <w:sz w:val="28"/>
          <w:szCs w:val="28"/>
        </w:rPr>
        <w:footnoteReference w:id="55"/>
      </w:r>
      <w:r w:rsidR="002771C7" w:rsidRPr="00DE1CD1">
        <w:rPr>
          <w:rFonts w:cs="Times New Roman"/>
          <w:sz w:val="28"/>
          <w:szCs w:val="28"/>
        </w:rPr>
        <w:t xml:space="preserve"> ietvaros, kā arī 2017. gada decembrī iesniegusi FM saskaņošanai vienreizējā maksājuma metodiku</w:t>
      </w:r>
      <w:r w:rsidR="00227CAA">
        <w:rPr>
          <w:rFonts w:cs="Times New Roman"/>
          <w:sz w:val="28"/>
          <w:szCs w:val="28"/>
        </w:rPr>
        <w:t xml:space="preserve"> jaunatnes iniciatīvu projektu</w:t>
      </w:r>
      <w:r w:rsidR="00227CAA">
        <w:rPr>
          <w:rStyle w:val="FootnoteReference"/>
          <w:rFonts w:cs="Times New Roman"/>
          <w:sz w:val="28"/>
          <w:szCs w:val="28"/>
        </w:rPr>
        <w:footnoteReference w:id="56"/>
      </w:r>
      <w:r w:rsidR="00227CAA">
        <w:rPr>
          <w:rFonts w:cs="Times New Roman"/>
          <w:sz w:val="28"/>
          <w:szCs w:val="28"/>
        </w:rPr>
        <w:t xml:space="preserve"> īstenošanai</w:t>
      </w:r>
      <w:r w:rsidR="002771C7" w:rsidRPr="00DE1CD1">
        <w:rPr>
          <w:rFonts w:cs="Times New Roman"/>
          <w:sz w:val="28"/>
          <w:szCs w:val="28"/>
        </w:rPr>
        <w:t xml:space="preserve"> priekšlaicīgas mācību pārtraukšanas samazināšanai ietvaros, tādējādi veicinot projektu</w:t>
      </w:r>
      <w:r w:rsidR="002771C7" w:rsidRPr="007233BA">
        <w:rPr>
          <w:rStyle w:val="FootnoteReference"/>
          <w:rFonts w:cs="Times New Roman"/>
          <w:sz w:val="28"/>
          <w:szCs w:val="28"/>
        </w:rPr>
        <w:footnoteReference w:id="57"/>
      </w:r>
      <w:r w:rsidR="002771C7" w:rsidRPr="00DE1CD1">
        <w:rPr>
          <w:rFonts w:cs="Times New Roman"/>
          <w:sz w:val="28"/>
          <w:szCs w:val="28"/>
        </w:rPr>
        <w:t xml:space="preserve"> plānoto darbību īstenošanu un 2018. gada finanšu mērķa sasniegšanu. </w:t>
      </w:r>
    </w:p>
    <w:p w14:paraId="184B4D6D" w14:textId="102DE69D" w:rsidR="00960E6E" w:rsidRDefault="00E930CA" w:rsidP="003B5107">
      <w:pPr>
        <w:spacing w:before="120" w:after="120"/>
        <w:ind w:firstLine="709"/>
        <w:jc w:val="both"/>
        <w:rPr>
          <w:rFonts w:cs="Times New Roman"/>
          <w:sz w:val="28"/>
          <w:szCs w:val="28"/>
        </w:rPr>
      </w:pPr>
      <w:r w:rsidRPr="00DE1CD1">
        <w:rPr>
          <w:rFonts w:eastAsia="Times New Roman" w:cs="Times New Roman"/>
          <w:sz w:val="28"/>
          <w:szCs w:val="28"/>
          <w:lang w:eastAsia="lv-LV"/>
        </w:rPr>
        <w:t>Izvērtējot situāciju Ieslodzījuma vietu pārvaldes īsteno</w:t>
      </w:r>
      <w:r>
        <w:rPr>
          <w:rFonts w:eastAsia="Times New Roman" w:cs="Times New Roman"/>
          <w:sz w:val="28"/>
          <w:szCs w:val="28"/>
          <w:lang w:eastAsia="lv-LV"/>
        </w:rPr>
        <w:t>to</w:t>
      </w:r>
      <w:r w:rsidRPr="00DE1CD1">
        <w:rPr>
          <w:rFonts w:eastAsia="Times New Roman" w:cs="Times New Roman"/>
          <w:sz w:val="28"/>
          <w:szCs w:val="28"/>
          <w:lang w:eastAsia="lv-LV"/>
        </w:rPr>
        <w:t xml:space="preserve"> projektu </w:t>
      </w:r>
      <w:r w:rsidR="00254C21">
        <w:rPr>
          <w:rFonts w:eastAsia="Times New Roman" w:cs="Times New Roman"/>
          <w:sz w:val="28"/>
          <w:szCs w:val="28"/>
          <w:lang w:eastAsia="lv-LV"/>
        </w:rPr>
        <w:t>bijušo ieslodzīto integrācija sabiedrībā</w:t>
      </w:r>
      <w:r w:rsidRPr="00DE1CD1">
        <w:rPr>
          <w:rFonts w:eastAsia="Times New Roman" w:cs="Times New Roman"/>
          <w:sz w:val="28"/>
          <w:szCs w:val="28"/>
          <w:lang w:eastAsia="lv-LV"/>
        </w:rPr>
        <w:t xml:space="preserve"> un </w:t>
      </w:r>
      <w:proofErr w:type="spellStart"/>
      <w:r w:rsidR="00254C21">
        <w:rPr>
          <w:rFonts w:eastAsia="Times New Roman" w:cs="Times New Roman"/>
          <w:sz w:val="28"/>
          <w:szCs w:val="28"/>
          <w:lang w:eastAsia="lv-LV"/>
        </w:rPr>
        <w:t>resoci</w:t>
      </w:r>
      <w:r w:rsidR="002802FC">
        <w:rPr>
          <w:rFonts w:eastAsia="Times New Roman" w:cs="Times New Roman"/>
          <w:sz w:val="28"/>
          <w:szCs w:val="28"/>
          <w:lang w:eastAsia="lv-LV"/>
        </w:rPr>
        <w:t>a</w:t>
      </w:r>
      <w:r w:rsidR="00254C21">
        <w:rPr>
          <w:rFonts w:eastAsia="Times New Roman" w:cs="Times New Roman"/>
          <w:sz w:val="28"/>
          <w:szCs w:val="28"/>
          <w:lang w:eastAsia="lv-LV"/>
        </w:rPr>
        <w:t>lizācijas</w:t>
      </w:r>
      <w:proofErr w:type="spellEnd"/>
      <w:r w:rsidR="00254C21">
        <w:rPr>
          <w:rFonts w:eastAsia="Times New Roman" w:cs="Times New Roman"/>
          <w:sz w:val="28"/>
          <w:szCs w:val="28"/>
          <w:lang w:eastAsia="lv-LV"/>
        </w:rPr>
        <w:t xml:space="preserve"> sistēmas efektivitātes paaugstināšana</w:t>
      </w:r>
      <w:r>
        <w:rPr>
          <w:rStyle w:val="FootnoteReference"/>
          <w:rFonts w:eastAsia="Times New Roman" w:cs="Times New Roman"/>
          <w:sz w:val="28"/>
          <w:szCs w:val="28"/>
          <w:lang w:eastAsia="lv-LV"/>
        </w:rPr>
        <w:footnoteReference w:id="58"/>
      </w:r>
      <w:r w:rsidRPr="00DE1CD1">
        <w:rPr>
          <w:rFonts w:eastAsia="Times New Roman" w:cs="Times New Roman"/>
          <w:sz w:val="28"/>
          <w:szCs w:val="28"/>
          <w:lang w:eastAsia="lv-LV"/>
        </w:rPr>
        <w:t xml:space="preserve"> ietvaros, TM ir uzsākusi </w:t>
      </w:r>
      <w:r w:rsidR="00254C21">
        <w:rPr>
          <w:rFonts w:eastAsia="Times New Roman" w:cs="Times New Roman"/>
          <w:sz w:val="28"/>
          <w:szCs w:val="28"/>
          <w:lang w:eastAsia="lv-LV"/>
        </w:rPr>
        <w:t xml:space="preserve">šo </w:t>
      </w:r>
      <w:r w:rsidRPr="00DE1CD1">
        <w:rPr>
          <w:rFonts w:eastAsia="Times New Roman" w:cs="Times New Roman"/>
          <w:sz w:val="28"/>
          <w:szCs w:val="28"/>
          <w:lang w:eastAsia="lv-LV"/>
        </w:rPr>
        <w:t xml:space="preserve">SAM MK noteikumu grozījumu procesu, </w:t>
      </w:r>
      <w:r>
        <w:rPr>
          <w:rFonts w:eastAsia="Times New Roman" w:cs="Times New Roman"/>
          <w:sz w:val="28"/>
          <w:szCs w:val="28"/>
          <w:lang w:eastAsia="lv-LV"/>
        </w:rPr>
        <w:t>paredzot papildu</w:t>
      </w:r>
      <w:r w:rsidRPr="00DE1CD1">
        <w:rPr>
          <w:rFonts w:eastAsia="Times New Roman" w:cs="Times New Roman"/>
          <w:sz w:val="28"/>
          <w:szCs w:val="28"/>
          <w:lang w:eastAsia="lv-LV"/>
        </w:rPr>
        <w:t xml:space="preserve"> darbības </w:t>
      </w:r>
      <w:r>
        <w:rPr>
          <w:rFonts w:eastAsia="Times New Roman" w:cs="Times New Roman"/>
          <w:sz w:val="28"/>
          <w:szCs w:val="28"/>
          <w:lang w:eastAsia="lv-LV"/>
        </w:rPr>
        <w:t>projektu</w:t>
      </w:r>
      <w:r w:rsidRPr="00DE1CD1">
        <w:rPr>
          <w:rFonts w:eastAsia="Times New Roman" w:cs="Times New Roman"/>
          <w:sz w:val="28"/>
          <w:szCs w:val="28"/>
          <w:lang w:eastAsia="lv-LV"/>
        </w:rPr>
        <w:t xml:space="preserve"> ieviešanas intensificēšanai, </w:t>
      </w:r>
      <w:r>
        <w:rPr>
          <w:rFonts w:eastAsia="Times New Roman" w:cs="Times New Roman"/>
          <w:sz w:val="28"/>
          <w:szCs w:val="28"/>
          <w:lang w:eastAsia="lv-LV"/>
        </w:rPr>
        <w:t>tādejādi virzoties uz</w:t>
      </w:r>
      <w:r w:rsidRPr="00DE1CD1">
        <w:rPr>
          <w:rFonts w:eastAsia="Times New Roman" w:cs="Times New Roman"/>
          <w:sz w:val="28"/>
          <w:szCs w:val="28"/>
          <w:lang w:eastAsia="lv-LV"/>
        </w:rPr>
        <w:t xml:space="preserve"> snieguma ietvara </w:t>
      </w:r>
      <w:r>
        <w:rPr>
          <w:rFonts w:eastAsia="Times New Roman" w:cs="Times New Roman"/>
          <w:sz w:val="28"/>
          <w:szCs w:val="28"/>
          <w:lang w:eastAsia="lv-LV"/>
        </w:rPr>
        <w:t>mērķu sasniegšanu</w:t>
      </w:r>
      <w:r w:rsidRPr="00DE1CD1">
        <w:rPr>
          <w:rFonts w:eastAsia="Times New Roman" w:cs="Times New Roman"/>
          <w:sz w:val="28"/>
          <w:szCs w:val="28"/>
          <w:lang w:eastAsia="lv-LV"/>
        </w:rPr>
        <w:t>.</w:t>
      </w:r>
    </w:p>
    <w:p w14:paraId="060CED49" w14:textId="5E0A6166" w:rsidR="00960E6E" w:rsidRDefault="00E930CA" w:rsidP="003B5107">
      <w:pPr>
        <w:spacing w:before="120" w:after="120"/>
        <w:ind w:firstLine="709"/>
        <w:jc w:val="both"/>
        <w:rPr>
          <w:rFonts w:cs="Times New Roman"/>
          <w:sz w:val="28"/>
          <w:szCs w:val="28"/>
        </w:rPr>
      </w:pPr>
      <w:r w:rsidRPr="00DE1CD1">
        <w:rPr>
          <w:rFonts w:cs="Times New Roman"/>
          <w:sz w:val="28"/>
          <w:szCs w:val="28"/>
        </w:rPr>
        <w:t xml:space="preserve">2017. gada 7. novembra MK sēdē apstiprināti grozījumi MK noteikumos par </w:t>
      </w:r>
      <w:r w:rsidR="00254C21">
        <w:rPr>
          <w:rFonts w:cs="Times New Roman"/>
          <w:sz w:val="28"/>
          <w:szCs w:val="28"/>
        </w:rPr>
        <w:t>veselības veicināšanas un slimību profilakses</w:t>
      </w:r>
      <w:r>
        <w:rPr>
          <w:rStyle w:val="FootnoteReference"/>
          <w:rFonts w:cs="Times New Roman"/>
          <w:sz w:val="28"/>
          <w:szCs w:val="28"/>
        </w:rPr>
        <w:footnoteReference w:id="59"/>
      </w:r>
      <w:r w:rsidRPr="00DE1CD1">
        <w:rPr>
          <w:rFonts w:cs="Times New Roman"/>
          <w:sz w:val="28"/>
          <w:szCs w:val="28"/>
        </w:rPr>
        <w:t xml:space="preserve"> </w:t>
      </w:r>
      <w:r w:rsidR="00254C21">
        <w:rPr>
          <w:rFonts w:cs="Times New Roman"/>
          <w:sz w:val="28"/>
          <w:szCs w:val="28"/>
        </w:rPr>
        <w:t>jomā</w:t>
      </w:r>
      <w:r w:rsidRPr="00DE1CD1">
        <w:rPr>
          <w:rFonts w:cs="Times New Roman"/>
          <w:sz w:val="28"/>
          <w:szCs w:val="28"/>
        </w:rPr>
        <w:t xml:space="preserve"> īstenošanu, lai mazinātu administratīvo slogu </w:t>
      </w:r>
      <w:r w:rsidR="00254C21">
        <w:rPr>
          <w:rFonts w:cs="Times New Roman"/>
          <w:sz w:val="28"/>
          <w:szCs w:val="28"/>
        </w:rPr>
        <w:t>FS</w:t>
      </w:r>
      <w:r w:rsidRPr="00DE1CD1">
        <w:rPr>
          <w:rFonts w:cs="Times New Roman"/>
          <w:sz w:val="28"/>
          <w:szCs w:val="28"/>
        </w:rPr>
        <w:t xml:space="preserve">, vienkāršojot un atvieglojot projektu sagatavošanu un īstenošanu. Vienlaikus, izprotot nepieciešamību turpināt administratīvā sloga mazināšanu, sadarbībā ar VM </w:t>
      </w:r>
      <w:r w:rsidR="00960E6E">
        <w:rPr>
          <w:rFonts w:cs="Times New Roman"/>
          <w:sz w:val="28"/>
          <w:szCs w:val="28"/>
        </w:rPr>
        <w:t>tiek</w:t>
      </w:r>
      <w:r w:rsidRPr="00DE1CD1">
        <w:rPr>
          <w:rFonts w:cs="Times New Roman"/>
          <w:sz w:val="28"/>
          <w:szCs w:val="28"/>
        </w:rPr>
        <w:t xml:space="preserve"> risinā</w:t>
      </w:r>
      <w:r w:rsidR="00960E6E">
        <w:rPr>
          <w:rFonts w:cs="Times New Roman"/>
          <w:sz w:val="28"/>
          <w:szCs w:val="28"/>
        </w:rPr>
        <w:t>ts jautājums</w:t>
      </w:r>
      <w:r w:rsidRPr="00DE1CD1">
        <w:rPr>
          <w:rFonts w:cs="Times New Roman"/>
          <w:sz w:val="28"/>
          <w:szCs w:val="28"/>
        </w:rPr>
        <w:t>, lai samazinātu uzkrājamās informācijas apjomu attiecībā uz DP noteiktajiem rādītājiem.</w:t>
      </w:r>
    </w:p>
    <w:p w14:paraId="744B7C37" w14:textId="29BF9E8E" w:rsidR="00E930CA" w:rsidRPr="00DE1CD1" w:rsidRDefault="00AA3D7D" w:rsidP="003B5107">
      <w:pPr>
        <w:spacing w:before="120" w:after="120"/>
        <w:ind w:firstLine="709"/>
        <w:jc w:val="both"/>
        <w:rPr>
          <w:rFonts w:cs="Times New Roman"/>
          <w:sz w:val="28"/>
          <w:szCs w:val="28"/>
          <w:highlight w:val="yellow"/>
        </w:rPr>
      </w:pPr>
      <w:r>
        <w:rPr>
          <w:rFonts w:cs="Times New Roman"/>
          <w:sz w:val="28"/>
          <w:szCs w:val="28"/>
        </w:rPr>
        <w:t>P</w:t>
      </w:r>
      <w:r w:rsidR="00E930CA" w:rsidRPr="00DE1CD1">
        <w:rPr>
          <w:rFonts w:cs="Times New Roman"/>
          <w:sz w:val="28"/>
          <w:szCs w:val="28"/>
        </w:rPr>
        <w:t>rogress sabiedrībā balstītu sociālo pakalpojumu personām ar invaliditāti un ģimeniskai videi pietuvināto pakalpojumu bērniem</w:t>
      </w:r>
      <w:r w:rsidR="00E930CA">
        <w:rPr>
          <w:rStyle w:val="FootnoteReference"/>
          <w:rFonts w:cs="Times New Roman"/>
          <w:sz w:val="28"/>
          <w:szCs w:val="28"/>
        </w:rPr>
        <w:footnoteReference w:id="60"/>
      </w:r>
      <w:r w:rsidR="00E930CA" w:rsidRPr="00DE1CD1">
        <w:rPr>
          <w:rFonts w:cs="Times New Roman"/>
          <w:sz w:val="28"/>
          <w:szCs w:val="28"/>
        </w:rPr>
        <w:t xml:space="preserve"> īstenošanā: </w:t>
      </w:r>
    </w:p>
    <w:p w14:paraId="0EE94730" w14:textId="06E5B07A" w:rsidR="00E930CA" w:rsidRPr="0069733A" w:rsidRDefault="00E930CA" w:rsidP="003167D9">
      <w:pPr>
        <w:pStyle w:val="ListParagraph"/>
        <w:numPr>
          <w:ilvl w:val="0"/>
          <w:numId w:val="8"/>
        </w:numPr>
        <w:spacing w:before="120" w:after="120"/>
        <w:ind w:left="0" w:firstLine="0"/>
        <w:contextualSpacing w:val="0"/>
        <w:jc w:val="both"/>
        <w:rPr>
          <w:rFonts w:cs="Times New Roman"/>
          <w:sz w:val="28"/>
          <w:szCs w:val="28"/>
        </w:rPr>
      </w:pPr>
      <w:r w:rsidRPr="0069733A">
        <w:rPr>
          <w:rFonts w:cs="Times New Roman"/>
          <w:sz w:val="28"/>
          <w:szCs w:val="28"/>
        </w:rPr>
        <w:t xml:space="preserve">DI </w:t>
      </w:r>
      <w:r>
        <w:rPr>
          <w:rFonts w:cs="Times New Roman"/>
          <w:sz w:val="28"/>
          <w:szCs w:val="28"/>
        </w:rPr>
        <w:t>pasākuma</w:t>
      </w:r>
      <w:r>
        <w:rPr>
          <w:rStyle w:val="FootnoteReference"/>
          <w:rFonts w:cs="Times New Roman"/>
          <w:sz w:val="28"/>
          <w:szCs w:val="28"/>
        </w:rPr>
        <w:footnoteReference w:id="61"/>
      </w:r>
      <w:r>
        <w:rPr>
          <w:rFonts w:cs="Times New Roman"/>
          <w:sz w:val="28"/>
          <w:szCs w:val="28"/>
        </w:rPr>
        <w:t xml:space="preserve"> </w:t>
      </w:r>
      <w:r w:rsidRPr="0069733A">
        <w:rPr>
          <w:rFonts w:cs="Times New Roman"/>
          <w:sz w:val="28"/>
          <w:szCs w:val="28"/>
        </w:rPr>
        <w:t xml:space="preserve">ietvaros ir izstrādāti un publiskai apspriešanai iesniegti Kurzemes, Zemgales un Vidzemes plānošanas reģionu </w:t>
      </w:r>
      <w:r>
        <w:rPr>
          <w:rFonts w:cs="Times New Roman"/>
          <w:sz w:val="28"/>
          <w:szCs w:val="28"/>
        </w:rPr>
        <w:t>DI</w:t>
      </w:r>
      <w:r w:rsidRPr="0069733A">
        <w:rPr>
          <w:rFonts w:cs="Times New Roman"/>
          <w:sz w:val="28"/>
          <w:szCs w:val="28"/>
        </w:rPr>
        <w:t xml:space="preserve"> plāni. Reģionu DI plānus paredzēts apstiprināt līdz 2018.</w:t>
      </w:r>
      <w:r>
        <w:rPr>
          <w:rFonts w:cs="Times New Roman"/>
          <w:sz w:val="28"/>
          <w:szCs w:val="28"/>
        </w:rPr>
        <w:t> </w:t>
      </w:r>
      <w:r w:rsidRPr="0069733A">
        <w:rPr>
          <w:rFonts w:cs="Times New Roman"/>
          <w:sz w:val="28"/>
          <w:szCs w:val="28"/>
        </w:rPr>
        <w:t xml:space="preserve">gada </w:t>
      </w:r>
      <w:r w:rsidR="009B6C18">
        <w:rPr>
          <w:rFonts w:cs="Times New Roman"/>
          <w:sz w:val="28"/>
          <w:szCs w:val="28"/>
        </w:rPr>
        <w:t>30</w:t>
      </w:r>
      <w:r w:rsidRPr="0069733A">
        <w:rPr>
          <w:rFonts w:cs="Times New Roman"/>
          <w:sz w:val="28"/>
          <w:szCs w:val="28"/>
        </w:rPr>
        <w:t>.</w:t>
      </w:r>
      <w:r>
        <w:rPr>
          <w:rFonts w:cs="Times New Roman"/>
          <w:sz w:val="28"/>
          <w:szCs w:val="28"/>
        </w:rPr>
        <w:t> </w:t>
      </w:r>
      <w:r w:rsidRPr="0069733A">
        <w:rPr>
          <w:rFonts w:cs="Times New Roman"/>
          <w:sz w:val="28"/>
          <w:szCs w:val="28"/>
        </w:rPr>
        <w:t>jū</w:t>
      </w:r>
      <w:r w:rsidR="009B6C18">
        <w:rPr>
          <w:rFonts w:cs="Times New Roman"/>
          <w:sz w:val="28"/>
          <w:szCs w:val="28"/>
        </w:rPr>
        <w:t>n</w:t>
      </w:r>
      <w:r w:rsidRPr="0069733A">
        <w:rPr>
          <w:rFonts w:cs="Times New Roman"/>
          <w:sz w:val="28"/>
          <w:szCs w:val="28"/>
        </w:rPr>
        <w:t>ijam;</w:t>
      </w:r>
    </w:p>
    <w:p w14:paraId="3AEA055C" w14:textId="61E0AE7E" w:rsidR="00A42A2B" w:rsidRPr="00866986" w:rsidRDefault="00E930CA" w:rsidP="00F8110D">
      <w:pPr>
        <w:pStyle w:val="ListParagraph"/>
        <w:numPr>
          <w:ilvl w:val="0"/>
          <w:numId w:val="8"/>
        </w:numPr>
        <w:spacing w:before="120" w:after="120"/>
        <w:ind w:left="0" w:firstLine="0"/>
        <w:contextualSpacing w:val="0"/>
        <w:jc w:val="both"/>
        <w:rPr>
          <w:rFonts w:cs="Times New Roman"/>
          <w:i/>
          <w:sz w:val="28"/>
          <w:szCs w:val="28"/>
        </w:rPr>
      </w:pPr>
      <w:r>
        <w:rPr>
          <w:rFonts w:cs="Times New Roman"/>
          <w:sz w:val="28"/>
          <w:szCs w:val="28"/>
        </w:rPr>
        <w:t xml:space="preserve">Panākta vienošanās par jauna </w:t>
      </w:r>
      <w:r w:rsidRPr="0069733A">
        <w:rPr>
          <w:rFonts w:cs="Times New Roman"/>
          <w:sz w:val="28"/>
          <w:szCs w:val="28"/>
        </w:rPr>
        <w:t>pasākuma</w:t>
      </w:r>
      <w:r>
        <w:rPr>
          <w:rStyle w:val="FootnoteReference"/>
          <w:rFonts w:cs="Times New Roman"/>
          <w:sz w:val="28"/>
          <w:szCs w:val="28"/>
        </w:rPr>
        <w:footnoteReference w:id="62"/>
      </w:r>
      <w:r>
        <w:rPr>
          <w:rFonts w:cs="Times New Roman"/>
          <w:sz w:val="28"/>
          <w:szCs w:val="28"/>
        </w:rPr>
        <w:t xml:space="preserve"> par</w:t>
      </w:r>
      <w:r w:rsidRPr="0069733A">
        <w:rPr>
          <w:rFonts w:cs="Times New Roman"/>
          <w:sz w:val="28"/>
          <w:szCs w:val="28"/>
        </w:rPr>
        <w:t xml:space="preserve"> </w:t>
      </w:r>
      <w:r>
        <w:rPr>
          <w:rFonts w:cs="Times New Roman"/>
          <w:sz w:val="28"/>
          <w:szCs w:val="28"/>
        </w:rPr>
        <w:t>p</w:t>
      </w:r>
      <w:r w:rsidRPr="00737DBA">
        <w:rPr>
          <w:rFonts w:cs="Times New Roman"/>
          <w:sz w:val="28"/>
          <w:szCs w:val="28"/>
        </w:rPr>
        <w:t>akalpojumi</w:t>
      </w:r>
      <w:r>
        <w:rPr>
          <w:rFonts w:cs="Times New Roman"/>
          <w:sz w:val="28"/>
          <w:szCs w:val="28"/>
        </w:rPr>
        <w:t>em</w:t>
      </w:r>
      <w:r w:rsidRPr="00737DBA">
        <w:rPr>
          <w:rFonts w:cs="Times New Roman"/>
          <w:sz w:val="28"/>
          <w:szCs w:val="28"/>
        </w:rPr>
        <w:t xml:space="preserve"> bērniem ar invaliditāti</w:t>
      </w:r>
      <w:r>
        <w:rPr>
          <w:rFonts w:cs="Times New Roman"/>
          <w:sz w:val="28"/>
          <w:szCs w:val="28"/>
        </w:rPr>
        <w:t xml:space="preserve"> </w:t>
      </w:r>
      <w:r w:rsidRPr="0069733A">
        <w:rPr>
          <w:rFonts w:cs="Times New Roman"/>
          <w:sz w:val="28"/>
          <w:szCs w:val="28"/>
        </w:rPr>
        <w:t>izveidi, kura ietvaros tiks iesaistītas nevalstiskās organizācijas sabiedrībā balstītu sociālo pakalpojumu sniegšanā bērniem ar funkcionāliem traucējumiem. Jauna pasākuma īstenošanas reglamentējošās dokumentācijas saskaņošanu plānots uzsākt 2018.</w:t>
      </w:r>
      <w:r>
        <w:rPr>
          <w:rFonts w:cs="Times New Roman"/>
          <w:sz w:val="28"/>
          <w:szCs w:val="28"/>
        </w:rPr>
        <w:t> </w:t>
      </w:r>
      <w:r w:rsidRPr="0069733A">
        <w:rPr>
          <w:rFonts w:cs="Times New Roman"/>
          <w:sz w:val="28"/>
          <w:szCs w:val="28"/>
        </w:rPr>
        <w:t>gada</w:t>
      </w:r>
      <w:r>
        <w:rPr>
          <w:rFonts w:cs="Times New Roman"/>
          <w:sz w:val="28"/>
          <w:szCs w:val="28"/>
        </w:rPr>
        <w:t> </w:t>
      </w:r>
      <w:r w:rsidRPr="0069733A">
        <w:rPr>
          <w:rFonts w:cs="Times New Roman"/>
          <w:sz w:val="28"/>
          <w:szCs w:val="28"/>
        </w:rPr>
        <w:t>martā.</w:t>
      </w:r>
    </w:p>
    <w:p w14:paraId="0392FAFC" w14:textId="77777777" w:rsidR="00866986" w:rsidRPr="00F8110D" w:rsidRDefault="00866986" w:rsidP="00866986">
      <w:pPr>
        <w:pStyle w:val="ListParagraph"/>
        <w:spacing w:before="120" w:after="120"/>
        <w:ind w:left="0"/>
        <w:contextualSpacing w:val="0"/>
        <w:jc w:val="both"/>
        <w:rPr>
          <w:rFonts w:cs="Times New Roman"/>
          <w:i/>
          <w:sz w:val="28"/>
          <w:szCs w:val="28"/>
        </w:rPr>
      </w:pPr>
    </w:p>
    <w:p w14:paraId="57786F1D" w14:textId="77777777" w:rsidR="000A21CC" w:rsidRPr="0073255B" w:rsidRDefault="000A21CC" w:rsidP="000A21CC">
      <w:pPr>
        <w:spacing w:before="120" w:after="120"/>
        <w:ind w:firstLine="720"/>
        <w:jc w:val="both"/>
        <w:rPr>
          <w:rFonts w:cs="Times New Roman"/>
          <w:b/>
          <w:i/>
          <w:sz w:val="28"/>
          <w:szCs w:val="28"/>
          <w:shd w:val="clear" w:color="auto" w:fill="FFFFFF"/>
        </w:rPr>
      </w:pPr>
      <w:r w:rsidRPr="0073255B">
        <w:rPr>
          <w:rFonts w:cs="Times New Roman"/>
          <w:b/>
          <w:i/>
          <w:sz w:val="28"/>
          <w:szCs w:val="28"/>
        </w:rPr>
        <w:lastRenderedPageBreak/>
        <w:t>Lielie projekti</w:t>
      </w:r>
    </w:p>
    <w:p w14:paraId="424B9077" w14:textId="77777777" w:rsidR="000A21CC" w:rsidRPr="00E94DEB" w:rsidRDefault="000A21CC" w:rsidP="000A21CC">
      <w:pPr>
        <w:spacing w:before="120" w:after="120"/>
        <w:ind w:firstLine="720"/>
        <w:jc w:val="both"/>
        <w:rPr>
          <w:rFonts w:cs="Times New Roman"/>
          <w:sz w:val="28"/>
          <w:szCs w:val="28"/>
          <w:shd w:val="clear" w:color="auto" w:fill="FFFFFF"/>
        </w:rPr>
      </w:pPr>
      <w:r w:rsidRPr="00E94DEB">
        <w:rPr>
          <w:rFonts w:cs="Times New Roman"/>
          <w:sz w:val="28"/>
          <w:szCs w:val="28"/>
          <w:shd w:val="clear" w:color="auto" w:fill="FFFFFF"/>
        </w:rPr>
        <w:t>Investīcijas četru “lielo” projektu ietvaros ir plānotas par kopējo ES fondu finansējumu 492,5 milj.</w:t>
      </w:r>
      <w:r w:rsidRPr="00E94DEB">
        <w:rPr>
          <w:rFonts w:cs="Times New Roman"/>
          <w:i/>
          <w:sz w:val="28"/>
          <w:szCs w:val="28"/>
          <w:shd w:val="clear" w:color="auto" w:fill="FFFFFF"/>
        </w:rPr>
        <w:t xml:space="preserve"> euro </w:t>
      </w:r>
      <w:r w:rsidRPr="00E94DEB">
        <w:rPr>
          <w:rFonts w:cs="Times New Roman"/>
          <w:sz w:val="28"/>
          <w:szCs w:val="28"/>
          <w:shd w:val="clear" w:color="auto" w:fill="FFFFFF"/>
        </w:rPr>
        <w:t>jeb</w:t>
      </w:r>
      <w:r w:rsidRPr="00E94DEB">
        <w:rPr>
          <w:rFonts w:cs="Times New Roman"/>
          <w:i/>
          <w:sz w:val="28"/>
          <w:szCs w:val="28"/>
          <w:shd w:val="clear" w:color="auto" w:fill="FFFFFF"/>
        </w:rPr>
        <w:t xml:space="preserve"> </w:t>
      </w:r>
      <w:r w:rsidRPr="00E94DEB">
        <w:rPr>
          <w:rFonts w:cs="Times New Roman"/>
          <w:sz w:val="28"/>
          <w:szCs w:val="28"/>
          <w:shd w:val="clear" w:color="auto" w:fill="FFFFFF"/>
        </w:rPr>
        <w:t>11</w:t>
      </w:r>
      <w:r>
        <w:rPr>
          <w:rFonts w:cs="Times New Roman"/>
          <w:sz w:val="28"/>
          <w:szCs w:val="28"/>
          <w:shd w:val="clear" w:color="auto" w:fill="FFFFFF"/>
        </w:rPr>
        <w:t> </w:t>
      </w:r>
      <w:r w:rsidRPr="00E94DEB">
        <w:rPr>
          <w:rFonts w:cs="Times New Roman"/>
          <w:sz w:val="28"/>
          <w:szCs w:val="28"/>
          <w:shd w:val="clear" w:color="auto" w:fill="FFFFFF"/>
        </w:rPr>
        <w:t>% no kopā 4,4</w:t>
      </w:r>
      <w:r>
        <w:rPr>
          <w:rFonts w:cs="Times New Roman"/>
          <w:sz w:val="28"/>
          <w:szCs w:val="28"/>
          <w:shd w:val="clear" w:color="auto" w:fill="FFFFFF"/>
        </w:rPr>
        <w:t> </w:t>
      </w:r>
      <w:r w:rsidRPr="00E94DEB">
        <w:rPr>
          <w:rFonts w:cs="Times New Roman"/>
          <w:sz w:val="28"/>
          <w:szCs w:val="28"/>
          <w:shd w:val="clear" w:color="auto" w:fill="FFFFFF"/>
        </w:rPr>
        <w:t>mljrd.</w:t>
      </w:r>
      <w:r>
        <w:rPr>
          <w:rFonts w:cs="Times New Roman"/>
          <w:sz w:val="28"/>
          <w:szCs w:val="28"/>
          <w:shd w:val="clear" w:color="auto" w:fill="FFFFFF"/>
        </w:rPr>
        <w:t> </w:t>
      </w:r>
      <w:r w:rsidRPr="0073255B">
        <w:rPr>
          <w:rFonts w:cs="Times New Roman"/>
          <w:i/>
          <w:sz w:val="28"/>
          <w:szCs w:val="28"/>
          <w:shd w:val="clear" w:color="auto" w:fill="FFFFFF"/>
        </w:rPr>
        <w:t>euro</w:t>
      </w:r>
      <w:r>
        <w:rPr>
          <w:rFonts w:cs="Times New Roman"/>
          <w:sz w:val="28"/>
          <w:szCs w:val="28"/>
          <w:shd w:val="clear" w:color="auto" w:fill="FFFFFF"/>
        </w:rPr>
        <w:t xml:space="preserve"> ES fondu “aploksnes”</w:t>
      </w:r>
      <w:r w:rsidRPr="00E94DEB">
        <w:rPr>
          <w:rFonts w:cs="Times New Roman"/>
          <w:sz w:val="28"/>
          <w:szCs w:val="28"/>
          <w:shd w:val="clear" w:color="auto" w:fill="FFFFFF"/>
        </w:rPr>
        <w:t xml:space="preserve">: </w:t>
      </w:r>
    </w:p>
    <w:p w14:paraId="67F1F268" w14:textId="37326E66" w:rsidR="000A21CC" w:rsidRPr="00E94DEB" w:rsidRDefault="000A21CC" w:rsidP="000A21CC">
      <w:pPr>
        <w:pStyle w:val="ListParagraph"/>
        <w:numPr>
          <w:ilvl w:val="0"/>
          <w:numId w:val="4"/>
        </w:numPr>
        <w:spacing w:before="120" w:after="120"/>
        <w:ind w:left="0" w:firstLine="720"/>
        <w:contextualSpacing w:val="0"/>
        <w:jc w:val="both"/>
        <w:rPr>
          <w:rFonts w:cs="Times New Roman"/>
          <w:sz w:val="28"/>
          <w:szCs w:val="28"/>
          <w:shd w:val="clear" w:color="auto" w:fill="FFFFFF"/>
        </w:rPr>
      </w:pPr>
      <w:r w:rsidRPr="00E94DEB">
        <w:rPr>
          <w:rFonts w:cs="Times New Roman"/>
          <w:sz w:val="28"/>
          <w:szCs w:val="28"/>
          <w:shd w:val="clear" w:color="auto" w:fill="FFFFFF"/>
        </w:rPr>
        <w:t>VAS</w:t>
      </w:r>
      <w:r>
        <w:rPr>
          <w:rFonts w:cs="Times New Roman"/>
          <w:sz w:val="28"/>
          <w:szCs w:val="28"/>
          <w:shd w:val="clear" w:color="auto" w:fill="FFFFFF"/>
        </w:rPr>
        <w:t> </w:t>
      </w:r>
      <w:r w:rsidRPr="00E94DEB">
        <w:rPr>
          <w:rFonts w:cs="Times New Roman"/>
          <w:sz w:val="28"/>
          <w:szCs w:val="28"/>
          <w:shd w:val="clear" w:color="auto" w:fill="FFFFFF"/>
        </w:rPr>
        <w:t>“Latvijas dzelzceļš” lielais projekts “</w:t>
      </w:r>
      <w:r w:rsidRPr="00E94DEB">
        <w:rPr>
          <w:rFonts w:cs="Times New Roman"/>
          <w:sz w:val="28"/>
          <w:szCs w:val="28"/>
          <w:u w:val="single"/>
          <w:shd w:val="clear" w:color="auto" w:fill="FFFFFF"/>
        </w:rPr>
        <w:t>Latvijas dzelzceļa tīkla elektrifikācija</w:t>
      </w:r>
      <w:r w:rsidRPr="00E94DEB">
        <w:rPr>
          <w:rFonts w:cs="Times New Roman"/>
          <w:sz w:val="28"/>
          <w:szCs w:val="28"/>
          <w:shd w:val="clear" w:color="auto" w:fill="FFFFFF"/>
        </w:rPr>
        <w:t>” (kopējās attiecināmās izmaksas 440,9 milj. </w:t>
      </w:r>
      <w:r w:rsidRPr="00E94DEB">
        <w:rPr>
          <w:rFonts w:cs="Times New Roman"/>
          <w:i/>
          <w:sz w:val="28"/>
          <w:szCs w:val="28"/>
          <w:shd w:val="clear" w:color="auto" w:fill="FFFFFF"/>
        </w:rPr>
        <w:t>euro</w:t>
      </w:r>
      <w:r w:rsidRPr="00E94DEB">
        <w:rPr>
          <w:rFonts w:cs="Times New Roman"/>
          <w:sz w:val="28"/>
          <w:szCs w:val="28"/>
          <w:shd w:val="clear" w:color="auto" w:fill="FFFFFF"/>
        </w:rPr>
        <w:t>, ES fondu finansējums 346,6 milj. </w:t>
      </w:r>
      <w:r w:rsidRPr="00E94DEB">
        <w:rPr>
          <w:rFonts w:cs="Times New Roman"/>
          <w:i/>
          <w:sz w:val="28"/>
          <w:szCs w:val="28"/>
          <w:shd w:val="clear" w:color="auto" w:fill="FFFFFF"/>
        </w:rPr>
        <w:t>euro</w:t>
      </w:r>
      <w:r w:rsidRPr="00E94DEB">
        <w:rPr>
          <w:rFonts w:cs="Times New Roman"/>
          <w:sz w:val="28"/>
          <w:szCs w:val="28"/>
          <w:shd w:val="clear" w:color="auto" w:fill="FFFFFF"/>
        </w:rPr>
        <w:t>). Ņemot vērā 2017. gada 7.</w:t>
      </w:r>
      <w:r>
        <w:rPr>
          <w:rFonts w:cs="Times New Roman"/>
          <w:sz w:val="28"/>
          <w:szCs w:val="28"/>
          <w:shd w:val="clear" w:color="auto" w:fill="FFFFFF"/>
        </w:rPr>
        <w:t> </w:t>
      </w:r>
      <w:r w:rsidRPr="00E94DEB">
        <w:rPr>
          <w:rFonts w:cs="Times New Roman"/>
          <w:sz w:val="28"/>
          <w:szCs w:val="28"/>
          <w:shd w:val="clear" w:color="auto" w:fill="FFFFFF"/>
        </w:rPr>
        <w:t>oktobrī saņemto “Eurostat” atzinums</w:t>
      </w:r>
      <w:r w:rsidRPr="00E94DEB">
        <w:rPr>
          <w:rStyle w:val="FootnoteReference"/>
          <w:rFonts w:cs="Times New Roman"/>
          <w:sz w:val="28"/>
          <w:szCs w:val="28"/>
          <w:shd w:val="clear" w:color="auto" w:fill="FFFFFF"/>
        </w:rPr>
        <w:footnoteReference w:id="63"/>
      </w:r>
      <w:r w:rsidRPr="00E94DEB">
        <w:rPr>
          <w:rFonts w:cs="Times New Roman"/>
          <w:sz w:val="28"/>
          <w:szCs w:val="28"/>
          <w:shd w:val="clear" w:color="auto" w:fill="FFFFFF"/>
        </w:rPr>
        <w:t xml:space="preserve"> par tā negatīvo ietekmi uz valsts budžetu, 2017.</w:t>
      </w:r>
      <w:r>
        <w:rPr>
          <w:rFonts w:cs="Times New Roman"/>
          <w:sz w:val="28"/>
          <w:szCs w:val="28"/>
          <w:shd w:val="clear" w:color="auto" w:fill="FFFFFF"/>
        </w:rPr>
        <w:t> </w:t>
      </w:r>
      <w:r w:rsidRPr="00E94DEB">
        <w:rPr>
          <w:rFonts w:cs="Times New Roman"/>
          <w:sz w:val="28"/>
          <w:szCs w:val="28"/>
          <w:shd w:val="clear" w:color="auto" w:fill="FFFFFF"/>
        </w:rPr>
        <w:t>gada 5.</w:t>
      </w:r>
      <w:r>
        <w:rPr>
          <w:rFonts w:cs="Times New Roman"/>
          <w:sz w:val="28"/>
          <w:szCs w:val="28"/>
          <w:shd w:val="clear" w:color="auto" w:fill="FFFFFF"/>
        </w:rPr>
        <w:t> </w:t>
      </w:r>
      <w:r w:rsidRPr="00E94DEB">
        <w:rPr>
          <w:rFonts w:cs="Times New Roman"/>
          <w:sz w:val="28"/>
          <w:szCs w:val="28"/>
          <w:shd w:val="clear" w:color="auto" w:fill="FFFFFF"/>
        </w:rPr>
        <w:t>decembrī MK izskatīts SM informatīvais ziņojums par projekta īstenošanas risinājumiem. Atbilstoši MK lēmumam pagarināts projekta iesnieguma iesniegšanas CFLA termiņš līdz 2018.</w:t>
      </w:r>
      <w:r>
        <w:rPr>
          <w:rFonts w:cs="Times New Roman"/>
          <w:sz w:val="28"/>
          <w:szCs w:val="28"/>
          <w:shd w:val="clear" w:color="auto" w:fill="FFFFFF"/>
        </w:rPr>
        <w:t> </w:t>
      </w:r>
      <w:r w:rsidRPr="00E94DEB">
        <w:rPr>
          <w:rFonts w:cs="Times New Roman"/>
          <w:sz w:val="28"/>
          <w:szCs w:val="28"/>
          <w:shd w:val="clear" w:color="auto" w:fill="FFFFFF"/>
        </w:rPr>
        <w:t>gada 28.</w:t>
      </w:r>
      <w:r>
        <w:rPr>
          <w:rFonts w:cs="Times New Roman"/>
          <w:sz w:val="28"/>
          <w:szCs w:val="28"/>
          <w:shd w:val="clear" w:color="auto" w:fill="FFFFFF"/>
        </w:rPr>
        <w:t> </w:t>
      </w:r>
      <w:r w:rsidRPr="00E94DEB">
        <w:rPr>
          <w:rFonts w:cs="Times New Roman"/>
          <w:sz w:val="28"/>
          <w:szCs w:val="28"/>
          <w:shd w:val="clear" w:color="auto" w:fill="FFFFFF"/>
        </w:rPr>
        <w:t>februārim. VAS</w:t>
      </w:r>
      <w:r>
        <w:rPr>
          <w:rFonts w:cs="Times New Roman"/>
          <w:sz w:val="28"/>
          <w:szCs w:val="28"/>
          <w:shd w:val="clear" w:color="auto" w:fill="FFFFFF"/>
        </w:rPr>
        <w:t> </w:t>
      </w:r>
      <w:r w:rsidRPr="00E94DEB">
        <w:rPr>
          <w:rFonts w:cs="Times New Roman"/>
          <w:sz w:val="28"/>
          <w:szCs w:val="28"/>
          <w:shd w:val="clear" w:color="auto" w:fill="FFFFFF"/>
        </w:rPr>
        <w:t>“Latvijas dzelzceļš” ir uzsākusi konsultācijas ar JASPERS par aktualizēto projekta iesniegumu un pamatojošo dokumentāciju, vienlaikus informējot un iesaistot EK (DG</w:t>
      </w:r>
      <w:r>
        <w:rPr>
          <w:rFonts w:cs="Times New Roman"/>
          <w:sz w:val="28"/>
          <w:szCs w:val="28"/>
          <w:shd w:val="clear" w:color="auto" w:fill="FFFFFF"/>
        </w:rPr>
        <w:t> </w:t>
      </w:r>
      <w:r w:rsidRPr="00E94DEB">
        <w:rPr>
          <w:rFonts w:cs="Times New Roman"/>
          <w:sz w:val="28"/>
          <w:szCs w:val="28"/>
          <w:shd w:val="clear" w:color="auto" w:fill="FFFFFF"/>
        </w:rPr>
        <w:t xml:space="preserve">REGIO) pārstāvjus ātrākam rezultātam. </w:t>
      </w:r>
      <w:r w:rsidR="00C01678">
        <w:rPr>
          <w:rFonts w:cs="Times New Roman"/>
          <w:sz w:val="28"/>
          <w:szCs w:val="28"/>
          <w:shd w:val="clear" w:color="auto" w:fill="FFFFFF"/>
        </w:rPr>
        <w:t>Atbilstoši CFLA projekta atlases grafikas VI saņemtās informācijas sagatavošana un nosūtīšana EK tehniskās palīdzības neatkarīgaja</w:t>
      </w:r>
      <w:r w:rsidR="00064BC1">
        <w:rPr>
          <w:rFonts w:cs="Times New Roman"/>
          <w:sz w:val="28"/>
          <w:szCs w:val="28"/>
          <w:shd w:val="clear" w:color="auto" w:fill="FFFFFF"/>
        </w:rPr>
        <w:t>m</w:t>
      </w:r>
      <w:r w:rsidR="00C01678">
        <w:rPr>
          <w:rFonts w:cs="Times New Roman"/>
          <w:sz w:val="28"/>
          <w:szCs w:val="28"/>
          <w:shd w:val="clear" w:color="auto" w:fill="FFFFFF"/>
        </w:rPr>
        <w:t xml:space="preserve"> ekspertam (JASPERS IQR) plānota </w:t>
      </w:r>
      <w:r w:rsidR="00AA3D7D">
        <w:rPr>
          <w:rFonts w:cs="Times New Roman"/>
          <w:sz w:val="28"/>
          <w:szCs w:val="28"/>
          <w:shd w:val="clear" w:color="auto" w:fill="FFFFFF"/>
        </w:rPr>
        <w:t xml:space="preserve">līdz </w:t>
      </w:r>
      <w:r w:rsidR="00C01678">
        <w:rPr>
          <w:rFonts w:cs="Times New Roman"/>
          <w:sz w:val="28"/>
          <w:szCs w:val="28"/>
          <w:shd w:val="clear" w:color="auto" w:fill="FFFFFF"/>
        </w:rPr>
        <w:t>2018.</w:t>
      </w:r>
      <w:r w:rsidR="00985ABB">
        <w:rPr>
          <w:rFonts w:cs="Times New Roman"/>
          <w:sz w:val="28"/>
          <w:szCs w:val="28"/>
          <w:shd w:val="clear" w:color="auto" w:fill="FFFFFF"/>
        </w:rPr>
        <w:t> </w:t>
      </w:r>
      <w:r w:rsidR="00C01678">
        <w:rPr>
          <w:rFonts w:cs="Times New Roman"/>
          <w:sz w:val="28"/>
          <w:szCs w:val="28"/>
          <w:shd w:val="clear" w:color="auto" w:fill="FFFFFF"/>
        </w:rPr>
        <w:t>gada 9.</w:t>
      </w:r>
      <w:r w:rsidR="00985ABB">
        <w:rPr>
          <w:rFonts w:cs="Times New Roman"/>
          <w:sz w:val="28"/>
          <w:szCs w:val="28"/>
          <w:shd w:val="clear" w:color="auto" w:fill="FFFFFF"/>
        </w:rPr>
        <w:t> </w:t>
      </w:r>
      <w:r w:rsidR="00C01678">
        <w:rPr>
          <w:rFonts w:cs="Times New Roman"/>
          <w:sz w:val="28"/>
          <w:szCs w:val="28"/>
          <w:shd w:val="clear" w:color="auto" w:fill="FFFFFF"/>
        </w:rPr>
        <w:t>aprīl</w:t>
      </w:r>
      <w:r w:rsidR="00AA3D7D">
        <w:rPr>
          <w:rFonts w:cs="Times New Roman"/>
          <w:sz w:val="28"/>
          <w:szCs w:val="28"/>
          <w:shd w:val="clear" w:color="auto" w:fill="FFFFFF"/>
        </w:rPr>
        <w:t>im</w:t>
      </w:r>
      <w:r w:rsidR="00C01678">
        <w:rPr>
          <w:rFonts w:cs="Times New Roman"/>
          <w:sz w:val="28"/>
          <w:szCs w:val="28"/>
          <w:shd w:val="clear" w:color="auto" w:fill="FFFFFF"/>
        </w:rPr>
        <w:t xml:space="preserve">. </w:t>
      </w:r>
      <w:r w:rsidRPr="00E94DEB">
        <w:rPr>
          <w:rFonts w:cs="Times New Roman"/>
          <w:sz w:val="28"/>
          <w:szCs w:val="28"/>
          <w:shd w:val="clear" w:color="auto" w:fill="FFFFFF"/>
        </w:rPr>
        <w:t>Projektu plānots iesniegt EK 2018.</w:t>
      </w:r>
      <w:r>
        <w:rPr>
          <w:rFonts w:cs="Times New Roman"/>
          <w:sz w:val="28"/>
          <w:szCs w:val="28"/>
          <w:shd w:val="clear" w:color="auto" w:fill="FFFFFF"/>
        </w:rPr>
        <w:t> </w:t>
      </w:r>
      <w:r w:rsidRPr="00E94DEB">
        <w:rPr>
          <w:rFonts w:cs="Times New Roman"/>
          <w:sz w:val="28"/>
          <w:szCs w:val="28"/>
          <w:shd w:val="clear" w:color="auto" w:fill="FFFFFF"/>
        </w:rPr>
        <w:t>gada maijā. Detalizētāka, kā arī operatīvā ikmēneša progresa informācija pieejama FM ikmēneša ziņojumā</w:t>
      </w:r>
      <w:r w:rsidRPr="00E94DEB">
        <w:rPr>
          <w:rStyle w:val="FootnoteReference"/>
          <w:rFonts w:cs="Times New Roman"/>
          <w:sz w:val="28"/>
          <w:szCs w:val="28"/>
          <w:shd w:val="clear" w:color="auto" w:fill="FFFFFF"/>
        </w:rPr>
        <w:footnoteReference w:id="64"/>
      </w:r>
      <w:r w:rsidRPr="00E94DEB">
        <w:rPr>
          <w:rFonts w:cs="Times New Roman"/>
          <w:sz w:val="28"/>
          <w:szCs w:val="28"/>
          <w:shd w:val="clear" w:color="auto" w:fill="FFFFFF"/>
        </w:rPr>
        <w:t>.</w:t>
      </w:r>
    </w:p>
    <w:p w14:paraId="47ED5D11" w14:textId="24C21D77" w:rsidR="000A21CC" w:rsidRPr="00E94DEB" w:rsidRDefault="000A21CC" w:rsidP="000A21CC">
      <w:pPr>
        <w:pStyle w:val="ListParagraph"/>
        <w:numPr>
          <w:ilvl w:val="0"/>
          <w:numId w:val="4"/>
        </w:numPr>
        <w:spacing w:before="120" w:after="120"/>
        <w:ind w:left="0" w:firstLine="720"/>
        <w:contextualSpacing w:val="0"/>
        <w:jc w:val="both"/>
        <w:rPr>
          <w:rFonts w:cs="Times New Roman"/>
          <w:sz w:val="28"/>
          <w:szCs w:val="28"/>
          <w:shd w:val="clear" w:color="auto" w:fill="FFFFFF"/>
        </w:rPr>
      </w:pPr>
      <w:r w:rsidRPr="00E94DEB">
        <w:rPr>
          <w:rFonts w:cs="Times New Roman"/>
          <w:sz w:val="28"/>
          <w:szCs w:val="28"/>
          <w:shd w:val="clear" w:color="auto" w:fill="FFFFFF"/>
        </w:rPr>
        <w:t>RPSIA</w:t>
      </w:r>
      <w:r>
        <w:rPr>
          <w:rFonts w:cs="Times New Roman"/>
          <w:sz w:val="28"/>
          <w:szCs w:val="28"/>
          <w:shd w:val="clear" w:color="auto" w:fill="FFFFFF"/>
        </w:rPr>
        <w:t> </w:t>
      </w:r>
      <w:r w:rsidRPr="00E94DEB">
        <w:rPr>
          <w:rFonts w:cs="Times New Roman"/>
          <w:sz w:val="28"/>
          <w:szCs w:val="28"/>
          <w:shd w:val="clear" w:color="auto" w:fill="FFFFFF"/>
        </w:rPr>
        <w:t>“Rīgas satiksme” lielais projekts “</w:t>
      </w:r>
      <w:r w:rsidRPr="00E94DEB">
        <w:rPr>
          <w:rFonts w:cs="Times New Roman"/>
          <w:sz w:val="28"/>
          <w:szCs w:val="28"/>
          <w:u w:val="single"/>
          <w:shd w:val="clear" w:color="auto" w:fill="FFFFFF"/>
        </w:rPr>
        <w:t>Rīgas tramvaja infrastruktūras attīstība</w:t>
      </w:r>
      <w:r w:rsidRPr="00E94DEB">
        <w:rPr>
          <w:rFonts w:cs="Times New Roman"/>
          <w:sz w:val="28"/>
          <w:szCs w:val="28"/>
          <w:shd w:val="clear" w:color="auto" w:fill="FFFFFF"/>
        </w:rPr>
        <w:t>” (kopējās attiecināmās izmaksas 97,4 milj.</w:t>
      </w:r>
      <w:r w:rsidRPr="00E94DEB">
        <w:rPr>
          <w:rFonts w:cs="Times New Roman"/>
          <w:i/>
          <w:sz w:val="28"/>
          <w:szCs w:val="28"/>
          <w:shd w:val="clear" w:color="auto" w:fill="FFFFFF"/>
        </w:rPr>
        <w:t> euro,</w:t>
      </w:r>
      <w:r w:rsidRPr="00E94DEB">
        <w:rPr>
          <w:rFonts w:cs="Times New Roman"/>
          <w:sz w:val="28"/>
          <w:szCs w:val="28"/>
          <w:shd w:val="clear" w:color="auto" w:fill="FFFFFF"/>
        </w:rPr>
        <w:t xml:space="preserve"> ES fondu finansējums 70,0 milj.</w:t>
      </w:r>
      <w:r w:rsidRPr="00E94DEB">
        <w:rPr>
          <w:rFonts w:cs="Times New Roman"/>
          <w:i/>
          <w:sz w:val="28"/>
          <w:szCs w:val="28"/>
          <w:shd w:val="clear" w:color="auto" w:fill="FFFFFF"/>
        </w:rPr>
        <w:t> euro</w:t>
      </w:r>
      <w:r w:rsidRPr="00E94DEB">
        <w:rPr>
          <w:rFonts w:cs="Times New Roman"/>
          <w:sz w:val="28"/>
          <w:szCs w:val="28"/>
          <w:shd w:val="clear" w:color="auto" w:fill="FFFFFF"/>
        </w:rPr>
        <w:t>). 2017.</w:t>
      </w:r>
      <w:r>
        <w:rPr>
          <w:rFonts w:cs="Times New Roman"/>
          <w:sz w:val="28"/>
          <w:szCs w:val="28"/>
          <w:shd w:val="clear" w:color="auto" w:fill="FFFFFF"/>
        </w:rPr>
        <w:t> </w:t>
      </w:r>
      <w:r w:rsidRPr="00E94DEB">
        <w:rPr>
          <w:rFonts w:cs="Times New Roman"/>
          <w:sz w:val="28"/>
          <w:szCs w:val="28"/>
          <w:shd w:val="clear" w:color="auto" w:fill="FFFFFF"/>
        </w:rPr>
        <w:t>gada 23.</w:t>
      </w:r>
      <w:r>
        <w:rPr>
          <w:rFonts w:cs="Times New Roman"/>
          <w:sz w:val="28"/>
          <w:szCs w:val="28"/>
          <w:shd w:val="clear" w:color="auto" w:fill="FFFFFF"/>
        </w:rPr>
        <w:t> </w:t>
      </w:r>
      <w:r w:rsidRPr="00E94DEB">
        <w:rPr>
          <w:rFonts w:cs="Times New Roman"/>
          <w:sz w:val="28"/>
          <w:szCs w:val="28"/>
          <w:shd w:val="clear" w:color="auto" w:fill="FFFFFF"/>
        </w:rPr>
        <w:t>augustā EK apstiprināja projektu un 2017.</w:t>
      </w:r>
      <w:r>
        <w:rPr>
          <w:rFonts w:cs="Times New Roman"/>
          <w:sz w:val="28"/>
          <w:szCs w:val="28"/>
          <w:shd w:val="clear" w:color="auto" w:fill="FFFFFF"/>
        </w:rPr>
        <w:t> </w:t>
      </w:r>
      <w:r w:rsidRPr="00E94DEB">
        <w:rPr>
          <w:rFonts w:cs="Times New Roman"/>
          <w:sz w:val="28"/>
          <w:szCs w:val="28"/>
          <w:shd w:val="clear" w:color="auto" w:fill="FFFFFF"/>
        </w:rPr>
        <w:t>gada 3.</w:t>
      </w:r>
      <w:r>
        <w:rPr>
          <w:rFonts w:cs="Times New Roman"/>
          <w:sz w:val="28"/>
          <w:szCs w:val="28"/>
          <w:shd w:val="clear" w:color="auto" w:fill="FFFFFF"/>
        </w:rPr>
        <w:t> </w:t>
      </w:r>
      <w:r w:rsidRPr="00E94DEB">
        <w:rPr>
          <w:rFonts w:cs="Times New Roman"/>
          <w:sz w:val="28"/>
          <w:szCs w:val="28"/>
          <w:shd w:val="clear" w:color="auto" w:fill="FFFFFF"/>
        </w:rPr>
        <w:t>oktobrī parakstīts līgums ar CFLA. Notiek darbs pie būvuzraudzības un tramvaju vagonu iepirkumiem, kā arī būvniecības iepirkumiem. Prognozēts, ka par veicamajiem darbiem pēc iepirkuma līguma noslēgšanas provizoriski būvprojekts minimālajā sastāvā varētu tikt izstrādāts un būvatļauja izņemta 2018.</w:t>
      </w:r>
      <w:r>
        <w:rPr>
          <w:rFonts w:cs="Times New Roman"/>
          <w:sz w:val="28"/>
          <w:szCs w:val="28"/>
          <w:shd w:val="clear" w:color="auto" w:fill="FFFFFF"/>
        </w:rPr>
        <w:t> </w:t>
      </w:r>
      <w:r w:rsidRPr="00E94DEB">
        <w:rPr>
          <w:rFonts w:cs="Times New Roman"/>
          <w:sz w:val="28"/>
          <w:szCs w:val="28"/>
          <w:shd w:val="clear" w:color="auto" w:fill="FFFFFF"/>
        </w:rPr>
        <w:t>gada</w:t>
      </w:r>
      <w:r w:rsidR="00C01678">
        <w:rPr>
          <w:rFonts w:cs="Times New Roman"/>
          <w:sz w:val="28"/>
          <w:szCs w:val="28"/>
          <w:shd w:val="clear" w:color="auto" w:fill="FFFFFF"/>
        </w:rPr>
        <w:t xml:space="preserve"> otrajā ceturksnī</w:t>
      </w:r>
      <w:r w:rsidRPr="00E94DEB">
        <w:rPr>
          <w:rFonts w:cs="Times New Roman"/>
          <w:sz w:val="28"/>
          <w:szCs w:val="28"/>
          <w:shd w:val="clear" w:color="auto" w:fill="FFFFFF"/>
        </w:rPr>
        <w:t>.</w:t>
      </w:r>
    </w:p>
    <w:p w14:paraId="7818347B" w14:textId="77777777" w:rsidR="000A21CC" w:rsidRPr="00E94DEB" w:rsidRDefault="000A21CC" w:rsidP="000A21CC">
      <w:pPr>
        <w:pStyle w:val="ListParagraph"/>
        <w:numPr>
          <w:ilvl w:val="0"/>
          <w:numId w:val="4"/>
        </w:numPr>
        <w:spacing w:before="120" w:after="120"/>
        <w:ind w:left="0" w:firstLine="720"/>
        <w:contextualSpacing w:val="0"/>
        <w:jc w:val="both"/>
        <w:rPr>
          <w:rFonts w:cs="Times New Roman"/>
          <w:sz w:val="28"/>
          <w:szCs w:val="28"/>
          <w:shd w:val="clear" w:color="auto" w:fill="FFFFFF"/>
        </w:rPr>
      </w:pPr>
      <w:r w:rsidRPr="00E94DEB">
        <w:rPr>
          <w:rFonts w:cs="Times New Roman"/>
          <w:sz w:val="28"/>
          <w:szCs w:val="28"/>
          <w:u w:val="single"/>
          <w:shd w:val="clear" w:color="auto" w:fill="FFFFFF"/>
        </w:rPr>
        <w:t>VSIA “Paula Stradiņa klīniskā universitātes slimnīca” A korpusa būvniecības otrā kārta</w:t>
      </w:r>
      <w:r w:rsidRPr="00E94DEB">
        <w:rPr>
          <w:rFonts w:cs="Times New Roman"/>
          <w:sz w:val="28"/>
          <w:szCs w:val="28"/>
          <w:shd w:val="clear" w:color="auto" w:fill="FFFFFF"/>
        </w:rPr>
        <w:t xml:space="preserve"> (kopējās attiecināmās izmaksas 91 milj.</w:t>
      </w:r>
      <w:r w:rsidRPr="00E94DEB">
        <w:rPr>
          <w:rFonts w:cs="Times New Roman"/>
          <w:i/>
          <w:sz w:val="28"/>
          <w:szCs w:val="28"/>
          <w:shd w:val="clear" w:color="auto" w:fill="FFFFFF"/>
        </w:rPr>
        <w:t> euro</w:t>
      </w:r>
      <w:r w:rsidRPr="00E94DEB">
        <w:rPr>
          <w:rFonts w:cs="Times New Roman"/>
          <w:sz w:val="28"/>
          <w:szCs w:val="28"/>
          <w:shd w:val="clear" w:color="auto" w:fill="FFFFFF"/>
        </w:rPr>
        <w:t>, ES fondu finansējums 64,3 milj.</w:t>
      </w:r>
      <w:r w:rsidRPr="00E94DEB">
        <w:rPr>
          <w:rFonts w:cs="Times New Roman"/>
          <w:i/>
          <w:sz w:val="28"/>
          <w:szCs w:val="28"/>
          <w:shd w:val="clear" w:color="auto" w:fill="FFFFFF"/>
        </w:rPr>
        <w:t> euro</w:t>
      </w:r>
      <w:r w:rsidRPr="00E94DEB">
        <w:rPr>
          <w:rFonts w:cs="Times New Roman"/>
          <w:sz w:val="28"/>
          <w:szCs w:val="28"/>
          <w:shd w:val="clear" w:color="auto" w:fill="FFFFFF"/>
        </w:rPr>
        <w:t>). 2017.</w:t>
      </w:r>
      <w:r>
        <w:rPr>
          <w:rFonts w:cs="Times New Roman"/>
          <w:sz w:val="28"/>
          <w:szCs w:val="28"/>
          <w:shd w:val="clear" w:color="auto" w:fill="FFFFFF"/>
        </w:rPr>
        <w:t> </w:t>
      </w:r>
      <w:r w:rsidRPr="00E94DEB">
        <w:rPr>
          <w:rFonts w:cs="Times New Roman"/>
          <w:sz w:val="28"/>
          <w:szCs w:val="28"/>
          <w:shd w:val="clear" w:color="auto" w:fill="FFFFFF"/>
        </w:rPr>
        <w:t>gada 28.</w:t>
      </w:r>
      <w:r>
        <w:rPr>
          <w:rFonts w:cs="Times New Roman"/>
          <w:sz w:val="28"/>
          <w:szCs w:val="28"/>
          <w:shd w:val="clear" w:color="auto" w:fill="FFFFFF"/>
        </w:rPr>
        <w:t> </w:t>
      </w:r>
      <w:r w:rsidRPr="00E94DEB">
        <w:rPr>
          <w:rFonts w:cs="Times New Roman"/>
          <w:sz w:val="28"/>
          <w:szCs w:val="28"/>
          <w:shd w:val="clear" w:color="auto" w:fill="FFFFFF"/>
        </w:rPr>
        <w:t>augustā noslēgts iepirkuma līgums par būvprojekta izstrādi un autoruzraudzības veikšanu. Ciešā sadarbībā ar JASPERS konsultantiem turpinās darbs pie projekta iesnieguma</w:t>
      </w:r>
      <w:r>
        <w:rPr>
          <w:rFonts w:cs="Times New Roman"/>
          <w:sz w:val="28"/>
          <w:szCs w:val="28"/>
          <w:shd w:val="clear" w:color="auto" w:fill="FFFFFF"/>
        </w:rPr>
        <w:t> </w:t>
      </w:r>
      <w:r w:rsidRPr="00E94DEB">
        <w:rPr>
          <w:rFonts w:cs="Times New Roman"/>
          <w:sz w:val="28"/>
          <w:szCs w:val="28"/>
          <w:shd w:val="clear" w:color="auto" w:fill="FFFFFF"/>
        </w:rPr>
        <w:t>–</w:t>
      </w:r>
      <w:r>
        <w:rPr>
          <w:rFonts w:cs="Times New Roman"/>
          <w:sz w:val="28"/>
          <w:szCs w:val="28"/>
          <w:shd w:val="clear" w:color="auto" w:fill="FFFFFF"/>
        </w:rPr>
        <w:t> </w:t>
      </w:r>
      <w:r w:rsidRPr="00E94DEB">
        <w:rPr>
          <w:rFonts w:cs="Times New Roman"/>
          <w:sz w:val="28"/>
          <w:szCs w:val="28"/>
          <w:shd w:val="clear" w:color="auto" w:fill="FFFFFF"/>
        </w:rPr>
        <w:t>2017.</w:t>
      </w:r>
      <w:r>
        <w:rPr>
          <w:rFonts w:cs="Times New Roman"/>
          <w:sz w:val="28"/>
          <w:szCs w:val="28"/>
          <w:shd w:val="clear" w:color="auto" w:fill="FFFFFF"/>
        </w:rPr>
        <w:t> </w:t>
      </w:r>
      <w:r w:rsidRPr="00E94DEB">
        <w:rPr>
          <w:rFonts w:cs="Times New Roman"/>
          <w:sz w:val="28"/>
          <w:szCs w:val="28"/>
          <w:shd w:val="clear" w:color="auto" w:fill="FFFFFF"/>
        </w:rPr>
        <w:t>gada 15.</w:t>
      </w:r>
      <w:r>
        <w:rPr>
          <w:rFonts w:cs="Times New Roman"/>
          <w:sz w:val="28"/>
          <w:szCs w:val="28"/>
          <w:shd w:val="clear" w:color="auto" w:fill="FFFFFF"/>
        </w:rPr>
        <w:t> </w:t>
      </w:r>
      <w:r w:rsidRPr="00E94DEB">
        <w:rPr>
          <w:rFonts w:cs="Times New Roman"/>
          <w:sz w:val="28"/>
          <w:szCs w:val="28"/>
          <w:shd w:val="clear" w:color="auto" w:fill="FFFFFF"/>
        </w:rPr>
        <w:t xml:space="preserve">septembrī projekts iesniegts CFLA, bija nepieciešami precizējumi. Projekta apstiprināšana un līguma slēgšana plānota 2018. gada II ceturksnī. </w:t>
      </w:r>
    </w:p>
    <w:p w14:paraId="53A254AF" w14:textId="391E88A8" w:rsidR="000A21CC" w:rsidRDefault="000A21CC" w:rsidP="000A21CC">
      <w:pPr>
        <w:pStyle w:val="ListParagraph"/>
        <w:numPr>
          <w:ilvl w:val="0"/>
          <w:numId w:val="4"/>
        </w:numPr>
        <w:spacing w:before="120" w:after="120"/>
        <w:ind w:left="0" w:firstLine="720"/>
        <w:contextualSpacing w:val="0"/>
        <w:jc w:val="both"/>
        <w:rPr>
          <w:rFonts w:cs="Times New Roman"/>
          <w:sz w:val="28"/>
          <w:szCs w:val="28"/>
        </w:rPr>
      </w:pPr>
      <w:r w:rsidRPr="00E94DEB">
        <w:rPr>
          <w:rFonts w:cs="Times New Roman"/>
          <w:sz w:val="28"/>
          <w:szCs w:val="28"/>
          <w:u w:val="single"/>
          <w:shd w:val="clear" w:color="auto" w:fill="FFFFFF"/>
        </w:rPr>
        <w:t>Vēsturiski piesārņoto vietu “Inčukalna sērskābā gudrona dīķi” sanācijas otrais posms</w:t>
      </w:r>
      <w:r w:rsidRPr="00E94DEB">
        <w:rPr>
          <w:rFonts w:cs="Times New Roman"/>
          <w:sz w:val="28"/>
          <w:szCs w:val="28"/>
          <w:shd w:val="clear" w:color="auto" w:fill="FFFFFF"/>
        </w:rPr>
        <w:t xml:space="preserve"> (kopējās attiecināmās izmaksas 29,7 milj.</w:t>
      </w:r>
      <w:r w:rsidRPr="00E94DEB">
        <w:rPr>
          <w:rFonts w:cs="Times New Roman"/>
          <w:i/>
          <w:sz w:val="28"/>
          <w:szCs w:val="28"/>
          <w:shd w:val="clear" w:color="auto" w:fill="FFFFFF"/>
        </w:rPr>
        <w:t> euro</w:t>
      </w:r>
      <w:r w:rsidRPr="00E94DEB">
        <w:rPr>
          <w:rFonts w:cs="Times New Roman"/>
          <w:sz w:val="28"/>
          <w:szCs w:val="28"/>
          <w:shd w:val="clear" w:color="auto" w:fill="FFFFFF"/>
        </w:rPr>
        <w:t>, ES fondu finansējums 11,6 milj.</w:t>
      </w:r>
      <w:r w:rsidRPr="00E94DEB">
        <w:rPr>
          <w:rFonts w:cs="Times New Roman"/>
          <w:i/>
          <w:sz w:val="28"/>
          <w:szCs w:val="28"/>
          <w:shd w:val="clear" w:color="auto" w:fill="FFFFFF"/>
        </w:rPr>
        <w:t> </w:t>
      </w:r>
      <w:proofErr w:type="spellStart"/>
      <w:r w:rsidRPr="00E94DEB">
        <w:rPr>
          <w:rFonts w:cs="Times New Roman"/>
          <w:i/>
          <w:sz w:val="28"/>
          <w:szCs w:val="28"/>
          <w:shd w:val="clear" w:color="auto" w:fill="FFFFFF"/>
        </w:rPr>
        <w:t>euro</w:t>
      </w:r>
      <w:proofErr w:type="spellEnd"/>
      <w:r w:rsidRPr="00E94DEB">
        <w:rPr>
          <w:rFonts w:cs="Times New Roman"/>
          <w:i/>
          <w:sz w:val="28"/>
          <w:szCs w:val="28"/>
          <w:shd w:val="clear" w:color="auto" w:fill="FFFFFF"/>
        </w:rPr>
        <w:t xml:space="preserve"> </w:t>
      </w:r>
      <w:r w:rsidRPr="00E94DEB">
        <w:rPr>
          <w:rFonts w:cs="Times New Roman"/>
          <w:sz w:val="28"/>
          <w:szCs w:val="28"/>
          <w:shd w:val="clear" w:color="auto" w:fill="FFFFFF"/>
        </w:rPr>
        <w:t xml:space="preserve">un </w:t>
      </w:r>
      <w:proofErr w:type="spellStart"/>
      <w:r w:rsidRPr="00E94DEB">
        <w:rPr>
          <w:rFonts w:cs="Times New Roman"/>
          <w:sz w:val="28"/>
          <w:szCs w:val="28"/>
          <w:shd w:val="clear" w:color="auto" w:fill="FFFFFF"/>
        </w:rPr>
        <w:t>virssaistības</w:t>
      </w:r>
      <w:proofErr w:type="spellEnd"/>
      <w:r w:rsidRPr="00E94DEB">
        <w:rPr>
          <w:rFonts w:cs="Times New Roman"/>
          <w:sz w:val="28"/>
          <w:szCs w:val="28"/>
          <w:shd w:val="clear" w:color="auto" w:fill="FFFFFF"/>
        </w:rPr>
        <w:t xml:space="preserve"> 13,3 milj. </w:t>
      </w:r>
      <w:proofErr w:type="spellStart"/>
      <w:r w:rsidRPr="00E94DEB">
        <w:rPr>
          <w:rFonts w:cs="Times New Roman"/>
          <w:i/>
          <w:sz w:val="28"/>
          <w:szCs w:val="28"/>
          <w:shd w:val="clear" w:color="auto" w:fill="FFFFFF"/>
        </w:rPr>
        <w:t>euro</w:t>
      </w:r>
      <w:proofErr w:type="spellEnd"/>
      <w:r w:rsidRPr="00E94DEB">
        <w:rPr>
          <w:rFonts w:cs="Times New Roman"/>
          <w:sz w:val="28"/>
          <w:szCs w:val="28"/>
          <w:shd w:val="clear" w:color="auto" w:fill="FFFFFF"/>
        </w:rPr>
        <w:t>). 2017.</w:t>
      </w:r>
      <w:r>
        <w:rPr>
          <w:rFonts w:cs="Times New Roman"/>
          <w:sz w:val="28"/>
          <w:szCs w:val="28"/>
          <w:shd w:val="clear" w:color="auto" w:fill="FFFFFF"/>
        </w:rPr>
        <w:t> </w:t>
      </w:r>
      <w:r w:rsidRPr="00E94DEB">
        <w:rPr>
          <w:rFonts w:cs="Times New Roman"/>
          <w:sz w:val="28"/>
          <w:szCs w:val="28"/>
          <w:shd w:val="clear" w:color="auto" w:fill="FFFFFF"/>
        </w:rPr>
        <w:t xml:space="preserve">gada </w:t>
      </w:r>
      <w:r w:rsidRPr="00E94DEB">
        <w:rPr>
          <w:rFonts w:cs="Times New Roman"/>
          <w:sz w:val="28"/>
          <w:szCs w:val="28"/>
        </w:rPr>
        <w:t>23.</w:t>
      </w:r>
      <w:r>
        <w:rPr>
          <w:rFonts w:cs="Times New Roman"/>
          <w:sz w:val="28"/>
          <w:szCs w:val="28"/>
        </w:rPr>
        <w:t> </w:t>
      </w:r>
      <w:r w:rsidRPr="00E94DEB">
        <w:rPr>
          <w:rFonts w:cs="Times New Roman"/>
          <w:sz w:val="28"/>
          <w:szCs w:val="28"/>
        </w:rPr>
        <w:t>oktobrī EK apstiprināja projektu un 2017.</w:t>
      </w:r>
      <w:r>
        <w:rPr>
          <w:rFonts w:cs="Times New Roman"/>
          <w:sz w:val="28"/>
          <w:szCs w:val="28"/>
        </w:rPr>
        <w:t> </w:t>
      </w:r>
      <w:r w:rsidRPr="00E94DEB">
        <w:rPr>
          <w:rFonts w:cs="Times New Roman"/>
          <w:sz w:val="28"/>
          <w:szCs w:val="28"/>
        </w:rPr>
        <w:t>gada 21.</w:t>
      </w:r>
      <w:r>
        <w:rPr>
          <w:rFonts w:cs="Times New Roman"/>
          <w:sz w:val="28"/>
          <w:szCs w:val="28"/>
        </w:rPr>
        <w:t> </w:t>
      </w:r>
      <w:r w:rsidRPr="00E94DEB">
        <w:rPr>
          <w:rFonts w:cs="Times New Roman"/>
          <w:sz w:val="28"/>
          <w:szCs w:val="28"/>
        </w:rPr>
        <w:t xml:space="preserve">novembrī parakstīts </w:t>
      </w:r>
      <w:r w:rsidRPr="00E94DEB">
        <w:rPr>
          <w:rFonts w:cs="Times New Roman"/>
          <w:sz w:val="28"/>
          <w:szCs w:val="28"/>
        </w:rPr>
        <w:lastRenderedPageBreak/>
        <w:t xml:space="preserve">līgums ar CFLA. Attiecībā uz iepirkumu par sanācijas darbiem, kā arī iepirkumu par inženiertehniskajiem darbiem līgumi </w:t>
      </w:r>
      <w:r w:rsidR="007C3589">
        <w:rPr>
          <w:rFonts w:cs="Times New Roman"/>
          <w:sz w:val="28"/>
          <w:szCs w:val="28"/>
        </w:rPr>
        <w:t xml:space="preserve">ar izpildītājiem </w:t>
      </w:r>
      <w:r w:rsidRPr="00E94DEB">
        <w:rPr>
          <w:rFonts w:cs="Times New Roman"/>
          <w:sz w:val="28"/>
          <w:szCs w:val="28"/>
        </w:rPr>
        <w:t>noslēgti 2018.</w:t>
      </w:r>
      <w:r w:rsidR="00866986">
        <w:rPr>
          <w:rFonts w:cs="Times New Roman"/>
          <w:sz w:val="28"/>
          <w:szCs w:val="28"/>
        </w:rPr>
        <w:t> </w:t>
      </w:r>
      <w:r w:rsidRPr="00E94DEB">
        <w:rPr>
          <w:rFonts w:cs="Times New Roman"/>
          <w:sz w:val="28"/>
          <w:szCs w:val="28"/>
        </w:rPr>
        <w:t xml:space="preserve">gada </w:t>
      </w:r>
      <w:r w:rsidR="00866986">
        <w:rPr>
          <w:rFonts w:cs="Times New Roman"/>
          <w:sz w:val="28"/>
          <w:szCs w:val="28"/>
        </w:rPr>
        <w:t>1. </w:t>
      </w:r>
      <w:r w:rsidR="008F7BBC">
        <w:rPr>
          <w:rFonts w:cs="Times New Roman"/>
          <w:sz w:val="28"/>
          <w:szCs w:val="28"/>
        </w:rPr>
        <w:t>februārī</w:t>
      </w:r>
      <w:r w:rsidRPr="00E94DEB">
        <w:rPr>
          <w:rFonts w:cs="Times New Roman"/>
          <w:sz w:val="28"/>
          <w:szCs w:val="28"/>
        </w:rPr>
        <w:t>.</w:t>
      </w:r>
    </w:p>
    <w:p w14:paraId="78D8AF5F" w14:textId="249FA53C" w:rsidR="000A21CC" w:rsidRPr="00267873" w:rsidRDefault="00FC2325" w:rsidP="00422702">
      <w:pPr>
        <w:pStyle w:val="2lmenis"/>
      </w:pPr>
      <w:bookmarkStart w:id="12" w:name="_Toc504564215"/>
      <w:r>
        <w:t>4.2</w:t>
      </w:r>
      <w:r w:rsidRPr="00FC2325">
        <w:t xml:space="preserve">. </w:t>
      </w:r>
      <w:r>
        <w:t>2018. gada un turpmāko gadu investīciju finanšu prognozes, risku novērtējums un riskus mazinošie pasākumi</w:t>
      </w:r>
      <w:bookmarkEnd w:id="12"/>
    </w:p>
    <w:p w14:paraId="1D8D8857" w14:textId="37163395" w:rsidR="009F69BE" w:rsidRDefault="009F69BE" w:rsidP="009F69BE">
      <w:pPr>
        <w:pStyle w:val="BodyText"/>
        <w:tabs>
          <w:tab w:val="left" w:pos="0"/>
        </w:tabs>
        <w:suppressAutoHyphens/>
        <w:spacing w:line="240" w:lineRule="auto"/>
        <w:jc w:val="both"/>
        <w:rPr>
          <w:b w:val="0"/>
          <w:sz w:val="28"/>
          <w:lang w:val="lv-LV"/>
        </w:rPr>
      </w:pPr>
      <w:r w:rsidRPr="00B919EF">
        <w:rPr>
          <w:b w:val="0"/>
          <w:bCs w:val="0"/>
          <w:sz w:val="28"/>
          <w:szCs w:val="28"/>
          <w:lang w:val="lv-LV"/>
        </w:rPr>
        <w:tab/>
      </w:r>
      <w:r w:rsidR="00FE30D6" w:rsidRPr="00FF3FD5">
        <w:rPr>
          <w:b w:val="0"/>
          <w:bCs w:val="0"/>
          <w:sz w:val="28"/>
          <w:szCs w:val="28"/>
          <w:lang w:val="lv-LV"/>
        </w:rPr>
        <w:t>Valsts budžeta izdevumu un ieņēmumu plānu ES fondu projektiem FM</w:t>
      </w:r>
      <w:r w:rsidR="00FE30D6" w:rsidRPr="00FF3FD5">
        <w:rPr>
          <w:bCs w:val="0"/>
          <w:sz w:val="28"/>
          <w:szCs w:val="28"/>
          <w:lang w:val="lv-LV"/>
        </w:rPr>
        <w:t xml:space="preserve"> </w:t>
      </w:r>
      <w:r w:rsidR="00FE30D6" w:rsidRPr="00FF3FD5">
        <w:rPr>
          <w:b w:val="0"/>
          <w:bCs w:val="0"/>
          <w:sz w:val="28"/>
          <w:szCs w:val="28"/>
          <w:lang w:val="lv-LV"/>
        </w:rPr>
        <w:t>prognozē, balstoties uz (1) IPIA projektu ieviešanas plāniem, piemērojot pat 50 - 60% samazinājumu pirmo gadu plūsmās, jo līdzšinējā projektu plānu ticamība ir kritiski zema, (2) pieņēmumiem neuzsāktiem projektiem, balstoties uz ministriju plānoto MK noteikumu apstiprināšanas laika grafiku un atlašu plāniem un (3) iepriekšējo plānošanas periodu pieredzi.</w:t>
      </w:r>
      <w:r w:rsidR="00866986">
        <w:rPr>
          <w:b w:val="0"/>
          <w:bCs w:val="0"/>
          <w:sz w:val="28"/>
          <w:szCs w:val="28"/>
          <w:lang w:val="lv-LV"/>
        </w:rPr>
        <w:t xml:space="preserve"> K</w:t>
      </w:r>
      <w:r w:rsidR="009365A2" w:rsidRPr="00FF3FD5">
        <w:rPr>
          <w:b w:val="0"/>
          <w:bCs w:val="0"/>
          <w:sz w:val="28"/>
          <w:szCs w:val="28"/>
          <w:lang w:val="lv-LV"/>
        </w:rPr>
        <w:t xml:space="preserve">opumā projektu īstenotāji joprojām ir pārāk optimistiski, plānojot projektu naudas plūsmu, nepietiekami </w:t>
      </w:r>
      <w:r w:rsidR="0073208D">
        <w:rPr>
          <w:b w:val="0"/>
          <w:bCs w:val="0"/>
          <w:sz w:val="28"/>
          <w:szCs w:val="28"/>
          <w:lang w:val="lv-LV"/>
        </w:rPr>
        <w:t>iz</w:t>
      </w:r>
      <w:r w:rsidR="009365A2" w:rsidRPr="00FF3FD5">
        <w:rPr>
          <w:b w:val="0"/>
          <w:bCs w:val="0"/>
          <w:sz w:val="28"/>
          <w:szCs w:val="28"/>
          <w:lang w:val="lv-LV"/>
        </w:rPr>
        <w:t xml:space="preserve">vērtējot iespējamos riskus un </w:t>
      </w:r>
      <w:r w:rsidRPr="00FF3FD5">
        <w:rPr>
          <w:b w:val="0"/>
          <w:bCs w:val="0"/>
          <w:sz w:val="28"/>
          <w:szCs w:val="28"/>
          <w:lang w:val="lv-LV"/>
        </w:rPr>
        <w:t xml:space="preserve">iespējamās </w:t>
      </w:r>
      <w:r w:rsidR="009365A2" w:rsidRPr="00FF3FD5">
        <w:rPr>
          <w:b w:val="0"/>
          <w:bCs w:val="0"/>
          <w:sz w:val="28"/>
          <w:szCs w:val="28"/>
          <w:lang w:val="lv-LV"/>
        </w:rPr>
        <w:t>laika nobīdes. Šobrīd secināms, ka projektu īstenotāju piete</w:t>
      </w:r>
      <w:r w:rsidR="0073208D">
        <w:rPr>
          <w:b w:val="0"/>
          <w:bCs w:val="0"/>
          <w:sz w:val="28"/>
          <w:szCs w:val="28"/>
          <w:lang w:val="lv-LV"/>
        </w:rPr>
        <w:t>i</w:t>
      </w:r>
      <w:r w:rsidR="009365A2" w:rsidRPr="00FF3FD5">
        <w:rPr>
          <w:b w:val="0"/>
          <w:bCs w:val="0"/>
          <w:sz w:val="28"/>
          <w:szCs w:val="28"/>
          <w:lang w:val="lv-LV"/>
        </w:rPr>
        <w:t xml:space="preserve">ktie plāni nav uzskatāmi par reālistiskiem. </w:t>
      </w:r>
      <w:r w:rsidRPr="009F69BE">
        <w:rPr>
          <w:b w:val="0"/>
          <w:sz w:val="28"/>
          <w:lang w:val="lv-LV"/>
        </w:rPr>
        <w:t>Projektu īstenotāji paredz budžeta izdevumus 2018. gadā</w:t>
      </w:r>
      <w:r w:rsidRPr="003B1783">
        <w:rPr>
          <w:b w:val="0"/>
          <w:sz w:val="28"/>
          <w:lang w:val="lv-LV"/>
        </w:rPr>
        <w:t xml:space="preserve"> vairāk nekā 1 </w:t>
      </w:r>
      <w:r>
        <w:rPr>
          <w:b w:val="0"/>
          <w:sz w:val="28"/>
          <w:lang w:val="lv-LV"/>
        </w:rPr>
        <w:t>m</w:t>
      </w:r>
      <w:r w:rsidR="00D8000F">
        <w:rPr>
          <w:b w:val="0"/>
          <w:sz w:val="28"/>
          <w:lang w:val="lv-LV"/>
        </w:rPr>
        <w:t>ljrd</w:t>
      </w:r>
      <w:r w:rsidRPr="00B846C3">
        <w:rPr>
          <w:b w:val="0"/>
          <w:sz w:val="28"/>
          <w:lang w:val="lv-LV"/>
        </w:rPr>
        <w:t>.</w:t>
      </w:r>
      <w:r>
        <w:rPr>
          <w:b w:val="0"/>
          <w:sz w:val="28"/>
          <w:lang w:val="lv-LV"/>
        </w:rPr>
        <w:t xml:space="preserve"> </w:t>
      </w:r>
      <w:r w:rsidRPr="00E83869">
        <w:rPr>
          <w:b w:val="0"/>
          <w:i/>
          <w:sz w:val="28"/>
          <w:lang w:val="lv-LV"/>
        </w:rPr>
        <w:t>euro</w:t>
      </w:r>
      <w:r w:rsidRPr="00B846C3">
        <w:rPr>
          <w:b w:val="0"/>
          <w:sz w:val="28"/>
          <w:lang w:val="lv-LV"/>
        </w:rPr>
        <w:t>, kas vienlaikus jau ir 22</w:t>
      </w:r>
      <w:r>
        <w:rPr>
          <w:b w:val="0"/>
          <w:sz w:val="28"/>
          <w:lang w:val="lv-LV"/>
        </w:rPr>
        <w:t> </w:t>
      </w:r>
      <w:r w:rsidRPr="00B846C3">
        <w:rPr>
          <w:b w:val="0"/>
          <w:sz w:val="28"/>
          <w:lang w:val="lv-LV"/>
        </w:rPr>
        <w:t>% kritums, salīdzinot ar 2017.</w:t>
      </w:r>
      <w:r w:rsidR="0073208D">
        <w:rPr>
          <w:b w:val="0"/>
          <w:sz w:val="28"/>
          <w:lang w:val="lv-LV"/>
        </w:rPr>
        <w:t> </w:t>
      </w:r>
      <w:r w:rsidRPr="00B846C3">
        <w:rPr>
          <w:b w:val="0"/>
          <w:sz w:val="28"/>
          <w:lang w:val="lv-LV"/>
        </w:rPr>
        <w:t>gada jūlija prognozi.</w:t>
      </w:r>
      <w:r>
        <w:rPr>
          <w:b w:val="0"/>
          <w:i/>
          <w:sz w:val="28"/>
          <w:lang w:val="lv-LV"/>
        </w:rPr>
        <w:t xml:space="preserve"> </w:t>
      </w:r>
      <w:r>
        <w:rPr>
          <w:b w:val="0"/>
          <w:sz w:val="28"/>
          <w:lang w:val="lv-LV"/>
        </w:rPr>
        <w:t>Līdzšinējā piered</w:t>
      </w:r>
      <w:r w:rsidR="0073208D">
        <w:rPr>
          <w:b w:val="0"/>
          <w:sz w:val="28"/>
          <w:lang w:val="lv-LV"/>
        </w:rPr>
        <w:t>z</w:t>
      </w:r>
      <w:r>
        <w:rPr>
          <w:b w:val="0"/>
          <w:sz w:val="28"/>
          <w:lang w:val="lv-LV"/>
        </w:rPr>
        <w:t>e iepriekšējos plānošanas periodos liecina, ka Kohēzijas politikas investīciju ieviešanai valsts budžeta izdevumi bijuši atsevišķos gados maksimāli 750</w:t>
      </w:r>
      <w:r w:rsidR="0073208D">
        <w:rPr>
          <w:b w:val="0"/>
          <w:sz w:val="28"/>
          <w:lang w:val="lv-LV"/>
        </w:rPr>
        <w:t> </w:t>
      </w:r>
      <w:r>
        <w:rPr>
          <w:b w:val="0"/>
          <w:sz w:val="28"/>
          <w:lang w:val="lv-LV"/>
        </w:rPr>
        <w:t>-</w:t>
      </w:r>
      <w:r w:rsidR="0073208D">
        <w:rPr>
          <w:b w:val="0"/>
          <w:sz w:val="28"/>
          <w:lang w:val="lv-LV"/>
        </w:rPr>
        <w:t> </w:t>
      </w:r>
      <w:r>
        <w:rPr>
          <w:b w:val="0"/>
          <w:sz w:val="28"/>
          <w:lang w:val="lv-LV"/>
        </w:rPr>
        <w:t>780</w:t>
      </w:r>
      <w:r w:rsidR="0073208D">
        <w:rPr>
          <w:b w:val="0"/>
          <w:sz w:val="28"/>
          <w:lang w:val="lv-LV"/>
        </w:rPr>
        <w:t> </w:t>
      </w:r>
      <w:r>
        <w:rPr>
          <w:b w:val="0"/>
          <w:sz w:val="28"/>
          <w:lang w:val="lv-LV"/>
        </w:rPr>
        <w:t>milj</w:t>
      </w:r>
      <w:r w:rsidR="00064BC1">
        <w:rPr>
          <w:b w:val="0"/>
          <w:sz w:val="28"/>
          <w:lang w:val="lv-LV"/>
        </w:rPr>
        <w:t>.</w:t>
      </w:r>
      <w:r w:rsidR="0073208D">
        <w:rPr>
          <w:b w:val="0"/>
          <w:sz w:val="28"/>
          <w:lang w:val="lv-LV"/>
        </w:rPr>
        <w:t> </w:t>
      </w:r>
      <w:r w:rsidRPr="009F69BE">
        <w:rPr>
          <w:b w:val="0"/>
          <w:i/>
          <w:sz w:val="28"/>
          <w:lang w:val="lv-LV"/>
        </w:rPr>
        <w:t>euro</w:t>
      </w:r>
      <w:r w:rsidR="00DB4056">
        <w:rPr>
          <w:b w:val="0"/>
          <w:i/>
          <w:sz w:val="28"/>
          <w:lang w:val="lv-LV"/>
        </w:rPr>
        <w:t xml:space="preserve">, </w:t>
      </w:r>
      <w:r w:rsidR="00DB4056">
        <w:rPr>
          <w:b w:val="0"/>
          <w:sz w:val="28"/>
          <w:lang w:val="lv-LV"/>
        </w:rPr>
        <w:t xml:space="preserve">attiecīgi budžeta likumā 2018. gadam </w:t>
      </w:r>
      <w:proofErr w:type="spellStart"/>
      <w:r w:rsidR="00DB4056">
        <w:rPr>
          <w:b w:val="0"/>
          <w:bCs w:val="0"/>
          <w:sz w:val="28"/>
          <w:szCs w:val="28"/>
        </w:rPr>
        <w:t>ieplānoti</w:t>
      </w:r>
      <w:proofErr w:type="spellEnd"/>
      <w:r w:rsidR="00DB4056">
        <w:rPr>
          <w:b w:val="0"/>
          <w:bCs w:val="0"/>
          <w:sz w:val="28"/>
          <w:szCs w:val="28"/>
        </w:rPr>
        <w:t xml:space="preserve"> 600milj.</w:t>
      </w:r>
      <w:r w:rsidR="00F4624E">
        <w:rPr>
          <w:b w:val="0"/>
          <w:bCs w:val="0"/>
          <w:sz w:val="28"/>
          <w:szCs w:val="28"/>
        </w:rPr>
        <w:t> </w:t>
      </w:r>
      <w:proofErr w:type="gramStart"/>
      <w:r w:rsidR="00DB4056">
        <w:rPr>
          <w:b w:val="0"/>
          <w:bCs w:val="0"/>
          <w:i/>
          <w:iCs/>
          <w:sz w:val="28"/>
          <w:szCs w:val="28"/>
        </w:rPr>
        <w:t>euro</w:t>
      </w:r>
      <w:proofErr w:type="gramEnd"/>
      <w:r w:rsidR="00DB4056">
        <w:rPr>
          <w:b w:val="0"/>
          <w:bCs w:val="0"/>
          <w:i/>
          <w:iCs/>
          <w:sz w:val="28"/>
          <w:szCs w:val="28"/>
        </w:rPr>
        <w:t xml:space="preserve"> </w:t>
      </w:r>
      <w:proofErr w:type="spellStart"/>
      <w:r w:rsidR="00DB4056">
        <w:rPr>
          <w:b w:val="0"/>
          <w:bCs w:val="0"/>
          <w:sz w:val="28"/>
          <w:szCs w:val="28"/>
        </w:rPr>
        <w:t>investīcijām</w:t>
      </w:r>
      <w:proofErr w:type="spellEnd"/>
      <w:r w:rsidR="00DB4056">
        <w:rPr>
          <w:b w:val="0"/>
          <w:bCs w:val="0"/>
          <w:sz w:val="28"/>
          <w:szCs w:val="28"/>
        </w:rPr>
        <w:t xml:space="preserve"> ES </w:t>
      </w:r>
      <w:proofErr w:type="spellStart"/>
      <w:r w:rsidR="00DB4056">
        <w:rPr>
          <w:b w:val="0"/>
          <w:bCs w:val="0"/>
          <w:sz w:val="28"/>
          <w:szCs w:val="28"/>
        </w:rPr>
        <w:t>fondu</w:t>
      </w:r>
      <w:proofErr w:type="spellEnd"/>
      <w:r w:rsidR="00DB4056">
        <w:rPr>
          <w:b w:val="0"/>
          <w:bCs w:val="0"/>
          <w:sz w:val="28"/>
          <w:szCs w:val="28"/>
        </w:rPr>
        <w:t xml:space="preserve"> </w:t>
      </w:r>
      <w:proofErr w:type="spellStart"/>
      <w:r w:rsidR="00DB4056">
        <w:rPr>
          <w:b w:val="0"/>
          <w:bCs w:val="0"/>
          <w:sz w:val="28"/>
          <w:szCs w:val="28"/>
        </w:rPr>
        <w:t>projektiem</w:t>
      </w:r>
      <w:proofErr w:type="spellEnd"/>
      <w:r w:rsidR="007207E7">
        <w:rPr>
          <w:b w:val="0"/>
          <w:bCs w:val="0"/>
          <w:sz w:val="28"/>
          <w:szCs w:val="28"/>
        </w:rPr>
        <w:t xml:space="preserve">, </w:t>
      </w:r>
      <w:proofErr w:type="spellStart"/>
      <w:r w:rsidR="007207E7">
        <w:rPr>
          <w:b w:val="0"/>
          <w:bCs w:val="0"/>
          <w:sz w:val="28"/>
          <w:szCs w:val="28"/>
        </w:rPr>
        <w:t>ņemot</w:t>
      </w:r>
      <w:proofErr w:type="spellEnd"/>
      <w:r w:rsidR="007207E7">
        <w:rPr>
          <w:b w:val="0"/>
          <w:bCs w:val="0"/>
          <w:sz w:val="28"/>
          <w:szCs w:val="28"/>
        </w:rPr>
        <w:t xml:space="preserve"> </w:t>
      </w:r>
      <w:proofErr w:type="spellStart"/>
      <w:r w:rsidR="007207E7">
        <w:rPr>
          <w:b w:val="0"/>
          <w:bCs w:val="0"/>
          <w:sz w:val="28"/>
          <w:szCs w:val="28"/>
        </w:rPr>
        <w:t>vērā</w:t>
      </w:r>
      <w:proofErr w:type="spellEnd"/>
      <w:r w:rsidR="007207E7">
        <w:rPr>
          <w:b w:val="0"/>
          <w:bCs w:val="0"/>
          <w:sz w:val="28"/>
          <w:szCs w:val="28"/>
        </w:rPr>
        <w:t xml:space="preserve"> </w:t>
      </w:r>
      <w:proofErr w:type="spellStart"/>
      <w:r w:rsidR="007207E7">
        <w:rPr>
          <w:b w:val="0"/>
          <w:bCs w:val="0"/>
          <w:sz w:val="28"/>
          <w:szCs w:val="28"/>
        </w:rPr>
        <w:t>ieviešanas</w:t>
      </w:r>
      <w:proofErr w:type="spellEnd"/>
      <w:r w:rsidR="007207E7">
        <w:rPr>
          <w:b w:val="0"/>
          <w:bCs w:val="0"/>
          <w:sz w:val="28"/>
          <w:szCs w:val="28"/>
        </w:rPr>
        <w:t xml:space="preserve"> </w:t>
      </w:r>
      <w:proofErr w:type="spellStart"/>
      <w:r w:rsidR="007207E7">
        <w:rPr>
          <w:b w:val="0"/>
          <w:bCs w:val="0"/>
          <w:sz w:val="28"/>
          <w:szCs w:val="28"/>
        </w:rPr>
        <w:t>gaitu</w:t>
      </w:r>
      <w:proofErr w:type="spellEnd"/>
      <w:r>
        <w:rPr>
          <w:b w:val="0"/>
          <w:i/>
          <w:sz w:val="28"/>
          <w:lang w:val="lv-LV"/>
        </w:rPr>
        <w:t>.</w:t>
      </w:r>
      <w:r>
        <w:rPr>
          <w:b w:val="0"/>
          <w:sz w:val="28"/>
          <w:lang w:val="lv-LV"/>
        </w:rPr>
        <w:t xml:space="preserve"> Tāpat l</w:t>
      </w:r>
      <w:r w:rsidRPr="00892962">
        <w:rPr>
          <w:b w:val="0"/>
          <w:sz w:val="28"/>
          <w:lang w:val="lv-LV"/>
        </w:rPr>
        <w:t>īdzšinējā pieredze gan iepriekšējā plānošanas periodā kopumā, gan šī perioda pirmajos gados liecina, ka tieši pēdējie trīs gadi (2021-2023) ir intensīvākie</w:t>
      </w:r>
      <w:r w:rsidRPr="009F69BE">
        <w:rPr>
          <w:b w:val="0"/>
          <w:sz w:val="28"/>
          <w:lang w:val="lv-LV"/>
        </w:rPr>
        <w:t xml:space="preserve">. FM secina </w:t>
      </w:r>
      <w:r w:rsidR="0073208D">
        <w:rPr>
          <w:b w:val="0"/>
          <w:sz w:val="28"/>
          <w:lang w:val="lv-LV"/>
        </w:rPr>
        <w:t>–</w:t>
      </w:r>
      <w:r w:rsidRPr="009F69BE">
        <w:rPr>
          <w:b w:val="0"/>
          <w:sz w:val="28"/>
          <w:lang w:val="lv-LV"/>
        </w:rPr>
        <w:t xml:space="preserve"> kamēr projektu īstenotāji nedemonstrē ieviešanas plānu izpildi bez būtiskām nobīdēm, ievērojot stingru finanšu disciplīnu, projektu īstenotāju prognozes nav objektīvi izmantojamas valsts budžeta izdevumu ticam</w:t>
      </w:r>
      <w:r>
        <w:rPr>
          <w:b w:val="0"/>
          <w:sz w:val="28"/>
          <w:lang w:val="lv-LV"/>
        </w:rPr>
        <w:t>ai</w:t>
      </w:r>
      <w:r w:rsidRPr="009F69BE">
        <w:rPr>
          <w:b w:val="0"/>
          <w:sz w:val="28"/>
          <w:lang w:val="lv-LV"/>
        </w:rPr>
        <w:t xml:space="preserve"> plānošan</w:t>
      </w:r>
      <w:r>
        <w:rPr>
          <w:b w:val="0"/>
          <w:sz w:val="28"/>
          <w:lang w:val="lv-LV"/>
        </w:rPr>
        <w:t>ai</w:t>
      </w:r>
      <w:r w:rsidRPr="009F69BE">
        <w:rPr>
          <w:b w:val="0"/>
          <w:sz w:val="28"/>
          <w:lang w:val="lv-LV"/>
        </w:rPr>
        <w:t xml:space="preserve"> (īpaši attiecībā uz 2019. gadu un turpmākiem gadiem). Ņemot vērā 2018. gada ES fondu investīciju un naudas plūsmas sekmes un aktualizējot prognozes turpmākiem gadiem, noteiktā kārtībā tiks aktualizēts arī valsts budžeta izdevumu un ieņēmumu plāns turpmākiem gadiem.</w:t>
      </w:r>
    </w:p>
    <w:p w14:paraId="7DDF6530" w14:textId="2195AC42" w:rsidR="00FE30D6" w:rsidRPr="00866986" w:rsidRDefault="003167D9" w:rsidP="00866986">
      <w:pPr>
        <w:spacing w:after="120"/>
        <w:ind w:firstLine="720"/>
        <w:jc w:val="both"/>
        <w:rPr>
          <w:sz w:val="28"/>
          <w:szCs w:val="28"/>
        </w:rPr>
      </w:pPr>
      <w:r w:rsidRPr="009365A2">
        <w:rPr>
          <w:sz w:val="28"/>
          <w:szCs w:val="28"/>
        </w:rPr>
        <w:t>Analizējot prognožu izmaiņu un noviržu iemeslus, FM konstatē, ka 2017. gada maksājumu plūsmas novirzēs lielākā ietekme ir dēļ atsevišķu atbildīgo nozaru ministriju (galvenokārt, EM) būtiski kavētas investīciju MK noteikumu apstiprināšanas, regulāri neievērojot MK apstiprināto grafiku, kas, savukārt, ir priekšnosacījums projektu atlašu uzsākšanai (attiecīgi atlases tika uzsāktas ievērojami vēlāk un līgumi tika slēgti vēlāk nekā būtu bijis pēc plānotā, ja MK noteikumus apstiprinātu noteiktā laikā).</w:t>
      </w:r>
    </w:p>
    <w:p w14:paraId="35BFC13A" w14:textId="13D7583C" w:rsidR="009F69BE" w:rsidRPr="009F69BE" w:rsidRDefault="009F69BE" w:rsidP="003167D9">
      <w:pPr>
        <w:ind w:firstLine="720"/>
        <w:jc w:val="both"/>
        <w:rPr>
          <w:sz w:val="28"/>
          <w:szCs w:val="28"/>
        </w:rPr>
      </w:pPr>
      <w:r>
        <w:rPr>
          <w:rFonts w:cs="Times New Roman"/>
          <w:bCs/>
          <w:sz w:val="28"/>
          <w:szCs w:val="28"/>
        </w:rPr>
        <w:t>2018.</w:t>
      </w:r>
      <w:r w:rsidR="00F21A54">
        <w:rPr>
          <w:rFonts w:cs="Times New Roman"/>
          <w:bCs/>
          <w:sz w:val="28"/>
          <w:szCs w:val="28"/>
        </w:rPr>
        <w:t> </w:t>
      </w:r>
      <w:r>
        <w:rPr>
          <w:rFonts w:cs="Times New Roman"/>
          <w:bCs/>
          <w:sz w:val="28"/>
          <w:szCs w:val="28"/>
        </w:rPr>
        <w:t>gada pirmajā pusē CFLA veltīs īpašu uzmanību projektu ieviešanas plānu kvalitātei, vērsīsies pie īstenotājiem, lai kopīgi panāktu reālistiskākas prognozes un risku pārvaldības modeli. Attiecīgi kopējie Kohēzijas politikas ieviešanas finanšu plūsmas plāni tiks aktualizēti 2018.</w:t>
      </w:r>
      <w:r w:rsidR="00F21A54">
        <w:rPr>
          <w:rFonts w:cs="Times New Roman"/>
          <w:bCs/>
          <w:sz w:val="28"/>
          <w:szCs w:val="28"/>
        </w:rPr>
        <w:t> </w:t>
      </w:r>
      <w:r>
        <w:rPr>
          <w:rFonts w:cs="Times New Roman"/>
          <w:bCs/>
          <w:sz w:val="28"/>
          <w:szCs w:val="28"/>
        </w:rPr>
        <w:t>gada otrā pusē, ņemot vērā faktisko izpildes situāciju un aktualizētās īstenotāju prognozes</w:t>
      </w:r>
      <w:r w:rsidR="00FD2B77">
        <w:rPr>
          <w:rFonts w:cs="Times New Roman"/>
          <w:bCs/>
          <w:sz w:val="28"/>
          <w:szCs w:val="28"/>
        </w:rPr>
        <w:t xml:space="preserve"> saistībā ar finanšu disciplīnas ierosinājumu (skatīt 4.3. sadaļā)</w:t>
      </w:r>
      <w:r>
        <w:rPr>
          <w:rFonts w:cs="Times New Roman"/>
          <w:bCs/>
          <w:sz w:val="28"/>
          <w:szCs w:val="28"/>
        </w:rPr>
        <w:t xml:space="preserve">. </w:t>
      </w:r>
      <w:r>
        <w:rPr>
          <w:sz w:val="28"/>
          <w:szCs w:val="28"/>
        </w:rPr>
        <w:t xml:space="preserve">Tomēr īstenotāju plānu </w:t>
      </w:r>
      <w:r w:rsidRPr="00465264">
        <w:rPr>
          <w:sz w:val="28"/>
        </w:rPr>
        <w:t xml:space="preserve">izpildei </w:t>
      </w:r>
      <w:r w:rsidRPr="00465264">
        <w:rPr>
          <w:sz w:val="28"/>
        </w:rPr>
        <w:lastRenderedPageBreak/>
        <w:t xml:space="preserve">regulāri tiks sekots līdzi, </w:t>
      </w:r>
      <w:r w:rsidRPr="00AA12B7">
        <w:rPr>
          <w:sz w:val="28"/>
        </w:rPr>
        <w:t>aktualizējot ikmēneša izpildes informāciju ES fondu tīmekļa vietn</w:t>
      </w:r>
      <w:r>
        <w:rPr>
          <w:sz w:val="28"/>
        </w:rPr>
        <w:t>ē</w:t>
      </w:r>
      <w:r w:rsidR="00AD7DB1">
        <w:rPr>
          <w:rStyle w:val="FootnoteReference"/>
          <w:sz w:val="28"/>
        </w:rPr>
        <w:footnoteReference w:id="65"/>
      </w:r>
      <w:r w:rsidRPr="00465264">
        <w:rPr>
          <w:sz w:val="28"/>
        </w:rPr>
        <w:t>.</w:t>
      </w:r>
      <w:r>
        <w:rPr>
          <w:b/>
          <w:sz w:val="28"/>
        </w:rPr>
        <w:t xml:space="preserve"> </w:t>
      </w:r>
      <w:r w:rsidRPr="00BF74AD">
        <w:rPr>
          <w:sz w:val="28"/>
        </w:rPr>
        <w:t xml:space="preserve">CFLA sekos līdzi </w:t>
      </w:r>
      <w:r>
        <w:rPr>
          <w:sz w:val="28"/>
        </w:rPr>
        <w:t>plānu</w:t>
      </w:r>
      <w:r w:rsidRPr="00BF74AD">
        <w:rPr>
          <w:sz w:val="28"/>
        </w:rPr>
        <w:t xml:space="preserve"> ievērošanai, aktīvi komunicējot ar projektu iesniedzējiem</w:t>
      </w:r>
      <w:r>
        <w:rPr>
          <w:sz w:val="28"/>
        </w:rPr>
        <w:t xml:space="preserve"> īpaši kavējumu un citu problēmu gadījumā, sniegs nepieciešamo konsultatīvo atbalstu, lai pēc iespējas palīdzētu novērst kopējā gada plāna būtiskas neizpildes risku</w:t>
      </w:r>
      <w:r w:rsidRPr="00BF74AD">
        <w:rPr>
          <w:sz w:val="28"/>
        </w:rPr>
        <w:t xml:space="preserve">. FM </w:t>
      </w:r>
      <w:r>
        <w:rPr>
          <w:sz w:val="28"/>
        </w:rPr>
        <w:t xml:space="preserve">turpinās ziņot </w:t>
      </w:r>
      <w:r w:rsidRPr="00BF74AD">
        <w:rPr>
          <w:sz w:val="28"/>
        </w:rPr>
        <w:t xml:space="preserve">regulāri </w:t>
      </w:r>
      <w:r>
        <w:rPr>
          <w:sz w:val="28"/>
        </w:rPr>
        <w:t xml:space="preserve">ar ikmēneša </w:t>
      </w:r>
      <w:r w:rsidRPr="00BF74AD">
        <w:rPr>
          <w:sz w:val="28"/>
        </w:rPr>
        <w:t>ziņo</w:t>
      </w:r>
      <w:r>
        <w:rPr>
          <w:sz w:val="28"/>
        </w:rPr>
        <w:t>jumiem</w:t>
      </w:r>
      <w:r w:rsidRPr="00BF74AD">
        <w:rPr>
          <w:sz w:val="28"/>
        </w:rPr>
        <w:t xml:space="preserve"> MK par šo plānu izpildi un būtiskām negatīvām novirzēm </w:t>
      </w:r>
      <w:r>
        <w:rPr>
          <w:sz w:val="28"/>
        </w:rPr>
        <w:t xml:space="preserve">(virs 25%) </w:t>
      </w:r>
      <w:r w:rsidRPr="00BF74AD">
        <w:rPr>
          <w:sz w:val="28"/>
        </w:rPr>
        <w:t xml:space="preserve">projektu līmenī. </w:t>
      </w:r>
    </w:p>
    <w:p w14:paraId="3E20A450" w14:textId="0FDAA407" w:rsidR="00A92579" w:rsidRDefault="009F69BE" w:rsidP="009365A2">
      <w:pPr>
        <w:pStyle w:val="BodyText"/>
        <w:tabs>
          <w:tab w:val="left" w:pos="0"/>
        </w:tabs>
        <w:suppressAutoHyphens/>
        <w:spacing w:line="240" w:lineRule="auto"/>
        <w:jc w:val="both"/>
        <w:rPr>
          <w:b w:val="0"/>
          <w:sz w:val="28"/>
          <w:szCs w:val="28"/>
          <w:lang w:val="lv-LV"/>
        </w:rPr>
      </w:pPr>
      <w:r>
        <w:rPr>
          <w:b w:val="0"/>
          <w:sz w:val="28"/>
          <w:lang w:val="lv-LV"/>
        </w:rPr>
        <w:tab/>
      </w:r>
      <w:r w:rsidR="00A92579" w:rsidRPr="009365A2">
        <w:rPr>
          <w:b w:val="0"/>
          <w:sz w:val="28"/>
          <w:szCs w:val="28"/>
          <w:lang w:val="lv-LV"/>
        </w:rPr>
        <w:t>Attiecībā uz “n+3” 2018.</w:t>
      </w:r>
      <w:r w:rsidR="003B5107" w:rsidRPr="009365A2">
        <w:rPr>
          <w:b w:val="0"/>
          <w:sz w:val="28"/>
          <w:szCs w:val="28"/>
          <w:lang w:val="lv-LV"/>
        </w:rPr>
        <w:t> </w:t>
      </w:r>
      <w:r w:rsidR="00A92579" w:rsidRPr="009365A2">
        <w:rPr>
          <w:b w:val="0"/>
          <w:sz w:val="28"/>
          <w:szCs w:val="28"/>
          <w:lang w:val="lv-LV"/>
        </w:rPr>
        <w:t>gada un turpmāko gadu ikgadējiem finanšu</w:t>
      </w:r>
      <w:r w:rsidR="00A92579" w:rsidRPr="00892962">
        <w:rPr>
          <w:b w:val="0"/>
          <w:sz w:val="28"/>
          <w:szCs w:val="28"/>
          <w:lang w:val="lv-LV"/>
        </w:rPr>
        <w:t xml:space="preserve"> mērķiem un risku Latvijai zaudēt “neto” ES fondu piešķīrumu - 2017.</w:t>
      </w:r>
      <w:r w:rsidR="003B5107">
        <w:rPr>
          <w:b w:val="0"/>
          <w:sz w:val="28"/>
          <w:szCs w:val="28"/>
          <w:lang w:val="lv-LV"/>
        </w:rPr>
        <w:t> </w:t>
      </w:r>
      <w:r w:rsidR="00A92579" w:rsidRPr="00892962">
        <w:rPr>
          <w:b w:val="0"/>
          <w:sz w:val="28"/>
          <w:szCs w:val="28"/>
          <w:lang w:val="lv-LV"/>
        </w:rPr>
        <w:t xml:space="preserve">gada decembrī EK noteica labvēlīgāku un elastīgāku pieeju, mainot principu no “n+3” katram fondam atsevišķi (ERAF, KF, ESF un JNI) uz kopējo mērķi programmā. Tas ievērojami samazina risku programmā zaudēt “neto” ES finansējumu, jo kāda fonda sekmīgāka ieviešana (mērķa </w:t>
      </w:r>
      <w:proofErr w:type="spellStart"/>
      <w:r w:rsidR="00A92579" w:rsidRPr="00892962">
        <w:rPr>
          <w:b w:val="0"/>
          <w:sz w:val="28"/>
          <w:szCs w:val="28"/>
          <w:lang w:val="lv-LV"/>
        </w:rPr>
        <w:t>pārpilde</w:t>
      </w:r>
      <w:proofErr w:type="spellEnd"/>
      <w:r w:rsidR="00A92579" w:rsidRPr="00892962">
        <w:rPr>
          <w:b w:val="0"/>
          <w:sz w:val="28"/>
          <w:szCs w:val="28"/>
          <w:lang w:val="lv-LV"/>
        </w:rPr>
        <w:t xml:space="preserve">) var kompensēt kāda cita fonda vājāku sniegumu. Attiecīgi aktualizētās prognozes liecina, ka </w:t>
      </w:r>
      <w:r w:rsidR="00A92579" w:rsidRPr="00892962">
        <w:rPr>
          <w:sz w:val="28"/>
          <w:szCs w:val="28"/>
          <w:lang w:val="lv-LV"/>
        </w:rPr>
        <w:t>2018.</w:t>
      </w:r>
      <w:r w:rsidR="003B5107">
        <w:rPr>
          <w:sz w:val="28"/>
          <w:szCs w:val="28"/>
          <w:lang w:val="lv-LV"/>
        </w:rPr>
        <w:t> </w:t>
      </w:r>
      <w:r w:rsidR="00A92579" w:rsidRPr="00892962">
        <w:rPr>
          <w:sz w:val="28"/>
          <w:szCs w:val="28"/>
          <w:lang w:val="lv-LV"/>
        </w:rPr>
        <w:t>gadā un turpmākos gados ir ļoti minimāla ticamība, ka iestātos risks neizpildīt “n+3” mērķus programmā kopumā</w:t>
      </w:r>
      <w:r w:rsidR="00A92579">
        <w:rPr>
          <w:sz w:val="28"/>
          <w:szCs w:val="28"/>
          <w:lang w:val="lv-LV"/>
        </w:rPr>
        <w:t xml:space="preserve">. </w:t>
      </w:r>
      <w:r w:rsidR="00A92579">
        <w:rPr>
          <w:b w:val="0"/>
          <w:sz w:val="28"/>
          <w:szCs w:val="28"/>
          <w:lang w:val="lv-LV"/>
        </w:rPr>
        <w:t>Secināms, ka</w:t>
      </w:r>
      <w:r w:rsidR="00A92579">
        <w:rPr>
          <w:sz w:val="28"/>
          <w:szCs w:val="28"/>
          <w:lang w:val="lv-LV"/>
        </w:rPr>
        <w:t xml:space="preserve"> </w:t>
      </w:r>
      <w:r w:rsidR="00A92579" w:rsidRPr="007C11BC">
        <w:rPr>
          <w:b w:val="0"/>
          <w:sz w:val="28"/>
          <w:szCs w:val="28"/>
          <w:lang w:val="lv-LV"/>
        </w:rPr>
        <w:t>pieļaujam</w:t>
      </w:r>
      <w:r w:rsidR="00A92579">
        <w:rPr>
          <w:b w:val="0"/>
          <w:sz w:val="28"/>
          <w:szCs w:val="28"/>
          <w:lang w:val="lv-LV"/>
        </w:rPr>
        <w:t xml:space="preserve">ā </w:t>
      </w:r>
      <w:r w:rsidR="00A92579" w:rsidRPr="00243A3E">
        <w:rPr>
          <w:b w:val="0"/>
          <w:sz w:val="28"/>
          <w:szCs w:val="28"/>
          <w:u w:val="single"/>
          <w:lang w:val="lv-LV"/>
        </w:rPr>
        <w:t>riska robeža ir vairāk kā 400</w:t>
      </w:r>
      <w:r w:rsidR="00F4624E">
        <w:rPr>
          <w:b w:val="0"/>
          <w:sz w:val="28"/>
          <w:szCs w:val="28"/>
          <w:u w:val="single"/>
          <w:lang w:val="lv-LV"/>
        </w:rPr>
        <w:t> </w:t>
      </w:r>
      <w:r w:rsidR="00A92579" w:rsidRPr="00243A3E">
        <w:rPr>
          <w:b w:val="0"/>
          <w:sz w:val="28"/>
          <w:szCs w:val="28"/>
          <w:u w:val="single"/>
          <w:lang w:val="lv-LV"/>
        </w:rPr>
        <w:t>milj.</w:t>
      </w:r>
      <w:r w:rsidR="00F4624E">
        <w:rPr>
          <w:b w:val="0"/>
          <w:sz w:val="28"/>
          <w:szCs w:val="28"/>
          <w:u w:val="single"/>
          <w:lang w:val="lv-LV"/>
        </w:rPr>
        <w:t> </w:t>
      </w:r>
      <w:r w:rsidR="00A92579" w:rsidRPr="00243A3E">
        <w:rPr>
          <w:b w:val="0"/>
          <w:i/>
          <w:sz w:val="28"/>
          <w:szCs w:val="28"/>
          <w:u w:val="single"/>
          <w:lang w:val="lv-LV"/>
        </w:rPr>
        <w:t>euro</w:t>
      </w:r>
      <w:r w:rsidR="00A92579" w:rsidRPr="00243A3E">
        <w:rPr>
          <w:b w:val="0"/>
          <w:sz w:val="28"/>
          <w:szCs w:val="28"/>
          <w:u w:val="single"/>
          <w:lang w:val="lv-LV"/>
        </w:rPr>
        <w:t>,</w:t>
      </w:r>
      <w:r w:rsidR="00A92579">
        <w:rPr>
          <w:b w:val="0"/>
          <w:sz w:val="28"/>
          <w:szCs w:val="28"/>
          <w:lang w:val="lv-LV"/>
        </w:rPr>
        <w:t xml:space="preserve"> t.i. pie mazākas izpildes neiestājas ES finansējuma zaudēšanas risks. Pozitīvi, ka jau l</w:t>
      </w:r>
      <w:r w:rsidR="00A92579" w:rsidRPr="007C11BC">
        <w:rPr>
          <w:b w:val="0"/>
          <w:sz w:val="28"/>
          <w:szCs w:val="28"/>
          <w:lang w:val="lv-LV"/>
        </w:rPr>
        <w:t>ī</w:t>
      </w:r>
      <w:r w:rsidR="00A92579">
        <w:rPr>
          <w:b w:val="0"/>
          <w:sz w:val="28"/>
          <w:szCs w:val="28"/>
          <w:lang w:val="lv-LV"/>
        </w:rPr>
        <w:t>dz 2017.</w:t>
      </w:r>
      <w:r w:rsidR="003B5107">
        <w:rPr>
          <w:b w:val="0"/>
          <w:sz w:val="28"/>
          <w:szCs w:val="28"/>
          <w:lang w:val="lv-LV"/>
        </w:rPr>
        <w:t> </w:t>
      </w:r>
      <w:r w:rsidR="00A92579">
        <w:rPr>
          <w:b w:val="0"/>
          <w:sz w:val="28"/>
          <w:szCs w:val="28"/>
          <w:lang w:val="lv-LV"/>
        </w:rPr>
        <w:t xml:space="preserve">gada beigām </w:t>
      </w:r>
      <w:r w:rsidR="00FE30D6">
        <w:rPr>
          <w:b w:val="0"/>
          <w:sz w:val="28"/>
          <w:szCs w:val="28"/>
          <w:lang w:val="lv-LV"/>
        </w:rPr>
        <w:t>par 62</w:t>
      </w:r>
      <w:r w:rsidR="00A92579" w:rsidRPr="007C11BC">
        <w:rPr>
          <w:b w:val="0"/>
          <w:sz w:val="28"/>
          <w:szCs w:val="28"/>
          <w:lang w:val="lv-LV"/>
        </w:rPr>
        <w:t>,2</w:t>
      </w:r>
      <w:r w:rsidR="003B5107">
        <w:rPr>
          <w:b w:val="0"/>
          <w:sz w:val="28"/>
          <w:szCs w:val="28"/>
          <w:lang w:val="lv-LV"/>
        </w:rPr>
        <w:t> </w:t>
      </w:r>
      <w:r w:rsidR="00A92579" w:rsidRPr="007C11BC">
        <w:rPr>
          <w:b w:val="0"/>
          <w:sz w:val="28"/>
          <w:szCs w:val="28"/>
          <w:lang w:val="lv-LV"/>
        </w:rPr>
        <w:t>%</w:t>
      </w:r>
      <w:r w:rsidR="00A92579">
        <w:rPr>
          <w:b w:val="0"/>
          <w:sz w:val="28"/>
          <w:szCs w:val="28"/>
          <w:lang w:val="lv-LV"/>
        </w:rPr>
        <w:t xml:space="preserve"> ir izpildīts</w:t>
      </w:r>
      <w:r w:rsidR="00A92579" w:rsidRPr="007C11BC">
        <w:rPr>
          <w:b w:val="0"/>
          <w:sz w:val="28"/>
          <w:szCs w:val="28"/>
          <w:lang w:val="lv-LV"/>
        </w:rPr>
        <w:t xml:space="preserve"> </w:t>
      </w:r>
      <w:r w:rsidR="00A92579">
        <w:rPr>
          <w:b w:val="0"/>
          <w:sz w:val="28"/>
          <w:szCs w:val="28"/>
          <w:lang w:val="lv-LV"/>
        </w:rPr>
        <w:t>2018.</w:t>
      </w:r>
      <w:r w:rsidR="003B5107">
        <w:rPr>
          <w:b w:val="0"/>
          <w:sz w:val="28"/>
          <w:szCs w:val="28"/>
          <w:lang w:val="lv-LV"/>
        </w:rPr>
        <w:t> </w:t>
      </w:r>
      <w:r w:rsidR="00A92579">
        <w:rPr>
          <w:b w:val="0"/>
          <w:sz w:val="28"/>
          <w:szCs w:val="28"/>
          <w:lang w:val="lv-LV"/>
        </w:rPr>
        <w:t xml:space="preserve">gadā </w:t>
      </w:r>
      <w:r w:rsidR="00A92579" w:rsidRPr="007C11BC">
        <w:rPr>
          <w:b w:val="0"/>
          <w:sz w:val="28"/>
          <w:szCs w:val="28"/>
          <w:lang w:val="lv-LV"/>
        </w:rPr>
        <w:t>deklarējamo izdevumu mērķis</w:t>
      </w:r>
      <w:r w:rsidR="00A92579">
        <w:rPr>
          <w:b w:val="0"/>
          <w:sz w:val="28"/>
          <w:szCs w:val="28"/>
          <w:lang w:val="lv-LV"/>
        </w:rPr>
        <w:t>. L</w:t>
      </w:r>
      <w:r w:rsidR="00A92579" w:rsidRPr="007C11BC">
        <w:rPr>
          <w:b w:val="0"/>
          <w:sz w:val="28"/>
          <w:szCs w:val="28"/>
          <w:lang w:val="lv-LV"/>
        </w:rPr>
        <w:t>īdz ar to 2018.</w:t>
      </w:r>
      <w:r w:rsidR="003B5107">
        <w:rPr>
          <w:b w:val="0"/>
          <w:sz w:val="28"/>
          <w:szCs w:val="28"/>
          <w:lang w:val="lv-LV"/>
        </w:rPr>
        <w:t> </w:t>
      </w:r>
      <w:r w:rsidR="00A92579" w:rsidRPr="007C11BC">
        <w:rPr>
          <w:b w:val="0"/>
          <w:sz w:val="28"/>
          <w:szCs w:val="28"/>
          <w:lang w:val="lv-LV"/>
        </w:rPr>
        <w:t>ga</w:t>
      </w:r>
      <w:r w:rsidR="00A92579">
        <w:rPr>
          <w:b w:val="0"/>
          <w:sz w:val="28"/>
          <w:szCs w:val="28"/>
          <w:lang w:val="lv-LV"/>
        </w:rPr>
        <w:t xml:space="preserve">dā atlicis deklarēt EK tikai </w:t>
      </w:r>
      <w:r w:rsidR="00FD2B77">
        <w:rPr>
          <w:b w:val="0"/>
          <w:sz w:val="28"/>
          <w:szCs w:val="28"/>
          <w:lang w:val="lv-LV"/>
        </w:rPr>
        <w:t>243</w:t>
      </w:r>
      <w:r w:rsidR="00F4624E">
        <w:rPr>
          <w:b w:val="0"/>
          <w:sz w:val="28"/>
          <w:szCs w:val="28"/>
          <w:lang w:val="lv-LV"/>
        </w:rPr>
        <w:t> </w:t>
      </w:r>
      <w:r w:rsidR="00A92579" w:rsidRPr="007C11BC">
        <w:rPr>
          <w:b w:val="0"/>
          <w:sz w:val="28"/>
          <w:szCs w:val="28"/>
          <w:lang w:val="lv-LV"/>
        </w:rPr>
        <w:t>milj.</w:t>
      </w:r>
      <w:r w:rsidR="00F4624E">
        <w:rPr>
          <w:b w:val="0"/>
          <w:sz w:val="28"/>
          <w:szCs w:val="28"/>
          <w:lang w:val="lv-LV"/>
        </w:rPr>
        <w:t> </w:t>
      </w:r>
      <w:r w:rsidR="00A92579" w:rsidRPr="00463D7E">
        <w:rPr>
          <w:b w:val="0"/>
          <w:i/>
          <w:sz w:val="28"/>
          <w:szCs w:val="28"/>
          <w:lang w:val="lv-LV"/>
        </w:rPr>
        <w:t>euro</w:t>
      </w:r>
      <w:r w:rsidR="00A92579">
        <w:rPr>
          <w:b w:val="0"/>
          <w:sz w:val="28"/>
          <w:szCs w:val="28"/>
          <w:lang w:val="lv-LV"/>
        </w:rPr>
        <w:t>, lai izpildītu minimālo “n+3” mērķi</w:t>
      </w:r>
      <w:r w:rsidR="00A92579" w:rsidRPr="007C11BC">
        <w:rPr>
          <w:b w:val="0"/>
          <w:sz w:val="28"/>
          <w:szCs w:val="28"/>
          <w:lang w:val="lv-LV"/>
        </w:rPr>
        <w:t>.</w:t>
      </w:r>
    </w:p>
    <w:p w14:paraId="30AE9CC7" w14:textId="4E099F53" w:rsidR="009365A2" w:rsidRPr="009365A2" w:rsidRDefault="009365A2" w:rsidP="009365A2">
      <w:pPr>
        <w:pStyle w:val="BodyText"/>
        <w:tabs>
          <w:tab w:val="left" w:pos="0"/>
        </w:tabs>
        <w:suppressAutoHyphens/>
        <w:spacing w:line="240" w:lineRule="auto"/>
        <w:jc w:val="both"/>
        <w:rPr>
          <w:b w:val="0"/>
          <w:i/>
          <w:sz w:val="28"/>
          <w:lang w:val="lv-LV"/>
        </w:rPr>
      </w:pPr>
      <w:r w:rsidRPr="009365A2">
        <w:rPr>
          <w:i/>
          <w:sz w:val="28"/>
          <w:lang w:val="lv-LV"/>
        </w:rPr>
        <w:tab/>
        <w:t>2018.gada beigu snieguma ietvar</w:t>
      </w:r>
      <w:r>
        <w:rPr>
          <w:i/>
          <w:sz w:val="28"/>
          <w:lang w:val="lv-LV"/>
        </w:rPr>
        <w:t>a</w:t>
      </w:r>
      <w:r w:rsidRPr="009365A2">
        <w:rPr>
          <w:i/>
          <w:sz w:val="28"/>
          <w:lang w:val="lv-LV"/>
        </w:rPr>
        <w:t xml:space="preserve"> mērķi – risku novērtējum</w:t>
      </w:r>
      <w:r>
        <w:rPr>
          <w:i/>
          <w:sz w:val="28"/>
          <w:lang w:val="lv-LV"/>
        </w:rPr>
        <w:t>s</w:t>
      </w:r>
    </w:p>
    <w:p w14:paraId="06422AEE" w14:textId="044F4379" w:rsidR="00775D89" w:rsidRPr="000D34AF" w:rsidRDefault="003B5107" w:rsidP="003B5107">
      <w:pPr>
        <w:pStyle w:val="BodyText"/>
        <w:tabs>
          <w:tab w:val="left" w:pos="0"/>
        </w:tabs>
        <w:suppressAutoHyphens/>
        <w:spacing w:line="240" w:lineRule="auto"/>
        <w:jc w:val="both"/>
        <w:rPr>
          <w:b w:val="0"/>
          <w:sz w:val="28"/>
          <w:lang w:val="lv-LV"/>
        </w:rPr>
      </w:pPr>
      <w:r>
        <w:rPr>
          <w:b w:val="0"/>
          <w:sz w:val="28"/>
          <w:lang w:val="lv-LV"/>
        </w:rPr>
        <w:tab/>
      </w:r>
      <w:r w:rsidR="00775D89">
        <w:rPr>
          <w:b w:val="0"/>
          <w:sz w:val="28"/>
          <w:lang w:val="lv-LV"/>
        </w:rPr>
        <w:t xml:space="preserve">Zemāk </w:t>
      </w:r>
      <w:r w:rsidR="00775D89" w:rsidRPr="00892962">
        <w:rPr>
          <w:b w:val="0"/>
          <w:sz w:val="28"/>
          <w:lang w:val="lv-LV"/>
        </w:rPr>
        <w:t xml:space="preserve">izcelti </w:t>
      </w:r>
      <w:r w:rsidR="00775D89">
        <w:rPr>
          <w:b w:val="0"/>
          <w:sz w:val="28"/>
          <w:lang w:val="lv-LV"/>
        </w:rPr>
        <w:t>PV</w:t>
      </w:r>
      <w:r w:rsidR="00775D89" w:rsidRPr="00892962">
        <w:rPr>
          <w:b w:val="0"/>
          <w:sz w:val="28"/>
          <w:lang w:val="lv-LV"/>
        </w:rPr>
        <w:t xml:space="preserve">, kuros ir ievērojams </w:t>
      </w:r>
      <w:r w:rsidR="00775D89" w:rsidRPr="009365A2">
        <w:rPr>
          <w:b w:val="0"/>
          <w:sz w:val="28"/>
          <w:lang w:val="lv-LV"/>
        </w:rPr>
        <w:t>risks nesasniegt DP noteikto 2018.</w:t>
      </w:r>
      <w:r w:rsidR="005C4C4B" w:rsidRPr="009365A2">
        <w:rPr>
          <w:b w:val="0"/>
          <w:sz w:val="28"/>
          <w:lang w:val="lv-LV"/>
        </w:rPr>
        <w:t> </w:t>
      </w:r>
      <w:r w:rsidR="00775D89" w:rsidRPr="009365A2">
        <w:rPr>
          <w:b w:val="0"/>
          <w:sz w:val="28"/>
          <w:lang w:val="lv-LV"/>
        </w:rPr>
        <w:t>gada beigu snieguma ietvara mērķi un attiecīgi risks nesaņemt iespēju izmantot snieguma rezerves finansējumu konkrētajā</w:t>
      </w:r>
      <w:r w:rsidR="00775D89" w:rsidRPr="000D34AF">
        <w:rPr>
          <w:b w:val="0"/>
          <w:sz w:val="28"/>
          <w:lang w:val="lv-LV"/>
        </w:rPr>
        <w:t xml:space="preserve"> PV (kopā </w:t>
      </w:r>
      <w:r w:rsidR="00775D89">
        <w:rPr>
          <w:b w:val="0"/>
          <w:sz w:val="28"/>
          <w:lang w:val="lv-LV"/>
        </w:rPr>
        <w:t>144,8</w:t>
      </w:r>
      <w:r w:rsidR="00775D89" w:rsidRPr="000D34AF">
        <w:rPr>
          <w:b w:val="0"/>
          <w:sz w:val="28"/>
          <w:lang w:val="lv-LV"/>
        </w:rPr>
        <w:t xml:space="preserve"> </w:t>
      </w:r>
      <w:r w:rsidR="005C4C4B">
        <w:rPr>
          <w:b w:val="0"/>
          <w:sz w:val="28"/>
          <w:lang w:val="lv-LV"/>
        </w:rPr>
        <w:t xml:space="preserve">milj. </w:t>
      </w:r>
      <w:r w:rsidR="005C4C4B" w:rsidRPr="005C4C4B">
        <w:rPr>
          <w:b w:val="0"/>
          <w:i/>
          <w:sz w:val="28"/>
          <w:lang w:val="lv-LV"/>
        </w:rPr>
        <w:t>euro</w:t>
      </w:r>
      <w:r w:rsidR="00775D89" w:rsidRPr="000D34AF">
        <w:rPr>
          <w:b w:val="0"/>
          <w:sz w:val="28"/>
          <w:lang w:val="lv-LV"/>
        </w:rPr>
        <w:t>), un iespējamie pasākumi, lai novērstu risku:</w:t>
      </w:r>
    </w:p>
    <w:p w14:paraId="337596CC" w14:textId="77777777" w:rsidR="00775D89" w:rsidRPr="009F5562" w:rsidRDefault="00775D89" w:rsidP="003B5107">
      <w:pPr>
        <w:pStyle w:val="BodyText"/>
        <w:numPr>
          <w:ilvl w:val="0"/>
          <w:numId w:val="40"/>
        </w:numPr>
        <w:tabs>
          <w:tab w:val="left" w:pos="0"/>
        </w:tabs>
        <w:suppressAutoHyphens/>
        <w:spacing w:line="240" w:lineRule="auto"/>
        <w:jc w:val="both"/>
        <w:rPr>
          <w:b w:val="0"/>
          <w:sz w:val="28"/>
          <w:lang w:val="lv-LV"/>
        </w:rPr>
      </w:pPr>
      <w:r w:rsidRPr="009F5562">
        <w:rPr>
          <w:sz w:val="28"/>
          <w:lang w:val="lv-LV"/>
        </w:rPr>
        <w:t xml:space="preserve">9 PV (veselība, sociālā iekļaušana): </w:t>
      </w:r>
    </w:p>
    <w:p w14:paraId="4126DBA3" w14:textId="67D66D20" w:rsidR="00775D89" w:rsidRPr="00E44879" w:rsidRDefault="00775D89" w:rsidP="009365A2">
      <w:pPr>
        <w:pStyle w:val="BodyText"/>
        <w:numPr>
          <w:ilvl w:val="0"/>
          <w:numId w:val="39"/>
        </w:numPr>
        <w:tabs>
          <w:tab w:val="left" w:pos="0"/>
        </w:tabs>
        <w:suppressAutoHyphens/>
        <w:spacing w:line="240" w:lineRule="auto"/>
        <w:ind w:left="0" w:firstLine="0"/>
        <w:jc w:val="both"/>
        <w:rPr>
          <w:b w:val="0"/>
          <w:sz w:val="28"/>
          <w:lang w:val="lv-LV"/>
        </w:rPr>
      </w:pPr>
      <w:r w:rsidRPr="009F5562">
        <w:rPr>
          <w:sz w:val="28"/>
          <w:lang w:val="lv-LV"/>
        </w:rPr>
        <w:t>ERAF – augsts risks zaudēt snieguma rezervi 11,8</w:t>
      </w:r>
      <w:r w:rsidR="005C7161">
        <w:rPr>
          <w:sz w:val="28"/>
          <w:lang w:val="lv-LV"/>
        </w:rPr>
        <w:t> </w:t>
      </w:r>
      <w:r w:rsidRPr="009F5562">
        <w:rPr>
          <w:sz w:val="28"/>
          <w:lang w:val="lv-LV"/>
        </w:rPr>
        <w:t>milj.</w:t>
      </w:r>
      <w:r w:rsidR="005C7161">
        <w:rPr>
          <w:sz w:val="28"/>
          <w:lang w:val="lv-LV"/>
        </w:rPr>
        <w:t> </w:t>
      </w:r>
      <w:r w:rsidRPr="009F5562">
        <w:rPr>
          <w:i/>
          <w:sz w:val="28"/>
          <w:lang w:val="lv-LV"/>
        </w:rPr>
        <w:t>euro</w:t>
      </w:r>
      <w:r>
        <w:rPr>
          <w:b w:val="0"/>
          <w:i/>
          <w:sz w:val="28"/>
          <w:lang w:val="lv-LV"/>
        </w:rPr>
        <w:t>.</w:t>
      </w:r>
      <w:r w:rsidRPr="009F5562">
        <w:rPr>
          <w:b w:val="0"/>
          <w:i/>
          <w:sz w:val="28"/>
          <w:lang w:val="lv-LV"/>
        </w:rPr>
        <w:t xml:space="preserve"> </w:t>
      </w:r>
      <w:r>
        <w:rPr>
          <w:b w:val="0"/>
          <w:sz w:val="28"/>
          <w:lang w:val="lv-LV"/>
        </w:rPr>
        <w:t>Ja EK neatbalsta DP 3.</w:t>
      </w:r>
      <w:r w:rsidR="00F4624E">
        <w:rPr>
          <w:b w:val="0"/>
          <w:sz w:val="28"/>
          <w:lang w:val="lv-LV"/>
        </w:rPr>
        <w:t> </w:t>
      </w:r>
      <w:r>
        <w:rPr>
          <w:b w:val="0"/>
          <w:sz w:val="28"/>
          <w:lang w:val="lv-LV"/>
        </w:rPr>
        <w:t>grozījumu priekšlikumu, ar kuriem tiek samazināts snieguma mērķis, tad nav iespējams sasniegt esošā mērķa minimālo robežu. Bez DP 3.</w:t>
      </w:r>
      <w:r w:rsidR="00F4624E">
        <w:rPr>
          <w:b w:val="0"/>
          <w:sz w:val="28"/>
          <w:lang w:val="lv-LV"/>
        </w:rPr>
        <w:t> </w:t>
      </w:r>
      <w:r>
        <w:rPr>
          <w:b w:val="0"/>
          <w:sz w:val="28"/>
          <w:lang w:val="lv-LV"/>
        </w:rPr>
        <w:t xml:space="preserve">grozījumiem līdz </w:t>
      </w:r>
      <w:r w:rsidRPr="00E44879">
        <w:rPr>
          <w:b w:val="0"/>
          <w:sz w:val="28"/>
          <w:lang w:val="lv-LV"/>
        </w:rPr>
        <w:t>minim</w:t>
      </w:r>
      <w:r>
        <w:rPr>
          <w:b w:val="0"/>
          <w:sz w:val="28"/>
          <w:lang w:val="lv-LV"/>
        </w:rPr>
        <w:t>ālai</w:t>
      </w:r>
      <w:r w:rsidRPr="00E44879">
        <w:rPr>
          <w:b w:val="0"/>
          <w:sz w:val="28"/>
          <w:lang w:val="lv-LV"/>
        </w:rPr>
        <w:t xml:space="preserve"> mērķa robež</w:t>
      </w:r>
      <w:r>
        <w:rPr>
          <w:b w:val="0"/>
          <w:sz w:val="28"/>
          <w:lang w:val="lv-LV"/>
        </w:rPr>
        <w:t xml:space="preserve">ai trūkst apm. </w:t>
      </w:r>
      <w:r w:rsidR="00FD2B77">
        <w:rPr>
          <w:b w:val="0"/>
          <w:sz w:val="28"/>
          <w:lang w:val="lv-LV"/>
        </w:rPr>
        <w:t>26,9</w:t>
      </w:r>
      <w:r w:rsidR="005C7161">
        <w:rPr>
          <w:b w:val="0"/>
          <w:sz w:val="28"/>
          <w:lang w:val="lv-LV"/>
        </w:rPr>
        <w:t> </w:t>
      </w:r>
      <w:r w:rsidRPr="00E44879">
        <w:rPr>
          <w:b w:val="0"/>
          <w:sz w:val="28"/>
          <w:lang w:val="lv-LV"/>
        </w:rPr>
        <w:t>milj.</w:t>
      </w:r>
      <w:r w:rsidR="005C7161">
        <w:rPr>
          <w:b w:val="0"/>
          <w:sz w:val="28"/>
          <w:lang w:val="lv-LV"/>
        </w:rPr>
        <w:t> </w:t>
      </w:r>
      <w:r w:rsidRPr="00E44879">
        <w:rPr>
          <w:b w:val="0"/>
          <w:i/>
          <w:sz w:val="28"/>
          <w:lang w:val="lv-LV"/>
        </w:rPr>
        <w:t>euro</w:t>
      </w:r>
      <w:r w:rsidRPr="00E44879">
        <w:rPr>
          <w:b w:val="0"/>
          <w:sz w:val="28"/>
          <w:lang w:val="lv-LV"/>
        </w:rPr>
        <w:t xml:space="preserve">. Vienlaikus CFLA prognozē piemērotā ticamības korekcija rāda iespēju uzlabotam sniegumam </w:t>
      </w:r>
      <w:r>
        <w:rPr>
          <w:b w:val="0"/>
          <w:sz w:val="28"/>
          <w:lang w:val="lv-LV"/>
        </w:rPr>
        <w:t xml:space="preserve">tikai </w:t>
      </w:r>
      <w:r w:rsidRPr="00E44879">
        <w:rPr>
          <w:b w:val="0"/>
          <w:sz w:val="28"/>
          <w:lang w:val="lv-LV"/>
        </w:rPr>
        <w:t xml:space="preserve">līdz </w:t>
      </w:r>
      <w:r w:rsidR="00FD2B77">
        <w:rPr>
          <w:b w:val="0"/>
          <w:sz w:val="28"/>
          <w:lang w:val="lv-LV"/>
        </w:rPr>
        <w:t>4,0</w:t>
      </w:r>
      <w:r w:rsidR="005C7161">
        <w:rPr>
          <w:b w:val="0"/>
          <w:sz w:val="28"/>
          <w:lang w:val="lv-LV"/>
        </w:rPr>
        <w:t> </w:t>
      </w:r>
      <w:r w:rsidRPr="00E44879">
        <w:rPr>
          <w:b w:val="0"/>
          <w:sz w:val="28"/>
          <w:lang w:val="lv-LV"/>
        </w:rPr>
        <w:t>mil</w:t>
      </w:r>
      <w:r>
        <w:rPr>
          <w:b w:val="0"/>
          <w:sz w:val="28"/>
          <w:lang w:val="lv-LV"/>
        </w:rPr>
        <w:t>j.</w:t>
      </w:r>
      <w:r w:rsidR="005C7161">
        <w:rPr>
          <w:b w:val="0"/>
          <w:sz w:val="28"/>
          <w:lang w:val="lv-LV"/>
        </w:rPr>
        <w:t> </w:t>
      </w:r>
      <w:r w:rsidRPr="00E44879">
        <w:rPr>
          <w:b w:val="0"/>
          <w:i/>
          <w:sz w:val="28"/>
          <w:lang w:val="lv-LV"/>
        </w:rPr>
        <w:t xml:space="preserve">euro, </w:t>
      </w:r>
      <w:r w:rsidRPr="00E44879">
        <w:rPr>
          <w:b w:val="0"/>
          <w:sz w:val="28"/>
          <w:lang w:val="lv-LV"/>
        </w:rPr>
        <w:t>ja izpildās īstenotāju plānotais</w:t>
      </w:r>
      <w:r>
        <w:rPr>
          <w:b w:val="0"/>
          <w:sz w:val="28"/>
          <w:lang w:val="lv-LV"/>
        </w:rPr>
        <w:t>, un tas nenosedz nepieciešamo minimālo apjomu</w:t>
      </w:r>
      <w:r w:rsidRPr="00E44879">
        <w:rPr>
          <w:b w:val="0"/>
          <w:sz w:val="28"/>
          <w:lang w:val="lv-LV"/>
        </w:rPr>
        <w:t>.</w:t>
      </w:r>
    </w:p>
    <w:p w14:paraId="0AC4D9A7" w14:textId="6A4C26EE" w:rsidR="00775D89" w:rsidRDefault="00775D89" w:rsidP="009365A2">
      <w:pPr>
        <w:pStyle w:val="BodyText"/>
        <w:tabs>
          <w:tab w:val="left" w:pos="0"/>
        </w:tabs>
        <w:suppressAutoHyphens/>
        <w:spacing w:line="240" w:lineRule="auto"/>
        <w:jc w:val="both"/>
        <w:rPr>
          <w:b w:val="0"/>
          <w:sz w:val="28"/>
          <w:lang w:val="lv-LV"/>
        </w:rPr>
      </w:pPr>
      <w:r>
        <w:rPr>
          <w:sz w:val="28"/>
          <w:lang w:val="lv-LV"/>
        </w:rPr>
        <w:tab/>
      </w:r>
      <w:r w:rsidRPr="00F75917">
        <w:rPr>
          <w:sz w:val="28"/>
          <w:lang w:val="lv-LV"/>
        </w:rPr>
        <w:t xml:space="preserve">Galvenā rīcība: </w:t>
      </w:r>
      <w:r w:rsidRPr="00F75917">
        <w:rPr>
          <w:b w:val="0"/>
          <w:sz w:val="28"/>
          <w:lang w:val="lv-LV"/>
        </w:rPr>
        <w:t xml:space="preserve">(1) </w:t>
      </w:r>
      <w:r>
        <w:rPr>
          <w:b w:val="0"/>
          <w:sz w:val="28"/>
          <w:lang w:val="lv-LV"/>
        </w:rPr>
        <w:t>DP 3.</w:t>
      </w:r>
      <w:r w:rsidR="00F4624E">
        <w:rPr>
          <w:b w:val="0"/>
          <w:sz w:val="28"/>
          <w:lang w:val="lv-LV"/>
        </w:rPr>
        <w:t> </w:t>
      </w:r>
      <w:r>
        <w:rPr>
          <w:b w:val="0"/>
          <w:sz w:val="28"/>
          <w:lang w:val="lv-LV"/>
        </w:rPr>
        <w:t>grozījumu priekšlikuma</w:t>
      </w:r>
      <w:r>
        <w:rPr>
          <w:rStyle w:val="FootnoteReference"/>
          <w:b w:val="0"/>
          <w:sz w:val="28"/>
          <w:lang w:val="lv-LV"/>
        </w:rPr>
        <w:footnoteReference w:id="66"/>
      </w:r>
      <w:r>
        <w:rPr>
          <w:b w:val="0"/>
          <w:sz w:val="28"/>
          <w:lang w:val="lv-LV"/>
        </w:rPr>
        <w:t>, samazinot snieguma mērķi, aizstāvība EK.</w:t>
      </w:r>
    </w:p>
    <w:p w14:paraId="3CDEA28D" w14:textId="2B474BC8" w:rsidR="00775D89" w:rsidRPr="00E44879" w:rsidRDefault="00775D89" w:rsidP="009365A2">
      <w:pPr>
        <w:pStyle w:val="BodyText"/>
        <w:numPr>
          <w:ilvl w:val="0"/>
          <w:numId w:val="39"/>
        </w:numPr>
        <w:tabs>
          <w:tab w:val="left" w:pos="0"/>
        </w:tabs>
        <w:suppressAutoHyphens/>
        <w:spacing w:line="240" w:lineRule="auto"/>
        <w:ind w:left="0" w:firstLine="0"/>
        <w:jc w:val="both"/>
        <w:rPr>
          <w:b w:val="0"/>
          <w:sz w:val="28"/>
          <w:lang w:val="lv-LV"/>
        </w:rPr>
      </w:pPr>
      <w:r w:rsidRPr="00E074AF">
        <w:rPr>
          <w:sz w:val="28"/>
          <w:lang w:val="lv-LV"/>
        </w:rPr>
        <w:lastRenderedPageBreak/>
        <w:t>ESF</w:t>
      </w:r>
      <w:r w:rsidRPr="00E074AF">
        <w:rPr>
          <w:b w:val="0"/>
          <w:sz w:val="28"/>
          <w:lang w:val="lv-LV"/>
        </w:rPr>
        <w:t xml:space="preserve"> – </w:t>
      </w:r>
      <w:r w:rsidRPr="00E074AF">
        <w:rPr>
          <w:sz w:val="28"/>
          <w:lang w:val="lv-LV"/>
        </w:rPr>
        <w:t>augsts risks zaudēt snieguma rezervi 14</w:t>
      </w:r>
      <w:r w:rsidR="005C7161">
        <w:rPr>
          <w:sz w:val="28"/>
          <w:lang w:val="lv-LV"/>
        </w:rPr>
        <w:t> </w:t>
      </w:r>
      <w:r w:rsidRPr="00E074AF">
        <w:rPr>
          <w:sz w:val="28"/>
          <w:lang w:val="lv-LV"/>
        </w:rPr>
        <w:t>milj.</w:t>
      </w:r>
      <w:r w:rsidR="005C7161">
        <w:rPr>
          <w:sz w:val="28"/>
          <w:lang w:val="lv-LV"/>
        </w:rPr>
        <w:t> </w:t>
      </w:r>
      <w:r w:rsidRPr="00E074AF">
        <w:rPr>
          <w:i/>
          <w:sz w:val="28"/>
          <w:lang w:val="lv-LV"/>
        </w:rPr>
        <w:t>euro</w:t>
      </w:r>
      <w:r w:rsidRPr="00E074AF">
        <w:rPr>
          <w:b w:val="0"/>
          <w:i/>
          <w:sz w:val="28"/>
          <w:lang w:val="lv-LV"/>
        </w:rPr>
        <w:t>.</w:t>
      </w:r>
      <w:r w:rsidRPr="00E074AF">
        <w:rPr>
          <w:b w:val="0"/>
          <w:sz w:val="28"/>
          <w:lang w:val="lv-LV"/>
        </w:rPr>
        <w:t xml:space="preserve"> </w:t>
      </w:r>
      <w:r>
        <w:rPr>
          <w:b w:val="0"/>
          <w:sz w:val="28"/>
          <w:lang w:val="lv-LV"/>
        </w:rPr>
        <w:t>Ja EK neatbalsta DP 3.</w:t>
      </w:r>
      <w:r w:rsidR="00F4624E">
        <w:rPr>
          <w:b w:val="0"/>
          <w:sz w:val="28"/>
          <w:lang w:val="lv-LV"/>
        </w:rPr>
        <w:t> </w:t>
      </w:r>
      <w:r>
        <w:rPr>
          <w:b w:val="0"/>
          <w:sz w:val="28"/>
          <w:lang w:val="lv-LV"/>
        </w:rPr>
        <w:t>grozījumu priekšlikumu, ar kuriem tiek samazināts snieguma mērķis, tad nav iespējams sasniegt esošā mērķa minimālo robežu. Bez DP 3.</w:t>
      </w:r>
      <w:r w:rsidR="00F4624E">
        <w:rPr>
          <w:b w:val="0"/>
          <w:sz w:val="28"/>
          <w:lang w:val="lv-LV"/>
        </w:rPr>
        <w:t> </w:t>
      </w:r>
      <w:r>
        <w:rPr>
          <w:b w:val="0"/>
          <w:sz w:val="28"/>
          <w:lang w:val="lv-LV"/>
        </w:rPr>
        <w:t xml:space="preserve">grozījumiem līdz </w:t>
      </w:r>
      <w:r w:rsidRPr="00E44879">
        <w:rPr>
          <w:b w:val="0"/>
          <w:sz w:val="28"/>
          <w:lang w:val="lv-LV"/>
        </w:rPr>
        <w:t>minim</w:t>
      </w:r>
      <w:r>
        <w:rPr>
          <w:b w:val="0"/>
          <w:sz w:val="28"/>
          <w:lang w:val="lv-LV"/>
        </w:rPr>
        <w:t>ālai</w:t>
      </w:r>
      <w:r w:rsidRPr="00E44879">
        <w:rPr>
          <w:b w:val="0"/>
          <w:sz w:val="28"/>
          <w:lang w:val="lv-LV"/>
        </w:rPr>
        <w:t xml:space="preserve"> mērķa robež</w:t>
      </w:r>
      <w:r>
        <w:rPr>
          <w:b w:val="0"/>
          <w:sz w:val="28"/>
          <w:lang w:val="lv-LV"/>
        </w:rPr>
        <w:t>ai trūkst apm.</w:t>
      </w:r>
      <w:r w:rsidR="00FD2B77">
        <w:rPr>
          <w:b w:val="0"/>
          <w:sz w:val="28"/>
          <w:lang w:val="lv-LV"/>
        </w:rPr>
        <w:t>22,1</w:t>
      </w:r>
      <w:r w:rsidR="005C7161">
        <w:rPr>
          <w:b w:val="0"/>
          <w:sz w:val="28"/>
          <w:lang w:val="lv-LV"/>
        </w:rPr>
        <w:t> </w:t>
      </w:r>
      <w:r w:rsidRPr="00E44879">
        <w:rPr>
          <w:b w:val="0"/>
          <w:sz w:val="28"/>
          <w:lang w:val="lv-LV"/>
        </w:rPr>
        <w:t>milj.</w:t>
      </w:r>
      <w:r w:rsidR="005C7161">
        <w:rPr>
          <w:b w:val="0"/>
          <w:sz w:val="28"/>
          <w:lang w:val="lv-LV"/>
        </w:rPr>
        <w:t> </w:t>
      </w:r>
      <w:r w:rsidRPr="00E44879">
        <w:rPr>
          <w:b w:val="0"/>
          <w:i/>
          <w:sz w:val="28"/>
          <w:lang w:val="lv-LV"/>
        </w:rPr>
        <w:t>euro</w:t>
      </w:r>
      <w:r w:rsidRPr="00E44879">
        <w:rPr>
          <w:b w:val="0"/>
          <w:sz w:val="28"/>
          <w:lang w:val="lv-LV"/>
        </w:rPr>
        <w:t xml:space="preserve">. Vienlaikus CFLA prognozē piemērotā ticamības korekcija rāda iespēju uzlabotam sniegumam </w:t>
      </w:r>
      <w:r>
        <w:rPr>
          <w:b w:val="0"/>
          <w:sz w:val="28"/>
          <w:lang w:val="lv-LV"/>
        </w:rPr>
        <w:t xml:space="preserve">tikai </w:t>
      </w:r>
      <w:r w:rsidRPr="00E44879">
        <w:rPr>
          <w:b w:val="0"/>
          <w:sz w:val="28"/>
          <w:lang w:val="lv-LV"/>
        </w:rPr>
        <w:t xml:space="preserve">līdz </w:t>
      </w:r>
      <w:r w:rsidR="00FD2B77">
        <w:rPr>
          <w:b w:val="0"/>
          <w:sz w:val="28"/>
          <w:lang w:val="lv-LV"/>
        </w:rPr>
        <w:t>6,7</w:t>
      </w:r>
      <w:r w:rsidR="005C7161">
        <w:rPr>
          <w:b w:val="0"/>
          <w:sz w:val="28"/>
          <w:lang w:val="lv-LV"/>
        </w:rPr>
        <w:t> </w:t>
      </w:r>
      <w:r w:rsidRPr="00E44879">
        <w:rPr>
          <w:b w:val="0"/>
          <w:sz w:val="28"/>
          <w:lang w:val="lv-LV"/>
        </w:rPr>
        <w:t>mil</w:t>
      </w:r>
      <w:r>
        <w:rPr>
          <w:b w:val="0"/>
          <w:sz w:val="28"/>
          <w:lang w:val="lv-LV"/>
        </w:rPr>
        <w:t>j</w:t>
      </w:r>
      <w:r w:rsidRPr="00E44879">
        <w:rPr>
          <w:b w:val="0"/>
          <w:sz w:val="28"/>
          <w:lang w:val="lv-LV"/>
        </w:rPr>
        <w:t>.</w:t>
      </w:r>
      <w:r w:rsidR="005C7161">
        <w:rPr>
          <w:b w:val="0"/>
          <w:sz w:val="28"/>
          <w:lang w:val="lv-LV"/>
        </w:rPr>
        <w:t> </w:t>
      </w:r>
      <w:r w:rsidRPr="00E44879">
        <w:rPr>
          <w:b w:val="0"/>
          <w:i/>
          <w:sz w:val="28"/>
          <w:lang w:val="lv-LV"/>
        </w:rPr>
        <w:t xml:space="preserve">euro, </w:t>
      </w:r>
      <w:r w:rsidRPr="00E44879">
        <w:rPr>
          <w:b w:val="0"/>
          <w:sz w:val="28"/>
          <w:lang w:val="lv-LV"/>
        </w:rPr>
        <w:t>ja izpildās īstenotāju plānotais</w:t>
      </w:r>
      <w:r>
        <w:rPr>
          <w:b w:val="0"/>
          <w:sz w:val="28"/>
          <w:lang w:val="lv-LV"/>
        </w:rPr>
        <w:t>, un tas nenosedz nepieciešamo minimālo apjomu</w:t>
      </w:r>
      <w:r w:rsidRPr="00E44879">
        <w:rPr>
          <w:b w:val="0"/>
          <w:sz w:val="28"/>
          <w:lang w:val="lv-LV"/>
        </w:rPr>
        <w:t>.</w:t>
      </w:r>
      <w:r>
        <w:rPr>
          <w:b w:val="0"/>
          <w:sz w:val="28"/>
          <w:lang w:val="lv-LV"/>
        </w:rPr>
        <w:t xml:space="preserve"> Vienlaikus arī ar samazinātu snieguma mērķi neliels risks saglabājas, ja ir ievērojamas novirzes īstenotāju plānos un iestājas kādi neparedzēti riski.</w:t>
      </w:r>
    </w:p>
    <w:p w14:paraId="440ECE9E" w14:textId="42CD2151" w:rsidR="00775D89" w:rsidRDefault="00775D89" w:rsidP="009365A2">
      <w:pPr>
        <w:pStyle w:val="BodyText"/>
        <w:tabs>
          <w:tab w:val="left" w:pos="0"/>
        </w:tabs>
        <w:suppressAutoHyphens/>
        <w:spacing w:line="240" w:lineRule="auto"/>
        <w:jc w:val="both"/>
        <w:rPr>
          <w:sz w:val="28"/>
          <w:lang w:val="lv-LV"/>
        </w:rPr>
      </w:pPr>
      <w:r w:rsidRPr="00E074AF">
        <w:rPr>
          <w:sz w:val="28"/>
          <w:lang w:val="lv-LV"/>
        </w:rPr>
        <w:t>Galvenā rīcība:</w:t>
      </w:r>
    </w:p>
    <w:p w14:paraId="0719639C" w14:textId="6E486991" w:rsidR="00775D89" w:rsidRDefault="00775D89" w:rsidP="009365A2">
      <w:pPr>
        <w:pStyle w:val="BodyText"/>
        <w:tabs>
          <w:tab w:val="left" w:pos="0"/>
        </w:tabs>
        <w:suppressAutoHyphens/>
        <w:spacing w:line="240" w:lineRule="auto"/>
        <w:jc w:val="both"/>
        <w:rPr>
          <w:b w:val="0"/>
          <w:sz w:val="28"/>
          <w:lang w:val="lv-LV"/>
        </w:rPr>
      </w:pPr>
      <w:r w:rsidRPr="00E074AF">
        <w:rPr>
          <w:b w:val="0"/>
          <w:sz w:val="28"/>
          <w:lang w:val="lv-LV"/>
        </w:rPr>
        <w:t>(1) DP 3.</w:t>
      </w:r>
      <w:r w:rsidR="00F4624E">
        <w:rPr>
          <w:b w:val="0"/>
          <w:sz w:val="28"/>
          <w:lang w:val="lv-LV"/>
        </w:rPr>
        <w:t> </w:t>
      </w:r>
      <w:r w:rsidRPr="00E074AF">
        <w:rPr>
          <w:b w:val="0"/>
          <w:sz w:val="28"/>
          <w:lang w:val="lv-LV"/>
        </w:rPr>
        <w:t>grozījumu priekšlikuma, samazinot snieguma mērķi, aizstāvība EK</w:t>
      </w:r>
      <w:r>
        <w:rPr>
          <w:b w:val="0"/>
          <w:sz w:val="28"/>
          <w:lang w:val="lv-LV"/>
        </w:rPr>
        <w:t xml:space="preserve">; </w:t>
      </w:r>
    </w:p>
    <w:p w14:paraId="740F13D6" w14:textId="41CAC4FA" w:rsidR="00775D89" w:rsidRDefault="00775D89" w:rsidP="009365A2">
      <w:pPr>
        <w:pStyle w:val="BodyText"/>
        <w:tabs>
          <w:tab w:val="left" w:pos="0"/>
        </w:tabs>
        <w:suppressAutoHyphens/>
        <w:spacing w:line="240" w:lineRule="auto"/>
        <w:jc w:val="both"/>
        <w:rPr>
          <w:b w:val="0"/>
          <w:sz w:val="28"/>
          <w:lang w:val="lv-LV"/>
        </w:rPr>
      </w:pPr>
      <w:r>
        <w:rPr>
          <w:b w:val="0"/>
          <w:sz w:val="28"/>
          <w:lang w:val="lv-LV"/>
        </w:rPr>
        <w:t xml:space="preserve">(2) </w:t>
      </w:r>
      <w:r w:rsidRPr="00E074AF">
        <w:rPr>
          <w:b w:val="0"/>
          <w:sz w:val="28"/>
          <w:lang w:val="lv-LV"/>
        </w:rPr>
        <w:t>Stingra ikmēneša plānu ieviešanas uzraudzība, finanšu disciplīna, CFLA sadarbība</w:t>
      </w:r>
      <w:r w:rsidR="00AF462E">
        <w:rPr>
          <w:b w:val="0"/>
          <w:sz w:val="28"/>
          <w:lang w:val="lv-LV"/>
        </w:rPr>
        <w:t xml:space="preserve"> ar</w:t>
      </w:r>
      <w:r w:rsidRPr="00E074AF">
        <w:rPr>
          <w:b w:val="0"/>
          <w:sz w:val="28"/>
          <w:lang w:val="lv-LV"/>
        </w:rPr>
        <w:t xml:space="preserve"> </w:t>
      </w:r>
      <w:r w:rsidR="0098167F">
        <w:rPr>
          <w:b w:val="0"/>
          <w:sz w:val="28"/>
          <w:lang w:val="lv-LV"/>
        </w:rPr>
        <w:t>projektu</w:t>
      </w:r>
      <w:r w:rsidRPr="00E074AF">
        <w:rPr>
          <w:b w:val="0"/>
          <w:sz w:val="28"/>
          <w:lang w:val="lv-LV"/>
        </w:rPr>
        <w:t xml:space="preserve"> </w:t>
      </w:r>
      <w:r w:rsidR="0098167F">
        <w:rPr>
          <w:b w:val="0"/>
          <w:sz w:val="28"/>
          <w:lang w:val="lv-LV"/>
        </w:rPr>
        <w:t>sagatavotājiem/</w:t>
      </w:r>
      <w:r w:rsidRPr="00E074AF">
        <w:rPr>
          <w:b w:val="0"/>
          <w:sz w:val="28"/>
          <w:lang w:val="lv-LV"/>
        </w:rPr>
        <w:t>īstenot</w:t>
      </w:r>
      <w:r>
        <w:rPr>
          <w:b w:val="0"/>
          <w:sz w:val="28"/>
          <w:lang w:val="lv-LV"/>
        </w:rPr>
        <w:t>ājiem</w:t>
      </w:r>
      <w:r w:rsidR="0098167F">
        <w:rPr>
          <w:b w:val="0"/>
          <w:sz w:val="28"/>
          <w:lang w:val="lv-LV"/>
        </w:rPr>
        <w:t>,</w:t>
      </w:r>
      <w:r w:rsidR="0098167F" w:rsidRPr="0098167F">
        <w:rPr>
          <w:b w:val="0"/>
          <w:sz w:val="28"/>
          <w:lang w:val="lv-LV"/>
        </w:rPr>
        <w:t xml:space="preserve"> </w:t>
      </w:r>
      <w:r w:rsidR="0098167F">
        <w:rPr>
          <w:b w:val="0"/>
          <w:sz w:val="28"/>
          <w:lang w:val="lv-LV"/>
        </w:rPr>
        <w:t>sniedzot konsultatīvu atbalstu projektos konstatēto problēmu risināšanā</w:t>
      </w:r>
      <w:r>
        <w:rPr>
          <w:b w:val="0"/>
          <w:sz w:val="28"/>
          <w:lang w:val="lv-LV"/>
        </w:rPr>
        <w:t>.</w:t>
      </w:r>
      <w:r w:rsidRPr="00E074AF">
        <w:rPr>
          <w:b w:val="0"/>
          <w:sz w:val="28"/>
          <w:lang w:val="lv-LV"/>
        </w:rPr>
        <w:t xml:space="preserve"> </w:t>
      </w:r>
    </w:p>
    <w:p w14:paraId="0178F37B" w14:textId="77777777" w:rsidR="00775D89" w:rsidRPr="00CD0CBE" w:rsidRDefault="00775D89" w:rsidP="009365A2">
      <w:pPr>
        <w:pStyle w:val="BodyText"/>
        <w:numPr>
          <w:ilvl w:val="0"/>
          <w:numId w:val="40"/>
        </w:numPr>
        <w:tabs>
          <w:tab w:val="left" w:pos="0"/>
        </w:tabs>
        <w:suppressAutoHyphens/>
        <w:spacing w:line="240" w:lineRule="auto"/>
        <w:ind w:left="0" w:firstLine="0"/>
        <w:jc w:val="both"/>
        <w:rPr>
          <w:b w:val="0"/>
          <w:sz w:val="28"/>
          <w:lang w:val="lv-LV"/>
        </w:rPr>
      </w:pPr>
      <w:r w:rsidRPr="00AB496F">
        <w:rPr>
          <w:sz w:val="28"/>
          <w:lang w:val="lv-LV"/>
        </w:rPr>
        <w:t>8 PV (izglītība)</w:t>
      </w:r>
      <w:r>
        <w:rPr>
          <w:sz w:val="28"/>
          <w:lang w:val="lv-LV"/>
        </w:rPr>
        <w:t>:</w:t>
      </w:r>
    </w:p>
    <w:p w14:paraId="1821572E" w14:textId="34FA186F" w:rsidR="00775D89" w:rsidRPr="00F75917" w:rsidRDefault="00775D89" w:rsidP="009365A2">
      <w:pPr>
        <w:pStyle w:val="BodyText"/>
        <w:numPr>
          <w:ilvl w:val="0"/>
          <w:numId w:val="38"/>
        </w:numPr>
        <w:tabs>
          <w:tab w:val="left" w:pos="0"/>
        </w:tabs>
        <w:suppressAutoHyphens/>
        <w:spacing w:line="240" w:lineRule="auto"/>
        <w:ind w:left="0" w:firstLine="0"/>
        <w:jc w:val="both"/>
        <w:rPr>
          <w:b w:val="0"/>
          <w:sz w:val="28"/>
          <w:lang w:val="lv-LV"/>
        </w:rPr>
      </w:pPr>
      <w:r w:rsidRPr="00F75917">
        <w:rPr>
          <w:sz w:val="28"/>
          <w:lang w:val="lv-LV"/>
        </w:rPr>
        <w:t xml:space="preserve">ERAF – </w:t>
      </w:r>
      <w:r>
        <w:rPr>
          <w:sz w:val="28"/>
          <w:lang w:val="lv-LV"/>
        </w:rPr>
        <w:t xml:space="preserve">augsts </w:t>
      </w:r>
      <w:r w:rsidRPr="00E44879">
        <w:rPr>
          <w:sz w:val="28"/>
          <w:lang w:val="lv-LV"/>
        </w:rPr>
        <w:t>risks zaudēt snieguma rezervi 16,9</w:t>
      </w:r>
      <w:r w:rsidR="005C7161">
        <w:rPr>
          <w:sz w:val="28"/>
          <w:lang w:val="lv-LV"/>
        </w:rPr>
        <w:t> </w:t>
      </w:r>
      <w:r w:rsidRPr="00E44879">
        <w:rPr>
          <w:sz w:val="28"/>
          <w:lang w:val="lv-LV"/>
        </w:rPr>
        <w:t>milj.</w:t>
      </w:r>
      <w:r w:rsidR="005C7161">
        <w:rPr>
          <w:sz w:val="28"/>
          <w:lang w:val="lv-LV"/>
        </w:rPr>
        <w:t> </w:t>
      </w:r>
      <w:r w:rsidRPr="00E44879">
        <w:rPr>
          <w:i/>
          <w:sz w:val="28"/>
          <w:lang w:val="lv-LV"/>
        </w:rPr>
        <w:t>euro</w:t>
      </w:r>
      <w:r w:rsidRPr="00F75917">
        <w:rPr>
          <w:b w:val="0"/>
          <w:i/>
          <w:sz w:val="28"/>
          <w:lang w:val="lv-LV"/>
        </w:rPr>
        <w:t xml:space="preserve">, </w:t>
      </w:r>
      <w:r w:rsidRPr="00F75917">
        <w:rPr>
          <w:b w:val="0"/>
          <w:sz w:val="28"/>
          <w:lang w:val="lv-LV"/>
        </w:rPr>
        <w:t xml:space="preserve">ja ievērojami nepiepildās projektu īstenotāju plānotā plūsma. Projektu īstenotāju plāni ir ļoti optimistiski un neliecina par risku. </w:t>
      </w:r>
      <w:r w:rsidR="002D2C37" w:rsidRPr="002D2C37">
        <w:rPr>
          <w:b w:val="0"/>
          <w:sz w:val="28"/>
          <w:lang w:val="lv-LV"/>
        </w:rPr>
        <w:t xml:space="preserve">Tomēr, tā kā projektos ir nozīmīga daļa infrastruktūras iepirkumiem un jau ir konstatētas problēmas (saņemti pretendentu atteikumi, projektos veidojas sadārdzinājumi, nepieciešami līguma grozījumi, kavējas būvprojektu saskaņošana), kas var radīt gan kavējumus, gan finanšu korekcijas konstatēto pārkāpumu dēļ, CFLA aplēse gada beigās rāda, ka ir augsts risks nesasniegt minimālo mērķa robežu par apm. </w:t>
      </w:r>
      <w:r w:rsidR="00FD2B77">
        <w:rPr>
          <w:b w:val="0"/>
          <w:sz w:val="28"/>
          <w:lang w:val="lv-LV"/>
        </w:rPr>
        <w:t>9,7</w:t>
      </w:r>
      <w:r w:rsidR="002D2C37" w:rsidRPr="002D2C37">
        <w:rPr>
          <w:b w:val="0"/>
          <w:sz w:val="28"/>
          <w:lang w:val="lv-LV"/>
        </w:rPr>
        <w:t> milj. </w:t>
      </w:r>
      <w:r w:rsidRPr="00F75917">
        <w:rPr>
          <w:b w:val="0"/>
          <w:i/>
          <w:sz w:val="28"/>
          <w:lang w:val="lv-LV"/>
        </w:rPr>
        <w:t>euro</w:t>
      </w:r>
      <w:r w:rsidRPr="00F75917">
        <w:rPr>
          <w:b w:val="0"/>
          <w:sz w:val="28"/>
          <w:lang w:val="lv-LV"/>
        </w:rPr>
        <w:t>. Vienlaikus</w:t>
      </w:r>
      <w:r>
        <w:rPr>
          <w:b w:val="0"/>
          <w:sz w:val="28"/>
          <w:lang w:val="lv-LV"/>
        </w:rPr>
        <w:t xml:space="preserve"> šajā</w:t>
      </w:r>
      <w:r w:rsidRPr="00F75917">
        <w:rPr>
          <w:b w:val="0"/>
          <w:sz w:val="28"/>
          <w:lang w:val="lv-LV"/>
        </w:rPr>
        <w:t xml:space="preserve"> CFLA prognozē piemērotā ticamības korekcija rāda iespēju uzlabotam sniegumam līdz </w:t>
      </w:r>
      <w:r w:rsidR="00FD2B77">
        <w:rPr>
          <w:b w:val="0"/>
          <w:sz w:val="28"/>
          <w:lang w:val="lv-LV"/>
        </w:rPr>
        <w:t>41,0</w:t>
      </w:r>
      <w:r w:rsidR="005C7161">
        <w:rPr>
          <w:b w:val="0"/>
          <w:sz w:val="28"/>
          <w:lang w:val="lv-LV"/>
        </w:rPr>
        <w:t> </w:t>
      </w:r>
      <w:r w:rsidRPr="00F75917">
        <w:rPr>
          <w:b w:val="0"/>
          <w:sz w:val="28"/>
          <w:lang w:val="lv-LV"/>
        </w:rPr>
        <w:t>mil</w:t>
      </w:r>
      <w:r>
        <w:rPr>
          <w:b w:val="0"/>
          <w:sz w:val="28"/>
          <w:lang w:val="lv-LV"/>
        </w:rPr>
        <w:t>j</w:t>
      </w:r>
      <w:r w:rsidRPr="00F75917">
        <w:rPr>
          <w:b w:val="0"/>
          <w:sz w:val="28"/>
          <w:lang w:val="lv-LV"/>
        </w:rPr>
        <w:t>.</w:t>
      </w:r>
      <w:r w:rsidR="005C7161">
        <w:rPr>
          <w:b w:val="0"/>
          <w:sz w:val="28"/>
          <w:lang w:val="lv-LV"/>
        </w:rPr>
        <w:t> </w:t>
      </w:r>
      <w:r w:rsidRPr="00F75917">
        <w:rPr>
          <w:b w:val="0"/>
          <w:i/>
          <w:sz w:val="28"/>
          <w:lang w:val="lv-LV"/>
        </w:rPr>
        <w:t>euro</w:t>
      </w:r>
      <w:r>
        <w:rPr>
          <w:b w:val="0"/>
          <w:i/>
          <w:sz w:val="28"/>
          <w:lang w:val="lv-LV"/>
        </w:rPr>
        <w:t xml:space="preserve">, </w:t>
      </w:r>
      <w:r w:rsidRPr="00F75917">
        <w:rPr>
          <w:b w:val="0"/>
          <w:sz w:val="28"/>
          <w:lang w:val="lv-LV"/>
        </w:rPr>
        <w:t>ja izpildās īstenotāju</w:t>
      </w:r>
      <w:r>
        <w:rPr>
          <w:b w:val="0"/>
          <w:sz w:val="28"/>
          <w:lang w:val="lv-LV"/>
        </w:rPr>
        <w:t xml:space="preserve"> plānotais (galvenokārt, vispārējo un profesionālo vidusskolu investīciju projektos. </w:t>
      </w:r>
    </w:p>
    <w:p w14:paraId="521A3A9B" w14:textId="7988392E" w:rsidR="00775D89" w:rsidRDefault="00775D89" w:rsidP="009365A2">
      <w:pPr>
        <w:pStyle w:val="BodyText"/>
        <w:tabs>
          <w:tab w:val="left" w:pos="0"/>
        </w:tabs>
        <w:suppressAutoHyphens/>
        <w:spacing w:line="240" w:lineRule="auto"/>
        <w:jc w:val="both"/>
        <w:rPr>
          <w:sz w:val="28"/>
          <w:lang w:val="lv-LV"/>
        </w:rPr>
      </w:pPr>
      <w:r w:rsidRPr="00F75917">
        <w:rPr>
          <w:sz w:val="28"/>
          <w:lang w:val="lv-LV"/>
        </w:rPr>
        <w:t>Galvenā rīcība:</w:t>
      </w:r>
    </w:p>
    <w:p w14:paraId="534728CF" w14:textId="7230EDF3" w:rsidR="00775D89" w:rsidRDefault="00775D89" w:rsidP="009365A2">
      <w:pPr>
        <w:pStyle w:val="BodyText"/>
        <w:tabs>
          <w:tab w:val="left" w:pos="0"/>
        </w:tabs>
        <w:suppressAutoHyphens/>
        <w:spacing w:line="240" w:lineRule="auto"/>
        <w:jc w:val="both"/>
        <w:rPr>
          <w:b w:val="0"/>
          <w:sz w:val="28"/>
          <w:lang w:val="lv-LV"/>
        </w:rPr>
      </w:pPr>
      <w:r w:rsidRPr="00F75917">
        <w:rPr>
          <w:b w:val="0"/>
          <w:sz w:val="28"/>
          <w:lang w:val="lv-LV"/>
        </w:rPr>
        <w:t xml:space="preserve">(1) Stingra </w:t>
      </w:r>
      <w:r>
        <w:rPr>
          <w:b w:val="0"/>
          <w:sz w:val="28"/>
          <w:lang w:val="lv-LV"/>
        </w:rPr>
        <w:t xml:space="preserve">ikmēneša plānu </w:t>
      </w:r>
      <w:r w:rsidRPr="00F75917">
        <w:rPr>
          <w:b w:val="0"/>
          <w:sz w:val="28"/>
          <w:lang w:val="lv-LV"/>
        </w:rPr>
        <w:t>ieviešanas uzraudzība, finanšu disciplīna</w:t>
      </w:r>
      <w:r>
        <w:rPr>
          <w:b w:val="0"/>
          <w:sz w:val="28"/>
          <w:lang w:val="lv-LV"/>
        </w:rPr>
        <w:t>, CFLA sadarbība</w:t>
      </w:r>
      <w:r w:rsidR="00AF462E">
        <w:rPr>
          <w:b w:val="0"/>
          <w:sz w:val="28"/>
          <w:lang w:val="lv-LV"/>
        </w:rPr>
        <w:t xml:space="preserve"> ar</w:t>
      </w:r>
      <w:r>
        <w:rPr>
          <w:b w:val="0"/>
          <w:sz w:val="28"/>
          <w:lang w:val="lv-LV"/>
        </w:rPr>
        <w:t xml:space="preserve"> </w:t>
      </w:r>
      <w:r w:rsidR="0098167F">
        <w:rPr>
          <w:b w:val="0"/>
          <w:sz w:val="28"/>
          <w:lang w:val="lv-LV"/>
        </w:rPr>
        <w:t>projektu sagatavotājiem/</w:t>
      </w:r>
      <w:r>
        <w:rPr>
          <w:b w:val="0"/>
          <w:sz w:val="28"/>
          <w:lang w:val="lv-LV"/>
        </w:rPr>
        <w:t xml:space="preserve">īstenotājiem, </w:t>
      </w:r>
      <w:r w:rsidR="00AF462E">
        <w:rPr>
          <w:b w:val="0"/>
          <w:sz w:val="28"/>
          <w:lang w:val="lv-LV"/>
        </w:rPr>
        <w:t>sniedzot konsultatīvu atbalstu projektos konstatēto problēmu risināšan</w:t>
      </w:r>
      <w:r w:rsidR="00431BD2">
        <w:rPr>
          <w:b w:val="0"/>
          <w:sz w:val="28"/>
          <w:lang w:val="lv-LV"/>
        </w:rPr>
        <w:t>ā.</w:t>
      </w:r>
      <w:r>
        <w:rPr>
          <w:b w:val="0"/>
          <w:sz w:val="28"/>
          <w:lang w:val="lv-LV"/>
        </w:rPr>
        <w:t xml:space="preserve">; </w:t>
      </w:r>
    </w:p>
    <w:p w14:paraId="6BF55CEC" w14:textId="69A554B6" w:rsidR="00775D89" w:rsidRPr="00F75917" w:rsidRDefault="00775D89" w:rsidP="009365A2">
      <w:pPr>
        <w:pStyle w:val="BodyText"/>
        <w:tabs>
          <w:tab w:val="left" w:pos="0"/>
        </w:tabs>
        <w:suppressAutoHyphens/>
        <w:spacing w:line="240" w:lineRule="auto"/>
        <w:jc w:val="both"/>
        <w:rPr>
          <w:b w:val="0"/>
          <w:sz w:val="28"/>
          <w:lang w:val="lv-LV"/>
        </w:rPr>
      </w:pPr>
      <w:r>
        <w:rPr>
          <w:b w:val="0"/>
          <w:sz w:val="28"/>
          <w:lang w:val="lv-LV"/>
        </w:rPr>
        <w:t>(2) gadījumā, kad projekta kopējās izmaksas lielākas nekā ERAF projekta attiecināmās, CFLA sadarbībā ar īstenotājiem un IZM izvērtēs iespēju un lietderību palielināt projektu kopējās attiecināmās izmaksas, nemainot pieejamo ERAF, tādējādi rodot iespēju deklarēt EK vairāk.</w:t>
      </w:r>
    </w:p>
    <w:p w14:paraId="3EFAADC4" w14:textId="42F81E27" w:rsidR="00775D89" w:rsidRPr="00E44879" w:rsidRDefault="00775D89" w:rsidP="009365A2">
      <w:pPr>
        <w:pStyle w:val="BodyText"/>
        <w:numPr>
          <w:ilvl w:val="0"/>
          <w:numId w:val="38"/>
        </w:numPr>
        <w:tabs>
          <w:tab w:val="left" w:pos="0"/>
        </w:tabs>
        <w:suppressAutoHyphens/>
        <w:spacing w:line="240" w:lineRule="auto"/>
        <w:ind w:left="0" w:firstLine="0"/>
        <w:jc w:val="both"/>
        <w:rPr>
          <w:b w:val="0"/>
          <w:sz w:val="28"/>
          <w:lang w:val="lv-LV"/>
        </w:rPr>
      </w:pPr>
      <w:r w:rsidRPr="00E44879">
        <w:rPr>
          <w:sz w:val="28"/>
          <w:lang w:val="lv-LV"/>
        </w:rPr>
        <w:t xml:space="preserve"> ESF</w:t>
      </w:r>
      <w:r w:rsidRPr="00E44879">
        <w:rPr>
          <w:b w:val="0"/>
          <w:sz w:val="28"/>
          <w:lang w:val="lv-LV"/>
        </w:rPr>
        <w:t xml:space="preserve"> </w:t>
      </w:r>
      <w:r>
        <w:rPr>
          <w:b w:val="0"/>
          <w:sz w:val="28"/>
          <w:lang w:val="lv-LV"/>
        </w:rPr>
        <w:t xml:space="preserve">– </w:t>
      </w:r>
      <w:r w:rsidRPr="00E44879">
        <w:rPr>
          <w:sz w:val="28"/>
          <w:lang w:val="lv-LV"/>
        </w:rPr>
        <w:t>augsts risks zaudēt snieguma rezervi 14,5</w:t>
      </w:r>
      <w:r w:rsidR="005C7161">
        <w:rPr>
          <w:sz w:val="28"/>
          <w:lang w:val="lv-LV"/>
        </w:rPr>
        <w:t> </w:t>
      </w:r>
      <w:r w:rsidRPr="00E44879">
        <w:rPr>
          <w:sz w:val="28"/>
          <w:lang w:val="lv-LV"/>
        </w:rPr>
        <w:t>milj.</w:t>
      </w:r>
      <w:r w:rsidR="005C7161">
        <w:rPr>
          <w:sz w:val="28"/>
          <w:lang w:val="lv-LV"/>
        </w:rPr>
        <w:t> </w:t>
      </w:r>
      <w:r w:rsidRPr="00E44879">
        <w:rPr>
          <w:i/>
          <w:sz w:val="28"/>
          <w:lang w:val="lv-LV"/>
        </w:rPr>
        <w:t>euro</w:t>
      </w:r>
      <w:r>
        <w:rPr>
          <w:b w:val="0"/>
          <w:i/>
          <w:sz w:val="28"/>
          <w:lang w:val="lv-LV"/>
        </w:rPr>
        <w:t>.</w:t>
      </w:r>
      <w:r>
        <w:rPr>
          <w:b w:val="0"/>
          <w:sz w:val="28"/>
          <w:lang w:val="lv-LV"/>
        </w:rPr>
        <w:t xml:space="preserve"> Ja EK neatbalsta DP 3.</w:t>
      </w:r>
      <w:r w:rsidR="00F4624E">
        <w:rPr>
          <w:b w:val="0"/>
          <w:sz w:val="28"/>
          <w:lang w:val="lv-LV"/>
        </w:rPr>
        <w:t> </w:t>
      </w:r>
      <w:r>
        <w:rPr>
          <w:b w:val="0"/>
          <w:sz w:val="28"/>
          <w:lang w:val="lv-LV"/>
        </w:rPr>
        <w:t xml:space="preserve">grozījumu priekšlikumu, ar kuriem kārtējo reizi tiek samazināts snieguma mērķis, tad ir maza riska rezerve starp </w:t>
      </w:r>
      <w:r w:rsidRPr="00E44879">
        <w:rPr>
          <w:b w:val="0"/>
          <w:sz w:val="28"/>
          <w:lang w:val="lv-LV"/>
        </w:rPr>
        <w:t>projektu īstenotāju plānotā</w:t>
      </w:r>
      <w:r>
        <w:rPr>
          <w:b w:val="0"/>
          <w:sz w:val="28"/>
          <w:lang w:val="lv-LV"/>
        </w:rPr>
        <w:t>m</w:t>
      </w:r>
      <w:r w:rsidRPr="00E44879">
        <w:rPr>
          <w:b w:val="0"/>
          <w:sz w:val="28"/>
          <w:lang w:val="lv-LV"/>
        </w:rPr>
        <w:t xml:space="preserve"> plūsm</w:t>
      </w:r>
      <w:r>
        <w:rPr>
          <w:b w:val="0"/>
          <w:sz w:val="28"/>
          <w:lang w:val="lv-LV"/>
        </w:rPr>
        <w:t xml:space="preserve">ām un </w:t>
      </w:r>
      <w:r w:rsidRPr="00E44879">
        <w:rPr>
          <w:b w:val="0"/>
          <w:sz w:val="28"/>
          <w:lang w:val="lv-LV"/>
        </w:rPr>
        <w:t xml:space="preserve">CFLA </w:t>
      </w:r>
      <w:r>
        <w:rPr>
          <w:b w:val="0"/>
          <w:sz w:val="28"/>
          <w:lang w:val="lv-LV"/>
        </w:rPr>
        <w:t xml:space="preserve">piesardzīgo </w:t>
      </w:r>
      <w:r w:rsidRPr="00E44879">
        <w:rPr>
          <w:b w:val="0"/>
          <w:sz w:val="28"/>
          <w:lang w:val="lv-LV"/>
        </w:rPr>
        <w:t>aplēs</w:t>
      </w:r>
      <w:r>
        <w:rPr>
          <w:b w:val="0"/>
          <w:sz w:val="28"/>
          <w:lang w:val="lv-LV"/>
        </w:rPr>
        <w:t xml:space="preserve">i. Bez DP 3.grozījumiem līdz </w:t>
      </w:r>
      <w:r w:rsidRPr="00E44879">
        <w:rPr>
          <w:b w:val="0"/>
          <w:sz w:val="28"/>
          <w:lang w:val="lv-LV"/>
        </w:rPr>
        <w:t>minim</w:t>
      </w:r>
      <w:r>
        <w:rPr>
          <w:b w:val="0"/>
          <w:sz w:val="28"/>
          <w:lang w:val="lv-LV"/>
        </w:rPr>
        <w:t>ālai</w:t>
      </w:r>
      <w:r w:rsidRPr="00E44879">
        <w:rPr>
          <w:b w:val="0"/>
          <w:sz w:val="28"/>
          <w:lang w:val="lv-LV"/>
        </w:rPr>
        <w:t xml:space="preserve"> mērķa robež</w:t>
      </w:r>
      <w:r>
        <w:rPr>
          <w:b w:val="0"/>
          <w:sz w:val="28"/>
          <w:lang w:val="lv-LV"/>
        </w:rPr>
        <w:t>ai trūkst apm.</w:t>
      </w:r>
      <w:r w:rsidR="005C4C4B">
        <w:rPr>
          <w:b w:val="0"/>
          <w:sz w:val="28"/>
          <w:lang w:val="lv-LV"/>
        </w:rPr>
        <w:t xml:space="preserve"> </w:t>
      </w:r>
      <w:r w:rsidR="00FD2B77">
        <w:rPr>
          <w:b w:val="0"/>
          <w:sz w:val="28"/>
          <w:lang w:val="lv-LV"/>
        </w:rPr>
        <w:t>5,5</w:t>
      </w:r>
      <w:r w:rsidR="005C7161">
        <w:rPr>
          <w:b w:val="0"/>
          <w:sz w:val="28"/>
          <w:lang w:val="lv-LV"/>
        </w:rPr>
        <w:t> </w:t>
      </w:r>
      <w:r w:rsidRPr="00E44879">
        <w:rPr>
          <w:b w:val="0"/>
          <w:sz w:val="28"/>
          <w:lang w:val="lv-LV"/>
        </w:rPr>
        <w:t>milj.</w:t>
      </w:r>
      <w:r w:rsidR="005C7161">
        <w:rPr>
          <w:b w:val="0"/>
          <w:sz w:val="28"/>
          <w:lang w:val="lv-LV"/>
        </w:rPr>
        <w:t> </w:t>
      </w:r>
      <w:r w:rsidRPr="00E44879">
        <w:rPr>
          <w:b w:val="0"/>
          <w:i/>
          <w:sz w:val="28"/>
          <w:lang w:val="lv-LV"/>
        </w:rPr>
        <w:t>euro</w:t>
      </w:r>
      <w:r w:rsidRPr="00E44879">
        <w:rPr>
          <w:b w:val="0"/>
          <w:sz w:val="28"/>
          <w:lang w:val="lv-LV"/>
        </w:rPr>
        <w:t xml:space="preserve">. Vienlaikus CFLA prognozē piemērotā ticamības korekcija rāda iespēju uzlabotam sniegumam līdz </w:t>
      </w:r>
      <w:r w:rsidR="00FD2B77">
        <w:rPr>
          <w:b w:val="0"/>
          <w:sz w:val="28"/>
          <w:lang w:val="lv-LV"/>
        </w:rPr>
        <w:t>8,2</w:t>
      </w:r>
      <w:r w:rsidR="005C7161">
        <w:rPr>
          <w:b w:val="0"/>
          <w:sz w:val="28"/>
          <w:lang w:val="lv-LV"/>
        </w:rPr>
        <w:t> </w:t>
      </w:r>
      <w:r w:rsidRPr="00E44879">
        <w:rPr>
          <w:b w:val="0"/>
          <w:sz w:val="28"/>
          <w:lang w:val="lv-LV"/>
        </w:rPr>
        <w:t>mil</w:t>
      </w:r>
      <w:r>
        <w:rPr>
          <w:b w:val="0"/>
          <w:sz w:val="28"/>
          <w:lang w:val="lv-LV"/>
        </w:rPr>
        <w:t>j</w:t>
      </w:r>
      <w:r w:rsidRPr="00E44879">
        <w:rPr>
          <w:b w:val="0"/>
          <w:sz w:val="28"/>
          <w:lang w:val="lv-LV"/>
        </w:rPr>
        <w:t>.</w:t>
      </w:r>
      <w:r w:rsidR="005C7161">
        <w:rPr>
          <w:b w:val="0"/>
          <w:sz w:val="28"/>
          <w:lang w:val="lv-LV"/>
        </w:rPr>
        <w:t> </w:t>
      </w:r>
      <w:r w:rsidRPr="00E44879">
        <w:rPr>
          <w:b w:val="0"/>
          <w:i/>
          <w:sz w:val="28"/>
          <w:lang w:val="lv-LV"/>
        </w:rPr>
        <w:t xml:space="preserve">euro, </w:t>
      </w:r>
      <w:r w:rsidRPr="00E44879">
        <w:rPr>
          <w:b w:val="0"/>
          <w:sz w:val="28"/>
          <w:lang w:val="lv-LV"/>
        </w:rPr>
        <w:t>ja izpildās īstenotāju plānotais.</w:t>
      </w:r>
    </w:p>
    <w:p w14:paraId="31E8FE90" w14:textId="2D540CE5" w:rsidR="00775D89" w:rsidRDefault="00775D89" w:rsidP="009365A2">
      <w:pPr>
        <w:pStyle w:val="BodyText"/>
        <w:tabs>
          <w:tab w:val="left" w:pos="0"/>
        </w:tabs>
        <w:suppressAutoHyphens/>
        <w:spacing w:line="240" w:lineRule="auto"/>
        <w:ind w:firstLine="11"/>
        <w:jc w:val="both"/>
        <w:rPr>
          <w:sz w:val="28"/>
          <w:lang w:val="lv-LV"/>
        </w:rPr>
      </w:pPr>
      <w:r w:rsidRPr="00F75917">
        <w:rPr>
          <w:sz w:val="28"/>
          <w:lang w:val="lv-LV"/>
        </w:rPr>
        <w:lastRenderedPageBreak/>
        <w:t>Galvenā rīcība:</w:t>
      </w:r>
    </w:p>
    <w:p w14:paraId="527AA34B" w14:textId="0F168180" w:rsidR="00775D89" w:rsidRDefault="00775D89" w:rsidP="009365A2">
      <w:pPr>
        <w:pStyle w:val="BodyText"/>
        <w:tabs>
          <w:tab w:val="left" w:pos="0"/>
        </w:tabs>
        <w:suppressAutoHyphens/>
        <w:spacing w:line="240" w:lineRule="auto"/>
        <w:ind w:firstLine="11"/>
        <w:jc w:val="both"/>
        <w:rPr>
          <w:b w:val="0"/>
          <w:sz w:val="28"/>
          <w:lang w:val="lv-LV"/>
        </w:rPr>
      </w:pPr>
      <w:r>
        <w:rPr>
          <w:b w:val="0"/>
          <w:sz w:val="28"/>
          <w:lang w:val="lv-LV"/>
        </w:rPr>
        <w:t xml:space="preserve">(1) </w:t>
      </w:r>
      <w:r w:rsidRPr="00F75917">
        <w:rPr>
          <w:b w:val="0"/>
          <w:sz w:val="28"/>
          <w:lang w:val="lv-LV"/>
        </w:rPr>
        <w:t xml:space="preserve">Stingra </w:t>
      </w:r>
      <w:r>
        <w:rPr>
          <w:b w:val="0"/>
          <w:sz w:val="28"/>
          <w:lang w:val="lv-LV"/>
        </w:rPr>
        <w:t xml:space="preserve">ikmēneša plānu </w:t>
      </w:r>
      <w:r w:rsidRPr="00F75917">
        <w:rPr>
          <w:b w:val="0"/>
          <w:sz w:val="28"/>
          <w:lang w:val="lv-LV"/>
        </w:rPr>
        <w:t>ieviešanas uzraudzība, finanšu disciplīna</w:t>
      </w:r>
      <w:r>
        <w:rPr>
          <w:b w:val="0"/>
          <w:sz w:val="28"/>
          <w:lang w:val="lv-LV"/>
        </w:rPr>
        <w:t xml:space="preserve">, </w:t>
      </w:r>
      <w:r w:rsidR="00AF462E">
        <w:rPr>
          <w:b w:val="0"/>
          <w:sz w:val="28"/>
          <w:lang w:val="lv-LV"/>
        </w:rPr>
        <w:t xml:space="preserve">CFLA sadarbība ar </w:t>
      </w:r>
      <w:r w:rsidR="0098167F">
        <w:rPr>
          <w:b w:val="0"/>
          <w:sz w:val="28"/>
          <w:lang w:val="lv-LV"/>
        </w:rPr>
        <w:t>projektu sagat</w:t>
      </w:r>
      <w:r w:rsidR="00064BC1">
        <w:rPr>
          <w:b w:val="0"/>
          <w:sz w:val="28"/>
          <w:lang w:val="lv-LV"/>
        </w:rPr>
        <w:t>a</w:t>
      </w:r>
      <w:r w:rsidR="0098167F">
        <w:rPr>
          <w:b w:val="0"/>
          <w:sz w:val="28"/>
          <w:lang w:val="lv-LV"/>
        </w:rPr>
        <w:t>votājiem/</w:t>
      </w:r>
      <w:r w:rsidR="00AF462E">
        <w:rPr>
          <w:b w:val="0"/>
          <w:sz w:val="28"/>
          <w:lang w:val="lv-LV"/>
        </w:rPr>
        <w:t>īstenotājiem, sniedzot konsultatīvu atbalstu projektos konstatēto problēmu risināšan</w:t>
      </w:r>
      <w:r w:rsidR="00431BD2">
        <w:rPr>
          <w:b w:val="0"/>
          <w:sz w:val="28"/>
          <w:lang w:val="lv-LV"/>
        </w:rPr>
        <w:t>ā</w:t>
      </w:r>
      <w:r>
        <w:rPr>
          <w:b w:val="0"/>
          <w:sz w:val="28"/>
          <w:lang w:val="lv-LV"/>
        </w:rPr>
        <w:t xml:space="preserve">; </w:t>
      </w:r>
    </w:p>
    <w:p w14:paraId="45D74AF0" w14:textId="775F4E27" w:rsidR="00775D89" w:rsidRDefault="00775D89" w:rsidP="009365A2">
      <w:pPr>
        <w:pStyle w:val="BodyText"/>
        <w:tabs>
          <w:tab w:val="left" w:pos="0"/>
        </w:tabs>
        <w:suppressAutoHyphens/>
        <w:spacing w:line="240" w:lineRule="auto"/>
        <w:ind w:firstLine="11"/>
        <w:jc w:val="both"/>
        <w:rPr>
          <w:b w:val="0"/>
          <w:sz w:val="28"/>
          <w:lang w:val="lv-LV"/>
        </w:rPr>
      </w:pPr>
      <w:r>
        <w:rPr>
          <w:b w:val="0"/>
          <w:sz w:val="28"/>
          <w:lang w:val="lv-LV"/>
        </w:rPr>
        <w:t>(2) DP 3.</w:t>
      </w:r>
      <w:r w:rsidR="00F4624E">
        <w:rPr>
          <w:b w:val="0"/>
          <w:sz w:val="28"/>
          <w:lang w:val="lv-LV"/>
        </w:rPr>
        <w:t> </w:t>
      </w:r>
      <w:r>
        <w:rPr>
          <w:b w:val="0"/>
          <w:sz w:val="28"/>
          <w:lang w:val="lv-LV"/>
        </w:rPr>
        <w:t>grozījumu priekšlikuma, samazinot snieguma mērķi, aizstāvība EK.</w:t>
      </w:r>
    </w:p>
    <w:p w14:paraId="6F62B918" w14:textId="6D72D05B" w:rsidR="00775D89" w:rsidRDefault="00775D89" w:rsidP="009365A2">
      <w:pPr>
        <w:pStyle w:val="BodyText"/>
        <w:numPr>
          <w:ilvl w:val="0"/>
          <w:numId w:val="40"/>
        </w:numPr>
        <w:tabs>
          <w:tab w:val="left" w:pos="0"/>
        </w:tabs>
        <w:suppressAutoHyphens/>
        <w:spacing w:line="240" w:lineRule="auto"/>
        <w:ind w:left="0" w:firstLine="0"/>
        <w:jc w:val="both"/>
        <w:rPr>
          <w:sz w:val="28"/>
          <w:lang w:val="lv-LV"/>
        </w:rPr>
      </w:pPr>
      <w:r w:rsidRPr="00AB496F">
        <w:rPr>
          <w:sz w:val="28"/>
          <w:lang w:val="lv-LV"/>
        </w:rPr>
        <w:t>5 PV (vide un teritoriālā attīstība)</w:t>
      </w:r>
      <w:r>
        <w:rPr>
          <w:sz w:val="28"/>
          <w:lang w:val="lv-LV"/>
        </w:rPr>
        <w:t>:</w:t>
      </w:r>
    </w:p>
    <w:p w14:paraId="3963BABD" w14:textId="6520BAAC" w:rsidR="00775D89" w:rsidRPr="00F75917" w:rsidRDefault="00775D89" w:rsidP="009365A2">
      <w:pPr>
        <w:pStyle w:val="BodyText"/>
        <w:tabs>
          <w:tab w:val="left" w:pos="0"/>
        </w:tabs>
        <w:suppressAutoHyphens/>
        <w:spacing w:line="240" w:lineRule="auto"/>
        <w:jc w:val="both"/>
        <w:rPr>
          <w:b w:val="0"/>
          <w:sz w:val="28"/>
          <w:lang w:val="lv-LV"/>
        </w:rPr>
      </w:pPr>
      <w:r>
        <w:rPr>
          <w:sz w:val="28"/>
          <w:lang w:val="lv-LV"/>
        </w:rPr>
        <w:t>KF</w:t>
      </w:r>
      <w:r w:rsidRPr="00F75917">
        <w:rPr>
          <w:sz w:val="28"/>
          <w:lang w:val="lv-LV"/>
        </w:rPr>
        <w:t xml:space="preserve"> – </w:t>
      </w:r>
      <w:r>
        <w:rPr>
          <w:sz w:val="28"/>
          <w:lang w:val="lv-LV"/>
        </w:rPr>
        <w:t xml:space="preserve">augsts </w:t>
      </w:r>
      <w:r w:rsidRPr="00E44879">
        <w:rPr>
          <w:sz w:val="28"/>
          <w:lang w:val="lv-LV"/>
        </w:rPr>
        <w:t>risks zaudēt snieguma rezervi 1</w:t>
      </w:r>
      <w:r>
        <w:rPr>
          <w:sz w:val="28"/>
          <w:lang w:val="lv-LV"/>
        </w:rPr>
        <w:t>1,8</w:t>
      </w:r>
      <w:r w:rsidR="005C7161">
        <w:rPr>
          <w:sz w:val="28"/>
          <w:lang w:val="lv-LV"/>
        </w:rPr>
        <w:t> </w:t>
      </w:r>
      <w:r w:rsidRPr="00E44879">
        <w:rPr>
          <w:sz w:val="28"/>
          <w:lang w:val="lv-LV"/>
        </w:rPr>
        <w:t>milj.</w:t>
      </w:r>
      <w:r w:rsidR="005C7161">
        <w:rPr>
          <w:sz w:val="28"/>
          <w:lang w:val="lv-LV"/>
        </w:rPr>
        <w:t> </w:t>
      </w:r>
      <w:r w:rsidRPr="00E44879">
        <w:rPr>
          <w:i/>
          <w:sz w:val="28"/>
          <w:lang w:val="lv-LV"/>
        </w:rPr>
        <w:t>euro</w:t>
      </w:r>
      <w:r w:rsidRPr="00F75917">
        <w:rPr>
          <w:b w:val="0"/>
          <w:i/>
          <w:sz w:val="28"/>
          <w:lang w:val="lv-LV"/>
        </w:rPr>
        <w:t xml:space="preserve">, </w:t>
      </w:r>
      <w:r w:rsidRPr="00F75917">
        <w:rPr>
          <w:b w:val="0"/>
          <w:sz w:val="28"/>
          <w:lang w:val="lv-LV"/>
        </w:rPr>
        <w:t xml:space="preserve">ja </w:t>
      </w:r>
      <w:r>
        <w:rPr>
          <w:b w:val="0"/>
          <w:sz w:val="28"/>
          <w:lang w:val="lv-LV"/>
        </w:rPr>
        <w:t>kaut nedaudz</w:t>
      </w:r>
      <w:r w:rsidRPr="00F75917">
        <w:rPr>
          <w:b w:val="0"/>
          <w:sz w:val="28"/>
          <w:lang w:val="lv-LV"/>
        </w:rPr>
        <w:t xml:space="preserve"> nepiepildās projektu īstenotāju plānotā plūsma. </w:t>
      </w:r>
      <w:r>
        <w:rPr>
          <w:b w:val="0"/>
          <w:sz w:val="28"/>
          <w:lang w:val="lv-LV"/>
        </w:rPr>
        <w:t>T</w:t>
      </w:r>
      <w:r w:rsidRPr="00F75917">
        <w:rPr>
          <w:b w:val="0"/>
          <w:sz w:val="28"/>
          <w:lang w:val="lv-LV"/>
        </w:rPr>
        <w:t>ā kā</w:t>
      </w:r>
      <w:r>
        <w:rPr>
          <w:b w:val="0"/>
          <w:sz w:val="28"/>
          <w:lang w:val="lv-LV"/>
        </w:rPr>
        <w:t xml:space="preserve"> bija neplānoti zema interese no projekta īstenotājiem ar atkritumu pārstrādi un savākšanas sistēmas attīstības pasākumos un </w:t>
      </w:r>
      <w:r w:rsidRPr="00F75917">
        <w:rPr>
          <w:b w:val="0"/>
          <w:sz w:val="28"/>
          <w:lang w:val="lv-LV"/>
        </w:rPr>
        <w:t>projektos ir nozīmīga daļa infrastruktūras iepirkumiem un</w:t>
      </w:r>
      <w:r>
        <w:rPr>
          <w:b w:val="0"/>
          <w:sz w:val="28"/>
          <w:lang w:val="lv-LV"/>
        </w:rPr>
        <w:t xml:space="preserve"> ir daudz nezināmo, jo nav uzsākti visi projekti vai nav noslēgti iepirkumi</w:t>
      </w:r>
      <w:r w:rsidRPr="00F75917">
        <w:rPr>
          <w:b w:val="0"/>
          <w:sz w:val="28"/>
          <w:lang w:val="lv-LV"/>
        </w:rPr>
        <w:t>, CFLA aplēse rāda, ka ir augsts risks nesasniegt minimālo mērķa robežu par apm.</w:t>
      </w:r>
      <w:r w:rsidR="005C4C4B">
        <w:rPr>
          <w:b w:val="0"/>
          <w:sz w:val="28"/>
          <w:lang w:val="lv-LV"/>
        </w:rPr>
        <w:t xml:space="preserve"> </w:t>
      </w:r>
      <w:r w:rsidR="00FD2B77">
        <w:rPr>
          <w:b w:val="0"/>
          <w:sz w:val="28"/>
          <w:lang w:val="lv-LV"/>
        </w:rPr>
        <w:t>7,9</w:t>
      </w:r>
      <w:r w:rsidR="005C7161">
        <w:rPr>
          <w:b w:val="0"/>
          <w:sz w:val="28"/>
          <w:lang w:val="lv-LV"/>
        </w:rPr>
        <w:t> </w:t>
      </w:r>
      <w:r w:rsidRPr="00F75917">
        <w:rPr>
          <w:b w:val="0"/>
          <w:sz w:val="28"/>
          <w:lang w:val="lv-LV"/>
        </w:rPr>
        <w:t>milj.</w:t>
      </w:r>
      <w:r w:rsidR="005C7161">
        <w:rPr>
          <w:b w:val="0"/>
          <w:sz w:val="28"/>
          <w:lang w:val="lv-LV"/>
        </w:rPr>
        <w:t> </w:t>
      </w:r>
      <w:r w:rsidRPr="00F75917">
        <w:rPr>
          <w:b w:val="0"/>
          <w:i/>
          <w:sz w:val="28"/>
          <w:lang w:val="lv-LV"/>
        </w:rPr>
        <w:t>euro</w:t>
      </w:r>
      <w:r w:rsidRPr="00F75917">
        <w:rPr>
          <w:b w:val="0"/>
          <w:sz w:val="28"/>
          <w:lang w:val="lv-LV"/>
        </w:rPr>
        <w:t xml:space="preserve">. </w:t>
      </w:r>
      <w:r w:rsidR="0098167F">
        <w:rPr>
          <w:b w:val="0"/>
          <w:sz w:val="28"/>
          <w:lang w:val="lv-LV"/>
        </w:rPr>
        <w:t xml:space="preserve">Ja izpildās </w:t>
      </w:r>
      <w:r w:rsidR="0098167F" w:rsidRPr="0098167F">
        <w:rPr>
          <w:b w:val="0"/>
          <w:sz w:val="28"/>
          <w:lang w:val="lv-LV"/>
        </w:rPr>
        <w:t>īstenotāju plānotais (galve</w:t>
      </w:r>
      <w:r w:rsidR="0098167F">
        <w:rPr>
          <w:b w:val="0"/>
          <w:sz w:val="28"/>
          <w:lang w:val="lv-LV"/>
        </w:rPr>
        <w:t>nokārt, ūdenssaimniecības jomā), tad mērķi iespējams</w:t>
      </w:r>
      <w:r w:rsidR="00FD2E88">
        <w:rPr>
          <w:b w:val="0"/>
          <w:sz w:val="28"/>
          <w:lang w:val="lv-LV"/>
        </w:rPr>
        <w:t xml:space="preserve"> sasniegt, uzlabojot sniegumu</w:t>
      </w:r>
      <w:r w:rsidR="0098167F">
        <w:rPr>
          <w:b w:val="0"/>
          <w:sz w:val="28"/>
          <w:lang w:val="lv-LV"/>
        </w:rPr>
        <w:t xml:space="preserve"> </w:t>
      </w:r>
      <w:r w:rsidR="00FD2B77">
        <w:rPr>
          <w:b w:val="0"/>
          <w:sz w:val="28"/>
          <w:lang w:val="lv-LV"/>
        </w:rPr>
        <w:t>par</w:t>
      </w:r>
      <w:r w:rsidR="0098167F">
        <w:rPr>
          <w:b w:val="0"/>
          <w:sz w:val="28"/>
          <w:lang w:val="lv-LV"/>
        </w:rPr>
        <w:t xml:space="preserve"> </w:t>
      </w:r>
      <w:r w:rsidR="00FD2E88">
        <w:rPr>
          <w:b w:val="0"/>
          <w:sz w:val="28"/>
          <w:lang w:val="lv-LV"/>
        </w:rPr>
        <w:t>9,8</w:t>
      </w:r>
      <w:r w:rsidR="005C7161">
        <w:rPr>
          <w:b w:val="0"/>
          <w:sz w:val="28"/>
          <w:lang w:val="lv-LV"/>
        </w:rPr>
        <w:t> </w:t>
      </w:r>
      <w:r w:rsidRPr="00F75917">
        <w:rPr>
          <w:b w:val="0"/>
          <w:sz w:val="28"/>
          <w:lang w:val="lv-LV"/>
        </w:rPr>
        <w:t>mil</w:t>
      </w:r>
      <w:r>
        <w:rPr>
          <w:b w:val="0"/>
          <w:sz w:val="28"/>
          <w:lang w:val="lv-LV"/>
        </w:rPr>
        <w:t>j</w:t>
      </w:r>
      <w:r w:rsidRPr="00F75917">
        <w:rPr>
          <w:b w:val="0"/>
          <w:sz w:val="28"/>
          <w:lang w:val="lv-LV"/>
        </w:rPr>
        <w:t>.</w:t>
      </w:r>
      <w:r w:rsidR="005C7161">
        <w:rPr>
          <w:b w:val="0"/>
          <w:sz w:val="28"/>
          <w:lang w:val="lv-LV"/>
        </w:rPr>
        <w:t> </w:t>
      </w:r>
      <w:r w:rsidRPr="00F75917">
        <w:rPr>
          <w:b w:val="0"/>
          <w:i/>
          <w:sz w:val="28"/>
          <w:lang w:val="lv-LV"/>
        </w:rPr>
        <w:t>euro</w:t>
      </w:r>
      <w:r w:rsidR="0098167F">
        <w:rPr>
          <w:b w:val="0"/>
          <w:i/>
          <w:sz w:val="28"/>
          <w:lang w:val="lv-LV"/>
        </w:rPr>
        <w:t>.</w:t>
      </w:r>
    </w:p>
    <w:p w14:paraId="41FFC997" w14:textId="77777777" w:rsidR="00775D89" w:rsidRDefault="00775D89" w:rsidP="009365A2">
      <w:pPr>
        <w:pStyle w:val="BodyText"/>
        <w:tabs>
          <w:tab w:val="left" w:pos="0"/>
        </w:tabs>
        <w:suppressAutoHyphens/>
        <w:spacing w:line="240" w:lineRule="auto"/>
        <w:jc w:val="both"/>
        <w:rPr>
          <w:sz w:val="28"/>
          <w:lang w:val="lv-LV"/>
        </w:rPr>
      </w:pPr>
      <w:r w:rsidRPr="00F75917">
        <w:rPr>
          <w:sz w:val="28"/>
          <w:lang w:val="lv-LV"/>
        </w:rPr>
        <w:t xml:space="preserve">Galvenā rīcība: </w:t>
      </w:r>
    </w:p>
    <w:p w14:paraId="0CE57309" w14:textId="5B108DCE" w:rsidR="00775D89" w:rsidRDefault="00775D89" w:rsidP="009365A2">
      <w:pPr>
        <w:pStyle w:val="BodyText"/>
        <w:numPr>
          <w:ilvl w:val="0"/>
          <w:numId w:val="41"/>
        </w:numPr>
        <w:tabs>
          <w:tab w:val="left" w:pos="0"/>
        </w:tabs>
        <w:suppressAutoHyphens/>
        <w:spacing w:line="240" w:lineRule="auto"/>
        <w:ind w:left="0" w:firstLine="0"/>
        <w:jc w:val="both"/>
        <w:rPr>
          <w:rFonts w:eastAsia="Calibri"/>
          <w:b w:val="0"/>
          <w:sz w:val="28"/>
          <w:szCs w:val="28"/>
          <w:lang w:val="lv-LV"/>
        </w:rPr>
      </w:pPr>
      <w:r w:rsidRPr="00426B28">
        <w:rPr>
          <w:b w:val="0"/>
          <w:sz w:val="28"/>
          <w:lang w:val="lv-LV"/>
        </w:rPr>
        <w:t xml:space="preserve">Stingra ikmēneša plānu ieviešanas uzraudzība, finanšu disciplīna, </w:t>
      </w:r>
      <w:r w:rsidR="00AF462E">
        <w:rPr>
          <w:b w:val="0"/>
          <w:sz w:val="28"/>
          <w:lang w:val="lv-LV"/>
        </w:rPr>
        <w:t xml:space="preserve">CFLA sadarbība ar </w:t>
      </w:r>
      <w:r w:rsidR="0098167F">
        <w:rPr>
          <w:b w:val="0"/>
          <w:sz w:val="28"/>
          <w:lang w:val="lv-LV"/>
        </w:rPr>
        <w:t>projektu sagatavotājiem/</w:t>
      </w:r>
      <w:r w:rsidR="00AF462E">
        <w:rPr>
          <w:b w:val="0"/>
          <w:sz w:val="28"/>
          <w:lang w:val="lv-LV"/>
        </w:rPr>
        <w:t>īstenotājiem, sniedzot konsultatīvu atbalstu projektos konstatēto problēmu risināšanā</w:t>
      </w:r>
      <w:r>
        <w:rPr>
          <w:b w:val="0"/>
          <w:sz w:val="28"/>
          <w:lang w:val="lv-LV"/>
        </w:rPr>
        <w:t>. P</w:t>
      </w:r>
      <w:r w:rsidRPr="00426B28">
        <w:rPr>
          <w:rFonts w:eastAsia="Calibri"/>
          <w:b w:val="0"/>
          <w:sz w:val="28"/>
          <w:szCs w:val="28"/>
          <w:lang w:val="lv-LV"/>
        </w:rPr>
        <w:t>astiprināta līgumu/maksājumu pieprasījumu iesniegšanas grafika grozījumu pamatotības izvērtēšana CFLA</w:t>
      </w:r>
      <w:r>
        <w:rPr>
          <w:rFonts w:eastAsia="Calibri"/>
          <w:b w:val="0"/>
          <w:sz w:val="28"/>
          <w:szCs w:val="28"/>
          <w:lang w:val="lv-LV"/>
        </w:rPr>
        <w:t>, mērķtiecīgs un fokusēts CFLA darbs ar projektiem, kur ir potenciāls lielākiem deklarējamiem investīciju izdevumiem, t.sk. par a</w:t>
      </w:r>
      <w:r w:rsidRPr="00426B28">
        <w:rPr>
          <w:rFonts w:eastAsia="Calibri"/>
          <w:b w:val="0"/>
          <w:sz w:val="28"/>
          <w:szCs w:val="28"/>
          <w:lang w:val="lv-LV"/>
        </w:rPr>
        <w:t xml:space="preserve">vansu </w:t>
      </w:r>
      <w:r>
        <w:rPr>
          <w:rFonts w:eastAsia="Calibri"/>
          <w:b w:val="0"/>
          <w:sz w:val="28"/>
          <w:szCs w:val="28"/>
          <w:lang w:val="lv-LV"/>
        </w:rPr>
        <w:t>iespējamību būvniekiem, ja pieļauj iepirkuma līgums;</w:t>
      </w:r>
    </w:p>
    <w:p w14:paraId="597AD731" w14:textId="251CFF64" w:rsidR="00775D89" w:rsidRPr="00426B28" w:rsidRDefault="00775D89" w:rsidP="009365A2">
      <w:pPr>
        <w:pStyle w:val="BodyText"/>
        <w:numPr>
          <w:ilvl w:val="0"/>
          <w:numId w:val="41"/>
        </w:numPr>
        <w:tabs>
          <w:tab w:val="left" w:pos="0"/>
        </w:tabs>
        <w:suppressAutoHyphens/>
        <w:spacing w:line="240" w:lineRule="auto"/>
        <w:ind w:left="0" w:firstLine="0"/>
        <w:jc w:val="both"/>
        <w:rPr>
          <w:rFonts w:eastAsia="Calibri"/>
          <w:b w:val="0"/>
          <w:sz w:val="28"/>
          <w:szCs w:val="28"/>
          <w:lang w:val="lv-LV"/>
        </w:rPr>
      </w:pPr>
      <w:r>
        <w:rPr>
          <w:rFonts w:eastAsia="Calibri"/>
          <w:b w:val="0"/>
          <w:sz w:val="28"/>
          <w:szCs w:val="28"/>
          <w:lang w:val="lv-LV"/>
        </w:rPr>
        <w:t>T</w:t>
      </w:r>
      <w:r w:rsidRPr="00426B28">
        <w:rPr>
          <w:rFonts w:eastAsia="Calibri"/>
          <w:b w:val="0"/>
          <w:sz w:val="28"/>
          <w:szCs w:val="28"/>
          <w:lang w:val="lv-LV"/>
        </w:rPr>
        <w:t xml:space="preserve">urpināt CFLA praksi individuāli ar </w:t>
      </w:r>
      <w:r w:rsidR="003A1ACB">
        <w:rPr>
          <w:rFonts w:eastAsia="Calibri"/>
          <w:b w:val="0"/>
          <w:sz w:val="28"/>
          <w:szCs w:val="28"/>
          <w:lang w:val="lv-LV"/>
        </w:rPr>
        <w:t>FS</w:t>
      </w:r>
      <w:r w:rsidRPr="00426B28">
        <w:rPr>
          <w:rFonts w:eastAsia="Calibri"/>
          <w:b w:val="0"/>
          <w:sz w:val="28"/>
          <w:szCs w:val="28"/>
          <w:lang w:val="lv-LV"/>
        </w:rPr>
        <w:t xml:space="preserve"> izrunāt/izskaidrot pirmā maksājuma pieprasījuma kļūdas, lai nākamie maksājumu pieprasījumi būtu kvalitatīvāki;</w:t>
      </w:r>
    </w:p>
    <w:p w14:paraId="589E521C" w14:textId="55B17116" w:rsidR="00775D89" w:rsidRPr="00426B28" w:rsidRDefault="00775D89" w:rsidP="009365A2">
      <w:pPr>
        <w:pStyle w:val="BodyText"/>
        <w:tabs>
          <w:tab w:val="left" w:pos="0"/>
        </w:tabs>
        <w:suppressAutoHyphens/>
        <w:spacing w:line="240" w:lineRule="auto"/>
        <w:jc w:val="both"/>
        <w:rPr>
          <w:b w:val="0"/>
          <w:sz w:val="28"/>
          <w:lang w:val="lv-LV"/>
        </w:rPr>
      </w:pPr>
      <w:r>
        <w:rPr>
          <w:b w:val="0"/>
          <w:sz w:val="28"/>
          <w:lang w:val="lv-LV"/>
        </w:rPr>
        <w:t xml:space="preserve"> (3) Gadījumā, kad projekta kopējās izmaksas lielākas nekā </w:t>
      </w:r>
      <w:r w:rsidR="0046746E">
        <w:rPr>
          <w:b w:val="0"/>
          <w:sz w:val="28"/>
          <w:lang w:val="lv-LV"/>
        </w:rPr>
        <w:t xml:space="preserve">KF </w:t>
      </w:r>
      <w:r>
        <w:rPr>
          <w:b w:val="0"/>
          <w:sz w:val="28"/>
          <w:lang w:val="lv-LV"/>
        </w:rPr>
        <w:t xml:space="preserve">projekta attiecināmās, CFLA sadarbībā ar īstenotājiem un VARAM </w:t>
      </w:r>
      <w:r w:rsidRPr="00426B28">
        <w:rPr>
          <w:b w:val="0"/>
          <w:sz w:val="28"/>
          <w:lang w:val="lv-LV"/>
        </w:rPr>
        <w:t xml:space="preserve">izvērtēs iespēju un lietderību palielināt projektu kopējās attiecināmās izmaksas, nemainot pieejamo </w:t>
      </w:r>
      <w:r w:rsidR="0046746E">
        <w:rPr>
          <w:b w:val="0"/>
          <w:sz w:val="28"/>
          <w:lang w:val="lv-LV"/>
        </w:rPr>
        <w:t>KF</w:t>
      </w:r>
      <w:r w:rsidRPr="00426B28">
        <w:rPr>
          <w:b w:val="0"/>
          <w:sz w:val="28"/>
          <w:lang w:val="lv-LV"/>
        </w:rPr>
        <w:t>, tādējādi rodot iespēju deklarēt EK vairāk.</w:t>
      </w:r>
    </w:p>
    <w:p w14:paraId="4CC0D7CF" w14:textId="134C2C77" w:rsidR="00775D89" w:rsidRPr="00426B28" w:rsidRDefault="00775D89" w:rsidP="009365A2">
      <w:pPr>
        <w:pStyle w:val="BodyText"/>
        <w:tabs>
          <w:tab w:val="left" w:pos="0"/>
        </w:tabs>
        <w:suppressAutoHyphens/>
        <w:spacing w:line="240" w:lineRule="auto"/>
        <w:jc w:val="both"/>
        <w:rPr>
          <w:rFonts w:eastAsia="Calibri"/>
          <w:b w:val="0"/>
          <w:sz w:val="28"/>
          <w:szCs w:val="28"/>
          <w:lang w:val="lv-LV"/>
        </w:rPr>
      </w:pPr>
      <w:r w:rsidRPr="00426B28">
        <w:rPr>
          <w:b w:val="0"/>
          <w:sz w:val="28"/>
          <w:lang w:val="lv-LV"/>
        </w:rPr>
        <w:t xml:space="preserve">(4) </w:t>
      </w:r>
      <w:r>
        <w:rPr>
          <w:rFonts w:eastAsia="Calibri"/>
          <w:b w:val="0"/>
          <w:sz w:val="28"/>
          <w:szCs w:val="28"/>
          <w:lang w:val="lv-LV"/>
        </w:rPr>
        <w:t>I</w:t>
      </w:r>
      <w:r w:rsidRPr="00426B28">
        <w:rPr>
          <w:rFonts w:eastAsia="Calibri"/>
          <w:b w:val="0"/>
          <w:sz w:val="28"/>
          <w:szCs w:val="28"/>
          <w:lang w:val="lv-LV"/>
        </w:rPr>
        <w:t xml:space="preserve">espēju robežās </w:t>
      </w:r>
      <w:r>
        <w:rPr>
          <w:rFonts w:eastAsia="Calibri"/>
          <w:b w:val="0"/>
          <w:sz w:val="28"/>
          <w:szCs w:val="28"/>
          <w:lang w:val="lv-LV"/>
        </w:rPr>
        <w:t xml:space="preserve">izņēmuma kārtā </w:t>
      </w:r>
      <w:r w:rsidRPr="00426B28">
        <w:rPr>
          <w:rFonts w:eastAsia="Calibri"/>
          <w:b w:val="0"/>
          <w:sz w:val="28"/>
          <w:szCs w:val="28"/>
          <w:lang w:val="lv-LV"/>
        </w:rPr>
        <w:t xml:space="preserve">pagarināt </w:t>
      </w:r>
      <w:r>
        <w:rPr>
          <w:rFonts w:eastAsia="Calibri"/>
          <w:b w:val="0"/>
          <w:sz w:val="28"/>
          <w:szCs w:val="28"/>
          <w:lang w:val="lv-LV"/>
        </w:rPr>
        <w:t xml:space="preserve">termiņu pēdējam </w:t>
      </w:r>
      <w:r w:rsidR="003A1ACB">
        <w:rPr>
          <w:rFonts w:eastAsia="Calibri"/>
          <w:b w:val="0"/>
          <w:sz w:val="28"/>
          <w:szCs w:val="28"/>
          <w:lang w:val="lv-LV"/>
        </w:rPr>
        <w:t>FS</w:t>
      </w:r>
      <w:r w:rsidRPr="00426B28">
        <w:rPr>
          <w:rFonts w:eastAsia="Calibri"/>
          <w:b w:val="0"/>
          <w:sz w:val="28"/>
          <w:szCs w:val="28"/>
          <w:lang w:val="lv-LV"/>
        </w:rPr>
        <w:t xml:space="preserve"> maksājumu pieprasījuma</w:t>
      </w:r>
      <w:r>
        <w:rPr>
          <w:rFonts w:eastAsia="Calibri"/>
          <w:b w:val="0"/>
          <w:sz w:val="28"/>
          <w:szCs w:val="28"/>
          <w:lang w:val="lv-LV"/>
        </w:rPr>
        <w:t xml:space="preserve">m, lai deklarētajos izdevumos varētu iekļaut plānotos lielākus izdevumus par sezonā (jūlijs, augusts un īpašos gadījumos septembris) veiktiem darbiem. Nosacījums, ja </w:t>
      </w:r>
      <w:r w:rsidRPr="00426B28">
        <w:rPr>
          <w:rFonts w:eastAsia="Calibri"/>
          <w:b w:val="0"/>
          <w:sz w:val="28"/>
          <w:szCs w:val="28"/>
          <w:lang w:val="lv-LV"/>
        </w:rPr>
        <w:t xml:space="preserve">CFLA tos var </w:t>
      </w:r>
      <w:r>
        <w:rPr>
          <w:rFonts w:eastAsia="Calibri"/>
          <w:b w:val="0"/>
          <w:sz w:val="28"/>
          <w:szCs w:val="28"/>
          <w:lang w:val="lv-LV"/>
        </w:rPr>
        <w:t>paspēt pārbaudīt un apstiprināt</w:t>
      </w:r>
      <w:r w:rsidRPr="00426B28">
        <w:rPr>
          <w:rFonts w:eastAsia="Calibri"/>
          <w:b w:val="0"/>
          <w:sz w:val="28"/>
          <w:szCs w:val="28"/>
          <w:lang w:val="lv-LV"/>
        </w:rPr>
        <w:t xml:space="preserve">. </w:t>
      </w:r>
    </w:p>
    <w:p w14:paraId="0913B99C" w14:textId="77777777" w:rsidR="00775D89" w:rsidRPr="000F27E5" w:rsidRDefault="00775D89" w:rsidP="009365A2">
      <w:pPr>
        <w:pStyle w:val="BodyText"/>
        <w:numPr>
          <w:ilvl w:val="0"/>
          <w:numId w:val="40"/>
        </w:numPr>
        <w:tabs>
          <w:tab w:val="left" w:pos="0"/>
        </w:tabs>
        <w:suppressAutoHyphens/>
        <w:spacing w:line="240" w:lineRule="auto"/>
        <w:ind w:left="0" w:firstLine="0"/>
        <w:jc w:val="both"/>
        <w:rPr>
          <w:b w:val="0"/>
          <w:sz w:val="28"/>
          <w:lang w:val="lv-LV"/>
        </w:rPr>
      </w:pPr>
      <w:r w:rsidRPr="000F27E5">
        <w:rPr>
          <w:sz w:val="28"/>
          <w:lang w:val="lv-LV"/>
        </w:rPr>
        <w:t xml:space="preserve">4 PV (energoefektivitāte): </w:t>
      </w:r>
    </w:p>
    <w:p w14:paraId="54C44686" w14:textId="3C0F2791" w:rsidR="00775D89" w:rsidRPr="00BF21D8" w:rsidRDefault="007B3AF8" w:rsidP="009365A2">
      <w:pPr>
        <w:pStyle w:val="BodyText"/>
        <w:tabs>
          <w:tab w:val="left" w:pos="0"/>
        </w:tabs>
        <w:suppressAutoHyphens/>
        <w:spacing w:line="240" w:lineRule="auto"/>
        <w:jc w:val="both"/>
        <w:rPr>
          <w:b w:val="0"/>
          <w:sz w:val="28"/>
          <w:lang w:val="lv-LV"/>
        </w:rPr>
      </w:pPr>
      <w:r>
        <w:rPr>
          <w:sz w:val="28"/>
          <w:lang w:val="lv-LV"/>
        </w:rPr>
        <w:t>ERAF –</w:t>
      </w:r>
      <w:r w:rsidR="00775D89" w:rsidRPr="000F27E5">
        <w:rPr>
          <w:sz w:val="28"/>
          <w:lang w:val="lv-LV"/>
        </w:rPr>
        <w:t xml:space="preserve"> </w:t>
      </w:r>
      <w:r w:rsidR="00775D89">
        <w:rPr>
          <w:sz w:val="28"/>
          <w:lang w:val="lv-LV"/>
        </w:rPr>
        <w:t xml:space="preserve">vidējs </w:t>
      </w:r>
      <w:r w:rsidR="00775D89" w:rsidRPr="000F27E5">
        <w:rPr>
          <w:sz w:val="28"/>
          <w:lang w:val="lv-LV"/>
        </w:rPr>
        <w:t>risks zaudēt snieguma rezervi 12,1</w:t>
      </w:r>
      <w:r w:rsidR="007B10D9">
        <w:rPr>
          <w:sz w:val="28"/>
          <w:lang w:val="lv-LV"/>
        </w:rPr>
        <w:t> </w:t>
      </w:r>
      <w:r w:rsidR="00775D89" w:rsidRPr="000F27E5">
        <w:rPr>
          <w:sz w:val="28"/>
          <w:lang w:val="lv-LV"/>
        </w:rPr>
        <w:t>milj.</w:t>
      </w:r>
      <w:r w:rsidR="007B10D9">
        <w:rPr>
          <w:sz w:val="28"/>
          <w:lang w:val="lv-LV"/>
        </w:rPr>
        <w:t> </w:t>
      </w:r>
      <w:r w:rsidR="00775D89" w:rsidRPr="000F27E5">
        <w:rPr>
          <w:i/>
          <w:sz w:val="28"/>
          <w:lang w:val="lv-LV"/>
        </w:rPr>
        <w:t>euro</w:t>
      </w:r>
      <w:r w:rsidR="0045721A">
        <w:rPr>
          <w:b w:val="0"/>
          <w:i/>
          <w:sz w:val="28"/>
          <w:lang w:val="lv-LV"/>
        </w:rPr>
        <w:t>.</w:t>
      </w:r>
      <w:r w:rsidR="0045721A" w:rsidRPr="000F27E5">
        <w:rPr>
          <w:b w:val="0"/>
          <w:i/>
          <w:sz w:val="28"/>
          <w:lang w:val="lv-LV"/>
        </w:rPr>
        <w:t xml:space="preserve"> </w:t>
      </w:r>
      <w:r w:rsidR="0045721A">
        <w:rPr>
          <w:b w:val="0"/>
          <w:sz w:val="28"/>
          <w:lang w:val="lv-LV"/>
        </w:rPr>
        <w:t>J</w:t>
      </w:r>
      <w:r w:rsidR="0045721A" w:rsidRPr="000F27E5">
        <w:rPr>
          <w:b w:val="0"/>
          <w:sz w:val="28"/>
          <w:lang w:val="lv-LV"/>
        </w:rPr>
        <w:t>a ievērojami nepiepildās projektu īstenotāju plānotā plūsma</w:t>
      </w:r>
      <w:r w:rsidR="0045721A">
        <w:rPr>
          <w:b w:val="0"/>
          <w:sz w:val="28"/>
          <w:lang w:val="lv-LV"/>
        </w:rPr>
        <w:t xml:space="preserve"> pastāv risks nesasniegt minimālo mērķa robežu</w:t>
      </w:r>
      <w:r w:rsidR="00FD2B77">
        <w:rPr>
          <w:b w:val="0"/>
          <w:sz w:val="28"/>
          <w:lang w:val="lv-LV"/>
        </w:rPr>
        <w:t xml:space="preserve"> par 1,4 milj. </w:t>
      </w:r>
      <w:r w:rsidR="00FD2B77">
        <w:rPr>
          <w:b w:val="0"/>
          <w:i/>
          <w:sz w:val="28"/>
          <w:lang w:val="lv-LV"/>
        </w:rPr>
        <w:t>euro</w:t>
      </w:r>
      <w:r w:rsidR="0045721A">
        <w:rPr>
          <w:b w:val="0"/>
          <w:sz w:val="28"/>
          <w:lang w:val="lv-LV"/>
        </w:rPr>
        <w:t xml:space="preserve">. </w:t>
      </w:r>
      <w:r w:rsidR="00775D89">
        <w:rPr>
          <w:b w:val="0"/>
          <w:sz w:val="28"/>
          <w:lang w:val="lv-LV"/>
        </w:rPr>
        <w:t xml:space="preserve">Līdzšinējā pieredze valsts ēku un dzīvojamo māju energoefektivitātes pasākumos demonstrē negatīvu tendenci kavējumiem un citiem sarežģījumiem, joprojām ir daudz nezināmo, t.sk. valsts ēku gadījumā īpaši attiecībā uz </w:t>
      </w:r>
      <w:r w:rsidR="00775D89" w:rsidRPr="00BF21D8">
        <w:rPr>
          <w:b w:val="0"/>
          <w:sz w:val="28"/>
          <w:lang w:val="lv-LV"/>
        </w:rPr>
        <w:t>iespējamā izmaksu pieauguma ietekmi un</w:t>
      </w:r>
      <w:r w:rsidR="00DA3599">
        <w:rPr>
          <w:b w:val="0"/>
          <w:sz w:val="28"/>
          <w:lang w:val="lv-LV"/>
        </w:rPr>
        <w:t xml:space="preserve"> </w:t>
      </w:r>
      <w:r w:rsidR="00D932AD">
        <w:rPr>
          <w:b w:val="0"/>
          <w:sz w:val="28"/>
          <w:lang w:val="lv-LV"/>
        </w:rPr>
        <w:t>būvniecības</w:t>
      </w:r>
      <w:r w:rsidR="00D932AD" w:rsidRPr="00BF21D8">
        <w:rPr>
          <w:b w:val="0"/>
          <w:sz w:val="28"/>
          <w:lang w:val="lv-LV"/>
        </w:rPr>
        <w:t xml:space="preserve"> </w:t>
      </w:r>
      <w:r w:rsidR="00DA3599" w:rsidRPr="00BF21D8">
        <w:rPr>
          <w:b w:val="0"/>
          <w:sz w:val="28"/>
          <w:lang w:val="lv-LV"/>
        </w:rPr>
        <w:t>iepirkum</w:t>
      </w:r>
      <w:r w:rsidR="00DA3599">
        <w:rPr>
          <w:b w:val="0"/>
          <w:sz w:val="28"/>
          <w:lang w:val="lv-LV"/>
        </w:rPr>
        <w:t xml:space="preserve">u </w:t>
      </w:r>
      <w:r w:rsidR="00D932AD">
        <w:rPr>
          <w:b w:val="0"/>
          <w:sz w:val="28"/>
          <w:lang w:val="lv-LV"/>
        </w:rPr>
        <w:lastRenderedPageBreak/>
        <w:t>procesu</w:t>
      </w:r>
      <w:r w:rsidR="00775D89" w:rsidRPr="00BF21D8">
        <w:rPr>
          <w:b w:val="0"/>
          <w:sz w:val="28"/>
          <w:lang w:val="lv-LV"/>
        </w:rPr>
        <w:t xml:space="preserve">. Vienlaikus projektu īstenotāju plāni ir ļoti optimistiski un neliecina par būtisku risku. </w:t>
      </w:r>
    </w:p>
    <w:p w14:paraId="08D26D02" w14:textId="32A17D1F" w:rsidR="00775D89" w:rsidRDefault="00775D89" w:rsidP="009365A2">
      <w:pPr>
        <w:pStyle w:val="BodyText"/>
        <w:tabs>
          <w:tab w:val="left" w:pos="0"/>
        </w:tabs>
        <w:suppressAutoHyphens/>
        <w:spacing w:line="240" w:lineRule="auto"/>
        <w:jc w:val="both"/>
        <w:rPr>
          <w:b w:val="0"/>
          <w:sz w:val="28"/>
          <w:lang w:val="lv-LV"/>
        </w:rPr>
      </w:pPr>
      <w:r w:rsidRPr="00BF21D8">
        <w:rPr>
          <w:b w:val="0"/>
          <w:sz w:val="28"/>
          <w:lang w:val="lv-LV"/>
        </w:rPr>
        <w:t>Papildus jauns un vēl projektu plānos neievērtēts risks var rasties, ņemot vērā EK 2017.</w:t>
      </w:r>
      <w:r w:rsidR="00F4624E">
        <w:rPr>
          <w:b w:val="0"/>
          <w:sz w:val="28"/>
          <w:lang w:val="lv-LV"/>
        </w:rPr>
        <w:t> </w:t>
      </w:r>
      <w:r w:rsidRPr="00BF21D8">
        <w:rPr>
          <w:b w:val="0"/>
          <w:sz w:val="28"/>
          <w:lang w:val="lv-LV"/>
        </w:rPr>
        <w:t>gada beigu komunikāciju visām dalībvalstīm, aicinot neveikt investīcijas ilgtermiņa sociālās aprūpes infrastruktūrā. Šobrīd identificēti projekti par kopējo summu indikatīvi 11</w:t>
      </w:r>
      <w:r w:rsidR="007B10D9">
        <w:rPr>
          <w:b w:val="0"/>
          <w:sz w:val="28"/>
          <w:lang w:val="lv-LV"/>
        </w:rPr>
        <w:t> – </w:t>
      </w:r>
      <w:r w:rsidRPr="00BF21D8">
        <w:rPr>
          <w:b w:val="0"/>
          <w:sz w:val="28"/>
          <w:lang w:val="lv-LV"/>
        </w:rPr>
        <w:t>20</w:t>
      </w:r>
      <w:r w:rsidR="007B10D9">
        <w:rPr>
          <w:b w:val="0"/>
          <w:sz w:val="28"/>
          <w:lang w:val="lv-LV"/>
        </w:rPr>
        <w:t> </w:t>
      </w:r>
      <w:r w:rsidRPr="00BF21D8">
        <w:rPr>
          <w:b w:val="0"/>
          <w:sz w:val="28"/>
          <w:lang w:val="lv-LV"/>
        </w:rPr>
        <w:t>milj.</w:t>
      </w:r>
      <w:r w:rsidR="007B10D9">
        <w:rPr>
          <w:b w:val="0"/>
          <w:sz w:val="28"/>
          <w:lang w:val="lv-LV"/>
        </w:rPr>
        <w:t> </w:t>
      </w:r>
      <w:r w:rsidRPr="00463D7E">
        <w:rPr>
          <w:b w:val="0"/>
          <w:i/>
          <w:sz w:val="28"/>
          <w:lang w:val="lv-LV"/>
        </w:rPr>
        <w:t>euro</w:t>
      </w:r>
      <w:r w:rsidRPr="00BF21D8">
        <w:rPr>
          <w:b w:val="0"/>
          <w:sz w:val="28"/>
          <w:lang w:val="lv-LV"/>
        </w:rPr>
        <w:t>, bet tomēr ar nebūtisku sagaidāmo deklarējamo izdevumu apjomu 2018</w:t>
      </w:r>
      <w:r>
        <w:rPr>
          <w:b w:val="0"/>
          <w:sz w:val="28"/>
          <w:lang w:val="lv-LV"/>
        </w:rPr>
        <w:t>.</w:t>
      </w:r>
      <w:r w:rsidR="007B10D9">
        <w:rPr>
          <w:b w:val="0"/>
          <w:sz w:val="28"/>
          <w:lang w:val="lv-LV"/>
        </w:rPr>
        <w:t> </w:t>
      </w:r>
      <w:r>
        <w:rPr>
          <w:b w:val="0"/>
          <w:sz w:val="28"/>
          <w:lang w:val="lv-LV"/>
        </w:rPr>
        <w:t>gadā, uz ko varētu šāds risks attiekties valsts un pašvaldību ēku energoefektivitātes pasākumos. Vienojoties par rīcību ar iesaistītām iestādēm, CFLA ir informējusi konkrēto projektu īstenotājus par iepriekš minēto risku, kad EK var lemt nelīdzfinansēt šādas izmaksas, un aicinājusi īstenotājus neuzņemties saistības iepirkumos, kamēr nav skaidras atbildes no EK uz LM 2017.</w:t>
      </w:r>
      <w:r w:rsidR="007B10D9">
        <w:rPr>
          <w:b w:val="0"/>
          <w:sz w:val="28"/>
          <w:lang w:val="lv-LV"/>
        </w:rPr>
        <w:t> </w:t>
      </w:r>
      <w:r>
        <w:rPr>
          <w:b w:val="0"/>
          <w:sz w:val="28"/>
          <w:lang w:val="lv-LV"/>
        </w:rPr>
        <w:t>gada 5.</w:t>
      </w:r>
      <w:r w:rsidR="007B10D9">
        <w:rPr>
          <w:b w:val="0"/>
          <w:sz w:val="28"/>
          <w:lang w:val="lv-LV"/>
        </w:rPr>
        <w:t> </w:t>
      </w:r>
      <w:r>
        <w:rPr>
          <w:b w:val="0"/>
          <w:sz w:val="28"/>
          <w:lang w:val="lv-LV"/>
        </w:rPr>
        <w:t>decembra un FM 2017.</w:t>
      </w:r>
      <w:r w:rsidR="007B10D9">
        <w:rPr>
          <w:b w:val="0"/>
          <w:sz w:val="28"/>
          <w:lang w:val="lv-LV"/>
        </w:rPr>
        <w:t> </w:t>
      </w:r>
      <w:r>
        <w:rPr>
          <w:b w:val="0"/>
          <w:sz w:val="28"/>
          <w:lang w:val="lv-LV"/>
        </w:rPr>
        <w:t>gada 27.</w:t>
      </w:r>
      <w:r w:rsidR="007B10D9">
        <w:rPr>
          <w:b w:val="0"/>
          <w:sz w:val="28"/>
          <w:lang w:val="lv-LV"/>
        </w:rPr>
        <w:t> </w:t>
      </w:r>
      <w:r>
        <w:rPr>
          <w:b w:val="0"/>
          <w:sz w:val="28"/>
          <w:lang w:val="lv-LV"/>
        </w:rPr>
        <w:t xml:space="preserve">decembra vēstulēm EK. Vienlaikus LM kā atbildīgā nozares ministrija par sociālās aprūpes politiku plāno virzīt MK ziņojumu, lai lemtu par rīcību ar projektiem. </w:t>
      </w:r>
    </w:p>
    <w:p w14:paraId="0BAC8F8A" w14:textId="5080E1A2" w:rsidR="00775D89" w:rsidRDefault="00775D89" w:rsidP="009365A2">
      <w:pPr>
        <w:pStyle w:val="BodyText"/>
        <w:tabs>
          <w:tab w:val="left" w:pos="0"/>
        </w:tabs>
        <w:suppressAutoHyphens/>
        <w:spacing w:line="240" w:lineRule="auto"/>
        <w:jc w:val="both"/>
        <w:rPr>
          <w:sz w:val="28"/>
          <w:lang w:val="lv-LV"/>
        </w:rPr>
      </w:pPr>
      <w:r w:rsidRPr="00F75917">
        <w:rPr>
          <w:sz w:val="28"/>
          <w:lang w:val="lv-LV"/>
        </w:rPr>
        <w:t>Galvenā rīcība:</w:t>
      </w:r>
    </w:p>
    <w:p w14:paraId="760B623E" w14:textId="360D7153" w:rsidR="00775D89" w:rsidRDefault="00775D89" w:rsidP="009365A2">
      <w:pPr>
        <w:pStyle w:val="BodyText"/>
        <w:tabs>
          <w:tab w:val="left" w:pos="0"/>
        </w:tabs>
        <w:suppressAutoHyphens/>
        <w:spacing w:line="240" w:lineRule="auto"/>
        <w:jc w:val="both"/>
        <w:rPr>
          <w:b w:val="0"/>
          <w:sz w:val="28"/>
          <w:lang w:val="lv-LV"/>
        </w:rPr>
      </w:pPr>
      <w:r w:rsidRPr="00F75917">
        <w:rPr>
          <w:b w:val="0"/>
          <w:sz w:val="28"/>
          <w:lang w:val="lv-LV"/>
        </w:rPr>
        <w:t xml:space="preserve">(1) Stingra </w:t>
      </w:r>
      <w:r>
        <w:rPr>
          <w:b w:val="0"/>
          <w:sz w:val="28"/>
          <w:lang w:val="lv-LV"/>
        </w:rPr>
        <w:t xml:space="preserve">ikmēneša plānu </w:t>
      </w:r>
      <w:r w:rsidRPr="00F75917">
        <w:rPr>
          <w:b w:val="0"/>
          <w:sz w:val="28"/>
          <w:lang w:val="lv-LV"/>
        </w:rPr>
        <w:t>ieviešanas uzraudzība, finanšu disciplīna</w:t>
      </w:r>
      <w:r>
        <w:rPr>
          <w:b w:val="0"/>
          <w:sz w:val="28"/>
          <w:lang w:val="lv-LV"/>
        </w:rPr>
        <w:t xml:space="preserve">, </w:t>
      </w:r>
      <w:r w:rsidR="00AF462E">
        <w:rPr>
          <w:b w:val="0"/>
          <w:sz w:val="28"/>
          <w:lang w:val="lv-LV"/>
        </w:rPr>
        <w:t xml:space="preserve">CFLA sadarbība ar </w:t>
      </w:r>
      <w:r w:rsidR="0098167F">
        <w:rPr>
          <w:b w:val="0"/>
          <w:sz w:val="28"/>
          <w:lang w:val="lv-LV"/>
        </w:rPr>
        <w:t>projektu sagatavotājiem/</w:t>
      </w:r>
      <w:r w:rsidR="00AF462E">
        <w:rPr>
          <w:b w:val="0"/>
          <w:sz w:val="28"/>
          <w:lang w:val="lv-LV"/>
        </w:rPr>
        <w:t>īstenotājiem, sniedzot konsultatīvu atbalstu projektos konstatēto problēmu risināšanā</w:t>
      </w:r>
      <w:r>
        <w:rPr>
          <w:b w:val="0"/>
          <w:sz w:val="28"/>
          <w:lang w:val="lv-LV"/>
        </w:rPr>
        <w:t xml:space="preserve">; </w:t>
      </w:r>
    </w:p>
    <w:p w14:paraId="2DC4DECF" w14:textId="3CC156B1" w:rsidR="00775D89" w:rsidRDefault="00775D89" w:rsidP="009365A2">
      <w:pPr>
        <w:pStyle w:val="BodyText"/>
        <w:tabs>
          <w:tab w:val="left" w:pos="0"/>
        </w:tabs>
        <w:suppressAutoHyphens/>
        <w:spacing w:line="240" w:lineRule="auto"/>
        <w:jc w:val="both"/>
        <w:rPr>
          <w:b w:val="0"/>
          <w:sz w:val="28"/>
          <w:lang w:val="lv-LV"/>
        </w:rPr>
      </w:pPr>
      <w:r>
        <w:rPr>
          <w:b w:val="0"/>
          <w:sz w:val="28"/>
          <w:lang w:val="lv-LV"/>
        </w:rPr>
        <w:t xml:space="preserve">(2) gadījumā, kad projekta kopējās izmaksas lielākas nekā ERAF projekta attiecināmās, CFLA sadarbībā ar īstenotājiem un atbildīgajām iestādēm izvērtēs iespēju un lietderību palielināt projektu kopējās attiecināmās izmaksas, nemainot pieejamo ERAF, tādējādi rodot iespēju deklarēt EK vairāk; </w:t>
      </w:r>
    </w:p>
    <w:p w14:paraId="74A46F75" w14:textId="77777777" w:rsidR="00775D89" w:rsidRDefault="00775D89" w:rsidP="009365A2">
      <w:pPr>
        <w:pStyle w:val="BodyText"/>
        <w:tabs>
          <w:tab w:val="left" w:pos="0"/>
        </w:tabs>
        <w:suppressAutoHyphens/>
        <w:spacing w:line="240" w:lineRule="auto"/>
        <w:jc w:val="both"/>
        <w:rPr>
          <w:b w:val="0"/>
          <w:sz w:val="28"/>
          <w:lang w:val="lv-LV"/>
        </w:rPr>
      </w:pPr>
      <w:r>
        <w:rPr>
          <w:b w:val="0"/>
          <w:sz w:val="28"/>
          <w:lang w:val="lv-LV"/>
        </w:rPr>
        <w:t>(3) DP 3.</w:t>
      </w:r>
      <w:r w:rsidRPr="0017560A">
        <w:rPr>
          <w:b w:val="0"/>
          <w:sz w:val="28"/>
          <w:shd w:val="clear" w:color="auto" w:fill="FFFFFF" w:themeFill="background1"/>
          <w:lang w:val="lv-LV"/>
        </w:rPr>
        <w:t>grozījumu priekšlikuma</w:t>
      </w:r>
      <w:r>
        <w:rPr>
          <w:b w:val="0"/>
          <w:sz w:val="28"/>
          <w:lang w:val="lv-LV"/>
        </w:rPr>
        <w:t xml:space="preserve">, samazinot snieguma mērķi, aizstāvība EK; </w:t>
      </w:r>
    </w:p>
    <w:p w14:paraId="77841689" w14:textId="6027A076" w:rsidR="005C448D" w:rsidRDefault="00775D89" w:rsidP="009365A2">
      <w:pPr>
        <w:pStyle w:val="BodyText"/>
        <w:shd w:val="clear" w:color="auto" w:fill="FFFFFF" w:themeFill="background1"/>
        <w:tabs>
          <w:tab w:val="left" w:pos="0"/>
        </w:tabs>
        <w:suppressAutoHyphens/>
        <w:spacing w:line="240" w:lineRule="auto"/>
        <w:jc w:val="both"/>
        <w:rPr>
          <w:b w:val="0"/>
          <w:sz w:val="28"/>
          <w:shd w:val="clear" w:color="auto" w:fill="FFFFFF" w:themeFill="background1"/>
          <w:lang w:val="lv-LV"/>
        </w:rPr>
      </w:pPr>
      <w:r w:rsidRPr="0017560A">
        <w:rPr>
          <w:b w:val="0"/>
          <w:sz w:val="28"/>
          <w:shd w:val="clear" w:color="auto" w:fill="FFFFFF" w:themeFill="background1"/>
          <w:lang w:val="lv-LV"/>
        </w:rPr>
        <w:t xml:space="preserve">(4) LM un FM </w:t>
      </w:r>
      <w:r>
        <w:rPr>
          <w:b w:val="0"/>
          <w:sz w:val="28"/>
          <w:shd w:val="clear" w:color="auto" w:fill="FFFFFF" w:themeFill="background1"/>
          <w:lang w:val="lv-LV"/>
        </w:rPr>
        <w:t xml:space="preserve">turpināt </w:t>
      </w:r>
      <w:r w:rsidRPr="0017560A">
        <w:rPr>
          <w:b w:val="0"/>
          <w:sz w:val="28"/>
          <w:shd w:val="clear" w:color="auto" w:fill="FFFFFF" w:themeFill="background1"/>
          <w:lang w:val="lv-LV"/>
        </w:rPr>
        <w:t>aktīv</w:t>
      </w:r>
      <w:r>
        <w:rPr>
          <w:b w:val="0"/>
          <w:sz w:val="28"/>
          <w:shd w:val="clear" w:color="auto" w:fill="FFFFFF" w:themeFill="background1"/>
          <w:lang w:val="lv-LV"/>
        </w:rPr>
        <w:t>u</w:t>
      </w:r>
      <w:r w:rsidRPr="0017560A">
        <w:rPr>
          <w:b w:val="0"/>
          <w:sz w:val="28"/>
          <w:shd w:val="clear" w:color="auto" w:fill="FFFFFF" w:themeFill="background1"/>
          <w:lang w:val="lv-LV"/>
        </w:rPr>
        <w:t xml:space="preserve"> komunikācij</w:t>
      </w:r>
      <w:r>
        <w:rPr>
          <w:b w:val="0"/>
          <w:sz w:val="28"/>
          <w:shd w:val="clear" w:color="auto" w:fill="FFFFFF" w:themeFill="background1"/>
          <w:lang w:val="lv-LV"/>
        </w:rPr>
        <w:t>u</w:t>
      </w:r>
      <w:r w:rsidRPr="0017560A">
        <w:rPr>
          <w:b w:val="0"/>
          <w:sz w:val="28"/>
          <w:shd w:val="clear" w:color="auto" w:fill="FFFFFF" w:themeFill="background1"/>
          <w:lang w:val="lv-LV"/>
        </w:rPr>
        <w:t xml:space="preserve"> ar EK, iebilstot un nepieļaujot atbilstīgo izmaksu ierobežojumu maiņu plānošanas perioda vidū un kritiski – uz jau plānotajiem projektiem - attiecībā uz publisko līdzekļu ieguldījumiem ilgtermiņa sociālās aprūpes institūcijās.</w:t>
      </w:r>
      <w:r>
        <w:rPr>
          <w:b w:val="0"/>
          <w:sz w:val="28"/>
          <w:shd w:val="clear" w:color="auto" w:fill="FFFFFF" w:themeFill="background1"/>
          <w:lang w:val="lv-LV"/>
        </w:rPr>
        <w:t xml:space="preserve"> LM plāno sadarbībā ar FM un VARAM izstrādāt un iesniegt MK informatīvo ziņojumu un priekšlikumu rīcībai par šo jautājumu</w:t>
      </w:r>
      <w:r w:rsidR="005C448D">
        <w:rPr>
          <w:b w:val="0"/>
          <w:sz w:val="28"/>
          <w:shd w:val="clear" w:color="auto" w:fill="FFFFFF" w:themeFill="background1"/>
          <w:lang w:val="lv-LV"/>
        </w:rPr>
        <w:t>;</w:t>
      </w:r>
    </w:p>
    <w:p w14:paraId="3ABAECEC" w14:textId="77777777" w:rsidR="005C448D" w:rsidRPr="005C448D" w:rsidRDefault="005C448D" w:rsidP="005C448D">
      <w:pPr>
        <w:pStyle w:val="BodyText"/>
        <w:shd w:val="clear" w:color="auto" w:fill="FFFFFF" w:themeFill="background1"/>
        <w:tabs>
          <w:tab w:val="left" w:pos="0"/>
        </w:tabs>
        <w:suppressAutoHyphens/>
        <w:jc w:val="both"/>
        <w:rPr>
          <w:b w:val="0"/>
          <w:sz w:val="28"/>
          <w:shd w:val="clear" w:color="auto" w:fill="FFFFFF" w:themeFill="background1"/>
          <w:lang w:val="lv-LV"/>
        </w:rPr>
      </w:pPr>
      <w:r w:rsidRPr="005C448D">
        <w:rPr>
          <w:b w:val="0"/>
          <w:sz w:val="28"/>
          <w:shd w:val="clear" w:color="auto" w:fill="FFFFFF" w:themeFill="background1"/>
          <w:lang w:val="lv-LV"/>
        </w:rPr>
        <w:t>(5) EM veikt detalizētu katra resora plānotā projekta un jaunu iespējamo priekšlikumu izvērtējumu, rezultātā sagatavot precīzus katra projekta iesniegšanas termiņus un naudas plūsmu, balstoties uz reāliem projekta izstrādes soļiem un uzdevumiem, ievērtējot iespējamos riskus, kā arī stingrākus pasākumus šo termiņu ievērošanai;</w:t>
      </w:r>
    </w:p>
    <w:p w14:paraId="7784A314" w14:textId="301FECFB" w:rsidR="005C448D" w:rsidRDefault="005C448D" w:rsidP="005C448D">
      <w:pPr>
        <w:pStyle w:val="BodyText"/>
        <w:shd w:val="clear" w:color="auto" w:fill="FFFFFF" w:themeFill="background1"/>
        <w:tabs>
          <w:tab w:val="left" w:pos="0"/>
        </w:tabs>
        <w:suppressAutoHyphens/>
        <w:spacing w:line="240" w:lineRule="auto"/>
        <w:jc w:val="both"/>
        <w:rPr>
          <w:b w:val="0"/>
          <w:sz w:val="28"/>
          <w:shd w:val="clear" w:color="auto" w:fill="FFFFFF" w:themeFill="background1"/>
          <w:lang w:val="lv-LV"/>
        </w:rPr>
      </w:pPr>
      <w:r w:rsidRPr="005C448D">
        <w:rPr>
          <w:b w:val="0"/>
          <w:sz w:val="28"/>
          <w:shd w:val="clear" w:color="auto" w:fill="FFFFFF" w:themeFill="background1"/>
          <w:lang w:val="lv-LV"/>
        </w:rPr>
        <w:t>(6) jaunajiem projektiem vai papildus izmaksām EM norādīt konkrētu finansējuma avotu, kas nerada negatīvu ietekmi uz vispārējo budžetu.</w:t>
      </w:r>
    </w:p>
    <w:p w14:paraId="4678435D" w14:textId="77777777" w:rsidR="00775D89" w:rsidRPr="000F27E5" w:rsidRDefault="00775D89" w:rsidP="00DF718B">
      <w:pPr>
        <w:pStyle w:val="BodyText"/>
        <w:numPr>
          <w:ilvl w:val="0"/>
          <w:numId w:val="40"/>
        </w:numPr>
        <w:tabs>
          <w:tab w:val="left" w:pos="0"/>
        </w:tabs>
        <w:suppressAutoHyphens/>
        <w:spacing w:line="240" w:lineRule="auto"/>
        <w:ind w:left="357" w:hanging="357"/>
        <w:jc w:val="both"/>
        <w:rPr>
          <w:b w:val="0"/>
          <w:sz w:val="28"/>
          <w:lang w:val="lv-LV"/>
        </w:rPr>
      </w:pPr>
      <w:r>
        <w:rPr>
          <w:sz w:val="28"/>
          <w:lang w:val="lv-LV"/>
        </w:rPr>
        <w:t>6</w:t>
      </w:r>
      <w:r w:rsidRPr="000F27E5">
        <w:rPr>
          <w:sz w:val="28"/>
          <w:lang w:val="lv-LV"/>
        </w:rPr>
        <w:t xml:space="preserve"> PV (</w:t>
      </w:r>
      <w:r>
        <w:rPr>
          <w:sz w:val="28"/>
          <w:lang w:val="lv-LV"/>
        </w:rPr>
        <w:t>transports</w:t>
      </w:r>
      <w:r w:rsidRPr="000F27E5">
        <w:rPr>
          <w:sz w:val="28"/>
          <w:lang w:val="lv-LV"/>
        </w:rPr>
        <w:t xml:space="preserve">): </w:t>
      </w:r>
    </w:p>
    <w:p w14:paraId="0EBD2A25" w14:textId="5F05E66E" w:rsidR="00775D89" w:rsidRDefault="00775D89" w:rsidP="009365A2">
      <w:pPr>
        <w:pStyle w:val="BodyText"/>
        <w:shd w:val="clear" w:color="auto" w:fill="FFFFFF" w:themeFill="background1"/>
        <w:tabs>
          <w:tab w:val="left" w:pos="0"/>
        </w:tabs>
        <w:suppressAutoHyphens/>
        <w:spacing w:line="240" w:lineRule="auto"/>
        <w:jc w:val="both"/>
        <w:rPr>
          <w:b w:val="0"/>
          <w:sz w:val="28"/>
          <w:lang w:val="lv-LV"/>
        </w:rPr>
      </w:pPr>
      <w:r>
        <w:rPr>
          <w:sz w:val="28"/>
          <w:lang w:val="lv-LV"/>
        </w:rPr>
        <w:lastRenderedPageBreak/>
        <w:t>KF</w:t>
      </w:r>
      <w:r w:rsidRPr="000F27E5">
        <w:rPr>
          <w:sz w:val="28"/>
          <w:lang w:val="lv-LV"/>
        </w:rPr>
        <w:t xml:space="preserve"> – </w:t>
      </w:r>
      <w:r>
        <w:rPr>
          <w:sz w:val="28"/>
          <w:lang w:val="lv-LV"/>
        </w:rPr>
        <w:t xml:space="preserve">vidējs </w:t>
      </w:r>
      <w:r w:rsidRPr="000F27E5">
        <w:rPr>
          <w:sz w:val="28"/>
          <w:lang w:val="lv-LV"/>
        </w:rPr>
        <w:t xml:space="preserve">risks zaudēt snieguma rezervi </w:t>
      </w:r>
      <w:r>
        <w:rPr>
          <w:sz w:val="28"/>
          <w:lang w:val="lv-LV"/>
        </w:rPr>
        <w:t>57,2</w:t>
      </w:r>
      <w:r w:rsidR="007B10D9">
        <w:rPr>
          <w:sz w:val="28"/>
          <w:lang w:val="lv-LV"/>
        </w:rPr>
        <w:t> </w:t>
      </w:r>
      <w:r w:rsidRPr="000F27E5">
        <w:rPr>
          <w:sz w:val="28"/>
          <w:lang w:val="lv-LV"/>
        </w:rPr>
        <w:t>milj.</w:t>
      </w:r>
      <w:r w:rsidR="007B10D9">
        <w:rPr>
          <w:sz w:val="28"/>
          <w:lang w:val="lv-LV"/>
        </w:rPr>
        <w:t> </w:t>
      </w:r>
      <w:r w:rsidRPr="000F27E5">
        <w:rPr>
          <w:i/>
          <w:sz w:val="28"/>
          <w:lang w:val="lv-LV"/>
        </w:rPr>
        <w:t>euro</w:t>
      </w:r>
      <w:r w:rsidRPr="000F27E5">
        <w:rPr>
          <w:b w:val="0"/>
          <w:i/>
          <w:sz w:val="28"/>
          <w:lang w:val="lv-LV"/>
        </w:rPr>
        <w:t xml:space="preserve">, </w:t>
      </w:r>
      <w:r w:rsidRPr="000F27E5">
        <w:rPr>
          <w:b w:val="0"/>
          <w:sz w:val="28"/>
          <w:lang w:val="lv-LV"/>
        </w:rPr>
        <w:t>ja ievērojami nepiepildās projektu īstenotāju plānotā plūsma</w:t>
      </w:r>
      <w:r>
        <w:rPr>
          <w:b w:val="0"/>
          <w:sz w:val="28"/>
          <w:lang w:val="lv-LV"/>
        </w:rPr>
        <w:t xml:space="preserve"> </w:t>
      </w:r>
      <w:r w:rsidR="0045721A">
        <w:rPr>
          <w:b w:val="0"/>
          <w:sz w:val="28"/>
          <w:lang w:val="lv-LV"/>
        </w:rPr>
        <w:t>pastāv risks, ka minimālais mērķis tiks izpildīts tikai ar nenozīmīgu rezervi.</w:t>
      </w:r>
    </w:p>
    <w:p w14:paraId="0A067B60" w14:textId="63E332F9" w:rsidR="00775D89" w:rsidRPr="002240FD" w:rsidRDefault="00775D89" w:rsidP="009365A2">
      <w:pPr>
        <w:pStyle w:val="BodyText"/>
        <w:shd w:val="clear" w:color="auto" w:fill="FFFFFF" w:themeFill="background1"/>
        <w:tabs>
          <w:tab w:val="left" w:pos="0"/>
        </w:tabs>
        <w:suppressAutoHyphens/>
        <w:spacing w:line="240" w:lineRule="auto"/>
        <w:jc w:val="both"/>
        <w:rPr>
          <w:b w:val="0"/>
          <w:sz w:val="28"/>
          <w:lang w:val="lv-LV"/>
        </w:rPr>
      </w:pPr>
      <w:r>
        <w:rPr>
          <w:sz w:val="28"/>
          <w:lang w:val="lv-LV"/>
        </w:rPr>
        <w:t>Galvenā rīcība – s</w:t>
      </w:r>
      <w:r w:rsidRPr="002240FD">
        <w:rPr>
          <w:b w:val="0"/>
          <w:sz w:val="28"/>
          <w:lang w:val="lv-LV"/>
        </w:rPr>
        <w:t xml:space="preserve">tingra ikmēneša plānu ieviešanas uzraudzība, finanšu disciplīna, </w:t>
      </w:r>
      <w:r w:rsidR="00AF462E">
        <w:rPr>
          <w:b w:val="0"/>
          <w:sz w:val="28"/>
          <w:lang w:val="lv-LV"/>
        </w:rPr>
        <w:t xml:space="preserve">CFLA sadarbība ar </w:t>
      </w:r>
      <w:r w:rsidR="0098167F">
        <w:rPr>
          <w:b w:val="0"/>
          <w:sz w:val="28"/>
          <w:lang w:val="lv-LV"/>
        </w:rPr>
        <w:t>projektu sagatavotājiem/</w:t>
      </w:r>
      <w:r w:rsidR="00AF462E">
        <w:rPr>
          <w:b w:val="0"/>
          <w:sz w:val="28"/>
          <w:lang w:val="lv-LV"/>
        </w:rPr>
        <w:t>īstenotājiem, sniedzot konsultatīvu atbalstu projektos konstatēto problēmu risināšanā</w:t>
      </w:r>
      <w:r w:rsidRPr="002240FD">
        <w:rPr>
          <w:b w:val="0"/>
          <w:sz w:val="28"/>
          <w:lang w:val="lv-LV"/>
        </w:rPr>
        <w:t>.</w:t>
      </w:r>
      <w:r>
        <w:rPr>
          <w:b w:val="0"/>
          <w:sz w:val="28"/>
          <w:lang w:val="lv-LV"/>
        </w:rPr>
        <w:t xml:space="preserve"> </w:t>
      </w:r>
    </w:p>
    <w:p w14:paraId="20AB9CD8" w14:textId="1E276CCD" w:rsidR="004367B7" w:rsidRDefault="004367B7" w:rsidP="003B5107">
      <w:pPr>
        <w:rPr>
          <w:rFonts w:eastAsia="Calibri" w:cs="Times New Roman"/>
          <w:i/>
          <w:szCs w:val="28"/>
          <w:highlight w:val="yellow"/>
        </w:rPr>
      </w:pPr>
    </w:p>
    <w:p w14:paraId="593F8BB1" w14:textId="07783F7C" w:rsidR="002C55B6" w:rsidRPr="00E94DEB" w:rsidRDefault="00142E3E" w:rsidP="0091563F">
      <w:pPr>
        <w:spacing w:before="120" w:after="120"/>
        <w:ind w:firstLine="720"/>
        <w:jc w:val="both"/>
        <w:rPr>
          <w:rFonts w:cs="Times New Roman"/>
          <w:sz w:val="28"/>
          <w:szCs w:val="28"/>
        </w:rPr>
      </w:pPr>
      <w:r w:rsidRPr="00E94DEB">
        <w:rPr>
          <w:rFonts w:cs="Times New Roman"/>
          <w:sz w:val="28"/>
          <w:szCs w:val="28"/>
        </w:rPr>
        <w:t xml:space="preserve">Pārējos </w:t>
      </w:r>
      <w:r w:rsidR="00B74B79">
        <w:rPr>
          <w:rFonts w:cs="Times New Roman"/>
          <w:sz w:val="28"/>
          <w:szCs w:val="28"/>
        </w:rPr>
        <w:t>PV</w:t>
      </w:r>
      <w:r w:rsidRPr="00E94DEB">
        <w:rPr>
          <w:rFonts w:cs="Times New Roman"/>
          <w:sz w:val="28"/>
          <w:szCs w:val="28"/>
        </w:rPr>
        <w:t xml:space="preserve"> netiek saskatīti nozīmīgi snieguma ietvara neizpildes riski. </w:t>
      </w:r>
      <w:r w:rsidR="00BC73D5">
        <w:rPr>
          <w:rFonts w:cs="Times New Roman"/>
          <w:sz w:val="28"/>
          <w:szCs w:val="28"/>
        </w:rPr>
        <w:t>A</w:t>
      </w:r>
      <w:r w:rsidR="002C55B6" w:rsidRPr="00E94DEB">
        <w:rPr>
          <w:rFonts w:cs="Times New Roman"/>
          <w:sz w:val="28"/>
          <w:szCs w:val="28"/>
        </w:rPr>
        <w:t>ttiecībā uz citu uzraudzības rādītāju izpildi (gan iznākuma, gan rezultātu) detalizēta informācija pieejama ES fondu tīmekļa vietnē</w:t>
      </w:r>
      <w:r w:rsidR="002C55B6" w:rsidRPr="00E94DEB">
        <w:rPr>
          <w:rStyle w:val="FootnoteReference"/>
          <w:rFonts w:cs="Times New Roman"/>
          <w:sz w:val="28"/>
          <w:szCs w:val="28"/>
        </w:rPr>
        <w:footnoteReference w:id="67"/>
      </w:r>
      <w:r w:rsidR="002C55B6" w:rsidRPr="00E94DEB">
        <w:rPr>
          <w:rFonts w:cs="Times New Roman"/>
          <w:sz w:val="28"/>
          <w:szCs w:val="28"/>
        </w:rPr>
        <w:t>.</w:t>
      </w:r>
    </w:p>
    <w:p w14:paraId="38350C66" w14:textId="5EE46A1C" w:rsidR="009F69BE" w:rsidRPr="00EE1289" w:rsidRDefault="001F0AF6" w:rsidP="009F69BE">
      <w:pPr>
        <w:pStyle w:val="BodyText"/>
        <w:shd w:val="clear" w:color="auto" w:fill="FFFFFF" w:themeFill="background1"/>
        <w:tabs>
          <w:tab w:val="left" w:pos="0"/>
        </w:tabs>
        <w:suppressAutoHyphens/>
        <w:spacing w:line="240" w:lineRule="auto"/>
        <w:jc w:val="both"/>
        <w:rPr>
          <w:b w:val="0"/>
          <w:sz w:val="28"/>
          <w:lang w:val="lv-LV"/>
        </w:rPr>
      </w:pPr>
      <w:r>
        <w:rPr>
          <w:b w:val="0"/>
          <w:sz w:val="28"/>
          <w:shd w:val="clear" w:color="auto" w:fill="FFFFFF" w:themeFill="background1"/>
          <w:lang w:val="lv-LV"/>
        </w:rPr>
        <w:tab/>
      </w:r>
      <w:r w:rsidR="009F69BE" w:rsidRPr="0017560A">
        <w:rPr>
          <w:b w:val="0"/>
          <w:sz w:val="28"/>
          <w:shd w:val="clear" w:color="auto" w:fill="FFFFFF" w:themeFill="background1"/>
          <w:lang w:val="lv-LV"/>
        </w:rPr>
        <w:t xml:space="preserve">Efektīvai un operatīvai projektu ieviešanas risku pārvaldībai </w:t>
      </w:r>
      <w:r w:rsidR="009F69BE" w:rsidRPr="00892962">
        <w:rPr>
          <w:b w:val="0"/>
          <w:sz w:val="28"/>
          <w:lang w:val="lv-LV"/>
        </w:rPr>
        <w:t>noteikti turpmāk stingri uzraugāmie 2018.</w:t>
      </w:r>
      <w:r w:rsidR="009F69BE">
        <w:rPr>
          <w:b w:val="0"/>
          <w:sz w:val="28"/>
          <w:lang w:val="lv-LV"/>
        </w:rPr>
        <w:t> </w:t>
      </w:r>
      <w:r w:rsidR="009F69BE" w:rsidRPr="00892962">
        <w:rPr>
          <w:b w:val="0"/>
          <w:sz w:val="28"/>
          <w:lang w:val="lv-LV"/>
        </w:rPr>
        <w:t>gada plāni mēnešu dalījumā (lai ātrāk būtu identificējami riski un meklēti risinājumi, lai pēc iespējas maksimāli izpildītu kopējo gada plānu), kas plašākā detalizācijā pieejami ES fondu tīmekļa vietnē</w:t>
      </w:r>
      <w:r w:rsidR="00735A16">
        <w:rPr>
          <w:rStyle w:val="FootnoteReference"/>
          <w:b w:val="0"/>
          <w:sz w:val="28"/>
          <w:lang w:val="lv-LV"/>
        </w:rPr>
        <w:footnoteReference w:id="68"/>
      </w:r>
      <w:r w:rsidR="009F69BE" w:rsidRPr="00892962">
        <w:rPr>
          <w:b w:val="0"/>
          <w:sz w:val="28"/>
          <w:lang w:val="lv-LV"/>
        </w:rPr>
        <w:t xml:space="preserve">: </w:t>
      </w:r>
    </w:p>
    <w:p w14:paraId="662967F7" w14:textId="6D5B2004" w:rsidR="009F69BE" w:rsidRDefault="00B53CD9" w:rsidP="003167D9">
      <w:pPr>
        <w:pStyle w:val="BodyText"/>
        <w:numPr>
          <w:ilvl w:val="0"/>
          <w:numId w:val="42"/>
        </w:numPr>
        <w:tabs>
          <w:tab w:val="left" w:pos="0"/>
        </w:tabs>
        <w:suppressAutoHyphens/>
        <w:spacing w:line="240" w:lineRule="auto"/>
        <w:ind w:left="0" w:firstLine="0"/>
        <w:jc w:val="both"/>
        <w:rPr>
          <w:b w:val="0"/>
          <w:sz w:val="28"/>
          <w:lang w:val="lv-LV"/>
        </w:rPr>
      </w:pPr>
      <w:r>
        <w:rPr>
          <w:b w:val="0"/>
          <w:sz w:val="28"/>
          <w:lang w:val="lv-LV"/>
        </w:rPr>
        <w:t>K</w:t>
      </w:r>
      <w:r w:rsidR="009F69BE" w:rsidRPr="003B1783">
        <w:rPr>
          <w:b w:val="0"/>
          <w:sz w:val="28"/>
          <w:lang w:val="lv-LV"/>
        </w:rPr>
        <w:t xml:space="preserve">opējais </w:t>
      </w:r>
      <w:r w:rsidR="009F69BE">
        <w:rPr>
          <w:b w:val="0"/>
          <w:sz w:val="28"/>
          <w:lang w:val="lv-LV"/>
        </w:rPr>
        <w:t>SAM</w:t>
      </w:r>
      <w:r w:rsidR="009F69BE" w:rsidRPr="00892962">
        <w:rPr>
          <w:sz w:val="28"/>
          <w:lang w:val="lv-LV"/>
        </w:rPr>
        <w:t xml:space="preserve"> ES fondu maksājumu plāns </w:t>
      </w:r>
      <w:r w:rsidR="009F69BE" w:rsidRPr="00892962">
        <w:rPr>
          <w:b w:val="0"/>
          <w:sz w:val="28"/>
          <w:lang w:val="lv-LV"/>
        </w:rPr>
        <w:t>2018.</w:t>
      </w:r>
      <w:r w:rsidR="009F69BE">
        <w:rPr>
          <w:b w:val="0"/>
          <w:sz w:val="28"/>
          <w:lang w:val="lv-LV"/>
        </w:rPr>
        <w:t> </w:t>
      </w:r>
      <w:r w:rsidR="009F69BE" w:rsidRPr="00892962">
        <w:rPr>
          <w:b w:val="0"/>
          <w:sz w:val="28"/>
          <w:lang w:val="lv-LV"/>
        </w:rPr>
        <w:t>gadam un turpmākiem gadiem atbilstoši piesardzības principam (paredzot projektu īstenotāju plānu novirzes un citus riskus);</w:t>
      </w:r>
    </w:p>
    <w:p w14:paraId="5BF1F7EA" w14:textId="599D3247" w:rsidR="004A5359" w:rsidRPr="00A6600F" w:rsidRDefault="009F69BE" w:rsidP="00A6600F">
      <w:pPr>
        <w:pStyle w:val="BodyText"/>
        <w:numPr>
          <w:ilvl w:val="0"/>
          <w:numId w:val="42"/>
        </w:numPr>
        <w:tabs>
          <w:tab w:val="left" w:pos="0"/>
        </w:tabs>
        <w:suppressAutoHyphens/>
        <w:spacing w:line="240" w:lineRule="auto"/>
        <w:ind w:left="0" w:firstLine="0"/>
        <w:jc w:val="both"/>
        <w:rPr>
          <w:b w:val="0"/>
          <w:sz w:val="28"/>
          <w:lang w:val="lv-LV"/>
        </w:rPr>
      </w:pPr>
      <w:r w:rsidRPr="00892962">
        <w:rPr>
          <w:b w:val="0"/>
          <w:sz w:val="28"/>
          <w:lang w:val="lv-LV"/>
        </w:rPr>
        <w:t xml:space="preserve">Apkopotie IPIA projektu iesniedzēju un visu </w:t>
      </w:r>
      <w:r>
        <w:rPr>
          <w:b w:val="0"/>
          <w:sz w:val="28"/>
          <w:lang w:val="lv-LV"/>
        </w:rPr>
        <w:t>FS</w:t>
      </w:r>
      <w:r w:rsidRPr="00892962">
        <w:rPr>
          <w:b w:val="0"/>
          <w:sz w:val="28"/>
          <w:lang w:val="lv-LV"/>
        </w:rPr>
        <w:t xml:space="preserve"> projektu ieviešanas naudas plūsmas plāni (maksājumu pieprasījumu iesniegšanas prognozes) 2018.</w:t>
      </w:r>
      <w:r>
        <w:rPr>
          <w:b w:val="0"/>
          <w:sz w:val="28"/>
          <w:lang w:val="lv-LV"/>
        </w:rPr>
        <w:t> </w:t>
      </w:r>
      <w:r w:rsidRPr="00892962">
        <w:rPr>
          <w:b w:val="0"/>
          <w:sz w:val="28"/>
          <w:lang w:val="lv-LV"/>
        </w:rPr>
        <w:t xml:space="preserve">gadam un turpmākiem gadiem. </w:t>
      </w:r>
    </w:p>
    <w:p w14:paraId="7729F861" w14:textId="6985BD60" w:rsidR="006572B2" w:rsidRPr="004367B7" w:rsidRDefault="00590933" w:rsidP="00422702">
      <w:pPr>
        <w:pStyle w:val="2lmenis"/>
      </w:pPr>
      <w:bookmarkStart w:id="13" w:name="_Toc504564216"/>
      <w:r w:rsidRPr="00B92CD7">
        <w:t>4.</w:t>
      </w:r>
      <w:r w:rsidR="006A777A" w:rsidRPr="00B92CD7">
        <w:t>3</w:t>
      </w:r>
      <w:r w:rsidRPr="00B92CD7">
        <w:t>.</w:t>
      </w:r>
      <w:r w:rsidRPr="004367B7">
        <w:t xml:space="preserve"> </w:t>
      </w:r>
      <w:r w:rsidR="00A41EBF" w:rsidRPr="004367B7">
        <w:t xml:space="preserve">ES fondu </w:t>
      </w:r>
      <w:r w:rsidR="0025328C">
        <w:t xml:space="preserve">projektu </w:t>
      </w:r>
      <w:r w:rsidR="00A41EBF" w:rsidRPr="004367B7">
        <w:t xml:space="preserve">ieviešanas </w:t>
      </w:r>
      <w:r w:rsidR="0025328C">
        <w:t>plānu finanšu disciplīnas pasākumi</w:t>
      </w:r>
      <w:bookmarkEnd w:id="13"/>
    </w:p>
    <w:p w14:paraId="66150767" w14:textId="77777777" w:rsidR="000A21CC" w:rsidRPr="00FB13B5" w:rsidRDefault="000A21CC" w:rsidP="000A21CC">
      <w:pPr>
        <w:spacing w:before="120" w:after="120"/>
        <w:ind w:firstLine="720"/>
        <w:jc w:val="both"/>
        <w:rPr>
          <w:rFonts w:cs="Times New Roman"/>
          <w:sz w:val="28"/>
        </w:rPr>
      </w:pPr>
      <w:r w:rsidRPr="00FB13B5">
        <w:rPr>
          <w:rFonts w:cs="Times New Roman"/>
          <w:sz w:val="28"/>
        </w:rPr>
        <w:t>Latvijā</w:t>
      </w:r>
      <w:r>
        <w:rPr>
          <w:rFonts w:cs="Times New Roman"/>
          <w:sz w:val="28"/>
        </w:rPr>
        <w:t xml:space="preserve"> pašreiz</w:t>
      </w:r>
      <w:r w:rsidRPr="00FB13B5">
        <w:rPr>
          <w:rFonts w:cs="Times New Roman"/>
          <w:sz w:val="28"/>
        </w:rPr>
        <w:t xml:space="preserve"> </w:t>
      </w:r>
      <w:r>
        <w:rPr>
          <w:rFonts w:cs="Times New Roman"/>
          <w:sz w:val="28"/>
        </w:rPr>
        <w:t xml:space="preserve">ir noteikts šāds </w:t>
      </w:r>
      <w:r w:rsidRPr="00FB13B5">
        <w:rPr>
          <w:rFonts w:cs="Times New Roman"/>
          <w:sz w:val="28"/>
        </w:rPr>
        <w:t>normatīva</w:t>
      </w:r>
      <w:r>
        <w:rPr>
          <w:rFonts w:cs="Times New Roman"/>
          <w:sz w:val="28"/>
        </w:rPr>
        <w:t>is</w:t>
      </w:r>
      <w:r w:rsidRPr="00FB13B5">
        <w:rPr>
          <w:rFonts w:cs="Times New Roman"/>
          <w:sz w:val="28"/>
        </w:rPr>
        <w:t xml:space="preserve"> regulējum</w:t>
      </w:r>
      <w:r>
        <w:rPr>
          <w:rFonts w:cs="Times New Roman"/>
          <w:sz w:val="28"/>
        </w:rPr>
        <w:t xml:space="preserve">s attiecībā uz </w:t>
      </w:r>
      <w:r w:rsidRPr="00FB13B5">
        <w:rPr>
          <w:rFonts w:cs="Times New Roman"/>
          <w:sz w:val="28"/>
        </w:rPr>
        <w:t>ES fondu ieviešanas plānu uzraudzības un disciplīnas noteikumi</w:t>
      </w:r>
      <w:r>
        <w:rPr>
          <w:rFonts w:cs="Times New Roman"/>
          <w:sz w:val="28"/>
        </w:rPr>
        <w:t>em</w:t>
      </w:r>
      <w:r w:rsidRPr="00FB13B5">
        <w:rPr>
          <w:rFonts w:cs="Times New Roman"/>
          <w:sz w:val="28"/>
        </w:rPr>
        <w:t>, nosacījumi</w:t>
      </w:r>
      <w:r>
        <w:rPr>
          <w:rFonts w:cs="Times New Roman"/>
          <w:sz w:val="28"/>
        </w:rPr>
        <w:t>em</w:t>
      </w:r>
      <w:r w:rsidRPr="00FB13B5">
        <w:rPr>
          <w:rFonts w:cs="Times New Roman"/>
          <w:sz w:val="28"/>
        </w:rPr>
        <w:t xml:space="preserve"> un atbildīb</w:t>
      </w:r>
      <w:r>
        <w:rPr>
          <w:rFonts w:cs="Times New Roman"/>
          <w:sz w:val="28"/>
        </w:rPr>
        <w:t>u</w:t>
      </w:r>
      <w:r w:rsidRPr="00FB13B5">
        <w:rPr>
          <w:rFonts w:cs="Times New Roman"/>
          <w:sz w:val="28"/>
        </w:rPr>
        <w:t>:</w:t>
      </w:r>
    </w:p>
    <w:p w14:paraId="4FC9EBEF" w14:textId="1227BE68" w:rsidR="000A21CC" w:rsidRPr="00FB13B5" w:rsidRDefault="000A21CC" w:rsidP="000A21CC">
      <w:pPr>
        <w:spacing w:before="120" w:after="120"/>
        <w:ind w:firstLine="720"/>
        <w:jc w:val="both"/>
        <w:rPr>
          <w:rFonts w:cs="Times New Roman"/>
          <w:sz w:val="28"/>
        </w:rPr>
      </w:pPr>
      <w:r w:rsidRPr="00FB13B5">
        <w:rPr>
          <w:rFonts w:cs="Times New Roman"/>
          <w:sz w:val="28"/>
        </w:rPr>
        <w:t>1)</w:t>
      </w:r>
      <w:r w:rsidRPr="00FB13B5">
        <w:rPr>
          <w:rFonts w:cs="Times New Roman"/>
          <w:sz w:val="28"/>
        </w:rPr>
        <w:tab/>
        <w:t>AI saskaņā ar Eiropas Savienības struktūrfondu un Kohēzijas fonda 2014.—2020.</w:t>
      </w:r>
      <w:r>
        <w:rPr>
          <w:rFonts w:cs="Times New Roman"/>
          <w:sz w:val="28"/>
        </w:rPr>
        <w:t> </w:t>
      </w:r>
      <w:r w:rsidRPr="00FB13B5">
        <w:rPr>
          <w:rFonts w:cs="Times New Roman"/>
          <w:sz w:val="28"/>
        </w:rPr>
        <w:t>gada plānošanas perioda vadības likuma 11.</w:t>
      </w:r>
      <w:r>
        <w:rPr>
          <w:rFonts w:cs="Times New Roman"/>
          <w:sz w:val="28"/>
        </w:rPr>
        <w:t> </w:t>
      </w:r>
      <w:r w:rsidRPr="00FB13B5">
        <w:rPr>
          <w:rFonts w:cs="Times New Roman"/>
          <w:sz w:val="28"/>
        </w:rPr>
        <w:t>panta trešās daļas 2.</w:t>
      </w:r>
      <w:r w:rsidR="007B10D9">
        <w:rPr>
          <w:rFonts w:cs="Times New Roman"/>
          <w:sz w:val="28"/>
        </w:rPr>
        <w:t> </w:t>
      </w:r>
      <w:r w:rsidRPr="00FB13B5">
        <w:rPr>
          <w:rFonts w:cs="Times New Roman"/>
          <w:sz w:val="28"/>
        </w:rPr>
        <w:t xml:space="preserve">punktu ir noteikts pienākums atbilstoši plānošanas dokumentiem nodrošināt </w:t>
      </w:r>
      <w:r>
        <w:rPr>
          <w:rFonts w:cs="Times New Roman"/>
          <w:sz w:val="28"/>
        </w:rPr>
        <w:t>SAM</w:t>
      </w:r>
      <w:r w:rsidRPr="00FB13B5">
        <w:rPr>
          <w:rFonts w:cs="Times New Roman"/>
          <w:sz w:val="28"/>
        </w:rPr>
        <w:t xml:space="preserve"> kopējo rezultātu sasniegšanu, tai skaitā iznākuma un rezultāta rādītāju sasniegšanas uzraudzību. Mehānismi, kas sekmē šī pienākuma izpildi ir noteikti gan horizontālajos ES fondu ieviešanas MK noteikumos, gan </w:t>
      </w:r>
      <w:r>
        <w:rPr>
          <w:rFonts w:cs="Times New Roman"/>
          <w:sz w:val="28"/>
        </w:rPr>
        <w:t>SAM</w:t>
      </w:r>
      <w:r w:rsidRPr="00FB13B5">
        <w:rPr>
          <w:rFonts w:cs="Times New Roman"/>
          <w:sz w:val="28"/>
        </w:rPr>
        <w:t xml:space="preserve"> investīciju ieviešanas MK noteikumos (kur noteikti arī sasniedzamie snieguma ietvara mērķi un rezultātu vērtības arī plānošanas perioda beigās), gan arī plašāk </w:t>
      </w:r>
      <w:r>
        <w:rPr>
          <w:rFonts w:cs="Times New Roman"/>
          <w:sz w:val="28"/>
        </w:rPr>
        <w:t>VI</w:t>
      </w:r>
      <w:r w:rsidRPr="00FB13B5">
        <w:rPr>
          <w:rFonts w:cs="Times New Roman"/>
          <w:sz w:val="28"/>
        </w:rPr>
        <w:t xml:space="preserve"> uzraudzības vadlīnijās, kā arī atrunāti CFLA un AI starpresoru vienošanās, t.sk. paredzētas iestāžu ceturkšņa sanāksmes par investīciju progresu un riskiem;</w:t>
      </w:r>
    </w:p>
    <w:p w14:paraId="106D10C9" w14:textId="04B2A5DD" w:rsidR="000A21CC" w:rsidRPr="00FB13B5" w:rsidRDefault="000A21CC" w:rsidP="000A21CC">
      <w:pPr>
        <w:spacing w:before="120" w:after="120"/>
        <w:ind w:firstLine="720"/>
        <w:jc w:val="both"/>
        <w:rPr>
          <w:rFonts w:cs="Times New Roman"/>
          <w:sz w:val="28"/>
        </w:rPr>
      </w:pPr>
      <w:r w:rsidRPr="00FB13B5">
        <w:rPr>
          <w:rFonts w:cs="Times New Roman"/>
          <w:sz w:val="28"/>
        </w:rPr>
        <w:t>2)</w:t>
      </w:r>
      <w:r w:rsidRPr="00FB13B5">
        <w:rPr>
          <w:rFonts w:cs="Times New Roman"/>
          <w:sz w:val="28"/>
        </w:rPr>
        <w:tab/>
        <w:t xml:space="preserve">Sadarbības iestāde (CFLA) jau šobrīd var pieņemt lēmumu par valsts budžeta iestādes asignējuma apturēšanu gadījumā, ja </w:t>
      </w:r>
      <w:r w:rsidR="003A1ACB">
        <w:rPr>
          <w:rFonts w:cs="Times New Roman"/>
          <w:sz w:val="28"/>
        </w:rPr>
        <w:t>FS</w:t>
      </w:r>
      <w:r w:rsidRPr="00FB13B5">
        <w:rPr>
          <w:rFonts w:cs="Times New Roman"/>
          <w:sz w:val="28"/>
        </w:rPr>
        <w:t xml:space="preserve">, kas ir valsts budžeta iestāde, vienošanās noteiktajos termiņos neiesniedz maksājuma pieprasījumu, </w:t>
      </w:r>
      <w:r w:rsidRPr="00FB13B5">
        <w:rPr>
          <w:rFonts w:cs="Times New Roman"/>
          <w:sz w:val="28"/>
        </w:rPr>
        <w:lastRenderedPageBreak/>
        <w:t>atbilstoši normatīvajiem aktiem par asignējumu piešķiršanas un izpildes kārtību var pieņemt lēmumu par asignējuma apturēšanu (MK 2015.</w:t>
      </w:r>
      <w:r>
        <w:rPr>
          <w:rFonts w:cs="Times New Roman"/>
          <w:sz w:val="28"/>
        </w:rPr>
        <w:t> </w:t>
      </w:r>
      <w:r w:rsidRPr="00FB13B5">
        <w:rPr>
          <w:rFonts w:cs="Times New Roman"/>
          <w:sz w:val="28"/>
        </w:rPr>
        <w:t>gada 13.</w:t>
      </w:r>
      <w:r>
        <w:rPr>
          <w:rFonts w:cs="Times New Roman"/>
          <w:sz w:val="28"/>
        </w:rPr>
        <w:t> </w:t>
      </w:r>
      <w:r w:rsidRPr="00FB13B5">
        <w:rPr>
          <w:rFonts w:cs="Times New Roman"/>
          <w:sz w:val="28"/>
        </w:rPr>
        <w:t>maija noteikumu Nr.</w:t>
      </w:r>
      <w:r>
        <w:rPr>
          <w:rFonts w:cs="Times New Roman"/>
          <w:sz w:val="28"/>
        </w:rPr>
        <w:t> </w:t>
      </w:r>
      <w:r w:rsidRPr="00FB13B5">
        <w:rPr>
          <w:rFonts w:cs="Times New Roman"/>
          <w:sz w:val="28"/>
        </w:rPr>
        <w:t>130 “Noteikumi par valsts budžeta līdzekļu plānošanu Eiropas Savienības struktūrfondu un Kohēzijas fonda projektu īstenošanai un maksājumu veikšanu 2014.-2020.</w:t>
      </w:r>
      <w:r>
        <w:rPr>
          <w:rFonts w:cs="Times New Roman"/>
          <w:sz w:val="28"/>
        </w:rPr>
        <w:t> </w:t>
      </w:r>
      <w:r w:rsidRPr="00FB13B5">
        <w:rPr>
          <w:rFonts w:cs="Times New Roman"/>
          <w:sz w:val="28"/>
        </w:rPr>
        <w:t>gada plānošanas periodā” 18.</w:t>
      </w:r>
      <w:r>
        <w:rPr>
          <w:rFonts w:cs="Times New Roman"/>
          <w:sz w:val="28"/>
        </w:rPr>
        <w:t> </w:t>
      </w:r>
      <w:r w:rsidRPr="00FB13B5">
        <w:rPr>
          <w:rFonts w:cs="Times New Roman"/>
          <w:sz w:val="28"/>
        </w:rPr>
        <w:t>punkts), kā arī saskaņā ar MK 2010.</w:t>
      </w:r>
      <w:r>
        <w:rPr>
          <w:rFonts w:cs="Times New Roman"/>
          <w:sz w:val="28"/>
        </w:rPr>
        <w:t> </w:t>
      </w:r>
      <w:r w:rsidRPr="00FB13B5">
        <w:rPr>
          <w:rFonts w:cs="Times New Roman"/>
          <w:sz w:val="28"/>
        </w:rPr>
        <w:t>gada 28.</w:t>
      </w:r>
      <w:r>
        <w:rPr>
          <w:rFonts w:cs="Times New Roman"/>
          <w:sz w:val="28"/>
        </w:rPr>
        <w:t> </w:t>
      </w:r>
      <w:r w:rsidRPr="00FB13B5">
        <w:rPr>
          <w:rFonts w:cs="Times New Roman"/>
          <w:sz w:val="28"/>
        </w:rPr>
        <w:t>decembra noteikumu Nr.</w:t>
      </w:r>
      <w:r>
        <w:rPr>
          <w:rFonts w:cs="Times New Roman"/>
          <w:sz w:val="28"/>
        </w:rPr>
        <w:t> </w:t>
      </w:r>
      <w:r w:rsidRPr="00FB13B5">
        <w:rPr>
          <w:rFonts w:cs="Times New Roman"/>
          <w:sz w:val="28"/>
        </w:rPr>
        <w:t>1220 “Asignējumu piešķiršanas un izpildes kārtība” 51.</w:t>
      </w:r>
      <w:r>
        <w:rPr>
          <w:rFonts w:cs="Times New Roman"/>
          <w:sz w:val="28"/>
        </w:rPr>
        <w:t> </w:t>
      </w:r>
      <w:r w:rsidRPr="00FB13B5">
        <w:rPr>
          <w:rFonts w:cs="Times New Roman"/>
          <w:sz w:val="28"/>
        </w:rPr>
        <w:t xml:space="preserve">punktu arī gadījumos, kad projekts netiek īstenots saskaņā ar līgumu vai vienošanos par projekta ieviešanu un tiek izskatīta nepieciešamība uzsākt procesu par līguma vai vienošanās par projekta ieviešanu laušanu. </w:t>
      </w:r>
    </w:p>
    <w:p w14:paraId="4329A425" w14:textId="086BC48D" w:rsidR="000A21CC" w:rsidRPr="00FB13B5" w:rsidRDefault="000A21CC" w:rsidP="000A21CC">
      <w:pPr>
        <w:spacing w:before="120" w:after="120"/>
        <w:ind w:firstLine="720"/>
        <w:jc w:val="both"/>
        <w:rPr>
          <w:rFonts w:cs="Times New Roman"/>
          <w:sz w:val="28"/>
        </w:rPr>
      </w:pPr>
      <w:r w:rsidRPr="00FB13B5">
        <w:rPr>
          <w:rFonts w:cs="Times New Roman"/>
          <w:sz w:val="28"/>
        </w:rPr>
        <w:t>3)</w:t>
      </w:r>
      <w:r w:rsidRPr="00FB13B5">
        <w:rPr>
          <w:rFonts w:cs="Times New Roman"/>
          <w:sz w:val="28"/>
        </w:rPr>
        <w:tab/>
        <w:t>Projekta līmenī finanšu korekcija (publiskā atbalsta proporcionāls samazinājums) atbilstoši vadošās iestādes vadlīnijām ir paredzēta tikai projekta beigās projekta mērķa un rādītāju būtisk</w:t>
      </w:r>
      <w:r>
        <w:rPr>
          <w:rFonts w:cs="Times New Roman"/>
          <w:sz w:val="28"/>
        </w:rPr>
        <w:t>as nesasniegšanas gadījumā, savukārt f</w:t>
      </w:r>
      <w:r w:rsidRPr="00FB13B5">
        <w:rPr>
          <w:rFonts w:cs="Times New Roman"/>
          <w:sz w:val="28"/>
        </w:rPr>
        <w:t xml:space="preserve">inanšu ieviešanas plānu neizpildes gadījumā nav noteikti normatīvajos aktos, projektu līgumos un vienošanās </w:t>
      </w:r>
      <w:r w:rsidR="003A1ACB">
        <w:rPr>
          <w:rFonts w:cs="Times New Roman"/>
          <w:sz w:val="28"/>
        </w:rPr>
        <w:t>FS</w:t>
      </w:r>
      <w:r w:rsidRPr="00FB13B5">
        <w:rPr>
          <w:rFonts w:cs="Times New Roman"/>
          <w:sz w:val="28"/>
        </w:rPr>
        <w:t xml:space="preserve"> saistoši finanšu disciplīnas pasākumi - nav noteiktu saistošu finanšu mērķu (piemēram, līgumos iekļautie finansēšanas plāni un maksājumu pieprasījumu iesniegšanas plāni nav noteikti kā saistoši) un būtiskas plānu neizpildes gadījumā nav noteiktu “sankciju”</w:t>
      </w:r>
      <w:r w:rsidR="009759AB">
        <w:rPr>
          <w:rFonts w:cs="Times New Roman"/>
          <w:sz w:val="28"/>
        </w:rPr>
        <w:t> – </w:t>
      </w:r>
      <w:r w:rsidRPr="00FB13B5">
        <w:rPr>
          <w:rFonts w:cs="Times New Roman"/>
          <w:sz w:val="28"/>
        </w:rPr>
        <w:t xml:space="preserve">nav tiesiski piemērojamu nozīmīgas ietekmes instrumentu, lai </w:t>
      </w:r>
      <w:r w:rsidR="003A1ACB">
        <w:rPr>
          <w:rFonts w:cs="Times New Roman"/>
          <w:sz w:val="28"/>
        </w:rPr>
        <w:t>FS</w:t>
      </w:r>
      <w:r w:rsidRPr="00FB13B5">
        <w:rPr>
          <w:rFonts w:cs="Times New Roman"/>
          <w:sz w:val="28"/>
        </w:rPr>
        <w:t xml:space="preserve"> būtu īpaši motivēts uzlabot projekta</w:t>
      </w:r>
      <w:r>
        <w:rPr>
          <w:rFonts w:cs="Times New Roman"/>
          <w:sz w:val="28"/>
        </w:rPr>
        <w:t xml:space="preserve"> ieviešanas finanšu disciplīnu.</w:t>
      </w:r>
    </w:p>
    <w:p w14:paraId="2F8AF0F7" w14:textId="77777777" w:rsidR="000A21CC" w:rsidRPr="00FB13B5" w:rsidRDefault="000A21CC" w:rsidP="000A21CC">
      <w:pPr>
        <w:spacing w:before="120" w:after="120"/>
        <w:ind w:firstLine="720"/>
        <w:jc w:val="both"/>
        <w:rPr>
          <w:rFonts w:cs="Times New Roman"/>
          <w:sz w:val="28"/>
        </w:rPr>
      </w:pPr>
      <w:r w:rsidRPr="00FB13B5">
        <w:rPr>
          <w:rFonts w:cs="Times New Roman"/>
          <w:sz w:val="28"/>
        </w:rPr>
        <w:t>Konstatējot sistēmiskas projektu plānu novirzes, FM</w:t>
      </w:r>
      <w:r>
        <w:rPr>
          <w:rFonts w:cs="Times New Roman"/>
          <w:sz w:val="28"/>
        </w:rPr>
        <w:t xml:space="preserve"> </w:t>
      </w:r>
      <w:r w:rsidRPr="00FB13B5">
        <w:rPr>
          <w:rFonts w:cs="Times New Roman"/>
          <w:sz w:val="28"/>
        </w:rPr>
        <w:t xml:space="preserve">ieviesa papildu mehānismu stingrākai strukturētai ikmēneša uzraudzībai, lai iespējami ātri identificētu tos </w:t>
      </w:r>
      <w:r>
        <w:rPr>
          <w:rFonts w:cs="Times New Roman"/>
          <w:sz w:val="28"/>
        </w:rPr>
        <w:t>SAM/</w:t>
      </w:r>
      <w:r w:rsidRPr="00FB13B5">
        <w:rPr>
          <w:rFonts w:cs="Times New Roman"/>
          <w:sz w:val="28"/>
        </w:rPr>
        <w:t>pasākumus, kur pastāv iespēja nesasniegt minētos rādītājus, kā arī rastu iespējami ātrus un efektīvus risinājumus gada laikā. Šāda prakse tiks turpināta un atsevišķi iestāžu sadarbības elementi tiks uzlaboti/stiprināti:</w:t>
      </w:r>
    </w:p>
    <w:p w14:paraId="004AFF30" w14:textId="77777777" w:rsidR="000A21CC" w:rsidRPr="00FB13B5" w:rsidRDefault="000A21CC" w:rsidP="000A21CC">
      <w:pPr>
        <w:spacing w:before="120" w:after="120"/>
        <w:ind w:left="426"/>
        <w:jc w:val="both"/>
        <w:rPr>
          <w:rFonts w:cs="Times New Roman"/>
          <w:sz w:val="28"/>
        </w:rPr>
      </w:pPr>
      <w:r w:rsidRPr="00FB13B5">
        <w:rPr>
          <w:rFonts w:cs="Times New Roman"/>
          <w:sz w:val="28"/>
        </w:rPr>
        <w:t>a)</w:t>
      </w:r>
      <w:r w:rsidRPr="00FB13B5">
        <w:rPr>
          <w:rFonts w:cs="Times New Roman"/>
          <w:sz w:val="28"/>
        </w:rPr>
        <w:tab/>
        <w:t>Katru mēnesi - FM sadarbībā ar CFLA apkopo projektu nobīdes projektu iesniegšanas termiņu izpildē maksājumu pieprasījumu iesniegšanas plūsmā, kā arī veiktos un nepieciešamos risku mazināšanas pasākumus, un iekļauj ikmēneša ziņojumā MK;</w:t>
      </w:r>
    </w:p>
    <w:p w14:paraId="582C848A" w14:textId="225EA0CE" w:rsidR="000A21CC" w:rsidRPr="00FB13B5" w:rsidRDefault="000A21CC" w:rsidP="000A21CC">
      <w:pPr>
        <w:spacing w:before="120" w:after="120"/>
        <w:ind w:left="426"/>
        <w:jc w:val="both"/>
        <w:rPr>
          <w:rFonts w:cs="Times New Roman"/>
          <w:sz w:val="28"/>
        </w:rPr>
      </w:pPr>
      <w:r w:rsidRPr="00FB13B5">
        <w:rPr>
          <w:rFonts w:cs="Times New Roman"/>
          <w:sz w:val="28"/>
        </w:rPr>
        <w:t>b)</w:t>
      </w:r>
      <w:r w:rsidRPr="00FB13B5">
        <w:rPr>
          <w:rFonts w:cs="Times New Roman"/>
          <w:sz w:val="28"/>
        </w:rPr>
        <w:tab/>
        <w:t xml:space="preserve">Turpmāk gadījumos, kad </w:t>
      </w:r>
      <w:r>
        <w:rPr>
          <w:rFonts w:cs="Times New Roman"/>
          <w:sz w:val="28"/>
        </w:rPr>
        <w:t>FS</w:t>
      </w:r>
      <w:r w:rsidRPr="00FB13B5">
        <w:rPr>
          <w:rFonts w:cs="Times New Roman"/>
          <w:sz w:val="28"/>
        </w:rPr>
        <w:t xml:space="preserve"> iesniedz būtiskas (virs 25</w:t>
      </w:r>
      <w:r w:rsidR="006F6BC2">
        <w:rPr>
          <w:rFonts w:cs="Times New Roman"/>
          <w:sz w:val="28"/>
        </w:rPr>
        <w:t> </w:t>
      </w:r>
      <w:r w:rsidRPr="00FB13B5">
        <w:rPr>
          <w:rFonts w:cs="Times New Roman"/>
          <w:sz w:val="28"/>
        </w:rPr>
        <w:t xml:space="preserve">% no konkrētā gada plāna) izmaiņas maksājumu pieprasījumu prognozēs projekta līmenī, saskaņā ar starpresoru vienošanos CFLA informēs AI un </w:t>
      </w:r>
      <w:r>
        <w:rPr>
          <w:rFonts w:cs="Times New Roman"/>
          <w:sz w:val="28"/>
        </w:rPr>
        <w:t>VI</w:t>
      </w:r>
      <w:r w:rsidRPr="00FB13B5">
        <w:rPr>
          <w:rFonts w:cs="Times New Roman"/>
          <w:sz w:val="28"/>
        </w:rPr>
        <w:t xml:space="preserve"> par risku</w:t>
      </w:r>
      <w:r w:rsidR="002C51C2">
        <w:rPr>
          <w:rFonts w:cs="Times New Roman"/>
          <w:sz w:val="28"/>
        </w:rPr>
        <w:t xml:space="preserve"> </w:t>
      </w:r>
      <w:r w:rsidRPr="00FB13B5">
        <w:rPr>
          <w:rFonts w:cs="Times New Roman"/>
          <w:sz w:val="28"/>
        </w:rPr>
        <w:t xml:space="preserve">un, AI vērtējot konstatēto projekta izmaiņu ietekmi uz snieguma ietvaru, kā arī spēju sasniegt DP noteiktos rādītājus, iestādēm savstarpēji jāvienojas par nepieciešamo un iespējami labāko rīcību. </w:t>
      </w:r>
      <w:r>
        <w:rPr>
          <w:rFonts w:cs="Times New Roman"/>
          <w:sz w:val="28"/>
        </w:rPr>
        <w:t>VI</w:t>
      </w:r>
      <w:r w:rsidRPr="00FB13B5">
        <w:rPr>
          <w:rFonts w:cs="Times New Roman"/>
          <w:sz w:val="28"/>
        </w:rPr>
        <w:t xml:space="preserve"> vērtē ietekmi uz “N+3” izpildi.</w:t>
      </w:r>
    </w:p>
    <w:p w14:paraId="3EE59380" w14:textId="296013CA" w:rsidR="000A21CC" w:rsidRPr="00FB13B5" w:rsidRDefault="000A21CC" w:rsidP="000A21CC">
      <w:pPr>
        <w:spacing w:before="120" w:after="120"/>
        <w:ind w:firstLine="720"/>
        <w:jc w:val="both"/>
        <w:rPr>
          <w:rFonts w:cs="Times New Roman"/>
          <w:sz w:val="28"/>
        </w:rPr>
      </w:pPr>
      <w:r w:rsidRPr="00FB13B5">
        <w:rPr>
          <w:rFonts w:cs="Times New Roman"/>
          <w:sz w:val="28"/>
        </w:rPr>
        <w:t xml:space="preserve">Secināms, lai konkrētus </w:t>
      </w:r>
      <w:r w:rsidR="003A1ACB">
        <w:rPr>
          <w:rFonts w:cs="Times New Roman"/>
          <w:sz w:val="28"/>
        </w:rPr>
        <w:t>FS</w:t>
      </w:r>
      <w:r w:rsidRPr="00FB13B5">
        <w:rPr>
          <w:rFonts w:cs="Times New Roman"/>
          <w:sz w:val="28"/>
        </w:rPr>
        <w:t xml:space="preserve"> saistošus projekta finanšu disciplīnas un atbildības (t.sk. finanšu korekciju) pasākumus ieviestu un tiesiski korekti piemērotu, t.sk. ņemot vērā ietekmi uz valsts budžetu:</w:t>
      </w:r>
    </w:p>
    <w:p w14:paraId="085876E9" w14:textId="77777777" w:rsidR="000A21CC" w:rsidRPr="00FB13B5" w:rsidRDefault="000A21CC" w:rsidP="000A21CC">
      <w:pPr>
        <w:spacing w:before="120" w:after="120"/>
        <w:ind w:firstLine="720"/>
        <w:jc w:val="both"/>
        <w:rPr>
          <w:rFonts w:cs="Times New Roman"/>
          <w:sz w:val="28"/>
        </w:rPr>
      </w:pPr>
      <w:r w:rsidRPr="00FB13B5">
        <w:rPr>
          <w:rFonts w:cs="Times New Roman"/>
          <w:sz w:val="28"/>
        </w:rPr>
        <w:t>1)</w:t>
      </w:r>
      <w:r w:rsidRPr="00FB13B5">
        <w:rPr>
          <w:rFonts w:cs="Times New Roman"/>
          <w:sz w:val="28"/>
        </w:rPr>
        <w:tab/>
        <w:t>nepieciešams pieņemt attiecīgu MK lēmumu un MK noteikumu grozījumus par papildus disciplinēšanas pasākumu ieviešanu projektu līmenī;</w:t>
      </w:r>
    </w:p>
    <w:p w14:paraId="44D68137" w14:textId="65E3F98F" w:rsidR="000A21CC" w:rsidRPr="00FB13B5" w:rsidRDefault="000A21CC" w:rsidP="000A21CC">
      <w:pPr>
        <w:spacing w:before="120" w:after="120"/>
        <w:ind w:firstLine="720"/>
        <w:jc w:val="both"/>
        <w:rPr>
          <w:rFonts w:cs="Times New Roman"/>
          <w:sz w:val="28"/>
        </w:rPr>
      </w:pPr>
      <w:r w:rsidRPr="00FB13B5">
        <w:rPr>
          <w:rFonts w:cs="Times New Roman"/>
          <w:sz w:val="28"/>
        </w:rPr>
        <w:lastRenderedPageBreak/>
        <w:t>2)</w:t>
      </w:r>
      <w:r w:rsidRPr="00FB13B5">
        <w:rPr>
          <w:rFonts w:cs="Times New Roman"/>
          <w:sz w:val="28"/>
        </w:rPr>
        <w:tab/>
        <w:t xml:space="preserve">nepieciešams noteikt atšķirīgu disciplīnas pasākumu kārtību atkarībā no </w:t>
      </w:r>
      <w:r w:rsidR="003A1ACB">
        <w:rPr>
          <w:rFonts w:cs="Times New Roman"/>
          <w:sz w:val="28"/>
        </w:rPr>
        <w:t>FS</w:t>
      </w:r>
      <w:r w:rsidRPr="00FB13B5">
        <w:rPr>
          <w:rFonts w:cs="Times New Roman"/>
          <w:sz w:val="28"/>
        </w:rPr>
        <w:t xml:space="preserve"> veida, ņemot vērā ietekmi uz budžetu</w:t>
      </w:r>
      <w:r>
        <w:rPr>
          <w:rStyle w:val="FootnoteReference"/>
          <w:rFonts w:cs="Times New Roman"/>
          <w:sz w:val="28"/>
        </w:rPr>
        <w:footnoteReference w:id="69"/>
      </w:r>
      <w:r w:rsidRPr="00FB13B5">
        <w:rPr>
          <w:rFonts w:cs="Times New Roman"/>
          <w:sz w:val="28"/>
        </w:rPr>
        <w:t>.</w:t>
      </w:r>
      <w:r>
        <w:rPr>
          <w:rFonts w:cs="Times New Roman"/>
          <w:sz w:val="28"/>
        </w:rPr>
        <w:t xml:space="preserve"> </w:t>
      </w:r>
    </w:p>
    <w:p w14:paraId="5D56A536" w14:textId="75E9C03B" w:rsidR="00FE796F" w:rsidRDefault="00877D21" w:rsidP="00FE796F">
      <w:pPr>
        <w:pStyle w:val="ListParagraph"/>
        <w:spacing w:after="120"/>
        <w:ind w:left="0" w:firstLine="720"/>
        <w:jc w:val="both"/>
        <w:rPr>
          <w:color w:val="000000"/>
          <w:sz w:val="26"/>
          <w:szCs w:val="26"/>
        </w:rPr>
      </w:pPr>
      <w:r w:rsidRPr="00877D21">
        <w:rPr>
          <w:rFonts w:cs="Times New Roman"/>
          <w:sz w:val="28"/>
          <w:szCs w:val="28"/>
        </w:rPr>
        <w:t xml:space="preserve">Ņemot vērā līdz šim konstatētās ievērojamās nobīdes </w:t>
      </w:r>
      <w:r w:rsidR="00321BDD">
        <w:rPr>
          <w:rFonts w:cs="Times New Roman"/>
          <w:sz w:val="28"/>
          <w:szCs w:val="28"/>
        </w:rPr>
        <w:t>FS</w:t>
      </w:r>
      <w:r w:rsidRPr="00877D21">
        <w:rPr>
          <w:rFonts w:cs="Times New Roman"/>
          <w:sz w:val="28"/>
          <w:szCs w:val="28"/>
        </w:rPr>
        <w:t xml:space="preserve"> plānos un ziņojumā iepriekš sniegto situācijas analīzi un secinājumus, </w:t>
      </w:r>
      <w:r w:rsidR="00B21B05">
        <w:rPr>
          <w:rFonts w:cs="Times New Roman"/>
          <w:sz w:val="28"/>
          <w:szCs w:val="28"/>
        </w:rPr>
        <w:t>FM</w:t>
      </w:r>
      <w:r w:rsidR="00B21B05" w:rsidRPr="00877D21">
        <w:rPr>
          <w:rFonts w:cs="Times New Roman"/>
          <w:sz w:val="28"/>
          <w:szCs w:val="28"/>
        </w:rPr>
        <w:t xml:space="preserve"> </w:t>
      </w:r>
      <w:r w:rsidRPr="00877D21">
        <w:rPr>
          <w:rFonts w:cs="Times New Roman"/>
          <w:sz w:val="28"/>
          <w:szCs w:val="28"/>
        </w:rPr>
        <w:t>sniedz argumentētu izklāstu un priekšlikumus praktiski ieviešamai stingrākai projektu īstenotāju atbildībai par finanšu disciplīnas ievērošanai – noteikt rīcību, kad (a) projekta gada plāns nav izpildīts par vairāk kā 25</w:t>
      </w:r>
      <w:r w:rsidR="009100DC">
        <w:rPr>
          <w:rFonts w:cs="Times New Roman"/>
          <w:sz w:val="28"/>
          <w:szCs w:val="28"/>
        </w:rPr>
        <w:t> </w:t>
      </w:r>
      <w:r w:rsidRPr="00877D21">
        <w:rPr>
          <w:rFonts w:cs="Times New Roman"/>
          <w:sz w:val="28"/>
          <w:szCs w:val="28"/>
        </w:rPr>
        <w:t xml:space="preserve">% vai (b) projekts pagarinās par vairāk kā 6 mēnešiem. </w:t>
      </w:r>
      <w:r w:rsidR="00FE796F" w:rsidRPr="00247D86">
        <w:rPr>
          <w:rFonts w:cs="Times New Roman"/>
          <w:sz w:val="28"/>
          <w:szCs w:val="28"/>
        </w:rPr>
        <w:t xml:space="preserve">Finanšu disciplīnas </w:t>
      </w:r>
      <w:r w:rsidR="00247D86" w:rsidRPr="00247D86">
        <w:rPr>
          <w:rFonts w:cs="Times New Roman"/>
          <w:sz w:val="28"/>
          <w:szCs w:val="28"/>
        </w:rPr>
        <w:t xml:space="preserve">ir piemērojamas </w:t>
      </w:r>
      <w:r w:rsidR="00FE796F" w:rsidRPr="00247D86">
        <w:rPr>
          <w:color w:val="000000"/>
          <w:sz w:val="28"/>
          <w:szCs w:val="28"/>
        </w:rPr>
        <w:t>projektos, par kuriem ir noslēgt</w:t>
      </w:r>
      <w:r w:rsidR="00247D86">
        <w:rPr>
          <w:color w:val="000000"/>
          <w:sz w:val="28"/>
          <w:szCs w:val="28"/>
        </w:rPr>
        <w:t xml:space="preserve">i līgumi vai vienošanās ar CFLA un nav attiecināmās uz </w:t>
      </w:r>
      <w:r w:rsidR="003575DB">
        <w:rPr>
          <w:color w:val="000000"/>
          <w:sz w:val="28"/>
          <w:szCs w:val="28"/>
        </w:rPr>
        <w:t xml:space="preserve">projektu iesniedzēju </w:t>
      </w:r>
      <w:r w:rsidR="00247D86">
        <w:rPr>
          <w:color w:val="000000"/>
          <w:sz w:val="28"/>
          <w:szCs w:val="28"/>
        </w:rPr>
        <w:t>projektu iesniegšanas prognožu neizpildēm</w:t>
      </w:r>
      <w:r w:rsidR="00A97099">
        <w:rPr>
          <w:color w:val="000000"/>
          <w:sz w:val="28"/>
          <w:szCs w:val="28"/>
        </w:rPr>
        <w:t xml:space="preserve"> (atkāpes no FS projektu iesniegšanas plāna tiek apkopotas un iesniegtas MK informatīvajos nolūkos)</w:t>
      </w:r>
      <w:r w:rsidR="00247D86">
        <w:rPr>
          <w:color w:val="000000"/>
          <w:sz w:val="28"/>
          <w:szCs w:val="28"/>
        </w:rPr>
        <w:t>.</w:t>
      </w:r>
    </w:p>
    <w:p w14:paraId="0C407595" w14:textId="21F5DAF9" w:rsidR="00877D21" w:rsidRPr="00877D21" w:rsidRDefault="00877D21" w:rsidP="0062255B">
      <w:pPr>
        <w:spacing w:after="120"/>
        <w:ind w:firstLine="720"/>
        <w:jc w:val="both"/>
        <w:rPr>
          <w:rFonts w:cs="Times New Roman"/>
          <w:sz w:val="28"/>
          <w:szCs w:val="28"/>
        </w:rPr>
      </w:pPr>
      <w:r w:rsidRPr="00877D21">
        <w:rPr>
          <w:rFonts w:cs="Times New Roman"/>
          <w:sz w:val="28"/>
          <w:szCs w:val="28"/>
        </w:rPr>
        <w:t>Ņemot vērā 2018.</w:t>
      </w:r>
      <w:r w:rsidR="009100DC">
        <w:rPr>
          <w:rFonts w:cs="Times New Roman"/>
          <w:sz w:val="28"/>
          <w:szCs w:val="28"/>
        </w:rPr>
        <w:t> </w:t>
      </w:r>
      <w:r w:rsidRPr="00877D21">
        <w:rPr>
          <w:rFonts w:cs="Times New Roman"/>
          <w:sz w:val="28"/>
          <w:szCs w:val="28"/>
        </w:rPr>
        <w:t xml:space="preserve">gada sākumā atjaunotās projektu </w:t>
      </w:r>
      <w:r w:rsidR="00202078">
        <w:rPr>
          <w:rFonts w:cs="Times New Roman"/>
          <w:sz w:val="28"/>
          <w:szCs w:val="28"/>
        </w:rPr>
        <w:t>finanšu</w:t>
      </w:r>
      <w:r w:rsidR="00202078" w:rsidRPr="00877D21">
        <w:rPr>
          <w:rFonts w:cs="Times New Roman"/>
          <w:sz w:val="28"/>
          <w:szCs w:val="28"/>
        </w:rPr>
        <w:t xml:space="preserve"> </w:t>
      </w:r>
      <w:r w:rsidRPr="00877D21">
        <w:rPr>
          <w:rFonts w:cs="Times New Roman"/>
          <w:sz w:val="28"/>
          <w:szCs w:val="28"/>
        </w:rPr>
        <w:t xml:space="preserve">plūsmas prognozes, secināms, ka tās kopumā nav ticamas, jo ir pārāk optimistiskas pat pēc aktualizēšanas. </w:t>
      </w:r>
    </w:p>
    <w:p w14:paraId="1FEB902D" w14:textId="23809D1C" w:rsidR="00877D21" w:rsidRDefault="00877D21" w:rsidP="0062255B">
      <w:pPr>
        <w:spacing w:after="120"/>
        <w:ind w:firstLine="720"/>
        <w:jc w:val="both"/>
        <w:rPr>
          <w:rFonts w:cs="Times New Roman"/>
          <w:sz w:val="28"/>
          <w:szCs w:val="28"/>
        </w:rPr>
      </w:pPr>
      <w:r w:rsidRPr="00877D21">
        <w:rPr>
          <w:rFonts w:cs="Times New Roman"/>
          <w:sz w:val="28"/>
          <w:szCs w:val="28"/>
        </w:rPr>
        <w:t xml:space="preserve">Tādēļ FM ierosina tomēr vēl veltīt papildus laiku CFLA un </w:t>
      </w:r>
      <w:r w:rsidR="003A1ACB">
        <w:rPr>
          <w:rFonts w:cs="Times New Roman"/>
          <w:sz w:val="28"/>
          <w:szCs w:val="28"/>
        </w:rPr>
        <w:t>FS</w:t>
      </w:r>
      <w:r w:rsidRPr="00877D21">
        <w:rPr>
          <w:rFonts w:cs="Times New Roman"/>
          <w:sz w:val="28"/>
          <w:szCs w:val="28"/>
        </w:rPr>
        <w:t xml:space="preserve"> detāli izskatīt projektu ieviešanas riskus un atkārtoti precizēt prognozes. </w:t>
      </w:r>
    </w:p>
    <w:p w14:paraId="1C47A98A" w14:textId="1260DF34" w:rsidR="00991FF3" w:rsidRPr="00877D21" w:rsidRDefault="00991FF3" w:rsidP="0062255B">
      <w:pPr>
        <w:spacing w:after="120"/>
        <w:ind w:firstLine="720"/>
        <w:jc w:val="both"/>
        <w:rPr>
          <w:rFonts w:cs="Times New Roman"/>
          <w:sz w:val="28"/>
          <w:szCs w:val="28"/>
        </w:rPr>
      </w:pPr>
      <w:r w:rsidRPr="00877D21">
        <w:rPr>
          <w:rFonts w:cs="Times New Roman"/>
          <w:sz w:val="28"/>
          <w:szCs w:val="28"/>
        </w:rPr>
        <w:t>Tikai pēc šiem pasākumiem – pēc “pārejas perioda” stātos spēkā finanšu disciplīnas atbildības nosacījumi un kārtība, kad projekta gada plāns nav izpildīts par vairāk kā 25</w:t>
      </w:r>
      <w:r>
        <w:rPr>
          <w:rFonts w:cs="Times New Roman"/>
          <w:sz w:val="28"/>
          <w:szCs w:val="28"/>
        </w:rPr>
        <w:t> </w:t>
      </w:r>
      <w:r w:rsidRPr="00877D21">
        <w:rPr>
          <w:rFonts w:cs="Times New Roman"/>
          <w:sz w:val="28"/>
          <w:szCs w:val="28"/>
        </w:rPr>
        <w:t>% vai projekts pagarinās par vairāk kā 6 mēnešiem:</w:t>
      </w:r>
    </w:p>
    <w:tbl>
      <w:tblPr>
        <w:tblStyle w:val="TableGrid"/>
        <w:tblW w:w="9072" w:type="dxa"/>
        <w:tblInd w:w="-5" w:type="dxa"/>
        <w:shd w:val="clear" w:color="auto" w:fill="F2F2F2" w:themeFill="background1" w:themeFillShade="F2"/>
        <w:tblLook w:val="04A0" w:firstRow="1" w:lastRow="0" w:firstColumn="1" w:lastColumn="0" w:noHBand="0" w:noVBand="1"/>
      </w:tblPr>
      <w:tblGrid>
        <w:gridCol w:w="1134"/>
        <w:gridCol w:w="7938"/>
      </w:tblGrid>
      <w:tr w:rsidR="00B21B05" w:rsidRPr="00AB16C7" w14:paraId="4C36E129" w14:textId="77777777" w:rsidTr="00FF31D9">
        <w:tc>
          <w:tcPr>
            <w:tcW w:w="1134" w:type="dxa"/>
            <w:shd w:val="clear" w:color="auto" w:fill="F2F2F2" w:themeFill="background1" w:themeFillShade="F2"/>
          </w:tcPr>
          <w:p w14:paraId="069C7F8C" w14:textId="558820BC" w:rsidR="00B21B05" w:rsidRDefault="00B21B05" w:rsidP="005026FB">
            <w:pPr>
              <w:jc w:val="both"/>
              <w:rPr>
                <w:rFonts w:cs="Times New Roman"/>
                <w:sz w:val="28"/>
                <w:szCs w:val="28"/>
              </w:rPr>
            </w:pPr>
            <w:r>
              <w:rPr>
                <w:rFonts w:cs="Times New Roman"/>
                <w:sz w:val="28"/>
                <w:szCs w:val="28"/>
              </w:rPr>
              <w:t>Pārejas periods</w:t>
            </w:r>
          </w:p>
        </w:tc>
        <w:tc>
          <w:tcPr>
            <w:tcW w:w="7938" w:type="dxa"/>
            <w:shd w:val="clear" w:color="auto" w:fill="F2F2F2" w:themeFill="background1" w:themeFillShade="F2"/>
          </w:tcPr>
          <w:p w14:paraId="3CD5D5E8" w14:textId="7EC0548C" w:rsidR="00B21B05" w:rsidRDefault="00B21B05" w:rsidP="005026FB">
            <w:pPr>
              <w:jc w:val="both"/>
              <w:rPr>
                <w:rFonts w:cs="Times New Roman"/>
                <w:b/>
                <w:sz w:val="28"/>
                <w:szCs w:val="28"/>
              </w:rPr>
            </w:pPr>
            <w:r w:rsidRPr="00006626">
              <w:rPr>
                <w:rFonts w:cs="Times New Roman"/>
                <w:b/>
                <w:sz w:val="28"/>
                <w:szCs w:val="28"/>
              </w:rPr>
              <w:t xml:space="preserve">CFLA veiks intensīvu darbu ar visu projektu </w:t>
            </w:r>
            <w:r w:rsidR="00321BDD">
              <w:rPr>
                <w:rFonts w:cs="Times New Roman"/>
                <w:b/>
                <w:sz w:val="28"/>
                <w:szCs w:val="28"/>
              </w:rPr>
              <w:t>FS</w:t>
            </w:r>
            <w:r>
              <w:rPr>
                <w:rFonts w:cs="Times New Roman"/>
                <w:b/>
                <w:sz w:val="28"/>
                <w:szCs w:val="28"/>
              </w:rPr>
              <w:t>, atkārtoti dodot iespēju</w:t>
            </w:r>
            <w:r>
              <w:rPr>
                <w:rFonts w:cs="Times New Roman"/>
                <w:sz w:val="28"/>
                <w:szCs w:val="28"/>
              </w:rPr>
              <w:t xml:space="preserve"> </w:t>
            </w:r>
            <w:r w:rsidRPr="00006626">
              <w:rPr>
                <w:rFonts w:cs="Times New Roman"/>
                <w:b/>
                <w:sz w:val="28"/>
                <w:szCs w:val="28"/>
              </w:rPr>
              <w:t xml:space="preserve">aktualizēt </w:t>
            </w:r>
            <w:r>
              <w:rPr>
                <w:rFonts w:cs="Times New Roman"/>
                <w:b/>
                <w:sz w:val="28"/>
                <w:szCs w:val="28"/>
              </w:rPr>
              <w:t xml:space="preserve">projektu </w:t>
            </w:r>
            <w:r w:rsidRPr="00006626">
              <w:rPr>
                <w:rFonts w:cs="Times New Roman"/>
                <w:b/>
                <w:sz w:val="28"/>
                <w:szCs w:val="28"/>
              </w:rPr>
              <w:t xml:space="preserve">maksājumu pieprasījumu </w:t>
            </w:r>
            <w:r w:rsidR="008D362C">
              <w:rPr>
                <w:rFonts w:cs="Times New Roman"/>
                <w:b/>
                <w:sz w:val="28"/>
                <w:szCs w:val="28"/>
              </w:rPr>
              <w:t>iesniegšanas grafiku</w:t>
            </w:r>
            <w:r>
              <w:rPr>
                <w:rFonts w:cs="Times New Roman"/>
                <w:b/>
                <w:sz w:val="28"/>
                <w:szCs w:val="28"/>
              </w:rPr>
              <w:t>.</w:t>
            </w:r>
          </w:p>
          <w:p w14:paraId="727BFA06" w14:textId="77777777" w:rsidR="00B21B05" w:rsidRDefault="00B21B05" w:rsidP="005026FB">
            <w:pPr>
              <w:jc w:val="both"/>
              <w:rPr>
                <w:rFonts w:cs="Times New Roman"/>
                <w:sz w:val="28"/>
                <w:szCs w:val="28"/>
              </w:rPr>
            </w:pPr>
            <w:r>
              <w:rPr>
                <w:rFonts w:cs="Times New Roman"/>
                <w:b/>
                <w:sz w:val="28"/>
                <w:szCs w:val="28"/>
              </w:rPr>
              <w:t xml:space="preserve">Mērķis: </w:t>
            </w:r>
            <w:r w:rsidRPr="000C6E61">
              <w:rPr>
                <w:rFonts w:cs="Times New Roman"/>
                <w:sz w:val="28"/>
                <w:szCs w:val="28"/>
              </w:rPr>
              <w:t>(1)</w:t>
            </w:r>
            <w:r>
              <w:rPr>
                <w:rFonts w:cs="Times New Roman"/>
                <w:b/>
                <w:sz w:val="28"/>
                <w:szCs w:val="28"/>
              </w:rPr>
              <w:t xml:space="preserve"> </w:t>
            </w:r>
            <w:r w:rsidRPr="000C6E61">
              <w:rPr>
                <w:rFonts w:cs="Times New Roman"/>
                <w:sz w:val="28"/>
                <w:szCs w:val="28"/>
              </w:rPr>
              <w:t>kopīgi</w:t>
            </w:r>
            <w:r>
              <w:rPr>
                <w:rFonts w:cs="Times New Roman"/>
                <w:b/>
                <w:sz w:val="28"/>
                <w:szCs w:val="28"/>
              </w:rPr>
              <w:t xml:space="preserve"> </w:t>
            </w:r>
            <w:r w:rsidRPr="00E46DB5">
              <w:rPr>
                <w:rFonts w:cs="Times New Roman"/>
                <w:sz w:val="28"/>
                <w:szCs w:val="28"/>
              </w:rPr>
              <w:t xml:space="preserve">panākt </w:t>
            </w:r>
            <w:r w:rsidRPr="00006626">
              <w:rPr>
                <w:rFonts w:cs="Times New Roman"/>
                <w:b/>
                <w:sz w:val="28"/>
                <w:szCs w:val="28"/>
              </w:rPr>
              <w:t>reālistiskas</w:t>
            </w:r>
            <w:r>
              <w:rPr>
                <w:rFonts w:cs="Times New Roman"/>
                <w:sz w:val="28"/>
                <w:szCs w:val="28"/>
              </w:rPr>
              <w:t xml:space="preserve"> </w:t>
            </w:r>
            <w:r w:rsidRPr="000C6E61">
              <w:rPr>
                <w:rFonts w:cs="Times New Roman"/>
                <w:b/>
                <w:sz w:val="28"/>
                <w:szCs w:val="28"/>
              </w:rPr>
              <w:t>prognozes</w:t>
            </w:r>
            <w:r>
              <w:rPr>
                <w:rFonts w:cs="Times New Roman"/>
                <w:sz w:val="28"/>
                <w:szCs w:val="28"/>
              </w:rPr>
              <w:t xml:space="preserve">, ievērtējot “laika rāmī” dažādu faktoru ietekmi un iespējamās nobīdes; </w:t>
            </w:r>
          </w:p>
          <w:p w14:paraId="1933A2BB" w14:textId="1817F073" w:rsidR="00B21B05" w:rsidRDefault="00B21B05" w:rsidP="005026FB">
            <w:pPr>
              <w:jc w:val="both"/>
              <w:rPr>
                <w:rFonts w:cs="Times New Roman"/>
                <w:sz w:val="28"/>
                <w:szCs w:val="28"/>
              </w:rPr>
            </w:pPr>
            <w:r>
              <w:rPr>
                <w:rFonts w:cs="Times New Roman"/>
                <w:sz w:val="28"/>
                <w:szCs w:val="28"/>
              </w:rPr>
              <w:t xml:space="preserve">(2) </w:t>
            </w:r>
            <w:r w:rsidRPr="000C6E61">
              <w:rPr>
                <w:rFonts w:cs="Times New Roman"/>
                <w:b/>
                <w:sz w:val="28"/>
                <w:szCs w:val="28"/>
              </w:rPr>
              <w:t>izglītot</w:t>
            </w:r>
            <w:r w:rsidRPr="00E46DB5">
              <w:rPr>
                <w:rFonts w:cs="Times New Roman"/>
                <w:sz w:val="28"/>
                <w:szCs w:val="28"/>
              </w:rPr>
              <w:t xml:space="preserve"> </w:t>
            </w:r>
            <w:r w:rsidR="00321BDD">
              <w:rPr>
                <w:rFonts w:cs="Times New Roman"/>
                <w:sz w:val="28"/>
                <w:szCs w:val="28"/>
              </w:rPr>
              <w:t>FS</w:t>
            </w:r>
            <w:r w:rsidRPr="00E46DB5">
              <w:rPr>
                <w:rFonts w:cs="Times New Roman"/>
                <w:sz w:val="28"/>
                <w:szCs w:val="28"/>
              </w:rPr>
              <w:t xml:space="preserve"> </w:t>
            </w:r>
            <w:r>
              <w:rPr>
                <w:rFonts w:cs="Times New Roman"/>
                <w:sz w:val="28"/>
                <w:szCs w:val="28"/>
              </w:rPr>
              <w:t xml:space="preserve">projektu naudas plūsmas prognozēšanas aspektos, tādējādi daļēji </w:t>
            </w:r>
            <w:r w:rsidRPr="000C6E61">
              <w:rPr>
                <w:rFonts w:cs="Times New Roman"/>
                <w:b/>
                <w:sz w:val="28"/>
                <w:szCs w:val="28"/>
              </w:rPr>
              <w:t>stiprin</w:t>
            </w:r>
            <w:r>
              <w:rPr>
                <w:rFonts w:cs="Times New Roman"/>
                <w:b/>
                <w:sz w:val="28"/>
                <w:szCs w:val="28"/>
              </w:rPr>
              <w:t>ā</w:t>
            </w:r>
            <w:r w:rsidRPr="000C6E61">
              <w:rPr>
                <w:rFonts w:cs="Times New Roman"/>
                <w:b/>
                <w:sz w:val="28"/>
                <w:szCs w:val="28"/>
              </w:rPr>
              <w:t>t īstenotāju kapacitāti</w:t>
            </w:r>
            <w:r>
              <w:rPr>
                <w:rFonts w:cs="Times New Roman"/>
                <w:sz w:val="28"/>
                <w:szCs w:val="28"/>
              </w:rPr>
              <w:t>, informējot par dažādiem iespējamiem riskiem un to ietekmi;</w:t>
            </w:r>
          </w:p>
          <w:p w14:paraId="6CF69ECC" w14:textId="77777777" w:rsidR="00B21B05" w:rsidRPr="00150F1C" w:rsidRDefault="00B21B05" w:rsidP="005026FB">
            <w:pPr>
              <w:jc w:val="both"/>
              <w:rPr>
                <w:rFonts w:cs="Times New Roman"/>
                <w:sz w:val="28"/>
                <w:szCs w:val="28"/>
              </w:rPr>
            </w:pPr>
            <w:r>
              <w:rPr>
                <w:rFonts w:cs="Times New Roman"/>
                <w:sz w:val="28"/>
                <w:szCs w:val="28"/>
              </w:rPr>
              <w:t xml:space="preserve">(3) </w:t>
            </w:r>
            <w:r w:rsidRPr="000C6E61">
              <w:rPr>
                <w:rFonts w:cs="Times New Roman"/>
                <w:b/>
                <w:sz w:val="28"/>
                <w:szCs w:val="28"/>
              </w:rPr>
              <w:t>praktiski apzināt nozīmīgākos katra projekta riskus</w:t>
            </w:r>
            <w:r>
              <w:rPr>
                <w:rFonts w:cs="Times New Roman"/>
                <w:sz w:val="28"/>
                <w:szCs w:val="28"/>
              </w:rPr>
              <w:t xml:space="preserve"> un iespēju </w:t>
            </w:r>
            <w:r w:rsidRPr="000C6E61">
              <w:rPr>
                <w:rFonts w:cs="Times New Roman"/>
                <w:b/>
                <w:sz w:val="28"/>
                <w:szCs w:val="28"/>
              </w:rPr>
              <w:t>konsultatīvi palīdzēt</w:t>
            </w:r>
            <w:r>
              <w:rPr>
                <w:rFonts w:cs="Times New Roman"/>
                <w:sz w:val="28"/>
                <w:szCs w:val="28"/>
              </w:rPr>
              <w:t xml:space="preserve"> īstenotājiem savlaicīgi mazināt risku iestāšanos vai ietekmi, ja iespējams.</w:t>
            </w:r>
          </w:p>
        </w:tc>
      </w:tr>
    </w:tbl>
    <w:p w14:paraId="1128D292" w14:textId="77777777" w:rsidR="002D2554" w:rsidRDefault="00B21B05" w:rsidP="002D2554">
      <w:pPr>
        <w:pStyle w:val="BodyText"/>
        <w:tabs>
          <w:tab w:val="left" w:pos="0"/>
        </w:tabs>
        <w:suppressAutoHyphens/>
        <w:spacing w:line="240" w:lineRule="auto"/>
        <w:jc w:val="both"/>
        <w:rPr>
          <w:sz w:val="28"/>
          <w:u w:val="single"/>
          <w:lang w:val="lv-LV"/>
        </w:rPr>
      </w:pPr>
      <w:r w:rsidRPr="00F531FA">
        <w:rPr>
          <w:sz w:val="28"/>
          <w:u w:val="single"/>
          <w:lang w:val="lv-LV"/>
        </w:rPr>
        <w:t>Pēc pārejas perioda attiecinot uz situāciju pēc 2018.gada 1.septembra:</w:t>
      </w:r>
    </w:p>
    <w:p w14:paraId="2F97A337" w14:textId="3A0E976E" w:rsidR="00B21B05" w:rsidRPr="002D2554" w:rsidRDefault="00644712" w:rsidP="002D2554">
      <w:pPr>
        <w:pStyle w:val="BodyText"/>
        <w:tabs>
          <w:tab w:val="left" w:pos="0"/>
        </w:tabs>
        <w:suppressAutoHyphens/>
        <w:spacing w:line="240" w:lineRule="auto"/>
        <w:jc w:val="both"/>
        <w:rPr>
          <w:sz w:val="28"/>
          <w:u w:val="single"/>
          <w:lang w:val="lv-LV"/>
        </w:rPr>
      </w:pPr>
      <w:r>
        <w:rPr>
          <w:b w:val="0"/>
          <w:color w:val="000000"/>
          <w:sz w:val="28"/>
          <w:szCs w:val="28"/>
          <w:lang w:eastAsia="lv-LV"/>
        </w:rPr>
        <w:tab/>
      </w:r>
      <w:r w:rsidR="00B21B05" w:rsidRPr="001A67BD">
        <w:rPr>
          <w:b w:val="0"/>
          <w:color w:val="000000"/>
          <w:sz w:val="28"/>
          <w:szCs w:val="28"/>
          <w:lang w:eastAsia="lv-LV"/>
        </w:rPr>
        <w:t xml:space="preserve">Lai </w:t>
      </w:r>
      <w:proofErr w:type="spellStart"/>
      <w:r w:rsidR="00B21B05" w:rsidRPr="001A67BD">
        <w:rPr>
          <w:b w:val="0"/>
          <w:color w:val="000000"/>
          <w:sz w:val="28"/>
          <w:szCs w:val="28"/>
          <w:lang w:eastAsia="lv-LV"/>
        </w:rPr>
        <w:t>konkrētus</w:t>
      </w:r>
      <w:proofErr w:type="spellEnd"/>
      <w:r w:rsidR="00B21B05" w:rsidRPr="001A67BD">
        <w:rPr>
          <w:b w:val="0"/>
          <w:color w:val="000000"/>
          <w:sz w:val="28"/>
          <w:szCs w:val="28"/>
          <w:lang w:eastAsia="lv-LV"/>
        </w:rPr>
        <w:t xml:space="preserve"> </w:t>
      </w:r>
      <w:r>
        <w:rPr>
          <w:b w:val="0"/>
          <w:color w:val="000000"/>
          <w:sz w:val="28"/>
          <w:szCs w:val="28"/>
          <w:lang w:eastAsia="lv-LV"/>
        </w:rPr>
        <w:t>FS</w:t>
      </w:r>
      <w:r w:rsidR="00B21B05" w:rsidRPr="001A67BD">
        <w:rPr>
          <w:b w:val="0"/>
          <w:color w:val="000000"/>
          <w:sz w:val="28"/>
          <w:szCs w:val="28"/>
          <w:lang w:eastAsia="lv-LV"/>
        </w:rPr>
        <w:t xml:space="preserve"> </w:t>
      </w:r>
      <w:proofErr w:type="spellStart"/>
      <w:r w:rsidR="00B21B05" w:rsidRPr="001A67BD">
        <w:rPr>
          <w:b w:val="0"/>
          <w:color w:val="000000"/>
          <w:sz w:val="28"/>
          <w:szCs w:val="28"/>
          <w:lang w:eastAsia="lv-LV"/>
        </w:rPr>
        <w:t>saistošus</w:t>
      </w:r>
      <w:proofErr w:type="spellEnd"/>
      <w:r w:rsidR="00B21B05" w:rsidRPr="001A67BD">
        <w:rPr>
          <w:b w:val="0"/>
          <w:color w:val="000000"/>
          <w:sz w:val="28"/>
          <w:szCs w:val="28"/>
          <w:lang w:eastAsia="lv-LV"/>
        </w:rPr>
        <w:t xml:space="preserve"> </w:t>
      </w:r>
      <w:proofErr w:type="spellStart"/>
      <w:r w:rsidR="00B21B05" w:rsidRPr="001A67BD">
        <w:rPr>
          <w:b w:val="0"/>
          <w:color w:val="000000"/>
          <w:sz w:val="28"/>
          <w:szCs w:val="28"/>
          <w:lang w:eastAsia="lv-LV"/>
        </w:rPr>
        <w:t>projekta</w:t>
      </w:r>
      <w:proofErr w:type="spellEnd"/>
      <w:r w:rsidR="00B21B05" w:rsidRPr="001A67BD">
        <w:rPr>
          <w:b w:val="0"/>
          <w:color w:val="000000"/>
          <w:sz w:val="28"/>
          <w:szCs w:val="28"/>
          <w:lang w:eastAsia="lv-LV"/>
        </w:rPr>
        <w:t xml:space="preserve"> </w:t>
      </w:r>
      <w:proofErr w:type="spellStart"/>
      <w:r w:rsidR="00B21B05" w:rsidRPr="001A67BD">
        <w:rPr>
          <w:b w:val="0"/>
          <w:color w:val="000000"/>
          <w:sz w:val="28"/>
          <w:szCs w:val="28"/>
          <w:lang w:eastAsia="lv-LV"/>
        </w:rPr>
        <w:t>finanšu</w:t>
      </w:r>
      <w:proofErr w:type="spellEnd"/>
      <w:r w:rsidR="00B21B05" w:rsidRPr="001A67BD">
        <w:rPr>
          <w:b w:val="0"/>
          <w:color w:val="000000"/>
          <w:sz w:val="28"/>
          <w:szCs w:val="28"/>
          <w:lang w:eastAsia="lv-LV"/>
        </w:rPr>
        <w:t xml:space="preserve"> </w:t>
      </w:r>
      <w:proofErr w:type="spellStart"/>
      <w:r w:rsidR="00B21B05" w:rsidRPr="001A67BD">
        <w:rPr>
          <w:b w:val="0"/>
          <w:color w:val="000000"/>
          <w:sz w:val="28"/>
          <w:szCs w:val="28"/>
          <w:lang w:eastAsia="lv-LV"/>
        </w:rPr>
        <w:t>disciplīnas</w:t>
      </w:r>
      <w:proofErr w:type="spellEnd"/>
      <w:r w:rsidR="00B21B05" w:rsidRPr="001A67BD">
        <w:rPr>
          <w:b w:val="0"/>
          <w:color w:val="000000"/>
          <w:sz w:val="28"/>
          <w:szCs w:val="28"/>
          <w:lang w:eastAsia="lv-LV"/>
        </w:rPr>
        <w:t xml:space="preserve"> </w:t>
      </w:r>
      <w:proofErr w:type="gramStart"/>
      <w:r w:rsidR="00B21B05" w:rsidRPr="001A67BD">
        <w:rPr>
          <w:b w:val="0"/>
          <w:color w:val="000000"/>
          <w:sz w:val="28"/>
          <w:szCs w:val="28"/>
          <w:lang w:eastAsia="lv-LV"/>
        </w:rPr>
        <w:t>un</w:t>
      </w:r>
      <w:proofErr w:type="gramEnd"/>
      <w:r w:rsidR="00B21B05" w:rsidRPr="001A67BD">
        <w:rPr>
          <w:b w:val="0"/>
          <w:color w:val="000000"/>
          <w:sz w:val="28"/>
          <w:szCs w:val="28"/>
          <w:lang w:eastAsia="lv-LV"/>
        </w:rPr>
        <w:t xml:space="preserve"> </w:t>
      </w:r>
      <w:proofErr w:type="spellStart"/>
      <w:r w:rsidR="00B21B05" w:rsidRPr="001A67BD">
        <w:rPr>
          <w:b w:val="0"/>
          <w:color w:val="000000"/>
          <w:sz w:val="28"/>
          <w:szCs w:val="28"/>
          <w:lang w:eastAsia="lv-LV"/>
        </w:rPr>
        <w:t>atbildības</w:t>
      </w:r>
      <w:proofErr w:type="spellEnd"/>
      <w:r w:rsidR="00B21B05" w:rsidRPr="001A67BD">
        <w:rPr>
          <w:b w:val="0"/>
          <w:color w:val="000000"/>
          <w:sz w:val="28"/>
          <w:szCs w:val="28"/>
          <w:lang w:eastAsia="lv-LV"/>
        </w:rPr>
        <w:t xml:space="preserve"> </w:t>
      </w:r>
      <w:proofErr w:type="spellStart"/>
      <w:r w:rsidR="00B21B05" w:rsidRPr="001A67BD">
        <w:rPr>
          <w:b w:val="0"/>
          <w:color w:val="000000"/>
          <w:sz w:val="28"/>
          <w:szCs w:val="28"/>
          <w:lang w:eastAsia="lv-LV"/>
        </w:rPr>
        <w:t>pasākumus</w:t>
      </w:r>
      <w:proofErr w:type="spellEnd"/>
      <w:r w:rsidR="00B21B05" w:rsidRPr="001A67BD">
        <w:rPr>
          <w:b w:val="0"/>
          <w:color w:val="000000"/>
          <w:sz w:val="28"/>
          <w:szCs w:val="28"/>
          <w:lang w:eastAsia="lv-LV"/>
        </w:rPr>
        <w:t xml:space="preserve"> </w:t>
      </w:r>
      <w:proofErr w:type="spellStart"/>
      <w:r w:rsidR="00B21B05" w:rsidRPr="001A67BD">
        <w:rPr>
          <w:b w:val="0"/>
          <w:color w:val="000000"/>
          <w:sz w:val="28"/>
          <w:szCs w:val="28"/>
          <w:lang w:eastAsia="lv-LV"/>
        </w:rPr>
        <w:t>ieviestu</w:t>
      </w:r>
      <w:proofErr w:type="spellEnd"/>
      <w:r w:rsidR="00B21B05" w:rsidRPr="001A67BD">
        <w:rPr>
          <w:b w:val="0"/>
          <w:color w:val="000000"/>
          <w:sz w:val="28"/>
          <w:szCs w:val="28"/>
          <w:lang w:eastAsia="lv-LV"/>
        </w:rPr>
        <w:t xml:space="preserve"> un </w:t>
      </w:r>
      <w:proofErr w:type="spellStart"/>
      <w:r w:rsidR="00B21B05" w:rsidRPr="001A67BD">
        <w:rPr>
          <w:b w:val="0"/>
          <w:color w:val="000000"/>
          <w:sz w:val="28"/>
          <w:szCs w:val="28"/>
          <w:lang w:eastAsia="lv-LV"/>
        </w:rPr>
        <w:t>tiesiski</w:t>
      </w:r>
      <w:proofErr w:type="spellEnd"/>
      <w:r w:rsidR="00B21B05" w:rsidRPr="001A67BD">
        <w:rPr>
          <w:b w:val="0"/>
          <w:color w:val="000000"/>
          <w:sz w:val="28"/>
          <w:szCs w:val="28"/>
          <w:lang w:eastAsia="lv-LV"/>
        </w:rPr>
        <w:t xml:space="preserve"> </w:t>
      </w:r>
      <w:proofErr w:type="spellStart"/>
      <w:r w:rsidR="00B21B05" w:rsidRPr="001A67BD">
        <w:rPr>
          <w:b w:val="0"/>
          <w:color w:val="000000"/>
          <w:sz w:val="28"/>
          <w:szCs w:val="28"/>
          <w:lang w:eastAsia="lv-LV"/>
        </w:rPr>
        <w:t>korekti</w:t>
      </w:r>
      <w:proofErr w:type="spellEnd"/>
      <w:r w:rsidR="00B21B05" w:rsidRPr="001A67BD">
        <w:rPr>
          <w:b w:val="0"/>
          <w:color w:val="000000"/>
          <w:sz w:val="28"/>
          <w:szCs w:val="28"/>
          <w:lang w:eastAsia="lv-LV"/>
        </w:rPr>
        <w:t xml:space="preserve"> </w:t>
      </w:r>
      <w:proofErr w:type="spellStart"/>
      <w:r w:rsidR="00B21B05" w:rsidRPr="001A67BD">
        <w:rPr>
          <w:b w:val="0"/>
          <w:color w:val="000000"/>
          <w:sz w:val="28"/>
          <w:szCs w:val="28"/>
          <w:lang w:eastAsia="lv-LV"/>
        </w:rPr>
        <w:t>piemērotu</w:t>
      </w:r>
      <w:proofErr w:type="spellEnd"/>
      <w:r w:rsidR="00B21B05">
        <w:rPr>
          <w:b w:val="0"/>
          <w:color w:val="000000"/>
          <w:sz w:val="28"/>
          <w:szCs w:val="28"/>
          <w:lang w:eastAsia="lv-LV"/>
        </w:rPr>
        <w:t xml:space="preserve"> </w:t>
      </w:r>
      <w:r w:rsidR="00B21B05" w:rsidRPr="001A67BD">
        <w:rPr>
          <w:b w:val="0"/>
          <w:color w:val="000000"/>
          <w:sz w:val="28"/>
          <w:szCs w:val="28"/>
          <w:lang w:eastAsia="lv-LV"/>
        </w:rPr>
        <w:t xml:space="preserve">(t.sk. </w:t>
      </w:r>
      <w:proofErr w:type="spellStart"/>
      <w:r w:rsidR="00B21B05" w:rsidRPr="001A67BD">
        <w:rPr>
          <w:b w:val="0"/>
          <w:color w:val="000000"/>
          <w:sz w:val="28"/>
          <w:szCs w:val="28"/>
          <w:lang w:eastAsia="lv-LV"/>
        </w:rPr>
        <w:t>finanšu</w:t>
      </w:r>
      <w:proofErr w:type="spellEnd"/>
      <w:r w:rsidR="00B21B05" w:rsidRPr="001A67BD">
        <w:rPr>
          <w:b w:val="0"/>
          <w:color w:val="000000"/>
          <w:sz w:val="28"/>
          <w:szCs w:val="28"/>
          <w:lang w:eastAsia="lv-LV"/>
        </w:rPr>
        <w:t xml:space="preserve"> </w:t>
      </w:r>
      <w:proofErr w:type="spellStart"/>
      <w:r w:rsidR="00B21B05">
        <w:rPr>
          <w:b w:val="0"/>
          <w:color w:val="000000"/>
          <w:sz w:val="28"/>
          <w:szCs w:val="28"/>
          <w:lang w:eastAsia="lv-LV"/>
        </w:rPr>
        <w:t>atbalsta</w:t>
      </w:r>
      <w:proofErr w:type="spellEnd"/>
      <w:r w:rsidR="00B21B05">
        <w:rPr>
          <w:b w:val="0"/>
          <w:color w:val="000000"/>
          <w:sz w:val="28"/>
          <w:szCs w:val="28"/>
          <w:lang w:eastAsia="lv-LV"/>
        </w:rPr>
        <w:t xml:space="preserve"> </w:t>
      </w:r>
      <w:proofErr w:type="spellStart"/>
      <w:r w:rsidR="00B21B05">
        <w:rPr>
          <w:b w:val="0"/>
          <w:color w:val="000000"/>
          <w:sz w:val="28"/>
          <w:szCs w:val="28"/>
          <w:lang w:eastAsia="lv-LV"/>
        </w:rPr>
        <w:t>samazinājumu</w:t>
      </w:r>
      <w:proofErr w:type="spellEnd"/>
      <w:r w:rsidR="00B21B05" w:rsidRPr="001A67BD">
        <w:rPr>
          <w:b w:val="0"/>
          <w:color w:val="000000"/>
          <w:sz w:val="28"/>
          <w:szCs w:val="28"/>
          <w:lang w:eastAsia="lv-LV"/>
        </w:rPr>
        <w:t xml:space="preserve">), </w:t>
      </w:r>
      <w:proofErr w:type="spellStart"/>
      <w:r w:rsidR="00B21B05" w:rsidRPr="001A67BD">
        <w:rPr>
          <w:b w:val="0"/>
          <w:color w:val="000000"/>
          <w:sz w:val="28"/>
          <w:szCs w:val="28"/>
          <w:u w:val="single"/>
          <w:lang w:eastAsia="lv-LV"/>
        </w:rPr>
        <w:t>ņemot</w:t>
      </w:r>
      <w:proofErr w:type="spellEnd"/>
      <w:r w:rsidR="00B21B05" w:rsidRPr="001A67BD">
        <w:rPr>
          <w:b w:val="0"/>
          <w:color w:val="000000"/>
          <w:sz w:val="28"/>
          <w:szCs w:val="28"/>
          <w:u w:val="single"/>
          <w:lang w:eastAsia="lv-LV"/>
        </w:rPr>
        <w:t xml:space="preserve"> </w:t>
      </w:r>
      <w:proofErr w:type="spellStart"/>
      <w:r w:rsidR="00B21B05" w:rsidRPr="001A67BD">
        <w:rPr>
          <w:b w:val="0"/>
          <w:color w:val="000000"/>
          <w:sz w:val="28"/>
          <w:szCs w:val="28"/>
          <w:u w:val="single"/>
          <w:lang w:eastAsia="lv-LV"/>
        </w:rPr>
        <w:t>vērā</w:t>
      </w:r>
      <w:proofErr w:type="spellEnd"/>
      <w:r w:rsidR="00B21B05" w:rsidRPr="001A67BD">
        <w:rPr>
          <w:b w:val="0"/>
          <w:color w:val="000000"/>
          <w:sz w:val="28"/>
          <w:szCs w:val="28"/>
          <w:u w:val="single"/>
          <w:lang w:eastAsia="lv-LV"/>
        </w:rPr>
        <w:t xml:space="preserve"> </w:t>
      </w:r>
      <w:proofErr w:type="spellStart"/>
      <w:r w:rsidR="00B21B05" w:rsidRPr="001A67BD">
        <w:rPr>
          <w:b w:val="0"/>
          <w:color w:val="000000"/>
          <w:sz w:val="28"/>
          <w:szCs w:val="28"/>
          <w:u w:val="single"/>
          <w:lang w:eastAsia="lv-LV"/>
        </w:rPr>
        <w:t>ietekmi</w:t>
      </w:r>
      <w:proofErr w:type="spellEnd"/>
      <w:r w:rsidR="00B21B05" w:rsidRPr="001A67BD">
        <w:rPr>
          <w:b w:val="0"/>
          <w:color w:val="000000"/>
          <w:sz w:val="28"/>
          <w:szCs w:val="28"/>
          <w:u w:val="single"/>
          <w:lang w:eastAsia="lv-LV"/>
        </w:rPr>
        <w:t xml:space="preserve"> </w:t>
      </w:r>
      <w:proofErr w:type="spellStart"/>
      <w:r w:rsidR="00B21B05" w:rsidRPr="001A67BD">
        <w:rPr>
          <w:b w:val="0"/>
          <w:color w:val="000000"/>
          <w:sz w:val="28"/>
          <w:szCs w:val="28"/>
          <w:u w:val="single"/>
          <w:lang w:eastAsia="lv-LV"/>
        </w:rPr>
        <w:t>uz</w:t>
      </w:r>
      <w:proofErr w:type="spellEnd"/>
      <w:r w:rsidR="00B21B05" w:rsidRPr="001A67BD">
        <w:rPr>
          <w:b w:val="0"/>
          <w:color w:val="000000"/>
          <w:sz w:val="28"/>
          <w:szCs w:val="28"/>
          <w:u w:val="single"/>
          <w:lang w:eastAsia="lv-LV"/>
        </w:rPr>
        <w:t xml:space="preserve"> </w:t>
      </w:r>
      <w:proofErr w:type="spellStart"/>
      <w:r w:rsidR="00B21B05" w:rsidRPr="001A67BD">
        <w:rPr>
          <w:b w:val="0"/>
          <w:color w:val="000000"/>
          <w:sz w:val="28"/>
          <w:szCs w:val="28"/>
          <w:u w:val="single"/>
          <w:lang w:eastAsia="lv-LV"/>
        </w:rPr>
        <w:t>valsts</w:t>
      </w:r>
      <w:proofErr w:type="spellEnd"/>
      <w:r w:rsidR="00B21B05" w:rsidRPr="001A67BD">
        <w:rPr>
          <w:b w:val="0"/>
          <w:color w:val="000000"/>
          <w:sz w:val="28"/>
          <w:szCs w:val="28"/>
          <w:u w:val="single"/>
          <w:lang w:eastAsia="lv-LV"/>
        </w:rPr>
        <w:t xml:space="preserve"> </w:t>
      </w:r>
      <w:proofErr w:type="spellStart"/>
      <w:r w:rsidR="00B21B05" w:rsidRPr="001A67BD">
        <w:rPr>
          <w:b w:val="0"/>
          <w:color w:val="000000"/>
          <w:sz w:val="28"/>
          <w:szCs w:val="28"/>
          <w:u w:val="single"/>
          <w:lang w:eastAsia="lv-LV"/>
        </w:rPr>
        <w:t>budžetu</w:t>
      </w:r>
      <w:proofErr w:type="spellEnd"/>
      <w:r w:rsidR="00B21B05">
        <w:rPr>
          <w:b w:val="0"/>
          <w:color w:val="000000"/>
          <w:sz w:val="28"/>
          <w:szCs w:val="28"/>
          <w:u w:val="single"/>
          <w:lang w:eastAsia="lv-LV"/>
        </w:rPr>
        <w:t xml:space="preserve">, </w:t>
      </w:r>
      <w:proofErr w:type="spellStart"/>
      <w:r w:rsidR="00B21B05">
        <w:rPr>
          <w:b w:val="0"/>
          <w:color w:val="000000"/>
          <w:sz w:val="28"/>
          <w:szCs w:val="28"/>
          <w:u w:val="single"/>
          <w:lang w:eastAsia="lv-LV"/>
        </w:rPr>
        <w:t>nepieciešams</w:t>
      </w:r>
      <w:proofErr w:type="spellEnd"/>
      <w:r w:rsidR="00B21B05" w:rsidRPr="005B3B97">
        <w:rPr>
          <w:sz w:val="28"/>
          <w:szCs w:val="28"/>
        </w:rPr>
        <w:t xml:space="preserve"> </w:t>
      </w:r>
      <w:proofErr w:type="spellStart"/>
      <w:r w:rsidR="00B21B05" w:rsidRPr="009E5BED">
        <w:rPr>
          <w:sz w:val="28"/>
          <w:szCs w:val="28"/>
        </w:rPr>
        <w:t>noteikt</w:t>
      </w:r>
      <w:proofErr w:type="spellEnd"/>
      <w:r w:rsidR="00B21B05" w:rsidRPr="009E5BED">
        <w:rPr>
          <w:sz w:val="28"/>
          <w:szCs w:val="28"/>
        </w:rPr>
        <w:t xml:space="preserve"> </w:t>
      </w:r>
      <w:proofErr w:type="spellStart"/>
      <w:r w:rsidR="00B21B05" w:rsidRPr="009E5BED">
        <w:rPr>
          <w:sz w:val="28"/>
          <w:szCs w:val="28"/>
        </w:rPr>
        <w:t>atšķirīgu</w:t>
      </w:r>
      <w:proofErr w:type="spellEnd"/>
      <w:r w:rsidR="00B21B05" w:rsidRPr="009E5BED">
        <w:rPr>
          <w:sz w:val="28"/>
          <w:szCs w:val="28"/>
        </w:rPr>
        <w:t xml:space="preserve"> </w:t>
      </w:r>
      <w:proofErr w:type="spellStart"/>
      <w:r w:rsidR="00B21B05" w:rsidRPr="009E5BED">
        <w:rPr>
          <w:sz w:val="28"/>
          <w:szCs w:val="28"/>
        </w:rPr>
        <w:t>kārtību</w:t>
      </w:r>
      <w:proofErr w:type="spellEnd"/>
      <w:r w:rsidR="00B21B05" w:rsidRPr="009E5BED">
        <w:rPr>
          <w:sz w:val="28"/>
          <w:szCs w:val="28"/>
        </w:rPr>
        <w:t xml:space="preserve"> </w:t>
      </w:r>
      <w:proofErr w:type="spellStart"/>
      <w:r w:rsidR="00B21B05" w:rsidRPr="009E5BED">
        <w:rPr>
          <w:sz w:val="28"/>
          <w:szCs w:val="28"/>
        </w:rPr>
        <w:t>atkarībā</w:t>
      </w:r>
      <w:proofErr w:type="spellEnd"/>
      <w:r w:rsidR="00B21B05" w:rsidRPr="009E5BED">
        <w:rPr>
          <w:sz w:val="28"/>
          <w:szCs w:val="28"/>
        </w:rPr>
        <w:t xml:space="preserve"> no </w:t>
      </w:r>
      <w:r w:rsidR="00321BDD">
        <w:rPr>
          <w:sz w:val="28"/>
          <w:szCs w:val="28"/>
        </w:rPr>
        <w:t>FS</w:t>
      </w:r>
      <w:r w:rsidR="00B21B05" w:rsidRPr="009E5BED">
        <w:rPr>
          <w:sz w:val="28"/>
          <w:szCs w:val="28"/>
        </w:rPr>
        <w:t xml:space="preserve"> </w:t>
      </w:r>
      <w:proofErr w:type="spellStart"/>
      <w:r w:rsidR="00B21B05" w:rsidRPr="009E5BED">
        <w:rPr>
          <w:sz w:val="28"/>
          <w:szCs w:val="28"/>
        </w:rPr>
        <w:t>veida</w:t>
      </w:r>
      <w:proofErr w:type="spellEnd"/>
      <w:r w:rsidR="00B21B05" w:rsidRPr="00A6600F">
        <w:rPr>
          <w:b w:val="0"/>
          <w:color w:val="000000"/>
          <w:sz w:val="28"/>
          <w:szCs w:val="28"/>
          <w:lang w:eastAsia="lv-LV"/>
        </w:rPr>
        <w:t>:</w:t>
      </w:r>
    </w:p>
    <w:p w14:paraId="675D375D" w14:textId="7231A7FE" w:rsidR="00B21B05" w:rsidRPr="000707DA" w:rsidRDefault="00B21B05" w:rsidP="002D2554">
      <w:pPr>
        <w:pStyle w:val="BodyText"/>
        <w:numPr>
          <w:ilvl w:val="0"/>
          <w:numId w:val="30"/>
        </w:numPr>
        <w:tabs>
          <w:tab w:val="left" w:pos="0"/>
        </w:tabs>
        <w:suppressAutoHyphens/>
        <w:spacing w:line="240" w:lineRule="auto"/>
        <w:jc w:val="both"/>
        <w:rPr>
          <w:b w:val="0"/>
          <w:sz w:val="28"/>
          <w:u w:val="single"/>
          <w:lang w:val="lv-LV"/>
        </w:rPr>
      </w:pPr>
      <w:proofErr w:type="spellStart"/>
      <w:r w:rsidRPr="000707DA">
        <w:rPr>
          <w:sz w:val="28"/>
          <w:szCs w:val="28"/>
        </w:rPr>
        <w:t>Tiešās</w:t>
      </w:r>
      <w:proofErr w:type="spellEnd"/>
      <w:r w:rsidRPr="000707DA">
        <w:rPr>
          <w:sz w:val="28"/>
          <w:szCs w:val="28"/>
        </w:rPr>
        <w:t xml:space="preserve"> </w:t>
      </w:r>
      <w:proofErr w:type="spellStart"/>
      <w:r w:rsidRPr="000707DA">
        <w:rPr>
          <w:sz w:val="28"/>
          <w:szCs w:val="28"/>
        </w:rPr>
        <w:t>pārvaldes</w:t>
      </w:r>
      <w:proofErr w:type="spellEnd"/>
      <w:r w:rsidRPr="000707DA">
        <w:rPr>
          <w:sz w:val="28"/>
          <w:szCs w:val="28"/>
        </w:rPr>
        <w:t xml:space="preserve"> </w:t>
      </w:r>
      <w:proofErr w:type="spellStart"/>
      <w:r w:rsidRPr="000707DA">
        <w:rPr>
          <w:sz w:val="28"/>
          <w:szCs w:val="28"/>
        </w:rPr>
        <w:t>iestādes</w:t>
      </w:r>
      <w:proofErr w:type="spellEnd"/>
      <w:r w:rsidRPr="000707DA">
        <w:rPr>
          <w:sz w:val="28"/>
          <w:szCs w:val="28"/>
        </w:rPr>
        <w:t xml:space="preserve"> </w:t>
      </w:r>
      <w:r>
        <w:rPr>
          <w:sz w:val="28"/>
          <w:szCs w:val="28"/>
        </w:rPr>
        <w:t>–</w:t>
      </w:r>
      <w:r w:rsidRPr="000707DA">
        <w:rPr>
          <w:sz w:val="28"/>
          <w:szCs w:val="28"/>
        </w:rPr>
        <w:t xml:space="preserve"> </w:t>
      </w:r>
    </w:p>
    <w:p w14:paraId="7E21E870" w14:textId="77777777" w:rsidR="00B21B05" w:rsidRDefault="00B21B05" w:rsidP="0062255B">
      <w:pPr>
        <w:pStyle w:val="ListParagraph"/>
        <w:numPr>
          <w:ilvl w:val="2"/>
          <w:numId w:val="20"/>
        </w:numPr>
        <w:spacing w:before="120" w:after="120"/>
        <w:ind w:left="1225" w:hanging="505"/>
        <w:contextualSpacing w:val="0"/>
        <w:jc w:val="both"/>
        <w:rPr>
          <w:rFonts w:cs="Times New Roman"/>
          <w:sz w:val="28"/>
          <w:szCs w:val="28"/>
        </w:rPr>
      </w:pPr>
      <w:r>
        <w:rPr>
          <w:rFonts w:cs="Times New Roman"/>
          <w:b/>
          <w:sz w:val="28"/>
          <w:szCs w:val="28"/>
        </w:rPr>
        <w:t xml:space="preserve">Apstiprināts MK </w:t>
      </w:r>
      <w:proofErr w:type="spellStart"/>
      <w:r>
        <w:rPr>
          <w:rFonts w:cs="Times New Roman"/>
          <w:b/>
          <w:sz w:val="28"/>
          <w:szCs w:val="28"/>
        </w:rPr>
        <w:t>protokollēmums</w:t>
      </w:r>
      <w:proofErr w:type="spellEnd"/>
      <w:r>
        <w:rPr>
          <w:rFonts w:cs="Times New Roman"/>
          <w:b/>
          <w:sz w:val="28"/>
          <w:szCs w:val="28"/>
        </w:rPr>
        <w:t xml:space="preserve">, </w:t>
      </w:r>
      <w:r w:rsidRPr="00BA0B48">
        <w:rPr>
          <w:rFonts w:cs="Times New Roman"/>
          <w:sz w:val="28"/>
          <w:szCs w:val="28"/>
        </w:rPr>
        <w:t>nosakot finanšu</w:t>
      </w:r>
      <w:r>
        <w:rPr>
          <w:rFonts w:cs="Times New Roman"/>
          <w:sz w:val="28"/>
          <w:szCs w:val="28"/>
        </w:rPr>
        <w:t xml:space="preserve"> disciplīnas normas attiecībā uz projektu pagarinājumu ierobežojumiem un </w:t>
      </w:r>
      <w:r>
        <w:rPr>
          <w:rFonts w:cs="Times New Roman"/>
          <w:sz w:val="28"/>
          <w:szCs w:val="28"/>
        </w:rPr>
        <w:lastRenderedPageBreak/>
        <w:t>projektu maksājumu pieprasījumu plānu līgumsaistībām un to gada izpildes pieļaujamām novirzēm.</w:t>
      </w:r>
    </w:p>
    <w:p w14:paraId="75DF01FA" w14:textId="0760DBAB" w:rsidR="00B21B05" w:rsidRDefault="00B21B05" w:rsidP="0062255B">
      <w:pPr>
        <w:pStyle w:val="ListParagraph"/>
        <w:numPr>
          <w:ilvl w:val="2"/>
          <w:numId w:val="20"/>
        </w:numPr>
        <w:spacing w:before="120" w:after="120"/>
        <w:ind w:left="1225" w:hanging="505"/>
        <w:contextualSpacing w:val="0"/>
        <w:jc w:val="both"/>
        <w:rPr>
          <w:rFonts w:cs="Times New Roman"/>
          <w:sz w:val="28"/>
          <w:szCs w:val="28"/>
        </w:rPr>
      </w:pPr>
      <w:r w:rsidRPr="007311B6">
        <w:rPr>
          <w:rFonts w:cs="Times New Roman"/>
          <w:sz w:val="28"/>
          <w:szCs w:val="28"/>
        </w:rPr>
        <w:t>Izmantot jau šobrīd pieejamo instrumentu valsts budžeta iestāžu gadījumā</w:t>
      </w:r>
      <w:r w:rsidRPr="007311B6">
        <w:rPr>
          <w:rFonts w:cs="Times New Roman"/>
          <w:b/>
          <w:sz w:val="28"/>
          <w:szCs w:val="28"/>
        </w:rPr>
        <w:t xml:space="preserve"> </w:t>
      </w:r>
      <w:r w:rsidR="00E07DB1">
        <w:rPr>
          <w:rFonts w:cs="Times New Roman"/>
          <w:b/>
          <w:sz w:val="28"/>
          <w:szCs w:val="28"/>
        </w:rPr>
        <w:t>–</w:t>
      </w:r>
      <w:r w:rsidRPr="007311B6">
        <w:rPr>
          <w:rFonts w:cs="Times New Roman"/>
          <w:b/>
          <w:sz w:val="28"/>
          <w:szCs w:val="28"/>
        </w:rPr>
        <w:t xml:space="preserve"> apturēt asignējumu </w:t>
      </w:r>
      <w:r w:rsidRPr="007311B6">
        <w:rPr>
          <w:rFonts w:cs="Times New Roman"/>
          <w:sz w:val="28"/>
          <w:szCs w:val="28"/>
        </w:rPr>
        <w:t>atbilstoši normatīvajiem aktiem par asignējumu piešķiršanas un izpildes kārtību</w:t>
      </w:r>
      <w:r w:rsidRPr="007311B6">
        <w:rPr>
          <w:rStyle w:val="FootnoteReference"/>
          <w:rFonts w:cs="Times New Roman"/>
          <w:sz w:val="28"/>
          <w:szCs w:val="28"/>
        </w:rPr>
        <w:footnoteReference w:id="70"/>
      </w:r>
      <w:r w:rsidRPr="007311B6">
        <w:rPr>
          <w:rFonts w:cs="Times New Roman"/>
          <w:sz w:val="28"/>
          <w:szCs w:val="28"/>
        </w:rPr>
        <w:t xml:space="preserve">, precizējot skaidrāk </w:t>
      </w:r>
      <w:r w:rsidR="008961C0">
        <w:rPr>
          <w:rFonts w:cs="Times New Roman"/>
          <w:sz w:val="28"/>
          <w:szCs w:val="28"/>
        </w:rPr>
        <w:t xml:space="preserve">MK noteikumu par </w:t>
      </w:r>
      <w:r w:rsidR="008961C0" w:rsidRPr="007311B6">
        <w:rPr>
          <w:rFonts w:cs="Times New Roman"/>
          <w:sz w:val="28"/>
          <w:szCs w:val="28"/>
        </w:rPr>
        <w:t xml:space="preserve">asignējumu </w:t>
      </w:r>
      <w:r w:rsidR="0071148D">
        <w:rPr>
          <w:rFonts w:cs="Times New Roman"/>
          <w:sz w:val="28"/>
          <w:szCs w:val="28"/>
        </w:rPr>
        <w:t>piešķiršanas un izpildes kārtības</w:t>
      </w:r>
      <w:r w:rsidR="008961C0">
        <w:rPr>
          <w:rFonts w:cs="Times New Roman"/>
          <w:sz w:val="28"/>
          <w:szCs w:val="28"/>
        </w:rPr>
        <w:t xml:space="preserve"> Nr. 1220 51.punktu</w:t>
      </w:r>
      <w:r w:rsidR="008961C0">
        <w:rPr>
          <w:rStyle w:val="FootnoteReference"/>
          <w:rFonts w:cs="Times New Roman"/>
          <w:sz w:val="28"/>
          <w:szCs w:val="28"/>
        </w:rPr>
        <w:footnoteReference w:id="71"/>
      </w:r>
      <w:r w:rsidR="008961C0">
        <w:rPr>
          <w:rFonts w:cs="Times New Roman"/>
          <w:sz w:val="28"/>
          <w:szCs w:val="28"/>
        </w:rPr>
        <w:t xml:space="preserve"> un </w:t>
      </w:r>
      <w:r w:rsidRPr="007311B6">
        <w:rPr>
          <w:rFonts w:cs="Times New Roman"/>
          <w:b/>
          <w:sz w:val="28"/>
          <w:szCs w:val="28"/>
        </w:rPr>
        <w:t>horizontālo ES fondu budžeta un maksājumu kārtības MK noteikumu Nr.130</w:t>
      </w:r>
      <w:r w:rsidRPr="007311B6">
        <w:rPr>
          <w:rStyle w:val="FootnoteReference"/>
          <w:rFonts w:cs="Times New Roman"/>
          <w:b/>
          <w:sz w:val="28"/>
          <w:szCs w:val="28"/>
        </w:rPr>
        <w:footnoteReference w:id="72"/>
      </w:r>
      <w:r w:rsidRPr="007311B6">
        <w:rPr>
          <w:rFonts w:cs="Times New Roman"/>
          <w:sz w:val="28"/>
          <w:szCs w:val="28"/>
        </w:rPr>
        <w:t xml:space="preserve"> 18.</w:t>
      </w:r>
      <w:r w:rsidR="00644712">
        <w:rPr>
          <w:rFonts w:cs="Times New Roman"/>
          <w:sz w:val="28"/>
          <w:szCs w:val="28"/>
        </w:rPr>
        <w:t> </w:t>
      </w:r>
      <w:r w:rsidRPr="007311B6">
        <w:rPr>
          <w:rFonts w:cs="Times New Roman"/>
          <w:sz w:val="28"/>
          <w:szCs w:val="28"/>
        </w:rPr>
        <w:t xml:space="preserve">punktā, ka CFLA var pieņemt lēmumu par asignējuma apturēšanu valsts budžeta iestāžu gadījumā arī tad, ja </w:t>
      </w:r>
      <w:r w:rsidR="00321BDD">
        <w:rPr>
          <w:rFonts w:cs="Times New Roman"/>
          <w:sz w:val="28"/>
          <w:szCs w:val="28"/>
        </w:rPr>
        <w:t>FS</w:t>
      </w:r>
      <w:r w:rsidRPr="007311B6">
        <w:rPr>
          <w:rFonts w:cs="Times New Roman"/>
          <w:sz w:val="28"/>
          <w:szCs w:val="28"/>
        </w:rPr>
        <w:t xml:space="preserve"> projekta vienošanās noteiktajos termiņos un plānotajā apmērā neiesniedz maksājuma pieprasījumu, un šādas novirzes no plāna liecina par risku neizpildīt gada plānu par vairāk nekā 25</w:t>
      </w:r>
      <w:r w:rsidR="00644712">
        <w:rPr>
          <w:rFonts w:cs="Times New Roman"/>
          <w:sz w:val="28"/>
          <w:szCs w:val="28"/>
        </w:rPr>
        <w:t> </w:t>
      </w:r>
      <w:r w:rsidRPr="007311B6">
        <w:rPr>
          <w:rFonts w:cs="Times New Roman"/>
          <w:sz w:val="28"/>
          <w:szCs w:val="28"/>
        </w:rPr>
        <w:t>%.</w:t>
      </w:r>
    </w:p>
    <w:p w14:paraId="075BC63D" w14:textId="7849CE3F" w:rsidR="00B21B05" w:rsidRPr="00644712" w:rsidRDefault="00B21B05" w:rsidP="0087516C">
      <w:pPr>
        <w:pStyle w:val="BodyText"/>
        <w:numPr>
          <w:ilvl w:val="0"/>
          <w:numId w:val="30"/>
        </w:numPr>
        <w:tabs>
          <w:tab w:val="left" w:pos="0"/>
        </w:tabs>
        <w:suppressAutoHyphens/>
        <w:spacing w:line="240" w:lineRule="auto"/>
        <w:jc w:val="both"/>
        <w:rPr>
          <w:b w:val="0"/>
          <w:sz w:val="28"/>
          <w:u w:val="single"/>
          <w:lang w:val="lv-LV"/>
        </w:rPr>
      </w:pPr>
      <w:r w:rsidRPr="00B919EF">
        <w:rPr>
          <w:sz w:val="28"/>
          <w:szCs w:val="28"/>
          <w:lang w:val="lv-LV"/>
        </w:rPr>
        <w:t xml:space="preserve">Citi </w:t>
      </w:r>
      <w:r w:rsidR="00321BDD">
        <w:rPr>
          <w:sz w:val="28"/>
          <w:szCs w:val="28"/>
          <w:lang w:val="lv-LV"/>
        </w:rPr>
        <w:t>FS</w:t>
      </w:r>
      <w:r w:rsidRPr="00644712">
        <w:rPr>
          <w:rStyle w:val="FootnoteReference"/>
          <w:sz w:val="28"/>
          <w:szCs w:val="28"/>
          <w:lang w:val="lv-LV"/>
        </w:rPr>
        <w:footnoteReference w:id="73"/>
      </w:r>
      <w:r w:rsidRPr="00644712">
        <w:rPr>
          <w:sz w:val="28"/>
          <w:szCs w:val="28"/>
          <w:lang w:val="lv-LV"/>
        </w:rPr>
        <w:t xml:space="preserve"> </w:t>
      </w:r>
      <w:r w:rsidR="008F4580">
        <w:rPr>
          <w:sz w:val="28"/>
          <w:szCs w:val="28"/>
          <w:lang w:val="lv-LV"/>
        </w:rPr>
        <w:t>–</w:t>
      </w:r>
      <w:r w:rsidRPr="00644712">
        <w:rPr>
          <w:sz w:val="28"/>
          <w:szCs w:val="28"/>
          <w:lang w:val="lv-LV"/>
        </w:rPr>
        <w:t xml:space="preserve"> </w:t>
      </w:r>
      <w:r w:rsidRPr="00644712">
        <w:rPr>
          <w:b w:val="0"/>
          <w:sz w:val="28"/>
          <w:szCs w:val="28"/>
          <w:lang w:val="lv-LV"/>
        </w:rPr>
        <w:t xml:space="preserve">jāveic grozījumi </w:t>
      </w:r>
      <w:r w:rsidRPr="00644712">
        <w:rPr>
          <w:sz w:val="28"/>
          <w:szCs w:val="28"/>
          <w:lang w:val="lv-LV"/>
        </w:rPr>
        <w:t>horizontālajos ES fondu plānošanas un ieviešanas MK noteikumos Nr.784</w:t>
      </w:r>
      <w:r w:rsidRPr="00644712">
        <w:rPr>
          <w:rStyle w:val="FootnoteReference"/>
          <w:color w:val="000000"/>
          <w:sz w:val="28"/>
          <w:szCs w:val="28"/>
          <w:lang w:val="lv-LV" w:eastAsia="lv-LV"/>
        </w:rPr>
        <w:footnoteReference w:id="74"/>
      </w:r>
      <w:r w:rsidRPr="00644712">
        <w:rPr>
          <w:b w:val="0"/>
          <w:sz w:val="28"/>
          <w:szCs w:val="28"/>
          <w:lang w:val="lv-LV"/>
        </w:rPr>
        <w:t xml:space="preserve">, iekļaujot finanšu disciplīnas normas attiecībā uz projektu pagarinājumu ierobežojumiem un projektu </w:t>
      </w:r>
      <w:r w:rsidR="0087516C" w:rsidRPr="0087516C">
        <w:rPr>
          <w:b w:val="0"/>
          <w:sz w:val="28"/>
          <w:szCs w:val="28"/>
          <w:lang w:val="lv-LV"/>
        </w:rPr>
        <w:t xml:space="preserve">plānoto maksājumu pieprasījumu iesniegšanas grafikā noteikto </w:t>
      </w:r>
      <w:r w:rsidRPr="00644712">
        <w:rPr>
          <w:b w:val="0"/>
          <w:sz w:val="28"/>
          <w:szCs w:val="28"/>
          <w:lang w:val="lv-LV"/>
        </w:rPr>
        <w:t>plānu līgumsaistībām un to gada izpildes pieļaujamām novirzēm</w:t>
      </w:r>
      <w:r w:rsidR="008F4580">
        <w:rPr>
          <w:b w:val="0"/>
          <w:sz w:val="28"/>
          <w:szCs w:val="28"/>
          <w:lang w:val="lv-LV"/>
        </w:rPr>
        <w:t>, kā arī izņēmumu gadījumiem</w:t>
      </w:r>
      <w:r w:rsidRPr="00644712">
        <w:rPr>
          <w:b w:val="0"/>
          <w:sz w:val="28"/>
          <w:szCs w:val="28"/>
          <w:lang w:val="lv-LV"/>
        </w:rPr>
        <w:t>.</w:t>
      </w:r>
    </w:p>
    <w:p w14:paraId="3B5A2BEF" w14:textId="761C1FFC" w:rsidR="002D2554" w:rsidRPr="002D2554" w:rsidRDefault="002D2554" w:rsidP="00644712">
      <w:pPr>
        <w:ind w:firstLine="360"/>
        <w:jc w:val="both"/>
        <w:rPr>
          <w:sz w:val="28"/>
          <w:szCs w:val="28"/>
        </w:rPr>
      </w:pPr>
      <w:r w:rsidRPr="002D2554">
        <w:rPr>
          <w:sz w:val="28"/>
          <w:szCs w:val="28"/>
        </w:rPr>
        <w:t xml:space="preserve">Apsverot visus variantus finanšu disciplīnas ieviešanai, tika padziļināti skatīts jautājums par pašvaldību un plānošanas reģionu kā </w:t>
      </w:r>
      <w:r w:rsidR="00644712">
        <w:rPr>
          <w:sz w:val="28"/>
          <w:szCs w:val="28"/>
        </w:rPr>
        <w:t>FS</w:t>
      </w:r>
      <w:r w:rsidRPr="002D2554">
        <w:rPr>
          <w:sz w:val="28"/>
          <w:szCs w:val="28"/>
        </w:rPr>
        <w:t xml:space="preserve"> veida pieskaitīšanu pie tiešajām pārvaldes iestādēm, jo attiecībā uz šiem </w:t>
      </w:r>
      <w:r w:rsidR="00321BDD">
        <w:rPr>
          <w:sz w:val="28"/>
          <w:szCs w:val="28"/>
        </w:rPr>
        <w:t>FS</w:t>
      </w:r>
      <w:r w:rsidRPr="002D2554">
        <w:rPr>
          <w:sz w:val="28"/>
          <w:szCs w:val="28"/>
        </w:rPr>
        <w:t xml:space="preserve"> veidiem pasākumi, kas saistīti ar ES fondu finansējuma samazinājumu būtu vērtējami, ņemot vērā šādas rīcības iespējamo negatīvo ietekmi uz valsts/pašvaldību budžetu, kā arī sabiedrības interesēm kopumā. </w:t>
      </w:r>
      <w:r>
        <w:rPr>
          <w:sz w:val="28"/>
          <w:szCs w:val="28"/>
        </w:rPr>
        <w:t xml:space="preserve">No juridiskā viedokļa </w:t>
      </w:r>
      <w:r w:rsidRPr="00720A77">
        <w:rPr>
          <w:sz w:val="28"/>
          <w:szCs w:val="28"/>
        </w:rPr>
        <w:t>MK izskatīšanas</w:t>
      </w:r>
      <w:r>
        <w:rPr>
          <w:sz w:val="28"/>
          <w:szCs w:val="28"/>
        </w:rPr>
        <w:t>/lēmumu</w:t>
      </w:r>
      <w:r w:rsidRPr="00720A77">
        <w:rPr>
          <w:sz w:val="28"/>
          <w:szCs w:val="28"/>
        </w:rPr>
        <w:t xml:space="preserve"> kārt</w:t>
      </w:r>
      <w:r>
        <w:rPr>
          <w:sz w:val="28"/>
          <w:szCs w:val="28"/>
        </w:rPr>
        <w:t>ība</w:t>
      </w:r>
      <w:r w:rsidRPr="00720A77">
        <w:rPr>
          <w:sz w:val="28"/>
          <w:szCs w:val="28"/>
        </w:rPr>
        <w:t xml:space="preserve"> </w:t>
      </w:r>
      <w:r>
        <w:rPr>
          <w:sz w:val="28"/>
          <w:szCs w:val="28"/>
        </w:rPr>
        <w:t xml:space="preserve">nav piemērojama pašvaldībām un </w:t>
      </w:r>
      <w:r w:rsidRPr="006F3965">
        <w:rPr>
          <w:rFonts w:cs="Times New Roman"/>
          <w:sz w:val="28"/>
          <w:szCs w:val="28"/>
        </w:rPr>
        <w:t xml:space="preserve">plānošanas reģioniem </w:t>
      </w:r>
      <w:r>
        <w:rPr>
          <w:rFonts w:cs="Times New Roman"/>
          <w:sz w:val="28"/>
          <w:szCs w:val="28"/>
        </w:rPr>
        <w:t>līdzīgi kā</w:t>
      </w:r>
      <w:r w:rsidRPr="006F3965">
        <w:rPr>
          <w:sz w:val="28"/>
          <w:szCs w:val="28"/>
        </w:rPr>
        <w:t xml:space="preserve"> tiešajām pārvaldes</w:t>
      </w:r>
      <w:r w:rsidRPr="00720A77">
        <w:rPr>
          <w:sz w:val="28"/>
          <w:szCs w:val="28"/>
        </w:rPr>
        <w:t xml:space="preserve"> iestādēm, </w:t>
      </w:r>
      <w:r>
        <w:rPr>
          <w:sz w:val="28"/>
          <w:szCs w:val="28"/>
        </w:rPr>
        <w:t xml:space="preserve">jo </w:t>
      </w:r>
      <w:r w:rsidRPr="006F3965">
        <w:rPr>
          <w:sz w:val="28"/>
          <w:szCs w:val="28"/>
          <w:u w:val="single"/>
        </w:rPr>
        <w:t>trīs galvenie</w:t>
      </w:r>
      <w:r w:rsidRPr="00720A77">
        <w:rPr>
          <w:sz w:val="28"/>
          <w:szCs w:val="28"/>
        </w:rPr>
        <w:t xml:space="preserve"> </w:t>
      </w:r>
      <w:r w:rsidRPr="00720A77">
        <w:rPr>
          <w:sz w:val="28"/>
          <w:szCs w:val="28"/>
          <w:u w:val="single"/>
        </w:rPr>
        <w:t>argumenti:</w:t>
      </w:r>
    </w:p>
    <w:p w14:paraId="0D543789" w14:textId="77777777" w:rsidR="002D2554" w:rsidRPr="002D2554" w:rsidRDefault="002D2554" w:rsidP="004D1849">
      <w:pPr>
        <w:ind w:left="567"/>
        <w:jc w:val="both"/>
        <w:rPr>
          <w:sz w:val="28"/>
          <w:szCs w:val="28"/>
        </w:rPr>
      </w:pPr>
      <w:r w:rsidRPr="002D2554">
        <w:rPr>
          <w:sz w:val="28"/>
          <w:szCs w:val="28"/>
        </w:rPr>
        <w:t>a)</w:t>
      </w:r>
      <w:r w:rsidRPr="002D2554">
        <w:rPr>
          <w:sz w:val="28"/>
          <w:szCs w:val="28"/>
        </w:rPr>
        <w:tab/>
        <w:t>MK nevar pieņemt lēmumu, kas tiešā veidā uzdotu pašvaldībai īstenot noteiktus pasākumus saistībā ar projekta īstenošanu;</w:t>
      </w:r>
    </w:p>
    <w:p w14:paraId="72E32FB9" w14:textId="77777777" w:rsidR="002D2554" w:rsidRPr="002D2554" w:rsidRDefault="002D2554" w:rsidP="004D1849">
      <w:pPr>
        <w:ind w:left="567"/>
        <w:jc w:val="both"/>
        <w:rPr>
          <w:sz w:val="28"/>
          <w:szCs w:val="28"/>
        </w:rPr>
      </w:pPr>
      <w:r w:rsidRPr="002D2554">
        <w:rPr>
          <w:sz w:val="28"/>
          <w:szCs w:val="28"/>
        </w:rPr>
        <w:t>b)</w:t>
      </w:r>
      <w:r w:rsidRPr="002D2554">
        <w:rPr>
          <w:sz w:val="28"/>
          <w:szCs w:val="28"/>
        </w:rPr>
        <w:tab/>
        <w:t>MK nevar noteikt, ka pašvaldību iesniegtās maksājumu prognozes ir saistošas noviržu no plāna vērtēšanai;</w:t>
      </w:r>
    </w:p>
    <w:p w14:paraId="524444E9" w14:textId="40BEE696" w:rsidR="002D2554" w:rsidRDefault="002D2554" w:rsidP="004D1849">
      <w:pPr>
        <w:ind w:left="567"/>
        <w:jc w:val="both"/>
        <w:rPr>
          <w:sz w:val="28"/>
          <w:szCs w:val="28"/>
        </w:rPr>
      </w:pPr>
      <w:r w:rsidRPr="002D2554">
        <w:rPr>
          <w:sz w:val="28"/>
          <w:szCs w:val="28"/>
        </w:rPr>
        <w:t>c)</w:t>
      </w:r>
      <w:r w:rsidRPr="002D2554">
        <w:rPr>
          <w:sz w:val="28"/>
          <w:szCs w:val="28"/>
        </w:rPr>
        <w:tab/>
        <w:t xml:space="preserve">VARAM kā pašvaldību un plānošanas reģionu darbību pārraudzītājai ir tiesības pieprasīt domes priekšsēdētāja atbrīvošanu no </w:t>
      </w:r>
      <w:r w:rsidRPr="002D2554">
        <w:rPr>
          <w:sz w:val="28"/>
          <w:szCs w:val="28"/>
        </w:rPr>
        <w:lastRenderedPageBreak/>
        <w:t>amata, ja domes priekšsēdētājs nepilda likumā vai attiecīgās pašvaldības nolikumā noteiktos pienākumus, domes lēmumus, tiesas spriedumus, neievēro likumus vai MK noteikumus, saskaņā ar Likuma par pašvaldībām 65.</w:t>
      </w:r>
      <w:r w:rsidR="00644712">
        <w:rPr>
          <w:sz w:val="28"/>
          <w:szCs w:val="28"/>
        </w:rPr>
        <w:t> </w:t>
      </w:r>
      <w:r w:rsidRPr="002D2554">
        <w:rPr>
          <w:sz w:val="28"/>
          <w:szCs w:val="28"/>
        </w:rPr>
        <w:t>pantu, bet tā nevar kopumā ietekmēt pašvaldību projektu īstenošanu.</w:t>
      </w:r>
    </w:p>
    <w:p w14:paraId="3C4B4704" w14:textId="349CD2AB" w:rsidR="00B21B05" w:rsidRPr="003167D9" w:rsidRDefault="00B21B05" w:rsidP="004D1849">
      <w:pPr>
        <w:pStyle w:val="BodyText"/>
        <w:tabs>
          <w:tab w:val="left" w:pos="0"/>
        </w:tabs>
        <w:suppressAutoHyphens/>
        <w:spacing w:line="240" w:lineRule="auto"/>
        <w:jc w:val="both"/>
        <w:rPr>
          <w:b w:val="0"/>
          <w:i/>
          <w:sz w:val="28"/>
          <w:u w:val="single"/>
          <w:lang w:val="lv-LV"/>
        </w:rPr>
      </w:pPr>
      <w:r w:rsidRPr="00B919EF">
        <w:rPr>
          <w:i/>
          <w:sz w:val="28"/>
          <w:lang w:val="lv-LV"/>
        </w:rPr>
        <w:t>Disciplīnas kārtības spēkā stāšanās attiecībā uz visiem projektu īstenotājiem:</w:t>
      </w:r>
    </w:p>
    <w:p w14:paraId="2EF02D36" w14:textId="2904312E" w:rsidR="00B21B05" w:rsidRDefault="00B21B05" w:rsidP="00294F8C">
      <w:pPr>
        <w:pStyle w:val="ListParagraph"/>
        <w:numPr>
          <w:ilvl w:val="0"/>
          <w:numId w:val="16"/>
        </w:numPr>
        <w:jc w:val="both"/>
        <w:rPr>
          <w:sz w:val="28"/>
        </w:rPr>
      </w:pPr>
      <w:r w:rsidRPr="00A24792">
        <w:rPr>
          <w:sz w:val="28"/>
        </w:rPr>
        <w:t>tiešā</w:t>
      </w:r>
      <w:r>
        <w:rPr>
          <w:sz w:val="28"/>
        </w:rPr>
        <w:t>s</w:t>
      </w:r>
      <w:r w:rsidRPr="00A24792">
        <w:rPr>
          <w:sz w:val="28"/>
        </w:rPr>
        <w:t xml:space="preserve"> </w:t>
      </w:r>
      <w:r w:rsidRPr="00A24792">
        <w:rPr>
          <w:sz w:val="28"/>
          <w:u w:val="single"/>
        </w:rPr>
        <w:t>pārvaldes</w:t>
      </w:r>
      <w:r w:rsidRPr="00A24792">
        <w:rPr>
          <w:sz w:val="28"/>
        </w:rPr>
        <w:t xml:space="preserve"> iestādēm </w:t>
      </w:r>
      <w:r>
        <w:rPr>
          <w:sz w:val="28"/>
        </w:rPr>
        <w:t>- nosakāms pārejas periods līdz 2018.</w:t>
      </w:r>
      <w:r w:rsidR="00644712">
        <w:rPr>
          <w:sz w:val="28"/>
        </w:rPr>
        <w:t> </w:t>
      </w:r>
      <w:r>
        <w:rPr>
          <w:sz w:val="28"/>
        </w:rPr>
        <w:t>gada 1.</w:t>
      </w:r>
      <w:r w:rsidR="00644712">
        <w:rPr>
          <w:sz w:val="28"/>
        </w:rPr>
        <w:t> </w:t>
      </w:r>
      <w:r>
        <w:rPr>
          <w:sz w:val="28"/>
        </w:rPr>
        <w:t>septembrim;</w:t>
      </w:r>
    </w:p>
    <w:p w14:paraId="4F033267" w14:textId="37BD9724" w:rsidR="00B21B05" w:rsidRPr="00A24792" w:rsidRDefault="00B21B05" w:rsidP="00294F8C">
      <w:pPr>
        <w:pStyle w:val="ListParagraph"/>
        <w:numPr>
          <w:ilvl w:val="0"/>
          <w:numId w:val="16"/>
        </w:numPr>
        <w:jc w:val="both"/>
        <w:rPr>
          <w:rFonts w:cs="Times New Roman"/>
          <w:sz w:val="28"/>
          <w:szCs w:val="28"/>
        </w:rPr>
      </w:pPr>
      <w:r w:rsidRPr="00A24792">
        <w:rPr>
          <w:sz w:val="28"/>
          <w:u w:val="single"/>
        </w:rPr>
        <w:t>citiem</w:t>
      </w:r>
      <w:r>
        <w:rPr>
          <w:sz w:val="28"/>
        </w:rPr>
        <w:t xml:space="preserve"> -</w:t>
      </w:r>
      <w:r w:rsidRPr="00A24792">
        <w:rPr>
          <w:sz w:val="28"/>
        </w:rPr>
        <w:t xml:space="preserve"> nosakāms </w:t>
      </w:r>
      <w:r w:rsidRPr="00A24792">
        <w:rPr>
          <w:sz w:val="28"/>
          <w:u w:val="single"/>
        </w:rPr>
        <w:t>pārejas periods</w:t>
      </w:r>
      <w:r w:rsidRPr="00A24792">
        <w:rPr>
          <w:sz w:val="28"/>
        </w:rPr>
        <w:t xml:space="preserve"> līdz 2018.</w:t>
      </w:r>
      <w:r w:rsidR="00644712">
        <w:rPr>
          <w:sz w:val="28"/>
        </w:rPr>
        <w:t> </w:t>
      </w:r>
      <w:r w:rsidRPr="00A24792">
        <w:rPr>
          <w:sz w:val="28"/>
        </w:rPr>
        <w:t>gada 1.</w:t>
      </w:r>
      <w:r w:rsidR="00644712">
        <w:rPr>
          <w:sz w:val="28"/>
        </w:rPr>
        <w:t> </w:t>
      </w:r>
      <w:r w:rsidRPr="00A24792">
        <w:rPr>
          <w:sz w:val="28"/>
        </w:rPr>
        <w:t>septembrim vai vismaz 4 mēneši pēc MK noteikumu grozījumu ES fondu ieviešanu regulējušajos MK noteikumos Nr.784</w:t>
      </w:r>
      <w:r w:rsidR="008B5704">
        <w:rPr>
          <w:rStyle w:val="FootnoteReference"/>
          <w:sz w:val="28"/>
        </w:rPr>
        <w:footnoteReference w:id="75"/>
      </w:r>
      <w:r w:rsidRPr="00A24792">
        <w:rPr>
          <w:sz w:val="28"/>
        </w:rPr>
        <w:t xml:space="preserve"> spēkā stāšanās.</w:t>
      </w:r>
    </w:p>
    <w:p w14:paraId="11B82A3A" w14:textId="77777777" w:rsidR="00957BF2" w:rsidRDefault="00957BF2" w:rsidP="00957BF2">
      <w:pPr>
        <w:jc w:val="both"/>
        <w:rPr>
          <w:rFonts w:cs="Times New Roman"/>
          <w:sz w:val="28"/>
          <w:szCs w:val="28"/>
        </w:rPr>
      </w:pPr>
    </w:p>
    <w:p w14:paraId="25D14DF4" w14:textId="0AEDE2F6" w:rsidR="008650FE" w:rsidRDefault="008650FE" w:rsidP="000C6821">
      <w:pPr>
        <w:ind w:firstLine="720"/>
        <w:jc w:val="both"/>
        <w:rPr>
          <w:rFonts w:cs="Times New Roman"/>
          <w:sz w:val="28"/>
          <w:szCs w:val="28"/>
        </w:rPr>
      </w:pPr>
      <w:r>
        <w:rPr>
          <w:rFonts w:cs="Times New Roman"/>
          <w:sz w:val="28"/>
          <w:szCs w:val="28"/>
        </w:rPr>
        <w:t xml:space="preserve">CFLA informēs visus </w:t>
      </w:r>
      <w:r w:rsidR="003A1ACB">
        <w:rPr>
          <w:rFonts w:cs="Times New Roman"/>
          <w:sz w:val="28"/>
          <w:szCs w:val="28"/>
        </w:rPr>
        <w:t>FS</w:t>
      </w:r>
      <w:r>
        <w:rPr>
          <w:rFonts w:cs="Times New Roman"/>
          <w:sz w:val="28"/>
          <w:szCs w:val="28"/>
        </w:rPr>
        <w:t xml:space="preserve"> par </w:t>
      </w:r>
      <w:r w:rsidRPr="008650FE">
        <w:rPr>
          <w:rFonts w:cs="Times New Roman"/>
          <w:sz w:val="28"/>
          <w:szCs w:val="28"/>
        </w:rPr>
        <w:t>ieviešanas plānu finanšu disciplīnas pasākumi</w:t>
      </w:r>
      <w:r>
        <w:rPr>
          <w:rFonts w:cs="Times New Roman"/>
          <w:sz w:val="28"/>
          <w:szCs w:val="28"/>
        </w:rPr>
        <w:t>em un izmaiņu st</w:t>
      </w:r>
      <w:r w:rsidR="008F0376">
        <w:rPr>
          <w:rFonts w:cs="Times New Roman"/>
          <w:sz w:val="28"/>
          <w:szCs w:val="28"/>
        </w:rPr>
        <w:t>āša</w:t>
      </w:r>
      <w:r>
        <w:rPr>
          <w:rFonts w:cs="Times New Roman"/>
          <w:sz w:val="28"/>
          <w:szCs w:val="28"/>
        </w:rPr>
        <w:t xml:space="preserve">nas spēkā termiņiem pēc protokollēmuma apstiprināšanas.   </w:t>
      </w:r>
    </w:p>
    <w:p w14:paraId="1B6D539A" w14:textId="2D3F5FF3" w:rsidR="00A91E9B" w:rsidRDefault="00957BF2" w:rsidP="00BD62B5">
      <w:pPr>
        <w:ind w:firstLine="720"/>
        <w:jc w:val="both"/>
        <w:rPr>
          <w:rFonts w:cs="Times New Roman"/>
          <w:sz w:val="28"/>
          <w:szCs w:val="28"/>
        </w:rPr>
      </w:pPr>
      <w:r w:rsidRPr="00141E05">
        <w:rPr>
          <w:rFonts w:cs="Times New Roman"/>
          <w:sz w:val="28"/>
          <w:szCs w:val="28"/>
        </w:rPr>
        <w:t xml:space="preserve">Visiem FS, balstoties uz iepriekšējā gada izpildi, būs iespēja katru gadu aktualizēt </w:t>
      </w:r>
      <w:r w:rsidR="00A91E9B" w:rsidRPr="00A91E9B">
        <w:rPr>
          <w:rFonts w:cs="Times New Roman"/>
          <w:sz w:val="28"/>
          <w:szCs w:val="28"/>
        </w:rPr>
        <w:t>plānoto maksājuma pieprasījumu iesniegšanas grafiku</w:t>
      </w:r>
      <w:r w:rsidR="00A91E9B">
        <w:rPr>
          <w:rFonts w:cs="Times New Roman"/>
          <w:sz w:val="28"/>
          <w:szCs w:val="28"/>
        </w:rPr>
        <w:t>, precizējot nākamā gada plānu.</w:t>
      </w:r>
      <w:r w:rsidR="00BD62B5">
        <w:rPr>
          <w:rFonts w:cs="Times New Roman"/>
          <w:sz w:val="28"/>
          <w:szCs w:val="28"/>
        </w:rPr>
        <w:t xml:space="preserve"> </w:t>
      </w:r>
    </w:p>
    <w:p w14:paraId="2F0190DB" w14:textId="77777777" w:rsidR="00A91E9B" w:rsidRPr="00A91E9B" w:rsidRDefault="00A91E9B" w:rsidP="00A91E9B">
      <w:pPr>
        <w:ind w:firstLine="720"/>
        <w:jc w:val="both"/>
        <w:rPr>
          <w:rFonts w:cs="Times New Roman"/>
          <w:sz w:val="28"/>
          <w:szCs w:val="28"/>
        </w:rPr>
      </w:pPr>
      <w:r w:rsidRPr="00A91E9B">
        <w:rPr>
          <w:rFonts w:cs="Times New Roman"/>
          <w:sz w:val="28"/>
          <w:szCs w:val="28"/>
        </w:rPr>
        <w:t>Attiecībā uz 2018. gadu – 1. septembris ir atskaites punkts, pret kuru finanšu disciplīnas normu un seku kontekstā tiks vērtētas novirzes attiecībā uz 2018. gadu.</w:t>
      </w:r>
    </w:p>
    <w:p w14:paraId="02CCAFC2" w14:textId="6A0FC0F1" w:rsidR="00A91E9B" w:rsidRDefault="00A91E9B" w:rsidP="00BD62B5">
      <w:pPr>
        <w:ind w:firstLine="720"/>
        <w:jc w:val="both"/>
        <w:rPr>
          <w:rFonts w:cs="Times New Roman"/>
          <w:sz w:val="28"/>
          <w:szCs w:val="28"/>
        </w:rPr>
      </w:pPr>
      <w:r w:rsidRPr="00A91E9B">
        <w:rPr>
          <w:rFonts w:cs="Times New Roman"/>
          <w:sz w:val="28"/>
          <w:szCs w:val="28"/>
        </w:rPr>
        <w:t>Iesniedzot plānoto maksājuma pieprasījumu iesniegšanas grafiku par nākamo gadu, kā atskaites punkts tiks ņemts datums, līdz kuram būs ļauts aktualizēt šo grafiku. Šāda iespēja tiks paredzēta, bet vēl nav noteikts konkrēts termiņš, līdz kuram to varēs izdarīt – to plānots noteikt pie MK noteikumu grozījumiem Nr.</w:t>
      </w:r>
      <w:r w:rsidR="00F4624E">
        <w:rPr>
          <w:rFonts w:cs="Times New Roman"/>
          <w:sz w:val="28"/>
          <w:szCs w:val="28"/>
        </w:rPr>
        <w:t> </w:t>
      </w:r>
      <w:r w:rsidRPr="00A91E9B">
        <w:rPr>
          <w:rFonts w:cs="Times New Roman"/>
          <w:sz w:val="28"/>
          <w:szCs w:val="28"/>
        </w:rPr>
        <w:t>784. Attiecīgi, katra kalendārā gada plānu finanšu disciplīnas normu un seku kontekstā varēs aktualizēt līdz noteiktam datumam. Attiecīgi katru gadu uz noteiktu atskaites datumu būs spēkā kalendārā gada plāns, pret kuru attieksies noteiktie finanšu disciplīnas pasākumi. Vienlaikus kalendārā gada laikā finansējuma saņēmēji plānoto maksājuma pieprasījuma iesniegšanas grafiku varēs aktualizēt, kā līdz šim, lai informētu par izmaiņām savlaicīgi, ja tādas rodas</w:t>
      </w:r>
      <w:r w:rsidR="00341EB2">
        <w:rPr>
          <w:rFonts w:cs="Times New Roman"/>
          <w:sz w:val="28"/>
          <w:szCs w:val="28"/>
        </w:rPr>
        <w:t>.</w:t>
      </w:r>
    </w:p>
    <w:p w14:paraId="770D089D" w14:textId="0F1F0147" w:rsidR="00957BF2" w:rsidRPr="00957BF2" w:rsidRDefault="00957BF2" w:rsidP="00A91E9B">
      <w:pPr>
        <w:ind w:firstLine="720"/>
        <w:jc w:val="both"/>
        <w:rPr>
          <w:rFonts w:cs="Times New Roman"/>
          <w:sz w:val="28"/>
          <w:szCs w:val="28"/>
        </w:rPr>
      </w:pPr>
    </w:p>
    <w:p w14:paraId="2B2786CD" w14:textId="73DE1763" w:rsidR="00B21B05" w:rsidRPr="003167D9" w:rsidRDefault="00B21B05" w:rsidP="0062255B">
      <w:pPr>
        <w:jc w:val="both"/>
        <w:rPr>
          <w:i/>
        </w:rPr>
      </w:pPr>
      <w:r w:rsidRPr="003167D9">
        <w:rPr>
          <w:b/>
          <w:i/>
          <w:sz w:val="28"/>
        </w:rPr>
        <w:t xml:space="preserve">Disciplīnas un atbildības stiprināšana </w:t>
      </w:r>
      <w:r w:rsidRPr="003167D9">
        <w:rPr>
          <w:b/>
          <w:i/>
          <w:sz w:val="28"/>
          <w:u w:val="single"/>
        </w:rPr>
        <w:t>tiešajām pārvaldes iestādēm</w:t>
      </w:r>
      <w:r w:rsidRPr="003167D9">
        <w:rPr>
          <w:b/>
          <w:i/>
          <w:sz w:val="28"/>
        </w:rPr>
        <w:t xml:space="preserve"> kā projektu īstenotājiem</w:t>
      </w:r>
    </w:p>
    <w:p w14:paraId="266B1DC6" w14:textId="39AAB4E7" w:rsidR="00B21B05" w:rsidRPr="004529B9" w:rsidRDefault="004D1849" w:rsidP="004D1849">
      <w:pPr>
        <w:pStyle w:val="BodyText"/>
        <w:tabs>
          <w:tab w:val="left" w:pos="0"/>
        </w:tabs>
        <w:suppressAutoHyphens/>
        <w:spacing w:line="240" w:lineRule="auto"/>
        <w:jc w:val="both"/>
        <w:rPr>
          <w:b w:val="0"/>
          <w:sz w:val="28"/>
          <w:lang w:val="lv-LV"/>
        </w:rPr>
      </w:pPr>
      <w:r w:rsidRPr="004D1849">
        <w:rPr>
          <w:b w:val="0"/>
          <w:sz w:val="28"/>
          <w:lang w:val="lv-LV"/>
        </w:rPr>
        <w:tab/>
      </w:r>
      <w:r w:rsidR="00B21B05" w:rsidRPr="004529B9">
        <w:rPr>
          <w:b w:val="0"/>
          <w:sz w:val="28"/>
          <w:u w:val="single"/>
          <w:lang w:val="lv-LV"/>
        </w:rPr>
        <w:t>Attiecībā uz tiešajām pārvaldes iestādēm</w:t>
      </w:r>
      <w:r w:rsidR="00B21B05" w:rsidRPr="004529B9">
        <w:rPr>
          <w:sz w:val="28"/>
          <w:lang w:val="lv-LV"/>
        </w:rPr>
        <w:t xml:space="preserve"> </w:t>
      </w:r>
      <w:r w:rsidR="00B21B05" w:rsidRPr="004529B9">
        <w:rPr>
          <w:b w:val="0"/>
          <w:sz w:val="28"/>
          <w:lang w:val="lv-LV"/>
        </w:rPr>
        <w:t xml:space="preserve">turpināma prakse, kad stingri uzraugāma ikmēneša plānu izpilde, par ko FM sniedz ikmēneša operatīvo informāciju MK, un būtisku noviržu gadījumā reizi kalendārajā gadā vai biežāk atkarībā no situācijas CFLA un/vai MK var lemt par konkrētu rīcību. Jau kalendārā gada ietvaros, saskatot riskus projektā </w:t>
      </w:r>
      <w:r w:rsidR="00025360">
        <w:rPr>
          <w:b w:val="0"/>
          <w:sz w:val="28"/>
          <w:lang w:val="lv-LV"/>
        </w:rPr>
        <w:t>SI</w:t>
      </w:r>
      <w:r w:rsidR="008D6B01">
        <w:rPr>
          <w:b w:val="0"/>
          <w:sz w:val="28"/>
          <w:lang w:val="lv-LV"/>
        </w:rPr>
        <w:t xml:space="preserve"> </w:t>
      </w:r>
      <w:r w:rsidR="00B21B05" w:rsidRPr="004529B9">
        <w:rPr>
          <w:b w:val="0"/>
          <w:sz w:val="28"/>
          <w:lang w:val="lv-LV"/>
        </w:rPr>
        <w:t xml:space="preserve">var lemt par asignējuma apturēšanu gadījumos, kad situācija projektā rada riskus (iesniegts </w:t>
      </w:r>
      <w:r w:rsidR="007D4C45">
        <w:rPr>
          <w:b w:val="0"/>
          <w:sz w:val="28"/>
          <w:lang w:val="lv-LV"/>
        </w:rPr>
        <w:t>aktualizēts plānoto maksājuma pieprasījumu iesniegšanas grafiks</w:t>
      </w:r>
      <w:r w:rsidR="00B21B05" w:rsidRPr="004529B9">
        <w:rPr>
          <w:b w:val="0"/>
          <w:sz w:val="28"/>
          <w:lang w:val="lv-LV"/>
        </w:rPr>
        <w:t xml:space="preserve"> ar nobīdēm virs 25</w:t>
      </w:r>
      <w:r w:rsidR="00644712">
        <w:rPr>
          <w:b w:val="0"/>
          <w:sz w:val="28"/>
          <w:lang w:val="lv-LV"/>
        </w:rPr>
        <w:t> </w:t>
      </w:r>
      <w:r w:rsidR="00B21B05" w:rsidRPr="004529B9">
        <w:rPr>
          <w:b w:val="0"/>
          <w:sz w:val="28"/>
          <w:lang w:val="lv-LV"/>
        </w:rPr>
        <w:t xml:space="preserve">%, </w:t>
      </w:r>
      <w:r w:rsidR="00B21B05" w:rsidRPr="004529B9">
        <w:rPr>
          <w:b w:val="0"/>
          <w:sz w:val="28"/>
          <w:lang w:val="lv-LV"/>
        </w:rPr>
        <w:lastRenderedPageBreak/>
        <w:t xml:space="preserve">maksājumu pieprasījums nav iesniegts plānotajā termiņā un apjomā utt.) un atjaunot asignējumu, ja </w:t>
      </w:r>
      <w:r w:rsidR="00321BDD">
        <w:rPr>
          <w:b w:val="0"/>
          <w:sz w:val="28"/>
          <w:lang w:val="lv-LV"/>
        </w:rPr>
        <w:t>FS</w:t>
      </w:r>
      <w:r w:rsidR="00B21B05" w:rsidRPr="004529B9">
        <w:rPr>
          <w:b w:val="0"/>
          <w:sz w:val="28"/>
          <w:lang w:val="lv-LV"/>
        </w:rPr>
        <w:t xml:space="preserve"> īsteno projektu atbilstoši iesniegtajam rīcības plānam, lai situāciju uzlabotu, kā arī izņēmuma gadījumā, ja ir pieņemts attiecīgs MK lēmums</w:t>
      </w:r>
      <w:r w:rsidR="00B21B05" w:rsidRPr="004529B9">
        <w:rPr>
          <w:rStyle w:val="FootnoteReference"/>
          <w:b w:val="0"/>
          <w:sz w:val="28"/>
          <w:lang w:val="lv-LV"/>
        </w:rPr>
        <w:footnoteReference w:id="76"/>
      </w:r>
      <w:r w:rsidR="00B21B05" w:rsidRPr="004529B9">
        <w:rPr>
          <w:b w:val="0"/>
          <w:sz w:val="28"/>
          <w:lang w:val="lv-LV"/>
        </w:rPr>
        <w:t>:</w:t>
      </w:r>
    </w:p>
    <w:p w14:paraId="7661EA5A" w14:textId="68B84715" w:rsidR="00B21B05" w:rsidRDefault="00B21B05" w:rsidP="00D266E0">
      <w:pPr>
        <w:pStyle w:val="BodyText"/>
        <w:numPr>
          <w:ilvl w:val="1"/>
          <w:numId w:val="14"/>
        </w:numPr>
        <w:tabs>
          <w:tab w:val="left" w:pos="0"/>
        </w:tabs>
        <w:suppressAutoHyphens/>
        <w:spacing w:line="240" w:lineRule="auto"/>
        <w:jc w:val="both"/>
        <w:rPr>
          <w:b w:val="0"/>
          <w:sz w:val="28"/>
          <w:lang w:val="lv-LV"/>
        </w:rPr>
      </w:pPr>
      <w:r w:rsidRPr="004529B9">
        <w:rPr>
          <w:sz w:val="28"/>
          <w:lang w:val="lv-LV"/>
        </w:rPr>
        <w:t>Par 25</w:t>
      </w:r>
      <w:r w:rsidR="007B3AF8">
        <w:rPr>
          <w:sz w:val="28"/>
          <w:lang w:val="lv-LV"/>
        </w:rPr>
        <w:t> </w:t>
      </w:r>
      <w:r w:rsidRPr="004529B9">
        <w:rPr>
          <w:sz w:val="28"/>
          <w:lang w:val="lv-LV"/>
        </w:rPr>
        <w:t>% novirzēm no kalendārā gada plāna</w:t>
      </w:r>
      <w:r w:rsidRPr="004529B9">
        <w:rPr>
          <w:b w:val="0"/>
          <w:sz w:val="28"/>
          <w:lang w:val="lv-LV"/>
        </w:rPr>
        <w:t xml:space="preserve"> </w:t>
      </w:r>
      <w:r w:rsidR="00F4624E">
        <w:rPr>
          <w:b w:val="0"/>
          <w:sz w:val="28"/>
          <w:lang w:val="lv-LV"/>
        </w:rPr>
        <w:t>–</w:t>
      </w:r>
      <w:r w:rsidRPr="004529B9">
        <w:rPr>
          <w:b w:val="0"/>
          <w:sz w:val="28"/>
          <w:lang w:val="lv-LV"/>
        </w:rPr>
        <w:t xml:space="preserve"> </w:t>
      </w:r>
      <w:r w:rsidRPr="004529B9">
        <w:rPr>
          <w:sz w:val="28"/>
          <w:u w:val="single"/>
          <w:lang w:val="lv-LV"/>
        </w:rPr>
        <w:t>Nozares ministrijas</w:t>
      </w:r>
      <w:r w:rsidRPr="004529B9">
        <w:rPr>
          <w:b w:val="0"/>
          <w:sz w:val="28"/>
          <w:lang w:val="lv-LV"/>
        </w:rPr>
        <w:t xml:space="preserve"> izvērtē informāciju </w:t>
      </w:r>
      <w:r w:rsidRPr="004529B9">
        <w:rPr>
          <w:sz w:val="28"/>
          <w:lang w:val="lv-LV"/>
        </w:rPr>
        <w:t>par to padotības iestāžu īstenotajiem projektiem</w:t>
      </w:r>
      <w:r w:rsidRPr="004529B9">
        <w:rPr>
          <w:b w:val="0"/>
          <w:sz w:val="28"/>
          <w:lang w:val="lv-LV"/>
        </w:rPr>
        <w:t xml:space="preserve">, sagatavojot informāciju par konkrētajiem iespējamajiem risinājumiem un turpmāko rīcību projektu īstenošanas konstatēto problēmu novēršanai </w:t>
      </w:r>
      <w:r w:rsidRPr="004529B9">
        <w:rPr>
          <w:sz w:val="28"/>
          <w:u w:val="single"/>
          <w:lang w:val="lv-LV"/>
        </w:rPr>
        <w:t xml:space="preserve">un </w:t>
      </w:r>
      <w:r w:rsidRPr="00BC1DDC">
        <w:rPr>
          <w:sz w:val="28"/>
          <w:u w:val="single"/>
          <w:lang w:val="lv-LV"/>
        </w:rPr>
        <w:t>iesniedz to FM</w:t>
      </w:r>
      <w:r w:rsidRPr="002E2E44">
        <w:rPr>
          <w:b w:val="0"/>
          <w:sz w:val="28"/>
          <w:lang w:val="lv-LV"/>
        </w:rPr>
        <w:t xml:space="preserve"> iekļaušanai apkopotā veidā MK kopā ar FM pusgada ziņojumu par ES fondu ieviešanu līdz 1.</w:t>
      </w:r>
      <w:r w:rsidR="00644712">
        <w:rPr>
          <w:b w:val="0"/>
          <w:sz w:val="28"/>
          <w:lang w:val="lv-LV"/>
        </w:rPr>
        <w:t> </w:t>
      </w:r>
      <w:r w:rsidRPr="002E2E44">
        <w:rPr>
          <w:b w:val="0"/>
          <w:sz w:val="28"/>
          <w:lang w:val="lv-LV"/>
        </w:rPr>
        <w:t>martam vai līdz 1.</w:t>
      </w:r>
      <w:r w:rsidR="00644712">
        <w:rPr>
          <w:b w:val="0"/>
          <w:sz w:val="28"/>
          <w:lang w:val="lv-LV"/>
        </w:rPr>
        <w:t> </w:t>
      </w:r>
      <w:r w:rsidRPr="002E2E44">
        <w:rPr>
          <w:b w:val="0"/>
          <w:sz w:val="28"/>
          <w:lang w:val="lv-LV"/>
        </w:rPr>
        <w:t>septembrim, ja nepieciešams.</w:t>
      </w:r>
    </w:p>
    <w:p w14:paraId="25686C18" w14:textId="465B2C8F" w:rsidR="00B21B05" w:rsidRPr="00D53A24" w:rsidRDefault="00B21B05" w:rsidP="00294F8C">
      <w:pPr>
        <w:pStyle w:val="BodyText"/>
        <w:numPr>
          <w:ilvl w:val="1"/>
          <w:numId w:val="14"/>
        </w:numPr>
        <w:tabs>
          <w:tab w:val="left" w:pos="0"/>
        </w:tabs>
        <w:suppressAutoHyphens/>
        <w:spacing w:line="240" w:lineRule="auto"/>
        <w:jc w:val="both"/>
        <w:rPr>
          <w:b w:val="0"/>
          <w:sz w:val="28"/>
          <w:lang w:val="lv-LV"/>
        </w:rPr>
      </w:pPr>
      <w:r w:rsidRPr="00D53A24">
        <w:rPr>
          <w:sz w:val="28"/>
          <w:lang w:val="lv-LV"/>
        </w:rPr>
        <w:t>Par 6 mēnešu pagarinājumu</w:t>
      </w:r>
      <w:r w:rsidRPr="00D53A24">
        <w:rPr>
          <w:b w:val="0"/>
          <w:sz w:val="28"/>
          <w:lang w:val="lv-LV"/>
        </w:rPr>
        <w:t xml:space="preserve"> </w:t>
      </w:r>
      <w:r w:rsidR="007B3AF8">
        <w:rPr>
          <w:b w:val="0"/>
          <w:sz w:val="28"/>
          <w:lang w:val="lv-LV"/>
        </w:rPr>
        <w:t>–</w:t>
      </w:r>
      <w:r w:rsidRPr="00D53A24">
        <w:rPr>
          <w:b w:val="0"/>
          <w:sz w:val="28"/>
          <w:lang w:val="lv-LV"/>
        </w:rPr>
        <w:t xml:space="preserve"> </w:t>
      </w:r>
      <w:r w:rsidRPr="00D53A24">
        <w:rPr>
          <w:sz w:val="28"/>
          <w:u w:val="single"/>
          <w:lang w:val="lv-LV"/>
        </w:rPr>
        <w:t>Nozares ministrijas</w:t>
      </w:r>
      <w:r w:rsidRPr="00D53A24">
        <w:rPr>
          <w:b w:val="0"/>
          <w:sz w:val="28"/>
          <w:lang w:val="lv-LV"/>
        </w:rPr>
        <w:t xml:space="preserve"> izvērtē informāciju par to padotības iestāžu īstenotajiem projektiem, sagatavojot informāciju par konkrētajiem iespējamajiem risinājumiem un turpmāko rīcību projektu īstenošanas konstatēto problēmu novēršanai un </w:t>
      </w:r>
      <w:r w:rsidRPr="00D53A24">
        <w:rPr>
          <w:sz w:val="28"/>
          <w:lang w:val="lv-LV"/>
        </w:rPr>
        <w:t>iesniedz to:</w:t>
      </w:r>
    </w:p>
    <w:p w14:paraId="32078FB0" w14:textId="29F5887B" w:rsidR="00B21B05" w:rsidRDefault="00B21B05" w:rsidP="00D266E0">
      <w:pPr>
        <w:pStyle w:val="BodyText"/>
        <w:numPr>
          <w:ilvl w:val="0"/>
          <w:numId w:val="31"/>
        </w:numPr>
        <w:tabs>
          <w:tab w:val="left" w:pos="0"/>
        </w:tabs>
        <w:suppressAutoHyphens/>
        <w:spacing w:line="240" w:lineRule="auto"/>
        <w:jc w:val="both"/>
        <w:rPr>
          <w:b w:val="0"/>
          <w:sz w:val="28"/>
          <w:lang w:val="lv-LV"/>
        </w:rPr>
      </w:pPr>
      <w:r w:rsidRPr="00BC1DDC">
        <w:rPr>
          <w:sz w:val="28"/>
          <w:u w:val="single"/>
          <w:lang w:val="lv-LV"/>
        </w:rPr>
        <w:t xml:space="preserve">FM </w:t>
      </w:r>
      <w:r w:rsidRPr="002E2E44">
        <w:rPr>
          <w:b w:val="0"/>
          <w:sz w:val="28"/>
          <w:lang w:val="lv-LV"/>
        </w:rPr>
        <w:t>iekļaušanai apkopotā veidā MK kopā ar FM pusgada ziņojumu par ES fondu ieviešanu līdz 1.</w:t>
      </w:r>
      <w:r w:rsidR="00644712">
        <w:rPr>
          <w:b w:val="0"/>
          <w:sz w:val="28"/>
          <w:lang w:val="lv-LV"/>
        </w:rPr>
        <w:t> </w:t>
      </w:r>
      <w:r w:rsidRPr="002E2E44">
        <w:rPr>
          <w:b w:val="0"/>
          <w:sz w:val="28"/>
          <w:lang w:val="lv-LV"/>
        </w:rPr>
        <w:t>septembrim vai 1.</w:t>
      </w:r>
      <w:r w:rsidR="00644712">
        <w:rPr>
          <w:b w:val="0"/>
          <w:sz w:val="28"/>
          <w:lang w:val="lv-LV"/>
        </w:rPr>
        <w:t> </w:t>
      </w:r>
      <w:r w:rsidRPr="002E2E44">
        <w:rPr>
          <w:b w:val="0"/>
          <w:sz w:val="28"/>
          <w:lang w:val="lv-LV"/>
        </w:rPr>
        <w:t>martam.</w:t>
      </w:r>
    </w:p>
    <w:p w14:paraId="67202AE7" w14:textId="6D153B3E" w:rsidR="00B21B05" w:rsidRPr="00D53A24" w:rsidRDefault="00B21B05" w:rsidP="00B21B05">
      <w:pPr>
        <w:pStyle w:val="BodyText"/>
        <w:tabs>
          <w:tab w:val="left" w:pos="0"/>
        </w:tabs>
        <w:suppressAutoHyphens/>
        <w:spacing w:line="240" w:lineRule="auto"/>
        <w:ind w:left="851"/>
        <w:jc w:val="both"/>
        <w:rPr>
          <w:b w:val="0"/>
          <w:sz w:val="28"/>
          <w:lang w:val="lv-LV"/>
        </w:rPr>
      </w:pPr>
      <w:r>
        <w:rPr>
          <w:sz w:val="28"/>
          <w:lang w:val="lv-LV"/>
        </w:rPr>
        <w:t>v</w:t>
      </w:r>
      <w:r w:rsidRPr="00D53A24">
        <w:rPr>
          <w:sz w:val="28"/>
          <w:lang w:val="lv-LV"/>
        </w:rPr>
        <w:t>ai</w:t>
      </w:r>
    </w:p>
    <w:p w14:paraId="15BF48DB" w14:textId="628EB7A0" w:rsidR="00B21B05" w:rsidRDefault="00B21B05" w:rsidP="003B5107">
      <w:pPr>
        <w:pStyle w:val="BodyText"/>
        <w:numPr>
          <w:ilvl w:val="0"/>
          <w:numId w:val="31"/>
        </w:numPr>
        <w:tabs>
          <w:tab w:val="left" w:pos="0"/>
        </w:tabs>
        <w:suppressAutoHyphens/>
        <w:spacing w:line="240" w:lineRule="auto"/>
        <w:jc w:val="both"/>
        <w:rPr>
          <w:b w:val="0"/>
          <w:sz w:val="28"/>
          <w:lang w:val="lv-LV"/>
        </w:rPr>
      </w:pPr>
      <w:r w:rsidRPr="00D53A24">
        <w:rPr>
          <w:b w:val="0"/>
          <w:sz w:val="28"/>
          <w:u w:val="single"/>
          <w:lang w:val="lv-LV"/>
        </w:rPr>
        <w:t>Ja nepieciešams MK lēmums citos termiņos nekā FM pusgada ziņojumi, tad</w:t>
      </w:r>
      <w:r>
        <w:rPr>
          <w:sz w:val="28"/>
          <w:lang w:val="lv-LV"/>
        </w:rPr>
        <w:t xml:space="preserve"> nozares ministrija iesniedz </w:t>
      </w:r>
      <w:r w:rsidRPr="00BC1DDC">
        <w:rPr>
          <w:sz w:val="28"/>
          <w:lang w:val="lv-LV"/>
        </w:rPr>
        <w:t>MK atsevišķi</w:t>
      </w:r>
      <w:r w:rsidRPr="002E2E44">
        <w:rPr>
          <w:b w:val="0"/>
          <w:sz w:val="28"/>
          <w:lang w:val="lv-LV"/>
        </w:rPr>
        <w:t xml:space="preserve">, sagatavojot MK rīkojuma projektu vai MK sēdes protokollēmuma projektu ar konkrētiem turpmāk veicamiem uzdevumiem, to izpildes termiņiem un atbildīgajiem par to īstenošanu, anotācijā vai informatīvajā ziņojumā sniedzot detalizētu aprakstu par konstatētajām problēmām, par jau veiktajām un plānotajām pārbaudēm, lai konstatētu, vai minētās problēmas un to rašanas cēloņi ir tieši saistīti ar konkrētu darbinieku/ amatpersonu darbību vai bezdarbību. </w:t>
      </w:r>
    </w:p>
    <w:p w14:paraId="79F6D9B1" w14:textId="5805BF5F" w:rsidR="00FF3F25" w:rsidRPr="00FF3F25" w:rsidRDefault="00FF3F25" w:rsidP="00B07C5E">
      <w:pPr>
        <w:pStyle w:val="FootnoteText"/>
        <w:ind w:firstLine="720"/>
        <w:jc w:val="both"/>
        <w:rPr>
          <w:rFonts w:eastAsia="Times New Roman" w:cs="Times New Roman"/>
          <w:bCs/>
          <w:sz w:val="28"/>
          <w:szCs w:val="24"/>
        </w:rPr>
      </w:pPr>
      <w:r w:rsidRPr="00FF3F25">
        <w:rPr>
          <w:rFonts w:eastAsia="Times New Roman" w:cs="Times New Roman"/>
          <w:bCs/>
          <w:sz w:val="28"/>
          <w:szCs w:val="24"/>
        </w:rPr>
        <w:t>Asignējuma apturēšana plānota tikai kā galējais instruments, kad FS neveic nekādas darbības, lai uzlabotu situāciju būtisku noviržu gadījumā, jeb tās nav atbilstošas konkrētajā gadījumā nepieciešamajam. Asignējumu aptu</w:t>
      </w:r>
      <w:r w:rsidR="00B23D00">
        <w:rPr>
          <w:rFonts w:eastAsia="Times New Roman" w:cs="Times New Roman"/>
          <w:bCs/>
          <w:sz w:val="28"/>
          <w:szCs w:val="24"/>
        </w:rPr>
        <w:t>r</w:t>
      </w:r>
      <w:r w:rsidRPr="00FF3F25">
        <w:rPr>
          <w:rFonts w:eastAsia="Times New Roman" w:cs="Times New Roman"/>
          <w:bCs/>
          <w:sz w:val="28"/>
          <w:szCs w:val="24"/>
        </w:rPr>
        <w:t>ēšanas brīdinājums būs savlaicīgi, nozares ministrijas un AI informējot un iesaistot jautājuma sekmīgā risināšanā, t.i. dodot iespēju veikt konkrētus pasākumus, lai nebūtu jāpieņem tāds lēmums apturēt asignējumus.</w:t>
      </w:r>
    </w:p>
    <w:p w14:paraId="38919E2C" w14:textId="77777777" w:rsidR="00FF3F25" w:rsidRPr="00FF3F25" w:rsidRDefault="00FF3F25" w:rsidP="00B07C5E">
      <w:pPr>
        <w:pStyle w:val="FootnoteText"/>
        <w:ind w:firstLine="720"/>
        <w:jc w:val="both"/>
        <w:rPr>
          <w:rFonts w:eastAsia="Times New Roman" w:cs="Times New Roman"/>
          <w:bCs/>
          <w:sz w:val="28"/>
          <w:szCs w:val="24"/>
        </w:rPr>
      </w:pPr>
      <w:r w:rsidRPr="00FF3F25">
        <w:rPr>
          <w:rFonts w:eastAsia="Times New Roman" w:cs="Times New Roman"/>
          <w:bCs/>
          <w:sz w:val="28"/>
          <w:szCs w:val="24"/>
        </w:rPr>
        <w:t xml:space="preserve">Nozares ministrijām jārūpējas par sava resora īstenotajiem projektiem – to īstenošanas disciplīnas kvalitāti un tādēļ arī iekšēji resoros, iespējams, jāparedz atsevišķa kārtība, kā šādu projektu ieviešana tiek uzraudzīta. </w:t>
      </w:r>
    </w:p>
    <w:p w14:paraId="456DC4F1" w14:textId="77777777" w:rsidR="00FF3F25" w:rsidRPr="00FF3F25" w:rsidRDefault="00FF3F25" w:rsidP="00B07C5E">
      <w:pPr>
        <w:pStyle w:val="FootnoteText"/>
        <w:ind w:firstLine="720"/>
        <w:jc w:val="both"/>
        <w:rPr>
          <w:rFonts w:eastAsia="Times New Roman" w:cs="Times New Roman"/>
          <w:bCs/>
          <w:sz w:val="28"/>
          <w:szCs w:val="24"/>
        </w:rPr>
      </w:pPr>
      <w:r w:rsidRPr="00FF3F25">
        <w:rPr>
          <w:rFonts w:eastAsia="Times New Roman" w:cs="Times New Roman"/>
          <w:bCs/>
          <w:sz w:val="28"/>
          <w:szCs w:val="24"/>
        </w:rPr>
        <w:t xml:space="preserve">Tādēļ arī nozares ministrijām par sava resora projektiem  ir jāinformē MK par konstatētiem sarežģījumiem projektos un rīcību, vēlams, pirms jau ir fiksēta gada plāna novirze virs 25 % vai projekta līguma nepieciešamais pagarinājums virs 6 mēnešiem. </w:t>
      </w:r>
    </w:p>
    <w:p w14:paraId="6302B1B3" w14:textId="68744B41" w:rsidR="003E0CF6" w:rsidRDefault="00B07C5E" w:rsidP="00B07C5E">
      <w:pPr>
        <w:pStyle w:val="FootnoteText"/>
        <w:ind w:firstLine="720"/>
        <w:jc w:val="both"/>
        <w:rPr>
          <w:rFonts w:eastAsia="Times New Roman" w:cs="Times New Roman"/>
          <w:bCs/>
          <w:sz w:val="28"/>
          <w:szCs w:val="24"/>
        </w:rPr>
      </w:pPr>
      <w:r>
        <w:rPr>
          <w:rFonts w:eastAsia="Times New Roman" w:cs="Times New Roman"/>
          <w:bCs/>
          <w:sz w:val="28"/>
          <w:szCs w:val="24"/>
        </w:rPr>
        <w:lastRenderedPageBreak/>
        <w:t xml:space="preserve">Svarīgs instruments projektu ieviešanas gaitas uzraudzībai joprojām būs publiski pieejama informācija par ikmēneša plānu izpildes statusu, </w:t>
      </w:r>
      <w:r w:rsidRPr="00FF3F25">
        <w:rPr>
          <w:rFonts w:eastAsia="Times New Roman" w:cs="Times New Roman"/>
          <w:bCs/>
          <w:sz w:val="28"/>
          <w:szCs w:val="24"/>
        </w:rPr>
        <w:t>kur ir informācija par katru gadījumu, kad ir novirzes no plāna</w:t>
      </w:r>
      <w:r>
        <w:rPr>
          <w:rFonts w:eastAsia="Times New Roman" w:cs="Times New Roman"/>
          <w:bCs/>
          <w:sz w:val="28"/>
          <w:szCs w:val="24"/>
        </w:rPr>
        <w:t>,</w:t>
      </w:r>
      <w:r w:rsidRPr="00FF3F25">
        <w:rPr>
          <w:rFonts w:eastAsia="Times New Roman" w:cs="Times New Roman"/>
          <w:bCs/>
          <w:sz w:val="28"/>
          <w:szCs w:val="24"/>
        </w:rPr>
        <w:t xml:space="preserve"> </w:t>
      </w:r>
      <w:r>
        <w:rPr>
          <w:rFonts w:eastAsia="Times New Roman" w:cs="Times New Roman"/>
          <w:bCs/>
          <w:sz w:val="28"/>
          <w:szCs w:val="24"/>
        </w:rPr>
        <w:t xml:space="preserve">kas </w:t>
      </w:r>
      <w:r w:rsidRPr="000B2764">
        <w:rPr>
          <w:rFonts w:cs="Times New Roman"/>
          <w:color w:val="000000"/>
          <w:sz w:val="28"/>
          <w:szCs w:val="24"/>
        </w:rPr>
        <w:t xml:space="preserve">pieejama </w:t>
      </w:r>
      <w:r>
        <w:rPr>
          <w:rFonts w:cs="Times New Roman"/>
          <w:color w:val="000000"/>
          <w:sz w:val="28"/>
          <w:szCs w:val="24"/>
        </w:rPr>
        <w:t xml:space="preserve">un regulāri tiek aktualizēta </w:t>
      </w:r>
      <w:r w:rsidRPr="000B2764">
        <w:rPr>
          <w:rFonts w:cs="Times New Roman"/>
          <w:color w:val="000000"/>
          <w:sz w:val="28"/>
          <w:szCs w:val="24"/>
        </w:rPr>
        <w:t>ES fondu tīmekļa vietnē</w:t>
      </w:r>
      <w:r>
        <w:rPr>
          <w:rStyle w:val="FootnoteReference"/>
          <w:rFonts w:cs="Times New Roman"/>
          <w:color w:val="000000"/>
          <w:sz w:val="28"/>
          <w:szCs w:val="24"/>
        </w:rPr>
        <w:footnoteReference w:id="77"/>
      </w:r>
      <w:r w:rsidRPr="000B2764">
        <w:rPr>
          <w:rFonts w:cs="Times New Roman"/>
          <w:color w:val="000000"/>
          <w:sz w:val="28"/>
          <w:szCs w:val="24"/>
        </w:rPr>
        <w:t>.</w:t>
      </w:r>
      <w:r w:rsidR="003E0CF6" w:rsidRPr="00FF3F25">
        <w:rPr>
          <w:rFonts w:eastAsia="Times New Roman" w:cs="Times New Roman"/>
          <w:bCs/>
          <w:sz w:val="28"/>
          <w:szCs w:val="24"/>
        </w:rPr>
        <w:t xml:space="preserve"> FS skaidrojumi ir visdažādākie. Jautājums ir par</w:t>
      </w:r>
      <w:r w:rsidR="003E0CF6">
        <w:rPr>
          <w:rFonts w:eastAsia="Times New Roman" w:cs="Times New Roman"/>
          <w:bCs/>
          <w:sz w:val="28"/>
          <w:szCs w:val="24"/>
        </w:rPr>
        <w:t xml:space="preserve"> plānotā maksājumu pieprasījuma iesniegšanas grafika </w:t>
      </w:r>
      <w:r w:rsidR="003E0CF6" w:rsidRPr="00FF3F25">
        <w:rPr>
          <w:rFonts w:eastAsia="Times New Roman" w:cs="Times New Roman"/>
          <w:bCs/>
          <w:sz w:val="28"/>
          <w:szCs w:val="24"/>
        </w:rPr>
        <w:t xml:space="preserve">kvalitāti, t.i., vai ir pietiekami rūpīgi ievērtēti visi riski, iespējas un kapacitāte. Tādēļ šobrīd tiek dota iespēja izstrādāt tādus </w:t>
      </w:r>
      <w:r w:rsidRPr="00B07C5E">
        <w:rPr>
          <w:rFonts w:eastAsia="Times New Roman" w:cs="Times New Roman"/>
          <w:bCs/>
          <w:sz w:val="28"/>
          <w:szCs w:val="24"/>
        </w:rPr>
        <w:t>maksājumu pieprasījuma iesniegšanas grafik</w:t>
      </w:r>
      <w:r>
        <w:rPr>
          <w:rFonts w:eastAsia="Times New Roman" w:cs="Times New Roman"/>
          <w:bCs/>
          <w:sz w:val="28"/>
          <w:szCs w:val="24"/>
        </w:rPr>
        <w:t>us</w:t>
      </w:r>
      <w:r w:rsidR="003E0CF6" w:rsidRPr="00FF3F25">
        <w:rPr>
          <w:rFonts w:eastAsia="Times New Roman" w:cs="Times New Roman"/>
          <w:bCs/>
          <w:sz w:val="28"/>
          <w:szCs w:val="24"/>
        </w:rPr>
        <w:t>, kas ir izpildāmi un nerada problēmu finanšu disciplīnas normu piemērošanai.</w:t>
      </w:r>
    </w:p>
    <w:p w14:paraId="05D41BAC" w14:textId="1F292BEB" w:rsidR="00FF3F25" w:rsidRDefault="00FF3F25" w:rsidP="00FF3F25">
      <w:pPr>
        <w:pStyle w:val="FootnoteText"/>
        <w:ind w:firstLine="360"/>
        <w:jc w:val="both"/>
        <w:rPr>
          <w:rFonts w:eastAsia="Times New Roman" w:cs="Times New Roman"/>
          <w:bCs/>
          <w:sz w:val="28"/>
          <w:szCs w:val="24"/>
        </w:rPr>
      </w:pPr>
    </w:p>
    <w:p w14:paraId="665ABE6A" w14:textId="2E9718A5" w:rsidR="00B21B05" w:rsidRPr="003167D9" w:rsidRDefault="00B21B05" w:rsidP="007D4C45">
      <w:pPr>
        <w:jc w:val="both"/>
        <w:rPr>
          <w:rFonts w:cs="Times New Roman"/>
          <w:b/>
          <w:i/>
          <w:sz w:val="28"/>
          <w:szCs w:val="28"/>
        </w:rPr>
      </w:pPr>
      <w:r w:rsidRPr="003167D9">
        <w:rPr>
          <w:b/>
          <w:i/>
          <w:sz w:val="28"/>
        </w:rPr>
        <w:t xml:space="preserve">Disciplīnas un atbildības stiprināšana </w:t>
      </w:r>
      <w:r w:rsidRPr="003167D9">
        <w:rPr>
          <w:b/>
          <w:i/>
          <w:sz w:val="28"/>
          <w:u w:val="single"/>
        </w:rPr>
        <w:t>a</w:t>
      </w:r>
      <w:r w:rsidRPr="003167D9">
        <w:rPr>
          <w:rFonts w:eastAsia="Times New Roman" w:cs="Times New Roman"/>
          <w:b/>
          <w:i/>
          <w:sz w:val="28"/>
          <w:szCs w:val="24"/>
          <w:u w:val="single"/>
        </w:rPr>
        <w:t xml:space="preserve">ttiecībā uz citiem </w:t>
      </w:r>
      <w:r w:rsidR="00644712" w:rsidRPr="003167D9">
        <w:rPr>
          <w:rFonts w:eastAsia="Times New Roman" w:cs="Times New Roman"/>
          <w:b/>
          <w:i/>
          <w:sz w:val="28"/>
          <w:szCs w:val="24"/>
          <w:u w:val="single"/>
        </w:rPr>
        <w:t>FS</w:t>
      </w:r>
      <w:r w:rsidRPr="003167D9">
        <w:rPr>
          <w:rFonts w:eastAsia="Times New Roman" w:cs="Times New Roman"/>
          <w:b/>
          <w:i/>
          <w:sz w:val="28"/>
          <w:szCs w:val="24"/>
          <w:u w:val="single"/>
        </w:rPr>
        <w:t xml:space="preserve"> veidiem</w:t>
      </w:r>
      <w:r w:rsidRPr="003167D9">
        <w:rPr>
          <w:b/>
          <w:i/>
          <w:sz w:val="28"/>
        </w:rPr>
        <w:t xml:space="preserve"> (t.sk. pašvaldības un plānošanas reģioni) kā projektu īstenotājiem</w:t>
      </w:r>
    </w:p>
    <w:p w14:paraId="5B4D0493" w14:textId="3B17FCD8" w:rsidR="00B21B05" w:rsidRPr="00C4555D" w:rsidRDefault="00D266E0" w:rsidP="0062255B">
      <w:pPr>
        <w:pStyle w:val="ListParagraph"/>
        <w:tabs>
          <w:tab w:val="left" w:pos="0"/>
        </w:tabs>
        <w:suppressAutoHyphens/>
        <w:spacing w:before="120" w:after="120"/>
        <w:ind w:left="0"/>
        <w:contextualSpacing w:val="0"/>
        <w:jc w:val="both"/>
        <w:rPr>
          <w:sz w:val="28"/>
        </w:rPr>
      </w:pPr>
      <w:r w:rsidRPr="00D266E0">
        <w:rPr>
          <w:sz w:val="28"/>
        </w:rPr>
        <w:tab/>
      </w:r>
      <w:r w:rsidR="00B21B05" w:rsidRPr="00644712">
        <w:rPr>
          <w:sz w:val="28"/>
        </w:rPr>
        <w:t>A</w:t>
      </w:r>
      <w:r w:rsidR="00B21B05" w:rsidRPr="00644712">
        <w:rPr>
          <w:rFonts w:eastAsia="Times New Roman" w:cs="Times New Roman"/>
          <w:sz w:val="28"/>
          <w:szCs w:val="24"/>
        </w:rPr>
        <w:t>ttiecībā uz citiem</w:t>
      </w:r>
      <w:r w:rsidR="00B21B05" w:rsidRPr="00644712">
        <w:rPr>
          <w:rStyle w:val="FootnoteReference"/>
          <w:rFonts w:eastAsia="Times New Roman" w:cs="Times New Roman"/>
          <w:sz w:val="28"/>
          <w:szCs w:val="24"/>
        </w:rPr>
        <w:footnoteReference w:id="78"/>
      </w:r>
      <w:r w:rsidR="00B21B05" w:rsidRPr="00644712">
        <w:rPr>
          <w:rFonts w:eastAsia="Times New Roman" w:cs="Times New Roman"/>
          <w:sz w:val="28"/>
          <w:szCs w:val="24"/>
        </w:rPr>
        <w:t xml:space="preserve"> </w:t>
      </w:r>
      <w:r w:rsidR="00644712" w:rsidRPr="00644712">
        <w:rPr>
          <w:rFonts w:eastAsia="Times New Roman" w:cs="Times New Roman"/>
          <w:sz w:val="28"/>
          <w:szCs w:val="24"/>
        </w:rPr>
        <w:t>FS</w:t>
      </w:r>
      <w:r w:rsidR="00B21B05" w:rsidRPr="00644712">
        <w:rPr>
          <w:rFonts w:eastAsia="Times New Roman" w:cs="Times New Roman"/>
          <w:sz w:val="28"/>
          <w:szCs w:val="24"/>
        </w:rPr>
        <w:t xml:space="preserve"> veidiem</w:t>
      </w:r>
      <w:r w:rsidR="00B21B05" w:rsidRPr="009A5F82">
        <w:rPr>
          <w:rFonts w:eastAsia="Times New Roman" w:cs="Times New Roman"/>
          <w:sz w:val="28"/>
          <w:szCs w:val="24"/>
        </w:rPr>
        <w:t xml:space="preserve"> </w:t>
      </w:r>
      <w:r w:rsidR="00B21B05">
        <w:rPr>
          <w:rFonts w:eastAsia="Times New Roman" w:cs="Times New Roman"/>
          <w:sz w:val="28"/>
          <w:szCs w:val="24"/>
        </w:rPr>
        <w:t>d</w:t>
      </w:r>
      <w:r w:rsidR="00B21B05" w:rsidRPr="009A5F82">
        <w:rPr>
          <w:rFonts w:eastAsia="Times New Roman" w:cs="Times New Roman"/>
          <w:bCs/>
          <w:sz w:val="28"/>
          <w:szCs w:val="24"/>
        </w:rPr>
        <w:t>isciplīnas pasākumu ieviešanai projektu līmenī nepieciešams šādu kārtību noteikt ES fondu reglamentējošos horizontālos MK noteikum</w:t>
      </w:r>
      <w:r w:rsidR="00B21B05" w:rsidRPr="009A5F82">
        <w:rPr>
          <w:rFonts w:eastAsia="Times New Roman" w:cs="Times New Roman"/>
          <w:sz w:val="28"/>
          <w:szCs w:val="24"/>
        </w:rPr>
        <w:t>o</w:t>
      </w:r>
      <w:r w:rsidR="00B21B05" w:rsidRPr="009A5F82">
        <w:rPr>
          <w:rFonts w:eastAsia="Times New Roman" w:cs="Times New Roman"/>
          <w:bCs/>
          <w:sz w:val="28"/>
          <w:szCs w:val="24"/>
        </w:rPr>
        <w:t>s</w:t>
      </w:r>
      <w:r w:rsidR="00B21B05" w:rsidRPr="009A5F82">
        <w:rPr>
          <w:rFonts w:eastAsia="Times New Roman" w:cs="Times New Roman"/>
          <w:sz w:val="28"/>
          <w:szCs w:val="24"/>
        </w:rPr>
        <w:t>.</w:t>
      </w:r>
      <w:r w:rsidR="00B21B05">
        <w:rPr>
          <w:rStyle w:val="FootnoteReference"/>
          <w:rFonts w:eastAsia="Times New Roman" w:cs="Times New Roman"/>
          <w:bCs/>
          <w:sz w:val="28"/>
          <w:szCs w:val="24"/>
        </w:rPr>
        <w:footnoteReference w:id="79"/>
      </w:r>
    </w:p>
    <w:p w14:paraId="17854279" w14:textId="37EBC396" w:rsidR="004C6EF3" w:rsidRDefault="00D266E0" w:rsidP="0062255B">
      <w:pPr>
        <w:pStyle w:val="ListParagraph"/>
        <w:tabs>
          <w:tab w:val="left" w:pos="0"/>
        </w:tabs>
        <w:suppressAutoHyphens/>
        <w:spacing w:before="120" w:after="120"/>
        <w:ind w:left="0"/>
        <w:contextualSpacing w:val="0"/>
        <w:jc w:val="both"/>
        <w:rPr>
          <w:sz w:val="28"/>
        </w:rPr>
      </w:pPr>
      <w:r>
        <w:rPr>
          <w:sz w:val="28"/>
        </w:rPr>
        <w:tab/>
      </w:r>
      <w:r w:rsidR="00B21B05" w:rsidRPr="009A5F82">
        <w:rPr>
          <w:sz w:val="28"/>
        </w:rPr>
        <w:t xml:space="preserve">Gadījumos, kad </w:t>
      </w:r>
      <w:r w:rsidR="00644712">
        <w:rPr>
          <w:sz w:val="28"/>
        </w:rPr>
        <w:t>FS</w:t>
      </w:r>
      <w:r w:rsidR="00B21B05" w:rsidRPr="009A5F82">
        <w:rPr>
          <w:sz w:val="28"/>
        </w:rPr>
        <w:t xml:space="preserve"> vēršas ar lūgumu atļaut pagarināt projekta </w:t>
      </w:r>
      <w:proofErr w:type="spellStart"/>
      <w:r w:rsidR="00B21B05" w:rsidRPr="009A5F82">
        <w:rPr>
          <w:sz w:val="28"/>
        </w:rPr>
        <w:t>attiecināmības</w:t>
      </w:r>
      <w:proofErr w:type="spellEnd"/>
      <w:r w:rsidR="00B21B05" w:rsidRPr="009A5F82">
        <w:rPr>
          <w:sz w:val="28"/>
        </w:rPr>
        <w:t xml:space="preserve"> </w:t>
      </w:r>
      <w:r w:rsidR="00CE7037">
        <w:rPr>
          <w:sz w:val="28"/>
        </w:rPr>
        <w:t>periodu</w:t>
      </w:r>
      <w:r w:rsidR="00CE7037" w:rsidRPr="009A5F82">
        <w:rPr>
          <w:sz w:val="28"/>
        </w:rPr>
        <w:t xml:space="preserve"> </w:t>
      </w:r>
      <w:r w:rsidR="00B21B05" w:rsidRPr="009A5F82">
        <w:rPr>
          <w:sz w:val="28"/>
        </w:rPr>
        <w:t xml:space="preserve">vairāk nekā par 6 mēnešiem un kad argumentēti lūdz nesamazināt publisko atbalsta finansējumu, CFLA informē </w:t>
      </w:r>
      <w:r w:rsidR="00B21B05">
        <w:rPr>
          <w:sz w:val="28"/>
        </w:rPr>
        <w:t xml:space="preserve">ES fondu </w:t>
      </w:r>
      <w:r w:rsidR="00644712">
        <w:rPr>
          <w:sz w:val="28"/>
        </w:rPr>
        <w:t>AI</w:t>
      </w:r>
      <w:r w:rsidR="00B21B05">
        <w:rPr>
          <w:sz w:val="28"/>
        </w:rPr>
        <w:t xml:space="preserve"> (ministrija)</w:t>
      </w:r>
      <w:r w:rsidR="00B21B05" w:rsidRPr="009A5F82">
        <w:rPr>
          <w:sz w:val="28"/>
        </w:rPr>
        <w:t xml:space="preserve"> un</w:t>
      </w:r>
      <w:r w:rsidR="007D4C45">
        <w:rPr>
          <w:sz w:val="28"/>
        </w:rPr>
        <w:t>/vai</w:t>
      </w:r>
      <w:r w:rsidR="00B21B05" w:rsidRPr="009A5F82">
        <w:rPr>
          <w:sz w:val="28"/>
        </w:rPr>
        <w:t xml:space="preserve"> </w:t>
      </w:r>
      <w:r w:rsidR="00644712">
        <w:rPr>
          <w:sz w:val="28"/>
        </w:rPr>
        <w:t>VI</w:t>
      </w:r>
      <w:r w:rsidR="00B21B05" w:rsidRPr="009A5F82">
        <w:rPr>
          <w:sz w:val="28"/>
        </w:rPr>
        <w:t xml:space="preserve"> un iestādes savstarpēji vienojas, vai ir pamats izņēmumam, par ko nepieciešams MK lēmums.</w:t>
      </w:r>
    </w:p>
    <w:p w14:paraId="4E23C604" w14:textId="743DC79E" w:rsidR="004C6EF3" w:rsidRDefault="005E46ED" w:rsidP="0062255B">
      <w:pPr>
        <w:pStyle w:val="ListParagraph"/>
        <w:tabs>
          <w:tab w:val="left" w:pos="0"/>
        </w:tabs>
        <w:suppressAutoHyphens/>
        <w:spacing w:before="120" w:after="120"/>
        <w:ind w:left="0"/>
        <w:contextualSpacing w:val="0"/>
        <w:jc w:val="both"/>
        <w:rPr>
          <w:sz w:val="28"/>
        </w:rPr>
      </w:pPr>
      <w:r>
        <w:rPr>
          <w:sz w:val="28"/>
        </w:rPr>
        <w:tab/>
      </w:r>
      <w:r w:rsidR="004C6EF3">
        <w:rPr>
          <w:sz w:val="28"/>
        </w:rPr>
        <w:t>Lai disciplīnas pa</w:t>
      </w:r>
      <w:r w:rsidR="004F14B7">
        <w:rPr>
          <w:sz w:val="28"/>
        </w:rPr>
        <w:t>sā</w:t>
      </w:r>
      <w:r w:rsidR="004C6EF3">
        <w:rPr>
          <w:sz w:val="28"/>
        </w:rPr>
        <w:t xml:space="preserve">kumus īstenotu tiek veikts arī praktisks darbs FM un CFLA ietvaros, lai nodrošinātu pietiekošus skaidrojumus </w:t>
      </w:r>
      <w:r w:rsidR="006D338E">
        <w:rPr>
          <w:sz w:val="28"/>
        </w:rPr>
        <w:t>FS</w:t>
      </w:r>
      <w:r w:rsidR="004C6EF3">
        <w:rPr>
          <w:sz w:val="28"/>
        </w:rPr>
        <w:t xml:space="preserve"> prognožu veikšanā, vērtēšanā utt.</w:t>
      </w:r>
      <w:r w:rsidR="00877C7A">
        <w:rPr>
          <w:sz w:val="28"/>
        </w:rPr>
        <w:t>, kā arī pilnveidojot iekšējās procedūras kvalitatīva procesa nodrošināšanai.</w:t>
      </w:r>
      <w:r w:rsidR="004C6EF3">
        <w:rPr>
          <w:sz w:val="28"/>
        </w:rPr>
        <w:t xml:space="preserve"> </w:t>
      </w:r>
    </w:p>
    <w:p w14:paraId="6F2F579D" w14:textId="7E09684B" w:rsidR="004367B7" w:rsidRDefault="004367B7" w:rsidP="004367B7">
      <w:pPr>
        <w:pStyle w:val="Caption"/>
        <w:keepNext/>
        <w:ind w:firstLine="720"/>
        <w:rPr>
          <w:rFonts w:cs="Times New Roman"/>
          <w:color w:val="auto"/>
          <w:sz w:val="24"/>
          <w:szCs w:val="24"/>
        </w:rPr>
      </w:pPr>
      <w:r w:rsidRPr="00F02FD1">
        <w:rPr>
          <w:rFonts w:cs="Times New Roman"/>
          <w:color w:val="auto"/>
          <w:sz w:val="24"/>
          <w:szCs w:val="24"/>
        </w:rPr>
        <w:t>Tabula Nr.</w:t>
      </w:r>
      <w:r w:rsidR="006945ED">
        <w:rPr>
          <w:rFonts w:cs="Times New Roman"/>
          <w:color w:val="auto"/>
          <w:sz w:val="24"/>
          <w:szCs w:val="24"/>
        </w:rPr>
        <w:t>2</w:t>
      </w:r>
      <w:r w:rsidRPr="00F02FD1">
        <w:rPr>
          <w:rFonts w:cs="Times New Roman"/>
          <w:color w:val="auto"/>
          <w:sz w:val="24"/>
          <w:szCs w:val="24"/>
        </w:rPr>
        <w:t xml:space="preserve"> “</w:t>
      </w:r>
      <w:r>
        <w:rPr>
          <w:rFonts w:cs="Times New Roman"/>
          <w:color w:val="auto"/>
          <w:sz w:val="24"/>
          <w:szCs w:val="24"/>
        </w:rPr>
        <w:t>Skaidrojums par disciplīnas pasākumu ieviešanu</w:t>
      </w:r>
      <w:r w:rsidRPr="00F02FD1">
        <w:rPr>
          <w:rFonts w:cs="Times New Roman"/>
          <w:color w:val="auto"/>
          <w:sz w:val="24"/>
          <w:szCs w:val="24"/>
        </w:rPr>
        <w:t>”</w:t>
      </w:r>
    </w:p>
    <w:tbl>
      <w:tblPr>
        <w:tblStyle w:val="TableGrid"/>
        <w:tblW w:w="9072" w:type="dxa"/>
        <w:tblInd w:w="-5" w:type="dxa"/>
        <w:tblLook w:val="04A0" w:firstRow="1" w:lastRow="0" w:firstColumn="1" w:lastColumn="0" w:noHBand="0" w:noVBand="1"/>
      </w:tblPr>
      <w:tblGrid>
        <w:gridCol w:w="1725"/>
        <w:gridCol w:w="4097"/>
        <w:gridCol w:w="3250"/>
      </w:tblGrid>
      <w:tr w:rsidR="002E079C" w:rsidRPr="00FF31D9" w14:paraId="7A3EE9B0" w14:textId="77777777" w:rsidTr="003167D9">
        <w:tc>
          <w:tcPr>
            <w:tcW w:w="1725" w:type="dxa"/>
            <w:tcBorders>
              <w:bottom w:val="single" w:sz="4" w:space="0" w:color="auto"/>
            </w:tcBorders>
            <w:shd w:val="clear" w:color="auto" w:fill="F2F2F2"/>
          </w:tcPr>
          <w:p w14:paraId="1638765B" w14:textId="77777777" w:rsidR="002E079C" w:rsidRPr="00FF31D9" w:rsidRDefault="002E079C" w:rsidP="002E079C">
            <w:pPr>
              <w:contextualSpacing/>
              <w:jc w:val="both"/>
              <w:rPr>
                <w:rFonts w:eastAsia="Calibri" w:cs="Times New Roman"/>
                <w:sz w:val="28"/>
                <w:szCs w:val="28"/>
                <w:lang w:eastAsia="lv-LV"/>
              </w:rPr>
            </w:pPr>
            <w:r w:rsidRPr="00FF31D9">
              <w:rPr>
                <w:rFonts w:eastAsia="Calibri" w:cs="Times New Roman"/>
                <w:sz w:val="28"/>
                <w:szCs w:val="28"/>
                <w:lang w:eastAsia="lv-LV"/>
              </w:rPr>
              <w:t>Disciplīnu veidi</w:t>
            </w:r>
          </w:p>
        </w:tc>
        <w:tc>
          <w:tcPr>
            <w:tcW w:w="4097" w:type="dxa"/>
            <w:tcBorders>
              <w:bottom w:val="single" w:sz="4" w:space="0" w:color="auto"/>
            </w:tcBorders>
            <w:shd w:val="clear" w:color="auto" w:fill="F2F2F2"/>
          </w:tcPr>
          <w:p w14:paraId="0F212F12" w14:textId="77777777" w:rsidR="002E079C" w:rsidRPr="00FF31D9" w:rsidRDefault="002E079C" w:rsidP="002E079C">
            <w:pPr>
              <w:contextualSpacing/>
              <w:jc w:val="both"/>
              <w:rPr>
                <w:rFonts w:eastAsia="Calibri" w:cs="Times New Roman"/>
                <w:sz w:val="28"/>
                <w:szCs w:val="28"/>
                <w:lang w:eastAsia="lv-LV"/>
              </w:rPr>
            </w:pPr>
            <w:r w:rsidRPr="00FF31D9">
              <w:rPr>
                <w:rFonts w:eastAsia="Calibri" w:cs="Times New Roman"/>
                <w:sz w:val="28"/>
                <w:szCs w:val="28"/>
                <w:lang w:eastAsia="lv-LV"/>
              </w:rPr>
              <w:t>(1)</w:t>
            </w:r>
            <w:r w:rsidRPr="00FF31D9">
              <w:rPr>
                <w:rFonts w:eastAsia="Calibri" w:cs="Times New Roman"/>
                <w:sz w:val="28"/>
                <w:szCs w:val="28"/>
                <w:lang w:eastAsia="lv-LV"/>
              </w:rPr>
              <w:tab/>
              <w:t xml:space="preserve">Disciplīnas veids, </w:t>
            </w:r>
            <w:r w:rsidRPr="00FF31D9">
              <w:rPr>
                <w:rFonts w:eastAsia="Calibri" w:cs="Times New Roman"/>
                <w:sz w:val="28"/>
                <w:szCs w:val="28"/>
                <w:u w:val="single"/>
                <w:lang w:eastAsia="lv-LV"/>
              </w:rPr>
              <w:t>kad lēmumu par rīcību projektu līmenī pieņem MK</w:t>
            </w:r>
            <w:r w:rsidRPr="00FF31D9">
              <w:rPr>
                <w:rFonts w:eastAsia="Calibri" w:cs="Times New Roman"/>
                <w:sz w:val="28"/>
                <w:szCs w:val="28"/>
                <w:u w:val="single"/>
                <w:vertAlign w:val="superscript"/>
                <w:lang w:eastAsia="lv-LV"/>
              </w:rPr>
              <w:footnoteReference w:id="80"/>
            </w:r>
          </w:p>
        </w:tc>
        <w:tc>
          <w:tcPr>
            <w:tcW w:w="3250" w:type="dxa"/>
            <w:tcBorders>
              <w:bottom w:val="single" w:sz="4" w:space="0" w:color="auto"/>
            </w:tcBorders>
            <w:shd w:val="clear" w:color="auto" w:fill="F2F2F2"/>
          </w:tcPr>
          <w:p w14:paraId="07177263" w14:textId="77777777" w:rsidR="002E079C" w:rsidRPr="00FF31D9" w:rsidRDefault="002E079C" w:rsidP="002E079C">
            <w:pPr>
              <w:numPr>
                <w:ilvl w:val="0"/>
                <w:numId w:val="34"/>
              </w:numPr>
              <w:ind w:left="39" w:firstLine="0"/>
              <w:contextualSpacing/>
              <w:jc w:val="both"/>
              <w:rPr>
                <w:rFonts w:eastAsia="Calibri" w:cs="Times New Roman"/>
                <w:sz w:val="28"/>
                <w:szCs w:val="28"/>
                <w:lang w:eastAsia="lv-LV"/>
              </w:rPr>
            </w:pPr>
            <w:r w:rsidRPr="00FF31D9">
              <w:rPr>
                <w:rFonts w:eastAsia="Calibri" w:cs="Times New Roman"/>
                <w:sz w:val="28"/>
                <w:szCs w:val="28"/>
                <w:lang w:eastAsia="lv-LV"/>
              </w:rPr>
              <w:t xml:space="preserve">Disciplīnas veids, kad disciplīnas pasākumu ieviešanai projektu līmenī </w:t>
            </w:r>
            <w:r w:rsidRPr="00FF31D9">
              <w:rPr>
                <w:rFonts w:eastAsia="Calibri" w:cs="Times New Roman"/>
                <w:sz w:val="28"/>
                <w:szCs w:val="28"/>
                <w:u w:val="single"/>
                <w:lang w:eastAsia="lv-LV"/>
              </w:rPr>
              <w:t xml:space="preserve">nepieciešams šādu kārtību noteikt ES fondu reglamentējošos </w:t>
            </w:r>
            <w:r w:rsidRPr="00FF31D9">
              <w:rPr>
                <w:rFonts w:eastAsia="Calibri" w:cs="Times New Roman"/>
                <w:sz w:val="28"/>
                <w:szCs w:val="28"/>
                <w:u w:val="single"/>
                <w:lang w:eastAsia="lv-LV"/>
              </w:rPr>
              <w:lastRenderedPageBreak/>
              <w:t>horizontālos MK noteikumus</w:t>
            </w:r>
            <w:r w:rsidRPr="00FF31D9">
              <w:rPr>
                <w:rFonts w:eastAsia="Calibri" w:cs="Times New Roman"/>
                <w:sz w:val="28"/>
                <w:szCs w:val="28"/>
                <w:lang w:eastAsia="lv-LV"/>
              </w:rPr>
              <w:t xml:space="preserve"> </w:t>
            </w:r>
            <w:r w:rsidRPr="00FF31D9">
              <w:rPr>
                <w:rFonts w:eastAsia="Calibri" w:cs="Times New Roman"/>
                <w:sz w:val="28"/>
                <w:szCs w:val="28"/>
                <w:vertAlign w:val="superscript"/>
                <w:lang w:eastAsia="lv-LV"/>
              </w:rPr>
              <w:footnoteReference w:id="81"/>
            </w:r>
          </w:p>
          <w:p w14:paraId="298BFB92" w14:textId="77777777" w:rsidR="002E079C" w:rsidRPr="00FF31D9" w:rsidRDefault="002E079C" w:rsidP="002E079C">
            <w:pPr>
              <w:contextualSpacing/>
              <w:jc w:val="both"/>
              <w:rPr>
                <w:rFonts w:eastAsia="Calibri" w:cs="Times New Roman"/>
                <w:sz w:val="28"/>
                <w:szCs w:val="28"/>
                <w:lang w:eastAsia="lv-LV"/>
              </w:rPr>
            </w:pPr>
          </w:p>
        </w:tc>
      </w:tr>
      <w:tr w:rsidR="002E079C" w:rsidRPr="002E079C" w14:paraId="73CCD482" w14:textId="77777777" w:rsidTr="003167D9">
        <w:tc>
          <w:tcPr>
            <w:tcW w:w="1725" w:type="dxa"/>
            <w:tcBorders>
              <w:bottom w:val="single" w:sz="4" w:space="0" w:color="auto"/>
            </w:tcBorders>
            <w:shd w:val="clear" w:color="auto" w:fill="F2F2F2"/>
          </w:tcPr>
          <w:p w14:paraId="5A97FEBB" w14:textId="77777777" w:rsidR="002E079C" w:rsidRPr="002E079C" w:rsidRDefault="002E079C" w:rsidP="002E079C">
            <w:pPr>
              <w:contextualSpacing/>
              <w:jc w:val="both"/>
              <w:rPr>
                <w:rFonts w:eastAsia="Calibri" w:cs="Times New Roman"/>
                <w:sz w:val="28"/>
                <w:szCs w:val="28"/>
                <w:lang w:eastAsia="lv-LV"/>
              </w:rPr>
            </w:pPr>
            <w:r w:rsidRPr="002E079C">
              <w:rPr>
                <w:rFonts w:eastAsia="Calibri" w:cs="Times New Roman"/>
                <w:sz w:val="28"/>
                <w:szCs w:val="28"/>
                <w:lang w:eastAsia="lv-LV"/>
              </w:rPr>
              <w:lastRenderedPageBreak/>
              <w:t>Finansējuma saņēmēju veidi</w:t>
            </w:r>
          </w:p>
        </w:tc>
        <w:tc>
          <w:tcPr>
            <w:tcW w:w="4097" w:type="dxa"/>
            <w:tcBorders>
              <w:bottom w:val="single" w:sz="4" w:space="0" w:color="auto"/>
            </w:tcBorders>
            <w:shd w:val="clear" w:color="auto" w:fill="F2F2F2"/>
          </w:tcPr>
          <w:p w14:paraId="141442D9" w14:textId="77777777" w:rsidR="002E079C" w:rsidRPr="002E079C" w:rsidRDefault="002E079C" w:rsidP="002E079C">
            <w:pPr>
              <w:contextualSpacing/>
              <w:jc w:val="both"/>
              <w:rPr>
                <w:rFonts w:eastAsia="Calibri" w:cs="Times New Roman"/>
                <w:sz w:val="28"/>
                <w:szCs w:val="28"/>
                <w:lang w:eastAsia="lv-LV"/>
              </w:rPr>
            </w:pPr>
            <w:r w:rsidRPr="002E079C">
              <w:rPr>
                <w:rFonts w:eastAsia="Calibri" w:cs="Times New Roman"/>
                <w:sz w:val="28"/>
                <w:szCs w:val="28"/>
                <w:lang w:eastAsia="lv-LV"/>
              </w:rPr>
              <w:t xml:space="preserve">Attiecas uz: </w:t>
            </w:r>
          </w:p>
          <w:p w14:paraId="68553C6C" w14:textId="77777777" w:rsidR="002E079C" w:rsidRPr="002E079C" w:rsidRDefault="002E079C" w:rsidP="002E079C">
            <w:pPr>
              <w:contextualSpacing/>
              <w:jc w:val="both"/>
              <w:rPr>
                <w:rFonts w:eastAsia="Calibri" w:cs="Times New Roman"/>
                <w:sz w:val="28"/>
                <w:szCs w:val="28"/>
                <w:lang w:eastAsia="lv-LV"/>
              </w:rPr>
            </w:pPr>
          </w:p>
          <w:p w14:paraId="28FBE0EA" w14:textId="77777777" w:rsidR="002E079C" w:rsidRPr="002E079C" w:rsidRDefault="002E079C" w:rsidP="002E079C">
            <w:pPr>
              <w:contextualSpacing/>
              <w:jc w:val="both"/>
              <w:rPr>
                <w:rFonts w:eastAsia="Calibri" w:cs="Times New Roman"/>
                <w:sz w:val="28"/>
                <w:szCs w:val="28"/>
                <w:u w:val="single"/>
                <w:lang w:eastAsia="lv-LV"/>
              </w:rPr>
            </w:pPr>
            <w:r w:rsidRPr="002E079C">
              <w:rPr>
                <w:rFonts w:eastAsia="Calibri" w:cs="Times New Roman"/>
                <w:sz w:val="28"/>
                <w:szCs w:val="28"/>
                <w:u w:val="single"/>
                <w:lang w:eastAsia="lv-LV"/>
              </w:rPr>
              <w:t xml:space="preserve">Tiešās pārvaldes iestādes </w:t>
            </w:r>
          </w:p>
        </w:tc>
        <w:tc>
          <w:tcPr>
            <w:tcW w:w="3250" w:type="dxa"/>
            <w:tcBorders>
              <w:bottom w:val="single" w:sz="4" w:space="0" w:color="auto"/>
            </w:tcBorders>
            <w:shd w:val="clear" w:color="auto" w:fill="F2F2F2"/>
          </w:tcPr>
          <w:p w14:paraId="61F03724" w14:textId="77777777" w:rsidR="002E079C" w:rsidRPr="002E079C" w:rsidRDefault="002E079C" w:rsidP="002E079C">
            <w:pPr>
              <w:contextualSpacing/>
              <w:jc w:val="both"/>
              <w:rPr>
                <w:rFonts w:eastAsia="Calibri" w:cs="Times New Roman"/>
                <w:sz w:val="28"/>
                <w:szCs w:val="28"/>
                <w:lang w:eastAsia="lv-LV"/>
              </w:rPr>
            </w:pPr>
            <w:r w:rsidRPr="002E079C">
              <w:rPr>
                <w:rFonts w:eastAsia="Calibri" w:cs="Times New Roman"/>
                <w:sz w:val="28"/>
                <w:szCs w:val="28"/>
                <w:lang w:eastAsia="lv-LV"/>
              </w:rPr>
              <w:t>Attiecas uz:</w:t>
            </w:r>
          </w:p>
          <w:p w14:paraId="57803A84" w14:textId="77777777" w:rsidR="002E079C" w:rsidRPr="002E079C" w:rsidRDefault="002E079C" w:rsidP="002E079C">
            <w:pPr>
              <w:contextualSpacing/>
              <w:jc w:val="both"/>
              <w:rPr>
                <w:rFonts w:eastAsia="Calibri" w:cs="Times New Roman"/>
                <w:sz w:val="28"/>
                <w:szCs w:val="28"/>
                <w:lang w:eastAsia="lv-LV"/>
              </w:rPr>
            </w:pPr>
          </w:p>
          <w:p w14:paraId="6D51BD02" w14:textId="224BD073" w:rsidR="002E079C" w:rsidRPr="002E079C" w:rsidRDefault="002E079C" w:rsidP="002E079C">
            <w:pPr>
              <w:contextualSpacing/>
              <w:jc w:val="both"/>
              <w:rPr>
                <w:rFonts w:eastAsia="Calibri" w:cs="Times New Roman"/>
                <w:sz w:val="28"/>
                <w:szCs w:val="28"/>
                <w:u w:val="single"/>
                <w:lang w:eastAsia="lv-LV"/>
              </w:rPr>
            </w:pPr>
            <w:r w:rsidRPr="002E079C">
              <w:rPr>
                <w:rFonts w:eastAsia="Calibri" w:cs="Times New Roman"/>
                <w:sz w:val="28"/>
                <w:szCs w:val="28"/>
                <w:u w:val="single"/>
                <w:lang w:eastAsia="lv-LV"/>
              </w:rPr>
              <w:t>Pastarpinātā pārvaldes iestāde, atvasināta publiska persona, t.sk. plānošanas reģioni, pašvaldības vai cita valsts iestāde, fiziskas personas vai Latvijas Republikā reģistrētas juridiskas personas, t.sk. ALTUM vai šo personu apvienības.</w:t>
            </w:r>
          </w:p>
        </w:tc>
      </w:tr>
      <w:tr w:rsidR="002E079C" w:rsidRPr="002E079C" w14:paraId="143F01A5" w14:textId="77777777" w:rsidTr="003167D9">
        <w:tc>
          <w:tcPr>
            <w:tcW w:w="1725" w:type="dxa"/>
            <w:vMerge w:val="restart"/>
          </w:tcPr>
          <w:p w14:paraId="140176E4" w14:textId="77777777" w:rsidR="002E079C" w:rsidRPr="002E079C" w:rsidRDefault="002E079C" w:rsidP="002E079C">
            <w:pPr>
              <w:jc w:val="both"/>
              <w:rPr>
                <w:rFonts w:eastAsia="Calibri" w:cs="Times New Roman"/>
                <w:sz w:val="28"/>
                <w:szCs w:val="28"/>
              </w:rPr>
            </w:pPr>
            <w:r w:rsidRPr="002E079C">
              <w:rPr>
                <w:rFonts w:eastAsia="Calibri" w:cs="Times New Roman"/>
                <w:sz w:val="28"/>
                <w:szCs w:val="28"/>
              </w:rPr>
              <w:t>Normas stāšanās spēkā</w:t>
            </w:r>
          </w:p>
        </w:tc>
        <w:tc>
          <w:tcPr>
            <w:tcW w:w="4097" w:type="dxa"/>
          </w:tcPr>
          <w:p w14:paraId="173ABF74" w14:textId="77777777" w:rsidR="002E079C" w:rsidRPr="002E079C" w:rsidRDefault="002E079C" w:rsidP="002E079C">
            <w:pPr>
              <w:tabs>
                <w:tab w:val="left" w:pos="0"/>
              </w:tabs>
              <w:suppressAutoHyphens/>
              <w:jc w:val="both"/>
              <w:rPr>
                <w:rFonts w:eastAsia="Times New Roman" w:cs="Times New Roman"/>
                <w:bCs/>
                <w:sz w:val="28"/>
                <w:szCs w:val="28"/>
                <w:lang w:val="en-GB" w:eastAsia="lv-LV"/>
              </w:rPr>
            </w:pPr>
            <w:proofErr w:type="spellStart"/>
            <w:r w:rsidRPr="002E079C">
              <w:rPr>
                <w:rFonts w:eastAsia="Times New Roman" w:cs="Times New Roman"/>
                <w:b/>
                <w:bCs/>
                <w:sz w:val="28"/>
                <w:szCs w:val="28"/>
                <w:lang w:val="en-GB" w:eastAsia="lv-LV"/>
              </w:rPr>
              <w:t>Normu</w:t>
            </w:r>
            <w:proofErr w:type="spellEnd"/>
            <w:r w:rsidRPr="002E079C">
              <w:rPr>
                <w:rFonts w:eastAsia="Times New Roman" w:cs="Times New Roman"/>
                <w:b/>
                <w:bCs/>
                <w:sz w:val="28"/>
                <w:szCs w:val="28"/>
                <w:lang w:val="en-GB" w:eastAsia="lv-LV"/>
              </w:rPr>
              <w:t xml:space="preserve"> </w:t>
            </w:r>
            <w:proofErr w:type="spellStart"/>
            <w:r w:rsidRPr="002E079C">
              <w:rPr>
                <w:rFonts w:eastAsia="Times New Roman" w:cs="Times New Roman"/>
                <w:b/>
                <w:bCs/>
                <w:sz w:val="28"/>
                <w:szCs w:val="28"/>
                <w:lang w:val="en-GB" w:eastAsia="lv-LV"/>
              </w:rPr>
              <w:t>piemērošanai</w:t>
            </w:r>
            <w:proofErr w:type="spellEnd"/>
            <w:r w:rsidRPr="002E079C">
              <w:rPr>
                <w:rFonts w:eastAsia="Times New Roman" w:cs="Times New Roman"/>
                <w:b/>
                <w:bCs/>
                <w:sz w:val="28"/>
                <w:szCs w:val="28"/>
                <w:lang w:val="en-GB" w:eastAsia="lv-LV"/>
              </w:rPr>
              <w:t xml:space="preserve"> </w:t>
            </w:r>
            <w:proofErr w:type="spellStart"/>
            <w:r w:rsidRPr="002E079C">
              <w:rPr>
                <w:rFonts w:eastAsia="Times New Roman" w:cs="Times New Roman"/>
                <w:b/>
                <w:bCs/>
                <w:sz w:val="28"/>
                <w:szCs w:val="28"/>
                <w:lang w:val="en-GB" w:eastAsia="lv-LV"/>
              </w:rPr>
              <w:t>nosakāms</w:t>
            </w:r>
            <w:proofErr w:type="spellEnd"/>
            <w:r w:rsidRPr="002E079C">
              <w:rPr>
                <w:rFonts w:eastAsia="Times New Roman" w:cs="Times New Roman"/>
                <w:b/>
                <w:bCs/>
                <w:sz w:val="28"/>
                <w:szCs w:val="28"/>
                <w:lang w:val="en-GB" w:eastAsia="lv-LV"/>
              </w:rPr>
              <w:t xml:space="preserve"> </w:t>
            </w:r>
            <w:proofErr w:type="spellStart"/>
            <w:r w:rsidRPr="002E079C">
              <w:rPr>
                <w:rFonts w:eastAsia="Times New Roman" w:cs="Times New Roman"/>
                <w:b/>
                <w:bCs/>
                <w:sz w:val="28"/>
                <w:szCs w:val="28"/>
                <w:lang w:val="en-GB" w:eastAsia="lv-LV"/>
              </w:rPr>
              <w:t>pārejas</w:t>
            </w:r>
            <w:proofErr w:type="spellEnd"/>
            <w:r w:rsidRPr="002E079C">
              <w:rPr>
                <w:rFonts w:eastAsia="Times New Roman" w:cs="Times New Roman"/>
                <w:b/>
                <w:bCs/>
                <w:sz w:val="28"/>
                <w:szCs w:val="28"/>
                <w:lang w:val="en-GB" w:eastAsia="lv-LV"/>
              </w:rPr>
              <w:t xml:space="preserve"> periods </w:t>
            </w:r>
            <w:proofErr w:type="spellStart"/>
            <w:r w:rsidRPr="002E079C">
              <w:rPr>
                <w:rFonts w:eastAsia="Times New Roman" w:cs="Times New Roman"/>
                <w:b/>
                <w:bCs/>
                <w:sz w:val="28"/>
                <w:szCs w:val="28"/>
                <w:lang w:val="en-GB" w:eastAsia="lv-LV"/>
              </w:rPr>
              <w:t>līdz</w:t>
            </w:r>
            <w:proofErr w:type="spellEnd"/>
            <w:r w:rsidRPr="002E079C">
              <w:rPr>
                <w:rFonts w:eastAsia="Times New Roman" w:cs="Times New Roman"/>
                <w:b/>
                <w:bCs/>
                <w:sz w:val="28"/>
                <w:szCs w:val="28"/>
                <w:lang w:val="en-GB" w:eastAsia="lv-LV"/>
              </w:rPr>
              <w:t xml:space="preserve"> 2018.gada 1.septembrim</w:t>
            </w:r>
          </w:p>
          <w:p w14:paraId="43CF8894" w14:textId="77777777" w:rsidR="002E079C" w:rsidRPr="002E079C" w:rsidRDefault="002E079C" w:rsidP="002E079C">
            <w:pPr>
              <w:jc w:val="both"/>
              <w:rPr>
                <w:rFonts w:eastAsia="Calibri" w:cs="Times New Roman"/>
                <w:sz w:val="28"/>
                <w:szCs w:val="28"/>
                <w:lang w:eastAsia="lv-LV"/>
              </w:rPr>
            </w:pPr>
          </w:p>
        </w:tc>
        <w:tc>
          <w:tcPr>
            <w:tcW w:w="3250" w:type="dxa"/>
          </w:tcPr>
          <w:p w14:paraId="0BB75B87" w14:textId="2187BF47" w:rsidR="002E079C" w:rsidRPr="002E079C" w:rsidRDefault="002E079C" w:rsidP="002E079C">
            <w:pPr>
              <w:ind w:left="29"/>
              <w:jc w:val="both"/>
              <w:rPr>
                <w:rFonts w:eastAsia="Calibri" w:cs="Times New Roman"/>
                <w:sz w:val="28"/>
                <w:szCs w:val="28"/>
                <w:lang w:eastAsia="lv-LV"/>
              </w:rPr>
            </w:pPr>
            <w:r w:rsidRPr="002E079C">
              <w:rPr>
                <w:rFonts w:eastAsia="Calibri" w:cs="Times New Roman"/>
                <w:sz w:val="28"/>
                <w:szCs w:val="28"/>
                <w:lang w:eastAsia="lv-LV"/>
              </w:rPr>
              <w:t xml:space="preserve">Normu piemērošanai nosakāms pārejas periods </w:t>
            </w:r>
            <w:r w:rsidRPr="002E079C">
              <w:rPr>
                <w:rFonts w:eastAsia="Calibri" w:cs="Times New Roman"/>
                <w:b/>
                <w:sz w:val="28"/>
                <w:szCs w:val="28"/>
                <w:lang w:eastAsia="lv-LV"/>
              </w:rPr>
              <w:t>līdz 2018.</w:t>
            </w:r>
            <w:r w:rsidR="007B3AF8">
              <w:rPr>
                <w:rFonts w:eastAsia="Calibri" w:cs="Times New Roman"/>
                <w:b/>
                <w:sz w:val="28"/>
                <w:szCs w:val="28"/>
                <w:lang w:eastAsia="lv-LV"/>
              </w:rPr>
              <w:t> </w:t>
            </w:r>
            <w:r w:rsidRPr="002E079C">
              <w:rPr>
                <w:rFonts w:eastAsia="Calibri" w:cs="Times New Roman"/>
                <w:b/>
                <w:sz w:val="28"/>
                <w:szCs w:val="28"/>
                <w:lang w:eastAsia="lv-LV"/>
              </w:rPr>
              <w:t>gada 1.</w:t>
            </w:r>
            <w:r w:rsidR="007B3AF8">
              <w:rPr>
                <w:rFonts w:eastAsia="Calibri" w:cs="Times New Roman"/>
                <w:b/>
                <w:sz w:val="28"/>
                <w:szCs w:val="28"/>
                <w:lang w:eastAsia="lv-LV"/>
              </w:rPr>
              <w:t> </w:t>
            </w:r>
            <w:r w:rsidRPr="002E079C">
              <w:rPr>
                <w:rFonts w:eastAsia="Calibri" w:cs="Times New Roman"/>
                <w:b/>
                <w:sz w:val="28"/>
                <w:szCs w:val="28"/>
                <w:lang w:eastAsia="lv-LV"/>
              </w:rPr>
              <w:t>septembrim</w:t>
            </w:r>
            <w:r w:rsidRPr="002E079C">
              <w:rPr>
                <w:rFonts w:eastAsia="Calibri" w:cs="Times New Roman"/>
                <w:sz w:val="28"/>
                <w:szCs w:val="28"/>
                <w:lang w:eastAsia="lv-LV"/>
              </w:rPr>
              <w:t xml:space="preserve"> vai vismaz 4 mēneši </w:t>
            </w:r>
            <w:r w:rsidRPr="002E079C">
              <w:rPr>
                <w:rFonts w:eastAsia="Calibri" w:cs="Times New Roman"/>
                <w:b/>
                <w:sz w:val="28"/>
                <w:szCs w:val="28"/>
                <w:lang w:eastAsia="lv-LV"/>
              </w:rPr>
              <w:t xml:space="preserve">pēc MK noteikumu grozījumu </w:t>
            </w:r>
            <w:r w:rsidRPr="002E079C">
              <w:rPr>
                <w:rFonts w:eastAsia="Calibri" w:cs="Times New Roman"/>
                <w:b/>
                <w:sz w:val="28"/>
                <w:szCs w:val="28"/>
                <w:u w:val="single"/>
                <w:lang w:eastAsia="lv-LV"/>
              </w:rPr>
              <w:t xml:space="preserve">ES fondu ieviešanu regulējušajos </w:t>
            </w:r>
            <w:r w:rsidRPr="002E079C">
              <w:rPr>
                <w:rFonts w:eastAsia="Calibri" w:cs="Times New Roman"/>
                <w:b/>
                <w:sz w:val="28"/>
                <w:szCs w:val="28"/>
                <w:u w:val="single"/>
              </w:rPr>
              <w:t>MK noteikumos Nr.784</w:t>
            </w:r>
            <w:r w:rsidRPr="002E079C">
              <w:rPr>
                <w:rFonts w:eastAsia="Calibri" w:cs="Times New Roman"/>
                <w:b/>
                <w:sz w:val="28"/>
                <w:szCs w:val="28"/>
                <w:u w:val="single"/>
                <w:vertAlign w:val="superscript"/>
              </w:rPr>
              <w:footnoteReference w:id="82"/>
            </w:r>
            <w:r w:rsidRPr="002E079C">
              <w:rPr>
                <w:rFonts w:eastAsia="Calibri" w:cs="Times New Roman"/>
                <w:b/>
                <w:sz w:val="28"/>
                <w:szCs w:val="28"/>
              </w:rPr>
              <w:t xml:space="preserve"> </w:t>
            </w:r>
            <w:r w:rsidRPr="002E079C">
              <w:rPr>
                <w:rFonts w:eastAsia="Calibri" w:cs="Times New Roman"/>
                <w:b/>
                <w:sz w:val="28"/>
                <w:szCs w:val="28"/>
                <w:lang w:eastAsia="lv-LV"/>
              </w:rPr>
              <w:t>spēkā stāšanās</w:t>
            </w:r>
            <w:r w:rsidRPr="002E079C">
              <w:rPr>
                <w:rFonts w:eastAsia="Calibri" w:cs="Times New Roman"/>
                <w:b/>
                <w:sz w:val="28"/>
                <w:szCs w:val="28"/>
                <w:vertAlign w:val="superscript"/>
                <w:lang w:eastAsia="lv-LV"/>
              </w:rPr>
              <w:footnoteReference w:id="83"/>
            </w:r>
            <w:r w:rsidRPr="002E079C">
              <w:rPr>
                <w:rFonts w:eastAsia="Calibri" w:cs="Times New Roman"/>
                <w:sz w:val="28"/>
                <w:szCs w:val="28"/>
                <w:lang w:eastAsia="lv-LV"/>
              </w:rPr>
              <w:t>.</w:t>
            </w:r>
          </w:p>
        </w:tc>
      </w:tr>
      <w:tr w:rsidR="002E079C" w:rsidRPr="002E079C" w14:paraId="0138B4FE" w14:textId="77777777" w:rsidTr="003167D9">
        <w:tc>
          <w:tcPr>
            <w:tcW w:w="1725" w:type="dxa"/>
            <w:vMerge/>
          </w:tcPr>
          <w:p w14:paraId="502EC1E0" w14:textId="77777777" w:rsidR="002E079C" w:rsidRPr="002E079C" w:rsidRDefault="002E079C" w:rsidP="002E079C">
            <w:pPr>
              <w:jc w:val="both"/>
              <w:rPr>
                <w:rFonts w:eastAsia="Calibri" w:cs="Times New Roman"/>
                <w:sz w:val="28"/>
                <w:szCs w:val="28"/>
              </w:rPr>
            </w:pPr>
          </w:p>
        </w:tc>
        <w:tc>
          <w:tcPr>
            <w:tcW w:w="7347" w:type="dxa"/>
            <w:gridSpan w:val="2"/>
          </w:tcPr>
          <w:p w14:paraId="2CD08B4A" w14:textId="77777777" w:rsidR="002E079C" w:rsidRPr="002E079C" w:rsidRDefault="002E079C" w:rsidP="002E079C">
            <w:pPr>
              <w:jc w:val="both"/>
              <w:rPr>
                <w:rFonts w:eastAsia="Calibri" w:cs="Times New Roman"/>
                <w:i/>
                <w:sz w:val="28"/>
                <w:szCs w:val="28"/>
                <w:lang w:eastAsia="lv-LV"/>
              </w:rPr>
            </w:pPr>
            <w:r w:rsidRPr="002E079C">
              <w:rPr>
                <w:rFonts w:eastAsia="Calibri" w:cs="Times New Roman"/>
                <w:i/>
                <w:sz w:val="28"/>
                <w:szCs w:val="28"/>
                <w:lang w:eastAsia="lv-LV"/>
              </w:rPr>
              <w:t>Paskaidrojums:</w:t>
            </w:r>
          </w:p>
          <w:p w14:paraId="577C5259" w14:textId="6753A61E" w:rsidR="002E079C" w:rsidRPr="002E079C" w:rsidRDefault="002E079C" w:rsidP="002E079C">
            <w:pPr>
              <w:numPr>
                <w:ilvl w:val="0"/>
                <w:numId w:val="35"/>
              </w:numPr>
              <w:contextualSpacing/>
              <w:jc w:val="both"/>
              <w:rPr>
                <w:rFonts w:eastAsia="Calibri" w:cs="Times New Roman"/>
                <w:sz w:val="28"/>
                <w:szCs w:val="28"/>
                <w:lang w:eastAsia="lv-LV"/>
              </w:rPr>
            </w:pPr>
            <w:r w:rsidRPr="002E079C">
              <w:rPr>
                <w:rFonts w:eastAsia="Calibri" w:cs="Times New Roman"/>
                <w:sz w:val="28"/>
                <w:szCs w:val="28"/>
                <w:lang w:eastAsia="lv-LV"/>
              </w:rPr>
              <w:t xml:space="preserve">kalendārā gada noviržu izvērtēšanai ir </w:t>
            </w:r>
            <w:r w:rsidR="003A1ACB">
              <w:rPr>
                <w:rFonts w:eastAsia="Calibri" w:cs="Times New Roman"/>
                <w:sz w:val="28"/>
                <w:szCs w:val="28"/>
                <w:lang w:eastAsia="lv-LV"/>
              </w:rPr>
              <w:t>FS</w:t>
            </w:r>
            <w:r w:rsidRPr="002E079C">
              <w:rPr>
                <w:rFonts w:eastAsia="Calibri" w:cs="Times New Roman"/>
                <w:sz w:val="28"/>
                <w:szCs w:val="28"/>
                <w:lang w:eastAsia="lv-LV"/>
              </w:rPr>
              <w:t xml:space="preserve"> noslēgto līgumu ietvaros spēkā esošās vai aktualizētas maksājumu prognozes ne vēlāk kā līdz 1.septembrim, kā arī </w:t>
            </w:r>
            <w:r w:rsidR="00F820D0">
              <w:rPr>
                <w:rFonts w:eastAsia="Calibri" w:cs="Times New Roman"/>
                <w:sz w:val="28"/>
                <w:szCs w:val="28"/>
                <w:lang w:eastAsia="lv-LV"/>
              </w:rPr>
              <w:t>pēc 1.</w:t>
            </w:r>
            <w:r w:rsidR="007B3AF8">
              <w:rPr>
                <w:rFonts w:eastAsia="Calibri" w:cs="Times New Roman"/>
                <w:sz w:val="28"/>
                <w:szCs w:val="28"/>
                <w:lang w:eastAsia="lv-LV"/>
              </w:rPr>
              <w:t> </w:t>
            </w:r>
            <w:r w:rsidR="00F820D0">
              <w:rPr>
                <w:rFonts w:eastAsia="Calibri" w:cs="Times New Roman"/>
                <w:sz w:val="28"/>
                <w:szCs w:val="28"/>
                <w:lang w:eastAsia="lv-LV"/>
              </w:rPr>
              <w:t xml:space="preserve">septembra </w:t>
            </w:r>
            <w:r w:rsidRPr="002E079C">
              <w:rPr>
                <w:rFonts w:eastAsia="Calibri" w:cs="Times New Roman"/>
                <w:sz w:val="28"/>
                <w:szCs w:val="28"/>
                <w:lang w:eastAsia="lv-LV"/>
              </w:rPr>
              <w:t xml:space="preserve">noslēgtajiem līgumiem – pirmā </w:t>
            </w:r>
            <w:r w:rsidR="003A1ACB">
              <w:rPr>
                <w:rFonts w:eastAsia="Calibri" w:cs="Times New Roman"/>
                <w:sz w:val="28"/>
                <w:szCs w:val="28"/>
                <w:lang w:eastAsia="lv-LV"/>
              </w:rPr>
              <w:t>FS</w:t>
            </w:r>
            <w:r w:rsidRPr="002E079C">
              <w:rPr>
                <w:rFonts w:eastAsia="Calibri" w:cs="Times New Roman"/>
                <w:sz w:val="28"/>
                <w:szCs w:val="28"/>
                <w:lang w:eastAsia="lv-LV"/>
              </w:rPr>
              <w:t xml:space="preserve"> iesniegtā maksājumu prognoze;</w:t>
            </w:r>
          </w:p>
          <w:p w14:paraId="57701093" w14:textId="0F18CCBB" w:rsidR="002E079C" w:rsidRPr="002E079C" w:rsidRDefault="002E079C" w:rsidP="0014214E">
            <w:pPr>
              <w:numPr>
                <w:ilvl w:val="0"/>
                <w:numId w:val="35"/>
              </w:numPr>
              <w:contextualSpacing/>
              <w:jc w:val="both"/>
              <w:rPr>
                <w:rFonts w:eastAsia="Calibri" w:cs="Times New Roman"/>
                <w:sz w:val="28"/>
                <w:szCs w:val="28"/>
                <w:lang w:eastAsia="lv-LV"/>
              </w:rPr>
            </w:pPr>
            <w:r w:rsidRPr="002E079C">
              <w:rPr>
                <w:rFonts w:eastAsia="Calibri" w:cs="Times New Roman"/>
                <w:sz w:val="28"/>
                <w:szCs w:val="28"/>
                <w:lang w:eastAsia="lv-LV"/>
              </w:rPr>
              <w:t xml:space="preserve">6 mēnešu pagarināšanas laiks noslēgtajiem līgumiem ir attiecīgi laiks no 1.septembra, kā arī </w:t>
            </w:r>
            <w:r w:rsidR="0014214E">
              <w:rPr>
                <w:rFonts w:eastAsia="Calibri" w:cs="Times New Roman"/>
                <w:sz w:val="28"/>
                <w:szCs w:val="28"/>
                <w:lang w:eastAsia="lv-LV"/>
              </w:rPr>
              <w:t xml:space="preserve">pēc 1.septembra </w:t>
            </w:r>
            <w:r w:rsidRPr="002E079C">
              <w:rPr>
                <w:rFonts w:eastAsia="Calibri" w:cs="Times New Roman"/>
                <w:sz w:val="28"/>
                <w:szCs w:val="28"/>
                <w:lang w:eastAsia="lv-LV"/>
              </w:rPr>
              <w:t xml:space="preserve">noslēgtajiem līgumiem par projektu īstenošanu – noslēgtā līguma datums. No šī laika attiecīgi sākas projekta 6 </w:t>
            </w:r>
            <w:r w:rsidRPr="002E079C">
              <w:rPr>
                <w:rFonts w:eastAsia="Calibri" w:cs="Times New Roman"/>
                <w:sz w:val="28"/>
                <w:szCs w:val="28"/>
                <w:lang w:eastAsia="lv-LV"/>
              </w:rPr>
              <w:lastRenderedPageBreak/>
              <w:t>mēnešu atskaites periods un ja projekta ietvaros iepriekš (pirms šī laika) bija veikti grozījumi attiecībā uz pagarināšanu, tie netiek ņemti vērā pie noviržu konstatēšanas un sākas viss no jauna.</w:t>
            </w:r>
          </w:p>
        </w:tc>
      </w:tr>
      <w:tr w:rsidR="002E079C" w:rsidRPr="002E079C" w14:paraId="410A7699" w14:textId="77777777" w:rsidTr="003167D9">
        <w:tc>
          <w:tcPr>
            <w:tcW w:w="1725" w:type="dxa"/>
          </w:tcPr>
          <w:p w14:paraId="778422BA" w14:textId="77777777" w:rsidR="002E079C" w:rsidRPr="002E079C" w:rsidRDefault="002E079C" w:rsidP="002E079C">
            <w:pPr>
              <w:jc w:val="both"/>
              <w:rPr>
                <w:rFonts w:eastAsia="Calibri" w:cs="Times New Roman"/>
                <w:sz w:val="28"/>
                <w:szCs w:val="28"/>
              </w:rPr>
            </w:pPr>
            <w:r w:rsidRPr="002E079C">
              <w:rPr>
                <w:rFonts w:eastAsia="Calibri" w:cs="Times New Roman"/>
                <w:sz w:val="28"/>
                <w:szCs w:val="28"/>
              </w:rPr>
              <w:lastRenderedPageBreak/>
              <w:t xml:space="preserve">Vairāk par 6 mēnešu pagarinājums </w:t>
            </w:r>
          </w:p>
        </w:tc>
        <w:tc>
          <w:tcPr>
            <w:tcW w:w="4097" w:type="dxa"/>
          </w:tcPr>
          <w:p w14:paraId="23352B17" w14:textId="381B5E19" w:rsidR="002E079C" w:rsidRDefault="002E079C" w:rsidP="002E079C">
            <w:pPr>
              <w:jc w:val="both"/>
              <w:rPr>
                <w:rFonts w:eastAsia="Calibri" w:cs="Times New Roman"/>
                <w:sz w:val="28"/>
                <w:szCs w:val="28"/>
              </w:rPr>
            </w:pPr>
            <w:r w:rsidRPr="002E079C">
              <w:rPr>
                <w:rFonts w:eastAsia="Calibri" w:cs="Times New Roman"/>
                <w:sz w:val="28"/>
                <w:szCs w:val="28"/>
              </w:rPr>
              <w:t>S</w:t>
            </w:r>
            <w:r w:rsidR="00025360">
              <w:rPr>
                <w:rFonts w:eastAsia="Calibri" w:cs="Times New Roman"/>
                <w:sz w:val="28"/>
                <w:szCs w:val="28"/>
              </w:rPr>
              <w:t>I</w:t>
            </w:r>
            <w:r w:rsidRPr="002E079C">
              <w:rPr>
                <w:rFonts w:eastAsia="Calibri" w:cs="Times New Roman"/>
                <w:sz w:val="28"/>
                <w:szCs w:val="28"/>
              </w:rPr>
              <w:t xml:space="preserve"> </w:t>
            </w:r>
            <w:r w:rsidRPr="002E079C">
              <w:rPr>
                <w:rFonts w:eastAsia="Calibri" w:cs="Times New Roman"/>
                <w:b/>
                <w:sz w:val="28"/>
                <w:szCs w:val="28"/>
                <w:u w:val="single"/>
              </w:rPr>
              <w:t xml:space="preserve">nesaskaņo līgumu grozījumus, </w:t>
            </w:r>
            <w:r w:rsidRPr="002E079C">
              <w:rPr>
                <w:rFonts w:eastAsia="Calibri" w:cs="Times New Roman"/>
                <w:sz w:val="28"/>
                <w:szCs w:val="28"/>
              </w:rPr>
              <w:t xml:space="preserve">ja projekta izdevumu </w:t>
            </w:r>
            <w:proofErr w:type="spellStart"/>
            <w:r w:rsidRPr="002E079C">
              <w:rPr>
                <w:rFonts w:eastAsia="Calibri" w:cs="Times New Roman"/>
                <w:sz w:val="28"/>
                <w:szCs w:val="28"/>
              </w:rPr>
              <w:t>attiecināmības</w:t>
            </w:r>
            <w:proofErr w:type="spellEnd"/>
            <w:r w:rsidRPr="002E079C">
              <w:rPr>
                <w:rFonts w:eastAsia="Calibri" w:cs="Times New Roman"/>
                <w:sz w:val="28"/>
                <w:szCs w:val="28"/>
              </w:rPr>
              <w:t xml:space="preserve"> </w:t>
            </w:r>
            <w:r w:rsidR="00CE7037">
              <w:rPr>
                <w:rFonts w:eastAsia="Calibri" w:cs="Times New Roman"/>
                <w:sz w:val="28"/>
                <w:szCs w:val="28"/>
              </w:rPr>
              <w:t>periodu</w:t>
            </w:r>
            <w:r w:rsidR="00CE7037" w:rsidRPr="002E079C">
              <w:rPr>
                <w:rFonts w:eastAsia="Calibri" w:cs="Times New Roman"/>
                <w:sz w:val="28"/>
                <w:szCs w:val="28"/>
              </w:rPr>
              <w:t xml:space="preserve"> </w:t>
            </w:r>
            <w:r w:rsidR="00CE7037" w:rsidRPr="00CE7037">
              <w:rPr>
                <w:rFonts w:eastAsia="Calibri" w:cs="Times New Roman"/>
                <w:sz w:val="28"/>
                <w:szCs w:val="28"/>
              </w:rPr>
              <w:t xml:space="preserve">(termiņš, līdz kuram veiktos </w:t>
            </w:r>
            <w:r w:rsidR="003A1ACB">
              <w:rPr>
                <w:rFonts w:eastAsia="Calibri" w:cs="Times New Roman"/>
                <w:sz w:val="28"/>
                <w:szCs w:val="28"/>
              </w:rPr>
              <w:t>FS</w:t>
            </w:r>
            <w:r w:rsidR="00CE7037" w:rsidRPr="00CE7037">
              <w:rPr>
                <w:rFonts w:eastAsia="Calibri" w:cs="Times New Roman"/>
                <w:sz w:val="28"/>
                <w:szCs w:val="28"/>
              </w:rPr>
              <w:t xml:space="preserve"> atbilstīgos izdevumus līdzfinansē no ES fondu un nacionālo publisko finansējuma)</w:t>
            </w:r>
            <w:r w:rsidR="00CE7037">
              <w:rPr>
                <w:rFonts w:eastAsia="Calibri" w:cs="Times New Roman"/>
                <w:sz w:val="28"/>
                <w:szCs w:val="28"/>
              </w:rPr>
              <w:t xml:space="preserve"> </w:t>
            </w:r>
            <w:r w:rsidRPr="002E079C">
              <w:rPr>
                <w:rFonts w:eastAsia="Calibri" w:cs="Times New Roman"/>
                <w:sz w:val="28"/>
                <w:szCs w:val="28"/>
              </w:rPr>
              <w:t xml:space="preserve">ierosina pagarināt kopumā uz laiku vairāk kā seši mēneši no normas stāšanas spēkā un savā pamatojuma vēstulē norāda </w:t>
            </w:r>
            <w:r w:rsidR="003A1ACB">
              <w:rPr>
                <w:rFonts w:eastAsia="Calibri" w:cs="Times New Roman"/>
                <w:sz w:val="28"/>
                <w:szCs w:val="28"/>
              </w:rPr>
              <w:t>FS</w:t>
            </w:r>
            <w:r w:rsidRPr="002E079C">
              <w:rPr>
                <w:rFonts w:eastAsia="Calibri" w:cs="Times New Roman"/>
                <w:sz w:val="28"/>
                <w:szCs w:val="28"/>
              </w:rPr>
              <w:t xml:space="preserve"> tiesības saņemt šāda pagarinājuma akceptu no MK, bet nepārsniedzot MK noteikumos par attiecīgā specifiskā atbalsta mērķa vai pasākuma ieviešanas nosacījumiem noteikto </w:t>
            </w:r>
            <w:r w:rsidR="000F4FC7">
              <w:rPr>
                <w:rFonts w:eastAsia="Calibri" w:cs="Times New Roman"/>
                <w:sz w:val="28"/>
                <w:szCs w:val="28"/>
              </w:rPr>
              <w:t xml:space="preserve">izdevumu </w:t>
            </w:r>
            <w:proofErr w:type="spellStart"/>
            <w:r w:rsidR="000F4FC7">
              <w:rPr>
                <w:rFonts w:eastAsia="Calibri" w:cs="Times New Roman"/>
                <w:sz w:val="28"/>
                <w:szCs w:val="28"/>
              </w:rPr>
              <w:t>attiecināmības</w:t>
            </w:r>
            <w:proofErr w:type="spellEnd"/>
            <w:r w:rsidRPr="002E079C">
              <w:rPr>
                <w:rFonts w:eastAsia="Calibri" w:cs="Times New Roman"/>
                <w:sz w:val="28"/>
                <w:szCs w:val="28"/>
              </w:rPr>
              <w:t xml:space="preserve"> termiņu.</w:t>
            </w:r>
          </w:p>
          <w:p w14:paraId="52D490B8" w14:textId="7DF885CA" w:rsidR="002E079C" w:rsidRPr="002E079C" w:rsidRDefault="002E079C" w:rsidP="002E079C">
            <w:pPr>
              <w:jc w:val="both"/>
              <w:rPr>
                <w:rFonts w:eastAsia="Calibri" w:cs="Times New Roman"/>
                <w:sz w:val="28"/>
                <w:szCs w:val="28"/>
              </w:rPr>
            </w:pPr>
            <w:r w:rsidRPr="002E079C">
              <w:rPr>
                <w:rFonts w:eastAsia="Calibri" w:cs="Times New Roman"/>
                <w:sz w:val="28"/>
                <w:szCs w:val="28"/>
              </w:rPr>
              <w:t>F</w:t>
            </w:r>
            <w:r w:rsidR="003A1ACB">
              <w:rPr>
                <w:rFonts w:eastAsia="Calibri" w:cs="Times New Roman"/>
                <w:sz w:val="28"/>
                <w:szCs w:val="28"/>
              </w:rPr>
              <w:t>S</w:t>
            </w:r>
            <w:r w:rsidRPr="002E079C">
              <w:rPr>
                <w:rFonts w:eastAsia="Calibri" w:cs="Times New Roman"/>
                <w:sz w:val="28"/>
                <w:szCs w:val="28"/>
              </w:rPr>
              <w:t xml:space="preserve">, iesniedzot </w:t>
            </w:r>
            <w:r w:rsidR="00025360">
              <w:rPr>
                <w:rFonts w:eastAsia="Calibri" w:cs="Times New Roman"/>
                <w:sz w:val="28"/>
                <w:szCs w:val="28"/>
              </w:rPr>
              <w:t>SI</w:t>
            </w:r>
            <w:r w:rsidRPr="002E079C">
              <w:rPr>
                <w:rFonts w:eastAsia="Calibri" w:cs="Times New Roman"/>
                <w:sz w:val="28"/>
                <w:szCs w:val="28"/>
              </w:rPr>
              <w:t xml:space="preserve"> līguma grozījumus ar lūgumu pagarināt projektu vairāk par 6 mēnešiem, ja iespējams, uzreiz kā pielikumu pievieno MK lēmumu ar atļauju apstiprināt šādas izmaiņas projektā, tādējādi saīsinot laiku grozījumu saskaņošanai.</w:t>
            </w:r>
          </w:p>
          <w:p w14:paraId="3FC0C1C7" w14:textId="77777777" w:rsidR="002E079C" w:rsidRPr="002E079C" w:rsidRDefault="002E079C" w:rsidP="002E079C">
            <w:pPr>
              <w:jc w:val="both"/>
              <w:rPr>
                <w:rFonts w:eastAsia="Calibri" w:cs="Times New Roman"/>
                <w:sz w:val="28"/>
                <w:szCs w:val="28"/>
              </w:rPr>
            </w:pPr>
          </w:p>
          <w:p w14:paraId="60D6CE73" w14:textId="11939724" w:rsidR="002E079C" w:rsidRPr="002E079C" w:rsidRDefault="002E079C" w:rsidP="002E079C">
            <w:pPr>
              <w:jc w:val="both"/>
              <w:rPr>
                <w:rFonts w:eastAsia="Calibri" w:cs="Times New Roman"/>
                <w:sz w:val="28"/>
                <w:szCs w:val="28"/>
              </w:rPr>
            </w:pPr>
            <w:r w:rsidRPr="002E079C">
              <w:rPr>
                <w:rFonts w:eastAsia="Calibri" w:cs="Times New Roman"/>
                <w:sz w:val="28"/>
                <w:szCs w:val="28"/>
              </w:rPr>
              <w:t>S</w:t>
            </w:r>
            <w:r w:rsidR="00025360">
              <w:rPr>
                <w:rFonts w:eastAsia="Calibri" w:cs="Times New Roman"/>
                <w:sz w:val="28"/>
                <w:szCs w:val="28"/>
              </w:rPr>
              <w:t>I</w:t>
            </w:r>
            <w:r w:rsidRPr="002E079C">
              <w:rPr>
                <w:rFonts w:eastAsia="Calibri" w:cs="Times New Roman"/>
                <w:sz w:val="28"/>
                <w:szCs w:val="28"/>
              </w:rPr>
              <w:t xml:space="preserve">, </w:t>
            </w:r>
            <w:r w:rsidR="0096476A">
              <w:rPr>
                <w:rFonts w:eastAsia="Calibri" w:cs="Times New Roman"/>
                <w:sz w:val="28"/>
                <w:szCs w:val="28"/>
              </w:rPr>
              <w:t xml:space="preserve">balstoties uz </w:t>
            </w:r>
            <w:r w:rsidRPr="002E079C">
              <w:rPr>
                <w:rFonts w:eastAsia="Calibri" w:cs="Times New Roman"/>
                <w:sz w:val="28"/>
                <w:szCs w:val="28"/>
              </w:rPr>
              <w:t>MK protokollēmum</w:t>
            </w:r>
            <w:r w:rsidR="0096476A">
              <w:rPr>
                <w:rFonts w:eastAsia="Calibri" w:cs="Times New Roman"/>
                <w:sz w:val="28"/>
                <w:szCs w:val="28"/>
              </w:rPr>
              <w:t>a punktu/l</w:t>
            </w:r>
            <w:r w:rsidR="00E6038C">
              <w:rPr>
                <w:rFonts w:eastAsia="Calibri" w:cs="Times New Roman"/>
                <w:sz w:val="28"/>
                <w:szCs w:val="28"/>
              </w:rPr>
              <w:t>ē</w:t>
            </w:r>
            <w:r w:rsidR="0096476A">
              <w:rPr>
                <w:rFonts w:eastAsia="Calibri" w:cs="Times New Roman"/>
                <w:sz w:val="28"/>
                <w:szCs w:val="28"/>
              </w:rPr>
              <w:t>m</w:t>
            </w:r>
            <w:r w:rsidR="00E6038C">
              <w:rPr>
                <w:rFonts w:eastAsia="Calibri" w:cs="Times New Roman"/>
                <w:sz w:val="28"/>
                <w:szCs w:val="28"/>
              </w:rPr>
              <w:t>u</w:t>
            </w:r>
            <w:r w:rsidR="0096476A">
              <w:rPr>
                <w:rFonts w:eastAsia="Calibri" w:cs="Times New Roman"/>
                <w:sz w:val="28"/>
                <w:szCs w:val="28"/>
              </w:rPr>
              <w:t>mu</w:t>
            </w:r>
            <w:r w:rsidRPr="002E079C">
              <w:rPr>
                <w:rFonts w:eastAsia="Calibri" w:cs="Times New Roman"/>
                <w:sz w:val="28"/>
                <w:szCs w:val="28"/>
              </w:rPr>
              <w:t xml:space="preserve">, noraida </w:t>
            </w:r>
            <w:r w:rsidR="003A1ACB">
              <w:rPr>
                <w:rFonts w:eastAsia="Calibri" w:cs="Times New Roman"/>
                <w:sz w:val="28"/>
                <w:szCs w:val="28"/>
              </w:rPr>
              <w:t>FS</w:t>
            </w:r>
            <w:r w:rsidRPr="002E079C">
              <w:rPr>
                <w:rFonts w:eastAsia="Calibri" w:cs="Times New Roman"/>
                <w:sz w:val="28"/>
                <w:szCs w:val="28"/>
              </w:rPr>
              <w:t xml:space="preserve"> līguma grozījumus vai tos akceptē.</w:t>
            </w:r>
          </w:p>
          <w:p w14:paraId="2BBB05D8" w14:textId="77777777" w:rsidR="002E079C" w:rsidRPr="002E079C" w:rsidRDefault="002E079C" w:rsidP="002E079C">
            <w:pPr>
              <w:ind w:left="720"/>
              <w:contextualSpacing/>
              <w:jc w:val="both"/>
              <w:rPr>
                <w:rFonts w:eastAsia="Calibri" w:cs="Times New Roman"/>
                <w:sz w:val="28"/>
                <w:szCs w:val="28"/>
              </w:rPr>
            </w:pPr>
          </w:p>
        </w:tc>
        <w:tc>
          <w:tcPr>
            <w:tcW w:w="3250" w:type="dxa"/>
          </w:tcPr>
          <w:p w14:paraId="40DBF0CE" w14:textId="22FBB48B" w:rsidR="002E079C" w:rsidRPr="002E079C" w:rsidRDefault="002E079C" w:rsidP="002E079C">
            <w:pPr>
              <w:jc w:val="both"/>
              <w:rPr>
                <w:rFonts w:eastAsia="Calibri" w:cs="Times New Roman"/>
                <w:sz w:val="28"/>
                <w:szCs w:val="28"/>
              </w:rPr>
            </w:pPr>
            <w:r w:rsidRPr="002E079C">
              <w:rPr>
                <w:rFonts w:eastAsia="Calibri" w:cs="Times New Roman"/>
                <w:sz w:val="28"/>
                <w:szCs w:val="28"/>
              </w:rPr>
              <w:t>S</w:t>
            </w:r>
            <w:r w:rsidR="00025360">
              <w:rPr>
                <w:rFonts w:eastAsia="Calibri" w:cs="Times New Roman"/>
                <w:sz w:val="28"/>
                <w:szCs w:val="28"/>
              </w:rPr>
              <w:t>I</w:t>
            </w:r>
            <w:r w:rsidRPr="002E079C">
              <w:rPr>
                <w:rFonts w:eastAsia="Calibri" w:cs="Times New Roman"/>
                <w:sz w:val="28"/>
                <w:szCs w:val="28"/>
              </w:rPr>
              <w:t xml:space="preserve"> </w:t>
            </w:r>
            <w:r w:rsidRPr="002E079C">
              <w:rPr>
                <w:rFonts w:eastAsia="Calibri" w:cs="Times New Roman"/>
                <w:b/>
                <w:sz w:val="28"/>
                <w:szCs w:val="28"/>
                <w:u w:val="single"/>
              </w:rPr>
              <w:t>noraida līgumu grozījumus</w:t>
            </w:r>
            <w:r w:rsidRPr="002E079C">
              <w:rPr>
                <w:rFonts w:eastAsia="Calibri" w:cs="Times New Roman"/>
                <w:sz w:val="28"/>
                <w:szCs w:val="28"/>
              </w:rPr>
              <w:t xml:space="preserve">, ja projekta izdevumu </w:t>
            </w:r>
            <w:proofErr w:type="spellStart"/>
            <w:r w:rsidRPr="002E079C">
              <w:rPr>
                <w:rFonts w:eastAsia="Calibri" w:cs="Times New Roman"/>
                <w:sz w:val="28"/>
                <w:szCs w:val="28"/>
              </w:rPr>
              <w:t>attiecināmības</w:t>
            </w:r>
            <w:proofErr w:type="spellEnd"/>
            <w:r w:rsidRPr="002E079C">
              <w:rPr>
                <w:rFonts w:eastAsia="Calibri" w:cs="Times New Roman"/>
                <w:sz w:val="28"/>
                <w:szCs w:val="28"/>
              </w:rPr>
              <w:t xml:space="preserve"> </w:t>
            </w:r>
            <w:r w:rsidR="000F4FC7">
              <w:rPr>
                <w:rFonts w:eastAsia="Calibri" w:cs="Times New Roman"/>
                <w:sz w:val="28"/>
                <w:szCs w:val="28"/>
              </w:rPr>
              <w:t>periodu</w:t>
            </w:r>
            <w:r w:rsidR="000F4FC7" w:rsidRPr="002E079C">
              <w:rPr>
                <w:rFonts w:eastAsia="Calibri" w:cs="Times New Roman"/>
                <w:sz w:val="28"/>
                <w:szCs w:val="28"/>
              </w:rPr>
              <w:t xml:space="preserve"> </w:t>
            </w:r>
            <w:r w:rsidR="000F4FC7" w:rsidRPr="00CE7037">
              <w:rPr>
                <w:rFonts w:eastAsia="Calibri" w:cs="Times New Roman"/>
                <w:sz w:val="28"/>
                <w:szCs w:val="28"/>
              </w:rPr>
              <w:t xml:space="preserve">(termiņš, līdz kuram veiktos </w:t>
            </w:r>
            <w:r w:rsidR="003A1ACB">
              <w:rPr>
                <w:rFonts w:eastAsia="Calibri" w:cs="Times New Roman"/>
                <w:sz w:val="28"/>
                <w:szCs w:val="28"/>
              </w:rPr>
              <w:t>FS</w:t>
            </w:r>
            <w:r w:rsidR="000F4FC7" w:rsidRPr="00CE7037">
              <w:rPr>
                <w:rFonts w:eastAsia="Calibri" w:cs="Times New Roman"/>
                <w:sz w:val="28"/>
                <w:szCs w:val="28"/>
              </w:rPr>
              <w:t xml:space="preserve"> atbilstīgos izdevumus līdzfinansē no ES fondu un nacionālo publisko finansējuma)</w:t>
            </w:r>
            <w:r w:rsidR="000F4FC7">
              <w:rPr>
                <w:rFonts w:eastAsia="Calibri" w:cs="Times New Roman"/>
                <w:sz w:val="28"/>
                <w:szCs w:val="28"/>
              </w:rPr>
              <w:t xml:space="preserve"> </w:t>
            </w:r>
            <w:r w:rsidRPr="002E079C">
              <w:rPr>
                <w:rFonts w:eastAsia="Calibri" w:cs="Times New Roman"/>
                <w:sz w:val="28"/>
                <w:szCs w:val="28"/>
              </w:rPr>
              <w:t xml:space="preserve">ierosina pagarināt kopumā uz laiku vairāk kā seši mēneši no normas stāšanas spēkā (attiecināms, ja līguma vai vienošanās grozījumu priekšlikums ir iesniegts </w:t>
            </w:r>
            <w:r w:rsidR="00025360">
              <w:rPr>
                <w:rFonts w:eastAsia="Calibri" w:cs="Times New Roman"/>
                <w:sz w:val="28"/>
                <w:szCs w:val="28"/>
              </w:rPr>
              <w:t>SI</w:t>
            </w:r>
            <w:r w:rsidRPr="002E079C">
              <w:rPr>
                <w:rFonts w:eastAsia="Calibri" w:cs="Times New Roman"/>
                <w:sz w:val="28"/>
                <w:szCs w:val="28"/>
              </w:rPr>
              <w:t xml:space="preserve"> </w:t>
            </w:r>
            <w:r w:rsidRPr="002E079C">
              <w:rPr>
                <w:rFonts w:eastAsia="Calibri" w:cs="Times New Roman"/>
                <w:sz w:val="28"/>
                <w:szCs w:val="28"/>
                <w:u w:val="single"/>
              </w:rPr>
              <w:t>pēc 2018.</w:t>
            </w:r>
            <w:r w:rsidR="007B3AF8">
              <w:rPr>
                <w:rFonts w:eastAsia="Calibri" w:cs="Times New Roman"/>
                <w:sz w:val="28"/>
                <w:szCs w:val="28"/>
                <w:u w:val="single"/>
              </w:rPr>
              <w:t> </w:t>
            </w:r>
            <w:r w:rsidRPr="002E079C">
              <w:rPr>
                <w:rFonts w:eastAsia="Calibri" w:cs="Times New Roman"/>
                <w:sz w:val="28"/>
                <w:szCs w:val="28"/>
                <w:u w:val="single"/>
              </w:rPr>
              <w:t>gada 1.</w:t>
            </w:r>
            <w:r w:rsidR="007B3AF8">
              <w:rPr>
                <w:rFonts w:eastAsia="Calibri" w:cs="Times New Roman"/>
                <w:sz w:val="28"/>
                <w:szCs w:val="28"/>
                <w:u w:val="single"/>
              </w:rPr>
              <w:t> </w:t>
            </w:r>
            <w:r w:rsidRPr="002E079C">
              <w:rPr>
                <w:rFonts w:eastAsia="Calibri" w:cs="Times New Roman"/>
                <w:sz w:val="28"/>
                <w:szCs w:val="28"/>
                <w:u w:val="single"/>
              </w:rPr>
              <w:t>septembra</w:t>
            </w:r>
            <w:r w:rsidRPr="002E079C">
              <w:rPr>
                <w:rFonts w:eastAsia="Calibri" w:cs="Times New Roman"/>
                <w:sz w:val="28"/>
                <w:szCs w:val="28"/>
              </w:rPr>
              <w:t xml:space="preserve">) un savā pamatojuma vēstulē norāda </w:t>
            </w:r>
            <w:r w:rsidR="003A1ACB">
              <w:rPr>
                <w:rFonts w:eastAsia="Calibri" w:cs="Times New Roman"/>
                <w:sz w:val="28"/>
                <w:szCs w:val="28"/>
              </w:rPr>
              <w:t xml:space="preserve">FS </w:t>
            </w:r>
            <w:r w:rsidRPr="002E079C">
              <w:rPr>
                <w:rFonts w:eastAsia="Calibri" w:cs="Times New Roman"/>
                <w:sz w:val="28"/>
                <w:szCs w:val="28"/>
              </w:rPr>
              <w:t xml:space="preserve">tiesības saņemt šāda pagarinājuma akceptu no MK vai arī īstenot projekta darbības par saviem līdzekļiem pēc </w:t>
            </w:r>
            <w:r w:rsidR="00044ADA">
              <w:rPr>
                <w:rFonts w:eastAsia="Calibri" w:cs="Times New Roman"/>
                <w:sz w:val="28"/>
                <w:szCs w:val="28"/>
              </w:rPr>
              <w:t xml:space="preserve">līgumā noteiktā </w:t>
            </w:r>
            <w:r w:rsidRPr="002E079C">
              <w:rPr>
                <w:rFonts w:eastAsia="Calibri" w:cs="Times New Roman"/>
                <w:sz w:val="28"/>
                <w:szCs w:val="28"/>
              </w:rPr>
              <w:t xml:space="preserve">projekta </w:t>
            </w:r>
            <w:proofErr w:type="spellStart"/>
            <w:r w:rsidRPr="002E079C">
              <w:rPr>
                <w:rFonts w:eastAsia="Calibri" w:cs="Times New Roman"/>
                <w:sz w:val="28"/>
                <w:szCs w:val="28"/>
              </w:rPr>
              <w:t>attiecināmības</w:t>
            </w:r>
            <w:proofErr w:type="spellEnd"/>
            <w:r w:rsidRPr="002E079C">
              <w:rPr>
                <w:rFonts w:eastAsia="Calibri" w:cs="Times New Roman"/>
                <w:sz w:val="28"/>
                <w:szCs w:val="28"/>
              </w:rPr>
              <w:t xml:space="preserve"> perioda beigām, bet nepārsniedzot MK noteikumos par attiecīgā specifiskā atbalsta mērķa vai pasākuma ieviešanas nosacījumiem noteikto </w:t>
            </w:r>
            <w:r w:rsidR="00044ADA">
              <w:rPr>
                <w:rFonts w:eastAsia="Calibri" w:cs="Times New Roman"/>
                <w:sz w:val="28"/>
                <w:szCs w:val="28"/>
              </w:rPr>
              <w:t xml:space="preserve">izdevumu </w:t>
            </w:r>
            <w:proofErr w:type="spellStart"/>
            <w:r w:rsidR="00044ADA">
              <w:rPr>
                <w:rFonts w:eastAsia="Calibri" w:cs="Times New Roman"/>
                <w:sz w:val="28"/>
                <w:szCs w:val="28"/>
              </w:rPr>
              <w:t>atti</w:t>
            </w:r>
            <w:r w:rsidR="00CE7037">
              <w:rPr>
                <w:rFonts w:eastAsia="Calibri" w:cs="Times New Roman"/>
                <w:sz w:val="28"/>
                <w:szCs w:val="28"/>
              </w:rPr>
              <w:t>e</w:t>
            </w:r>
            <w:r w:rsidR="00044ADA">
              <w:rPr>
                <w:rFonts w:eastAsia="Calibri" w:cs="Times New Roman"/>
                <w:sz w:val="28"/>
                <w:szCs w:val="28"/>
              </w:rPr>
              <w:t>c</w:t>
            </w:r>
            <w:r w:rsidR="00CE7037">
              <w:rPr>
                <w:rFonts w:eastAsia="Calibri" w:cs="Times New Roman"/>
                <w:sz w:val="28"/>
                <w:szCs w:val="28"/>
              </w:rPr>
              <w:t>i</w:t>
            </w:r>
            <w:r w:rsidR="00044ADA">
              <w:rPr>
                <w:rFonts w:eastAsia="Calibri" w:cs="Times New Roman"/>
                <w:sz w:val="28"/>
                <w:szCs w:val="28"/>
              </w:rPr>
              <w:t>nāmības</w:t>
            </w:r>
            <w:proofErr w:type="spellEnd"/>
            <w:r w:rsidRPr="002E079C">
              <w:rPr>
                <w:rFonts w:eastAsia="Calibri" w:cs="Times New Roman"/>
                <w:sz w:val="28"/>
                <w:szCs w:val="28"/>
              </w:rPr>
              <w:t xml:space="preserve"> termiņu.</w:t>
            </w:r>
          </w:p>
          <w:p w14:paraId="50B1F7A9" w14:textId="77777777" w:rsidR="002E079C" w:rsidRPr="002E079C" w:rsidRDefault="002E079C" w:rsidP="002E079C">
            <w:pPr>
              <w:jc w:val="both"/>
              <w:rPr>
                <w:rFonts w:eastAsia="Calibri" w:cs="Times New Roman"/>
                <w:sz w:val="28"/>
                <w:szCs w:val="28"/>
              </w:rPr>
            </w:pPr>
          </w:p>
          <w:p w14:paraId="5676ECA7" w14:textId="77777777" w:rsidR="002E079C" w:rsidRPr="002E079C" w:rsidRDefault="002E079C" w:rsidP="002E079C">
            <w:pPr>
              <w:jc w:val="both"/>
              <w:rPr>
                <w:rFonts w:eastAsia="Calibri" w:cs="Times New Roman"/>
                <w:sz w:val="28"/>
                <w:szCs w:val="28"/>
              </w:rPr>
            </w:pPr>
          </w:p>
          <w:p w14:paraId="29F898CB" w14:textId="2D4A0274" w:rsidR="002E079C" w:rsidRPr="002E079C" w:rsidRDefault="002E079C" w:rsidP="002E079C">
            <w:pPr>
              <w:jc w:val="both"/>
              <w:rPr>
                <w:rFonts w:eastAsia="Calibri" w:cs="Times New Roman"/>
                <w:sz w:val="28"/>
                <w:szCs w:val="28"/>
              </w:rPr>
            </w:pPr>
            <w:r w:rsidRPr="002E079C">
              <w:rPr>
                <w:rFonts w:eastAsia="Calibri" w:cs="Times New Roman"/>
                <w:sz w:val="28"/>
                <w:szCs w:val="28"/>
              </w:rPr>
              <w:t>S</w:t>
            </w:r>
            <w:r w:rsidR="00025360">
              <w:rPr>
                <w:rFonts w:eastAsia="Calibri" w:cs="Times New Roman"/>
                <w:sz w:val="28"/>
                <w:szCs w:val="28"/>
              </w:rPr>
              <w:t>I</w:t>
            </w:r>
            <w:r w:rsidRPr="002E079C">
              <w:rPr>
                <w:rFonts w:eastAsia="Calibri" w:cs="Times New Roman"/>
                <w:sz w:val="28"/>
                <w:szCs w:val="28"/>
              </w:rPr>
              <w:t xml:space="preserve"> var pagarināt projekta termiņu, ja tam ir sniegts objektīvs pamatojums un par to pieņemts attiecīgs MK lēmums.</w:t>
            </w:r>
          </w:p>
        </w:tc>
      </w:tr>
      <w:tr w:rsidR="002E079C" w:rsidRPr="002E079C" w14:paraId="02A7E943" w14:textId="77777777" w:rsidTr="003167D9">
        <w:tc>
          <w:tcPr>
            <w:tcW w:w="1725" w:type="dxa"/>
            <w:vMerge w:val="restart"/>
          </w:tcPr>
          <w:p w14:paraId="4974A93E" w14:textId="3788CC3C" w:rsidR="002E079C" w:rsidRPr="002E079C" w:rsidRDefault="002E079C" w:rsidP="005D60B4">
            <w:pPr>
              <w:jc w:val="both"/>
              <w:rPr>
                <w:rFonts w:eastAsia="Calibri" w:cs="Times New Roman"/>
                <w:sz w:val="28"/>
                <w:szCs w:val="28"/>
              </w:rPr>
            </w:pPr>
            <w:r w:rsidRPr="002E079C">
              <w:rPr>
                <w:rFonts w:eastAsia="Calibri" w:cs="Times New Roman"/>
                <w:sz w:val="28"/>
                <w:szCs w:val="28"/>
              </w:rPr>
              <w:lastRenderedPageBreak/>
              <w:t xml:space="preserve">25 % novirze no gada plāna </w:t>
            </w:r>
          </w:p>
        </w:tc>
        <w:tc>
          <w:tcPr>
            <w:tcW w:w="4097" w:type="dxa"/>
          </w:tcPr>
          <w:p w14:paraId="1B8D8B50" w14:textId="77777777" w:rsidR="002E079C" w:rsidRPr="002E079C" w:rsidRDefault="002E079C" w:rsidP="002E079C">
            <w:pPr>
              <w:jc w:val="both"/>
              <w:rPr>
                <w:rFonts w:eastAsia="Calibri" w:cs="Times New Roman"/>
                <w:sz w:val="28"/>
                <w:szCs w:val="28"/>
              </w:rPr>
            </w:pPr>
            <w:r w:rsidRPr="002E079C">
              <w:rPr>
                <w:rFonts w:eastAsia="Calibri" w:cs="Times New Roman"/>
                <w:sz w:val="28"/>
                <w:szCs w:val="28"/>
              </w:rPr>
              <w:t xml:space="preserve">Turpināma prakse, kad stingri uzraugāma ikmēneša plānu izpilde, par ko FM sniedz ikmēneša operatīvo informāciju MK, un būtisku noviržu gadījumā reizi kalendārajā gadā vai biežāk atkarībā no situācijas MK var lemt par konkrētu rīcību (skatīt “Ziņošana MK”). </w:t>
            </w:r>
          </w:p>
          <w:p w14:paraId="20264319" w14:textId="77777777" w:rsidR="002E079C" w:rsidRPr="002E079C" w:rsidRDefault="002E079C" w:rsidP="002E079C">
            <w:pPr>
              <w:jc w:val="both"/>
              <w:rPr>
                <w:rFonts w:eastAsia="Calibri" w:cs="Times New Roman"/>
                <w:sz w:val="28"/>
                <w:szCs w:val="28"/>
              </w:rPr>
            </w:pPr>
          </w:p>
          <w:p w14:paraId="76E8D10C" w14:textId="0B4CDA56" w:rsidR="002E079C" w:rsidRPr="002E079C" w:rsidRDefault="002E079C" w:rsidP="002E079C">
            <w:pPr>
              <w:jc w:val="both"/>
              <w:rPr>
                <w:rFonts w:eastAsia="Calibri" w:cs="Times New Roman"/>
                <w:sz w:val="28"/>
                <w:szCs w:val="28"/>
              </w:rPr>
            </w:pPr>
            <w:r w:rsidRPr="002E079C">
              <w:rPr>
                <w:rFonts w:eastAsia="Calibri" w:cs="Times New Roman"/>
                <w:sz w:val="28"/>
                <w:szCs w:val="28"/>
              </w:rPr>
              <w:t>S</w:t>
            </w:r>
            <w:r w:rsidR="00025360">
              <w:rPr>
                <w:rFonts w:eastAsia="Calibri" w:cs="Times New Roman"/>
                <w:sz w:val="28"/>
                <w:szCs w:val="28"/>
              </w:rPr>
              <w:t>I</w:t>
            </w:r>
            <w:r w:rsidRPr="002E079C">
              <w:rPr>
                <w:rFonts w:eastAsia="Calibri" w:cs="Times New Roman"/>
                <w:sz w:val="28"/>
                <w:szCs w:val="28"/>
              </w:rPr>
              <w:t xml:space="preserve"> var lemt par asignējuma apturēšanu gadījumos, kad situācija projektā rada riskus (iesniegts precizētais maksājumu pieprasījumu prognoze ar nobīdēm virs 25%, maksājumu pieprasījums nav iesniegts plānotajā termiņā un apjomā utt.)</w:t>
            </w:r>
          </w:p>
          <w:p w14:paraId="5CA8B7B0" w14:textId="6FBB86AE" w:rsidR="002E079C" w:rsidRPr="002E079C" w:rsidRDefault="002E079C" w:rsidP="002E079C">
            <w:pPr>
              <w:jc w:val="both"/>
              <w:rPr>
                <w:rFonts w:eastAsia="Calibri" w:cs="Times New Roman"/>
                <w:sz w:val="28"/>
                <w:szCs w:val="28"/>
              </w:rPr>
            </w:pPr>
            <w:r w:rsidRPr="002E079C">
              <w:rPr>
                <w:rFonts w:eastAsia="Calibri" w:cs="Times New Roman"/>
                <w:sz w:val="28"/>
                <w:szCs w:val="28"/>
              </w:rPr>
              <w:t>S</w:t>
            </w:r>
            <w:r w:rsidR="00025360">
              <w:rPr>
                <w:rFonts w:eastAsia="Calibri" w:cs="Times New Roman"/>
                <w:sz w:val="28"/>
                <w:szCs w:val="28"/>
              </w:rPr>
              <w:t>I</w:t>
            </w:r>
            <w:r w:rsidRPr="002E079C">
              <w:rPr>
                <w:rFonts w:eastAsia="Calibri" w:cs="Times New Roman"/>
                <w:sz w:val="28"/>
                <w:szCs w:val="28"/>
              </w:rPr>
              <w:t xml:space="preserve"> var atjaunot asignējumu projekta ietvaros, ja </w:t>
            </w:r>
            <w:r w:rsidR="003A1ACB">
              <w:rPr>
                <w:rFonts w:eastAsia="Calibri" w:cs="Times New Roman"/>
                <w:sz w:val="28"/>
                <w:szCs w:val="28"/>
              </w:rPr>
              <w:t>FS</w:t>
            </w:r>
            <w:r w:rsidRPr="002E079C">
              <w:rPr>
                <w:rFonts w:eastAsia="Calibri" w:cs="Times New Roman"/>
                <w:sz w:val="28"/>
                <w:szCs w:val="28"/>
              </w:rPr>
              <w:t xml:space="preserve"> īsteno projektu atbilstoši iesniegtajam rīcības plānam, lai situāciju uzlabotu, kā arī izņēmuma gadījumā, ja ir pieņemts attiecīgs MK lēmums</w:t>
            </w:r>
          </w:p>
          <w:p w14:paraId="4F9BBE5E" w14:textId="77777777" w:rsidR="002E079C" w:rsidRPr="002E079C" w:rsidRDefault="002E079C" w:rsidP="002E079C">
            <w:pPr>
              <w:rPr>
                <w:rFonts w:eastAsia="Calibri" w:cs="Times New Roman"/>
                <w:sz w:val="28"/>
                <w:szCs w:val="28"/>
              </w:rPr>
            </w:pPr>
          </w:p>
        </w:tc>
        <w:tc>
          <w:tcPr>
            <w:tcW w:w="3250" w:type="dxa"/>
          </w:tcPr>
          <w:p w14:paraId="24E2F76A" w14:textId="5A0FE4E5" w:rsidR="002E079C" w:rsidRPr="002E079C" w:rsidRDefault="002E079C" w:rsidP="002E079C">
            <w:pPr>
              <w:jc w:val="both"/>
              <w:rPr>
                <w:rFonts w:eastAsia="Calibri" w:cs="Times New Roman"/>
                <w:b/>
                <w:sz w:val="28"/>
                <w:szCs w:val="28"/>
                <w:u w:val="single"/>
              </w:rPr>
            </w:pPr>
            <w:r w:rsidRPr="002E079C">
              <w:rPr>
                <w:rFonts w:eastAsia="Calibri" w:cs="Times New Roman"/>
                <w:sz w:val="28"/>
                <w:szCs w:val="28"/>
              </w:rPr>
              <w:t>S</w:t>
            </w:r>
            <w:r w:rsidR="00025360">
              <w:rPr>
                <w:rFonts w:eastAsia="Calibri" w:cs="Times New Roman"/>
                <w:sz w:val="28"/>
                <w:szCs w:val="28"/>
              </w:rPr>
              <w:t>I</w:t>
            </w:r>
            <w:r w:rsidRPr="002E079C">
              <w:rPr>
                <w:rFonts w:eastAsia="Calibri" w:cs="Times New Roman"/>
                <w:sz w:val="28"/>
                <w:szCs w:val="28"/>
              </w:rPr>
              <w:t xml:space="preserve">, konstatējot samazinājumu projekta attiecīgā kalendārā gadā faktiski veikto un </w:t>
            </w:r>
            <w:r w:rsidR="00025360">
              <w:rPr>
                <w:rFonts w:eastAsia="Calibri" w:cs="Times New Roman"/>
                <w:sz w:val="28"/>
                <w:szCs w:val="28"/>
              </w:rPr>
              <w:t>SI</w:t>
            </w:r>
            <w:r w:rsidRPr="002E079C">
              <w:rPr>
                <w:rFonts w:eastAsia="Calibri" w:cs="Times New Roman"/>
                <w:sz w:val="28"/>
                <w:szCs w:val="28"/>
              </w:rPr>
              <w:t xml:space="preserve"> iesniegto maksājumu pieprasījumu apjomā vairāk par 25</w:t>
            </w:r>
            <w:r w:rsidR="007B3AF8">
              <w:rPr>
                <w:rFonts w:eastAsia="Calibri" w:cs="Times New Roman"/>
                <w:sz w:val="28"/>
                <w:szCs w:val="28"/>
              </w:rPr>
              <w:t> </w:t>
            </w:r>
            <w:r w:rsidRPr="002E079C">
              <w:rPr>
                <w:rFonts w:eastAsia="Calibri" w:cs="Times New Roman"/>
                <w:sz w:val="28"/>
                <w:szCs w:val="28"/>
              </w:rPr>
              <w:t xml:space="preserve">% no plānotā maksājumu pieprasījumu iesniegšanas </w:t>
            </w:r>
            <w:r w:rsidR="00304389">
              <w:rPr>
                <w:rFonts w:eastAsia="Calibri" w:cs="Times New Roman"/>
                <w:sz w:val="28"/>
                <w:szCs w:val="28"/>
              </w:rPr>
              <w:t xml:space="preserve">grafikā </w:t>
            </w:r>
            <w:proofErr w:type="spellStart"/>
            <w:r w:rsidR="00304389">
              <w:rPr>
                <w:rFonts w:eastAsia="Calibri" w:cs="Times New Roman"/>
                <w:sz w:val="28"/>
                <w:szCs w:val="28"/>
              </w:rPr>
              <w:t>noteiktā</w:t>
            </w:r>
            <w:r w:rsidRPr="002E079C">
              <w:rPr>
                <w:rFonts w:eastAsia="Calibri" w:cs="Times New Roman"/>
                <w:sz w:val="28"/>
                <w:szCs w:val="28"/>
              </w:rPr>
              <w:t>pēc</w:t>
            </w:r>
            <w:proofErr w:type="spellEnd"/>
            <w:r w:rsidRPr="002E079C">
              <w:rPr>
                <w:rFonts w:eastAsia="Calibri" w:cs="Times New Roman"/>
                <w:sz w:val="28"/>
                <w:szCs w:val="28"/>
              </w:rPr>
              <w:t xml:space="preserve"> 1.septembra, var </w:t>
            </w:r>
            <w:r w:rsidRPr="002E079C">
              <w:rPr>
                <w:rFonts w:eastAsia="Calibri" w:cs="Times New Roman"/>
                <w:b/>
                <w:sz w:val="28"/>
                <w:szCs w:val="28"/>
                <w:u w:val="single"/>
              </w:rPr>
              <w:t>samazināt ES fonda un valsts budžeta līdzfinansējumu, ja tāds projektā ir paredzēts, par to summu, kas ir virs 25% novirzes (</w:t>
            </w:r>
            <w:r w:rsidRPr="002E079C">
              <w:rPr>
                <w:rFonts w:eastAsia="Calibri" w:cs="Times New Roman"/>
                <w:sz w:val="28"/>
                <w:szCs w:val="28"/>
              </w:rPr>
              <w:t xml:space="preserve">attiecināms uz izmaiņām plānoto maksājumu pieprasījumu iesniegšanas </w:t>
            </w:r>
            <w:r w:rsidR="00304389">
              <w:rPr>
                <w:rFonts w:eastAsia="Calibri" w:cs="Times New Roman"/>
                <w:sz w:val="28"/>
                <w:szCs w:val="28"/>
              </w:rPr>
              <w:t>grafikā</w:t>
            </w:r>
            <w:r w:rsidR="00304389" w:rsidRPr="002E079C" w:rsidDel="00E27A26">
              <w:rPr>
                <w:rFonts w:eastAsia="Calibri" w:cs="Times New Roman"/>
                <w:sz w:val="28"/>
                <w:szCs w:val="28"/>
              </w:rPr>
              <w:t xml:space="preserve"> </w:t>
            </w:r>
            <w:r w:rsidRPr="002E079C">
              <w:rPr>
                <w:rFonts w:eastAsia="Calibri" w:cs="Times New Roman"/>
                <w:sz w:val="28"/>
                <w:szCs w:val="28"/>
                <w:u w:val="single"/>
              </w:rPr>
              <w:t>pēc 2018.</w:t>
            </w:r>
            <w:r w:rsidR="007B3AF8">
              <w:rPr>
                <w:rFonts w:eastAsia="Calibri" w:cs="Times New Roman"/>
                <w:sz w:val="28"/>
                <w:szCs w:val="28"/>
                <w:u w:val="single"/>
              </w:rPr>
              <w:t> </w:t>
            </w:r>
            <w:r w:rsidRPr="002E079C">
              <w:rPr>
                <w:rFonts w:eastAsia="Calibri" w:cs="Times New Roman"/>
                <w:sz w:val="28"/>
                <w:szCs w:val="28"/>
                <w:u w:val="single"/>
              </w:rPr>
              <w:t>gada 1.</w:t>
            </w:r>
            <w:r w:rsidR="007B3AF8">
              <w:rPr>
                <w:rFonts w:eastAsia="Calibri" w:cs="Times New Roman"/>
                <w:sz w:val="28"/>
                <w:szCs w:val="28"/>
                <w:u w:val="single"/>
              </w:rPr>
              <w:t> </w:t>
            </w:r>
            <w:r w:rsidRPr="002E079C">
              <w:rPr>
                <w:rFonts w:eastAsia="Calibri" w:cs="Times New Roman"/>
                <w:sz w:val="28"/>
                <w:szCs w:val="28"/>
                <w:u w:val="single"/>
              </w:rPr>
              <w:t>septembra</w:t>
            </w:r>
            <w:r w:rsidRPr="002E079C">
              <w:rPr>
                <w:rFonts w:eastAsia="Calibri" w:cs="Times New Roman"/>
                <w:b/>
                <w:sz w:val="28"/>
                <w:szCs w:val="28"/>
                <w:u w:val="single"/>
              </w:rPr>
              <w:t>).</w:t>
            </w:r>
          </w:p>
          <w:p w14:paraId="323A5A20" w14:textId="77777777" w:rsidR="002E079C" w:rsidRPr="002E079C" w:rsidRDefault="002E079C" w:rsidP="002E079C">
            <w:pPr>
              <w:rPr>
                <w:rFonts w:eastAsia="Calibri" w:cs="Times New Roman"/>
                <w:sz w:val="28"/>
                <w:szCs w:val="28"/>
              </w:rPr>
            </w:pPr>
          </w:p>
          <w:p w14:paraId="03A05572" w14:textId="2ECD09E5" w:rsidR="002E079C" w:rsidRPr="002E079C" w:rsidRDefault="002E079C" w:rsidP="002E079C">
            <w:pPr>
              <w:jc w:val="both"/>
              <w:rPr>
                <w:rFonts w:eastAsia="Calibri" w:cs="Times New Roman"/>
              </w:rPr>
            </w:pPr>
            <w:r w:rsidRPr="002E079C">
              <w:rPr>
                <w:rFonts w:eastAsia="Calibri" w:cs="Times New Roman"/>
                <w:sz w:val="28"/>
                <w:szCs w:val="28"/>
              </w:rPr>
              <w:t>S</w:t>
            </w:r>
            <w:r w:rsidR="00025360">
              <w:rPr>
                <w:rFonts w:eastAsia="Calibri" w:cs="Times New Roman"/>
                <w:sz w:val="28"/>
                <w:szCs w:val="28"/>
              </w:rPr>
              <w:t>I</w:t>
            </w:r>
            <w:r w:rsidRPr="002E079C">
              <w:rPr>
                <w:rFonts w:eastAsia="Calibri" w:cs="Times New Roman"/>
                <w:sz w:val="28"/>
                <w:szCs w:val="28"/>
              </w:rPr>
              <w:t xml:space="preserve"> var apstiprināt jaunu </w:t>
            </w:r>
            <w:r w:rsidR="00304389" w:rsidRPr="00304389">
              <w:rPr>
                <w:rFonts w:eastAsia="Calibri" w:cs="Times New Roman"/>
                <w:sz w:val="28"/>
                <w:szCs w:val="28"/>
              </w:rPr>
              <w:t>maksājumu p</w:t>
            </w:r>
            <w:r w:rsidR="00304389">
              <w:rPr>
                <w:rFonts w:eastAsia="Calibri" w:cs="Times New Roman"/>
                <w:sz w:val="28"/>
                <w:szCs w:val="28"/>
              </w:rPr>
              <w:t>ieprasījumu iesniegšanas grafiku</w:t>
            </w:r>
            <w:r w:rsidRPr="002E079C">
              <w:rPr>
                <w:rFonts w:eastAsia="Calibri" w:cs="Times New Roman"/>
                <w:sz w:val="28"/>
                <w:szCs w:val="28"/>
              </w:rPr>
              <w:t>, ja tam ir sniegts objektīvs pamatojums un par to pieņemts attiecīgs MK lēmums.</w:t>
            </w:r>
          </w:p>
          <w:p w14:paraId="38FAA565" w14:textId="77777777" w:rsidR="002E079C" w:rsidRPr="002E079C" w:rsidRDefault="002E079C" w:rsidP="002E079C">
            <w:pPr>
              <w:jc w:val="both"/>
              <w:rPr>
                <w:rFonts w:eastAsia="Calibri" w:cs="Times New Roman"/>
                <w:b/>
                <w:sz w:val="28"/>
                <w:szCs w:val="28"/>
                <w:u w:val="single"/>
              </w:rPr>
            </w:pPr>
          </w:p>
        </w:tc>
      </w:tr>
      <w:tr w:rsidR="002E079C" w:rsidRPr="002E079C" w14:paraId="37117E8B" w14:textId="77777777" w:rsidTr="003167D9">
        <w:tc>
          <w:tcPr>
            <w:tcW w:w="1725" w:type="dxa"/>
            <w:vMerge/>
          </w:tcPr>
          <w:p w14:paraId="7EAC7372" w14:textId="77777777" w:rsidR="002E079C" w:rsidRPr="002E079C" w:rsidRDefault="002E079C" w:rsidP="002E079C">
            <w:pPr>
              <w:jc w:val="both"/>
              <w:rPr>
                <w:rFonts w:eastAsia="Calibri" w:cs="Times New Roman"/>
                <w:sz w:val="28"/>
                <w:szCs w:val="28"/>
              </w:rPr>
            </w:pPr>
          </w:p>
        </w:tc>
        <w:tc>
          <w:tcPr>
            <w:tcW w:w="7347" w:type="dxa"/>
            <w:gridSpan w:val="2"/>
          </w:tcPr>
          <w:p w14:paraId="38D5E0E4" w14:textId="51EBAC4D" w:rsidR="002E079C" w:rsidRPr="002E079C" w:rsidRDefault="003A1ACB" w:rsidP="002E079C">
            <w:pPr>
              <w:jc w:val="both"/>
              <w:rPr>
                <w:rFonts w:eastAsia="Calibri" w:cs="Times New Roman"/>
                <w:sz w:val="28"/>
                <w:szCs w:val="28"/>
                <w:u w:val="single"/>
              </w:rPr>
            </w:pPr>
            <w:r>
              <w:rPr>
                <w:rFonts w:eastAsia="Calibri" w:cs="Times New Roman"/>
                <w:sz w:val="28"/>
                <w:szCs w:val="28"/>
              </w:rPr>
              <w:t>FS</w:t>
            </w:r>
            <w:r w:rsidR="002E079C" w:rsidRPr="002E079C">
              <w:rPr>
                <w:rFonts w:eastAsia="Calibri" w:cs="Times New Roman"/>
                <w:sz w:val="28"/>
                <w:szCs w:val="28"/>
              </w:rPr>
              <w:t xml:space="preserve">, iesniedzot CFLA </w:t>
            </w:r>
            <w:r w:rsidR="00304389" w:rsidRPr="00304389">
              <w:rPr>
                <w:rFonts w:eastAsia="Calibri" w:cs="Times New Roman"/>
                <w:sz w:val="28"/>
                <w:szCs w:val="28"/>
              </w:rPr>
              <w:t>maksājumu p</w:t>
            </w:r>
            <w:r w:rsidR="00304389">
              <w:rPr>
                <w:rFonts w:eastAsia="Calibri" w:cs="Times New Roman"/>
                <w:sz w:val="28"/>
                <w:szCs w:val="28"/>
              </w:rPr>
              <w:t>ieprasījumu iesniegšanas grafiku</w:t>
            </w:r>
            <w:r w:rsidR="00304389" w:rsidRPr="00304389">
              <w:rPr>
                <w:rFonts w:eastAsia="Calibri" w:cs="Times New Roman"/>
                <w:sz w:val="28"/>
                <w:szCs w:val="28"/>
              </w:rPr>
              <w:t xml:space="preserve"> </w:t>
            </w:r>
            <w:r w:rsidR="002E079C" w:rsidRPr="002E079C">
              <w:rPr>
                <w:rFonts w:eastAsia="Calibri" w:cs="Times New Roman"/>
                <w:sz w:val="28"/>
                <w:szCs w:val="28"/>
              </w:rPr>
              <w:t>kalendārā gada ietvaros, kura</w:t>
            </w:r>
            <w:r w:rsidR="00304389">
              <w:rPr>
                <w:rFonts w:eastAsia="Calibri" w:cs="Times New Roman"/>
                <w:sz w:val="28"/>
                <w:szCs w:val="28"/>
              </w:rPr>
              <w:t>m</w:t>
            </w:r>
            <w:r w:rsidR="002E079C" w:rsidRPr="002E079C">
              <w:rPr>
                <w:rFonts w:eastAsia="Calibri" w:cs="Times New Roman"/>
                <w:sz w:val="28"/>
                <w:szCs w:val="28"/>
              </w:rPr>
              <w:t xml:space="preserve"> ir novirzes no </w:t>
            </w:r>
            <w:r w:rsidR="00416E15">
              <w:rPr>
                <w:rFonts w:eastAsia="Calibri" w:cs="Times New Roman"/>
                <w:sz w:val="28"/>
                <w:szCs w:val="28"/>
              </w:rPr>
              <w:t xml:space="preserve">FS kalendārā gada sākumā aktualizētā </w:t>
            </w:r>
            <w:r w:rsidR="00416E15" w:rsidRPr="002E079C">
              <w:rPr>
                <w:rFonts w:eastAsia="Calibri" w:cs="Times New Roman"/>
                <w:sz w:val="28"/>
                <w:szCs w:val="28"/>
              </w:rPr>
              <w:t>maksājumu pieprasījumu ies</w:t>
            </w:r>
            <w:r w:rsidR="00416E15">
              <w:rPr>
                <w:rFonts w:eastAsia="Calibri" w:cs="Times New Roman"/>
                <w:sz w:val="28"/>
                <w:szCs w:val="28"/>
              </w:rPr>
              <w:t xml:space="preserve">niegšanas </w:t>
            </w:r>
            <w:r w:rsidR="00416E15" w:rsidRPr="00416E15">
              <w:rPr>
                <w:rFonts w:eastAsia="Calibri" w:cs="Times New Roman"/>
                <w:sz w:val="28"/>
                <w:szCs w:val="28"/>
              </w:rPr>
              <w:t>grafik</w:t>
            </w:r>
            <w:r w:rsidR="00416E15">
              <w:rPr>
                <w:rFonts w:eastAsia="Calibri" w:cs="Times New Roman"/>
                <w:sz w:val="28"/>
                <w:szCs w:val="28"/>
              </w:rPr>
              <w:t>ā noteiktā plāna</w:t>
            </w:r>
            <w:r w:rsidR="00416E15" w:rsidRPr="00416E15">
              <w:rPr>
                <w:rFonts w:eastAsia="Calibri" w:cs="Times New Roman"/>
                <w:sz w:val="28"/>
                <w:szCs w:val="28"/>
              </w:rPr>
              <w:t xml:space="preserve"> </w:t>
            </w:r>
            <w:r w:rsidR="002E079C" w:rsidRPr="002E079C">
              <w:rPr>
                <w:rFonts w:eastAsia="Calibri" w:cs="Times New Roman"/>
                <w:sz w:val="28"/>
                <w:szCs w:val="28"/>
              </w:rPr>
              <w:t>virs 25</w:t>
            </w:r>
            <w:r w:rsidR="007B3AF8">
              <w:rPr>
                <w:rFonts w:eastAsia="Calibri" w:cs="Times New Roman"/>
                <w:sz w:val="28"/>
                <w:szCs w:val="28"/>
              </w:rPr>
              <w:t> </w:t>
            </w:r>
            <w:r w:rsidR="002E079C" w:rsidRPr="002E079C">
              <w:rPr>
                <w:rFonts w:eastAsia="Calibri" w:cs="Times New Roman"/>
                <w:sz w:val="28"/>
                <w:szCs w:val="28"/>
              </w:rPr>
              <w:t>%:</w:t>
            </w:r>
          </w:p>
          <w:p w14:paraId="00215AC8" w14:textId="3666B8BC" w:rsidR="002E079C" w:rsidRPr="002E079C" w:rsidRDefault="002E079C" w:rsidP="002E079C">
            <w:pPr>
              <w:numPr>
                <w:ilvl w:val="0"/>
                <w:numId w:val="33"/>
              </w:numPr>
              <w:jc w:val="both"/>
              <w:rPr>
                <w:rFonts w:eastAsia="Calibri" w:cs="Times New Roman"/>
                <w:sz w:val="28"/>
                <w:szCs w:val="28"/>
                <w:u w:val="single"/>
              </w:rPr>
            </w:pPr>
            <w:r w:rsidRPr="002E079C">
              <w:rPr>
                <w:rFonts w:eastAsia="Calibri" w:cs="Times New Roman"/>
                <w:sz w:val="28"/>
                <w:szCs w:val="28"/>
              </w:rPr>
              <w:t>CFLA</w:t>
            </w:r>
            <w:r w:rsidR="005B3340" w:rsidRPr="005B3340">
              <w:rPr>
                <w:rFonts w:eastAsia="Times New Roman" w:cs="Times New Roman"/>
                <w:szCs w:val="24"/>
                <w:lang w:eastAsia="lv-LV"/>
              </w:rPr>
              <w:t xml:space="preserve"> </w:t>
            </w:r>
            <w:r w:rsidR="005B3340" w:rsidRPr="005B3340">
              <w:rPr>
                <w:rFonts w:eastAsia="Calibri" w:cs="Times New Roman"/>
                <w:sz w:val="28"/>
                <w:szCs w:val="28"/>
              </w:rPr>
              <w:t xml:space="preserve">brīdina </w:t>
            </w:r>
            <w:r w:rsidR="003A1ACB">
              <w:rPr>
                <w:rFonts w:eastAsia="Calibri" w:cs="Times New Roman"/>
                <w:sz w:val="28"/>
                <w:szCs w:val="28"/>
              </w:rPr>
              <w:t>FS</w:t>
            </w:r>
            <w:r w:rsidR="005B3340" w:rsidRPr="005B3340">
              <w:rPr>
                <w:rFonts w:eastAsia="Calibri" w:cs="Times New Roman"/>
                <w:sz w:val="28"/>
                <w:szCs w:val="28"/>
              </w:rPr>
              <w:t xml:space="preserve"> par riskiem, sniedz priekšlikumus projekta ieviešanas uzlabošanai </w:t>
            </w:r>
            <w:r w:rsidRPr="002E079C">
              <w:rPr>
                <w:rFonts w:eastAsia="Calibri" w:cs="Times New Roman"/>
                <w:sz w:val="28"/>
                <w:szCs w:val="28"/>
              </w:rPr>
              <w:t>un veic stingrāko uzraudzību sadarbībā ar AI;</w:t>
            </w:r>
          </w:p>
          <w:p w14:paraId="1AA456DE" w14:textId="77777777" w:rsidR="002E079C" w:rsidRPr="002E079C" w:rsidRDefault="002E079C" w:rsidP="002E079C">
            <w:pPr>
              <w:numPr>
                <w:ilvl w:val="0"/>
                <w:numId w:val="33"/>
              </w:numPr>
              <w:jc w:val="both"/>
              <w:rPr>
                <w:rFonts w:eastAsia="Calibri" w:cs="Times New Roman"/>
                <w:sz w:val="28"/>
                <w:szCs w:val="28"/>
                <w:u w:val="single"/>
              </w:rPr>
            </w:pPr>
            <w:r w:rsidRPr="002E079C">
              <w:rPr>
                <w:rFonts w:eastAsia="Calibri" w:cs="Times New Roman"/>
                <w:b/>
                <w:sz w:val="28"/>
                <w:szCs w:val="28"/>
              </w:rPr>
              <w:t>CFLA vērtē izpildes statusu vienu reizi kalendārajā gadā</w:t>
            </w:r>
            <w:r w:rsidRPr="002E079C">
              <w:rPr>
                <w:rFonts w:eastAsia="Calibri" w:cs="Times New Roman"/>
                <w:sz w:val="28"/>
                <w:szCs w:val="28"/>
              </w:rPr>
              <w:t xml:space="preserve">, kad ir konkrēts fakts – iesniegti kalendārajā gadā plānotie maksājumu pieprasījumi </w:t>
            </w:r>
            <w:r w:rsidRPr="002E079C">
              <w:rPr>
                <w:rFonts w:eastAsia="Calibri" w:cs="Times New Roman"/>
                <w:b/>
                <w:sz w:val="28"/>
                <w:szCs w:val="28"/>
              </w:rPr>
              <w:t>un lemj par publiskā atbalsta finansējuma samazinājumu par novirzi virs 25%</w:t>
            </w:r>
            <w:r w:rsidRPr="002E079C">
              <w:rPr>
                <w:rFonts w:eastAsia="Calibri" w:cs="Times New Roman"/>
                <w:sz w:val="28"/>
                <w:szCs w:val="28"/>
              </w:rPr>
              <w:t>.</w:t>
            </w:r>
            <w:r w:rsidRPr="002E079C">
              <w:rPr>
                <w:rFonts w:eastAsia="Calibri" w:cs="Times New Roman"/>
                <w:sz w:val="28"/>
                <w:szCs w:val="28"/>
                <w:vertAlign w:val="superscript"/>
              </w:rPr>
              <w:footnoteReference w:id="84"/>
            </w:r>
          </w:p>
          <w:p w14:paraId="2DA53C92" w14:textId="428C1124" w:rsidR="002E079C" w:rsidRPr="002E079C" w:rsidRDefault="002E079C" w:rsidP="00C8422E">
            <w:pPr>
              <w:jc w:val="both"/>
              <w:rPr>
                <w:rFonts w:eastAsia="Calibri" w:cs="Times New Roman"/>
                <w:sz w:val="28"/>
                <w:szCs w:val="28"/>
              </w:rPr>
            </w:pPr>
            <w:r w:rsidRPr="002E079C">
              <w:rPr>
                <w:rFonts w:eastAsia="Calibri" w:cs="Times New Roman"/>
                <w:sz w:val="28"/>
                <w:szCs w:val="28"/>
              </w:rPr>
              <w:lastRenderedPageBreak/>
              <w:t>F</w:t>
            </w:r>
            <w:r w:rsidR="003A1ACB">
              <w:rPr>
                <w:rFonts w:eastAsia="Calibri" w:cs="Times New Roman"/>
                <w:sz w:val="28"/>
                <w:szCs w:val="28"/>
              </w:rPr>
              <w:t>S</w:t>
            </w:r>
            <w:r w:rsidR="00957BF2">
              <w:rPr>
                <w:rFonts w:eastAsia="Calibri" w:cs="Times New Roman"/>
                <w:sz w:val="28"/>
                <w:szCs w:val="28"/>
              </w:rPr>
              <w:t xml:space="preserve"> katru gadu</w:t>
            </w:r>
            <w:r w:rsidR="0098260C">
              <w:rPr>
                <w:rFonts w:eastAsia="Calibri" w:cs="Times New Roman"/>
                <w:sz w:val="28"/>
                <w:szCs w:val="28"/>
              </w:rPr>
              <w:t>, balstoties uz iepriekšējā gada izpildi būs iesp</w:t>
            </w:r>
            <w:r w:rsidR="00B97DAE">
              <w:rPr>
                <w:rFonts w:eastAsia="Calibri" w:cs="Times New Roman"/>
                <w:sz w:val="28"/>
                <w:szCs w:val="28"/>
              </w:rPr>
              <w:t>ēja</w:t>
            </w:r>
            <w:r w:rsidRPr="002E079C">
              <w:rPr>
                <w:rFonts w:eastAsia="Calibri" w:cs="Times New Roman"/>
                <w:sz w:val="28"/>
                <w:szCs w:val="28"/>
              </w:rPr>
              <w:t xml:space="preserve"> aktualizēt</w:t>
            </w:r>
            <w:r w:rsidR="00416E15">
              <w:rPr>
                <w:rFonts w:eastAsia="Calibri" w:cs="Times New Roman"/>
                <w:sz w:val="28"/>
                <w:szCs w:val="28"/>
              </w:rPr>
              <w:t xml:space="preserve"> </w:t>
            </w:r>
            <w:r w:rsidR="00416E15" w:rsidRPr="002E079C">
              <w:rPr>
                <w:rFonts w:eastAsia="Calibri" w:cs="Times New Roman"/>
                <w:sz w:val="28"/>
                <w:szCs w:val="28"/>
              </w:rPr>
              <w:t xml:space="preserve">maksājumu pieprasījumu iesniegšanas </w:t>
            </w:r>
            <w:r w:rsidR="00416E15">
              <w:rPr>
                <w:rFonts w:eastAsia="Calibri" w:cs="Times New Roman"/>
                <w:sz w:val="28"/>
                <w:szCs w:val="28"/>
              </w:rPr>
              <w:t>grafiku</w:t>
            </w:r>
            <w:r w:rsidR="00C8422E">
              <w:rPr>
                <w:rFonts w:eastAsia="Calibri" w:cs="Times New Roman"/>
                <w:sz w:val="28"/>
                <w:szCs w:val="28"/>
              </w:rPr>
              <w:t>, precizējot</w:t>
            </w:r>
            <w:r w:rsidR="00416E15">
              <w:rPr>
                <w:rFonts w:eastAsia="Calibri" w:cs="Times New Roman"/>
                <w:sz w:val="28"/>
                <w:szCs w:val="28"/>
              </w:rPr>
              <w:t xml:space="preserve"> </w:t>
            </w:r>
            <w:r w:rsidRPr="002E079C">
              <w:rPr>
                <w:rFonts w:eastAsia="Calibri" w:cs="Times New Roman"/>
                <w:sz w:val="28"/>
                <w:szCs w:val="28"/>
              </w:rPr>
              <w:t xml:space="preserve"> </w:t>
            </w:r>
            <w:r w:rsidR="0098260C">
              <w:rPr>
                <w:rFonts w:eastAsia="Calibri" w:cs="Times New Roman"/>
                <w:sz w:val="28"/>
                <w:szCs w:val="28"/>
              </w:rPr>
              <w:t>nākam</w:t>
            </w:r>
            <w:r w:rsidR="00C8422E">
              <w:rPr>
                <w:rFonts w:eastAsia="Calibri" w:cs="Times New Roman"/>
                <w:sz w:val="28"/>
                <w:szCs w:val="28"/>
              </w:rPr>
              <w:t>ā</w:t>
            </w:r>
            <w:r w:rsidR="0098260C">
              <w:rPr>
                <w:rFonts w:eastAsia="Calibri" w:cs="Times New Roman"/>
                <w:sz w:val="28"/>
                <w:szCs w:val="28"/>
              </w:rPr>
              <w:t xml:space="preserve"> </w:t>
            </w:r>
            <w:r w:rsidRPr="002E079C">
              <w:rPr>
                <w:rFonts w:eastAsia="Calibri" w:cs="Times New Roman"/>
                <w:sz w:val="28"/>
                <w:szCs w:val="28"/>
              </w:rPr>
              <w:t>gada</w:t>
            </w:r>
            <w:r w:rsidR="00C8422E">
              <w:rPr>
                <w:rFonts w:eastAsia="Calibri" w:cs="Times New Roman"/>
                <w:sz w:val="28"/>
                <w:szCs w:val="28"/>
              </w:rPr>
              <w:t xml:space="preserve"> plānu.</w:t>
            </w:r>
          </w:p>
        </w:tc>
      </w:tr>
      <w:tr w:rsidR="002E079C" w:rsidRPr="002E079C" w14:paraId="1FFC7066" w14:textId="77777777" w:rsidTr="003167D9">
        <w:tc>
          <w:tcPr>
            <w:tcW w:w="1725" w:type="dxa"/>
          </w:tcPr>
          <w:p w14:paraId="35306DD1" w14:textId="77777777" w:rsidR="002E079C" w:rsidRPr="002E079C" w:rsidRDefault="002E079C" w:rsidP="002E079C">
            <w:pPr>
              <w:jc w:val="both"/>
              <w:rPr>
                <w:rFonts w:eastAsia="Calibri" w:cs="Times New Roman"/>
                <w:sz w:val="28"/>
                <w:szCs w:val="28"/>
              </w:rPr>
            </w:pPr>
            <w:r w:rsidRPr="002E079C">
              <w:rPr>
                <w:rFonts w:eastAsia="Calibri" w:cs="Times New Roman"/>
                <w:sz w:val="28"/>
                <w:szCs w:val="28"/>
              </w:rPr>
              <w:lastRenderedPageBreak/>
              <w:t xml:space="preserve">Ziņošana MK </w:t>
            </w:r>
            <w:r w:rsidRPr="002E079C">
              <w:rPr>
                <w:rFonts w:eastAsia="Calibri" w:cs="Times New Roman"/>
                <w:sz w:val="28"/>
                <w:szCs w:val="28"/>
                <w:vertAlign w:val="superscript"/>
              </w:rPr>
              <w:footnoteReference w:id="85"/>
            </w:r>
          </w:p>
        </w:tc>
        <w:tc>
          <w:tcPr>
            <w:tcW w:w="4097" w:type="dxa"/>
          </w:tcPr>
          <w:p w14:paraId="1DF1C42B" w14:textId="3D2E47F9" w:rsidR="002E079C" w:rsidRPr="002E079C" w:rsidRDefault="002E079C" w:rsidP="002E079C">
            <w:pPr>
              <w:numPr>
                <w:ilvl w:val="0"/>
                <w:numId w:val="32"/>
              </w:numPr>
              <w:ind w:left="10" w:firstLine="0"/>
              <w:contextualSpacing/>
              <w:jc w:val="both"/>
              <w:rPr>
                <w:rFonts w:eastAsia="Calibri" w:cs="Times New Roman"/>
                <w:sz w:val="28"/>
                <w:szCs w:val="28"/>
                <w:lang w:eastAsia="lv-LV"/>
              </w:rPr>
            </w:pPr>
            <w:r w:rsidRPr="002E079C">
              <w:rPr>
                <w:rFonts w:eastAsia="Calibri" w:cs="Times New Roman"/>
                <w:b/>
                <w:sz w:val="28"/>
                <w:szCs w:val="28"/>
                <w:lang w:eastAsia="lv-LV"/>
              </w:rPr>
              <w:t>Par 25</w:t>
            </w:r>
            <w:r w:rsidR="007B3AF8">
              <w:rPr>
                <w:rFonts w:eastAsia="Calibri" w:cs="Times New Roman"/>
                <w:b/>
                <w:sz w:val="28"/>
                <w:szCs w:val="28"/>
                <w:lang w:eastAsia="lv-LV"/>
              </w:rPr>
              <w:t> </w:t>
            </w:r>
            <w:r w:rsidRPr="002E079C">
              <w:rPr>
                <w:rFonts w:eastAsia="Calibri" w:cs="Times New Roman"/>
                <w:b/>
                <w:sz w:val="28"/>
                <w:szCs w:val="28"/>
                <w:lang w:eastAsia="lv-LV"/>
              </w:rPr>
              <w:t>% novirzēm no kalendārā gada plāna</w:t>
            </w:r>
            <w:r w:rsidRPr="002E079C">
              <w:rPr>
                <w:rFonts w:eastAsia="Calibri" w:cs="Times New Roman"/>
                <w:sz w:val="28"/>
                <w:szCs w:val="28"/>
                <w:lang w:eastAsia="lv-LV"/>
              </w:rPr>
              <w:t xml:space="preserve"> - </w:t>
            </w:r>
            <w:r w:rsidRPr="002E079C">
              <w:rPr>
                <w:rFonts w:eastAsia="Calibri" w:cs="Times New Roman"/>
                <w:b/>
                <w:sz w:val="28"/>
                <w:szCs w:val="28"/>
                <w:u w:val="single"/>
                <w:lang w:eastAsia="lv-LV"/>
              </w:rPr>
              <w:t>Nozares ministrijas</w:t>
            </w:r>
            <w:r w:rsidRPr="002E079C">
              <w:rPr>
                <w:rFonts w:eastAsia="Calibri" w:cs="Times New Roman"/>
                <w:sz w:val="28"/>
                <w:szCs w:val="28"/>
                <w:lang w:eastAsia="lv-LV"/>
              </w:rPr>
              <w:t xml:space="preserve"> </w:t>
            </w:r>
            <w:r w:rsidRPr="002E079C">
              <w:rPr>
                <w:rFonts w:eastAsia="Calibri" w:cs="Times New Roman"/>
                <w:sz w:val="28"/>
                <w:szCs w:val="28"/>
                <w:u w:val="single"/>
                <w:lang w:eastAsia="lv-LV"/>
              </w:rPr>
              <w:t>izvērtē</w:t>
            </w:r>
            <w:r w:rsidRPr="002E079C">
              <w:rPr>
                <w:rFonts w:eastAsia="Calibri" w:cs="Times New Roman"/>
                <w:sz w:val="28"/>
                <w:szCs w:val="28"/>
                <w:lang w:eastAsia="lv-LV"/>
              </w:rPr>
              <w:t xml:space="preserve"> informāciju par to padotības iestāžu īstenotajiem projektiem, sagatavojot informāciju par konkrētajiem iespējamajiem risinājumiem un turpmāko rīcību projektu īstenošanas konstatēto problēmu novēršanai</w:t>
            </w:r>
            <w:r w:rsidRPr="002E079C">
              <w:rPr>
                <w:rFonts w:eastAsia="Calibri" w:cs="Times New Roman"/>
                <w:sz w:val="28"/>
                <w:szCs w:val="28"/>
                <w:vertAlign w:val="superscript"/>
                <w:lang w:eastAsia="lv-LV"/>
              </w:rPr>
              <w:footnoteReference w:id="86"/>
            </w:r>
            <w:r w:rsidRPr="002E079C">
              <w:rPr>
                <w:rFonts w:eastAsia="Calibri" w:cs="Times New Roman"/>
                <w:sz w:val="28"/>
                <w:szCs w:val="28"/>
                <w:lang w:eastAsia="lv-LV"/>
              </w:rPr>
              <w:t xml:space="preserve"> </w:t>
            </w:r>
            <w:r w:rsidRPr="002E079C">
              <w:rPr>
                <w:rFonts w:eastAsia="Calibri" w:cs="Times New Roman"/>
                <w:sz w:val="28"/>
                <w:szCs w:val="28"/>
                <w:u w:val="single"/>
                <w:lang w:eastAsia="lv-LV"/>
              </w:rPr>
              <w:t xml:space="preserve">un iesniedz to </w:t>
            </w:r>
            <w:r w:rsidRPr="002E079C">
              <w:rPr>
                <w:rFonts w:eastAsia="Calibri" w:cs="Times New Roman"/>
                <w:b/>
                <w:sz w:val="28"/>
                <w:szCs w:val="28"/>
                <w:u w:val="single"/>
                <w:lang w:eastAsia="lv-LV"/>
              </w:rPr>
              <w:t>FM</w:t>
            </w:r>
            <w:r w:rsidRPr="002E079C">
              <w:rPr>
                <w:rFonts w:eastAsia="Calibri" w:cs="Times New Roman"/>
                <w:b/>
                <w:sz w:val="28"/>
                <w:szCs w:val="28"/>
                <w:u w:val="single"/>
                <w:vertAlign w:val="superscript"/>
                <w:lang w:eastAsia="lv-LV"/>
              </w:rPr>
              <w:footnoteReference w:id="87"/>
            </w:r>
            <w:r w:rsidRPr="002E079C">
              <w:rPr>
                <w:rFonts w:eastAsia="Calibri" w:cs="Times New Roman"/>
                <w:b/>
                <w:sz w:val="28"/>
                <w:szCs w:val="28"/>
                <w:lang w:eastAsia="lv-LV"/>
              </w:rPr>
              <w:t xml:space="preserve"> iekļaušanai apkopotā veidā MK kopā ar FM pusgada ziņojumu par ES fondu ieviešanu līdz 1.</w:t>
            </w:r>
            <w:r w:rsidR="007B3AF8">
              <w:rPr>
                <w:rFonts w:eastAsia="Calibri" w:cs="Times New Roman"/>
                <w:b/>
                <w:sz w:val="28"/>
                <w:szCs w:val="28"/>
                <w:lang w:eastAsia="lv-LV"/>
              </w:rPr>
              <w:t> </w:t>
            </w:r>
            <w:r w:rsidRPr="002E079C">
              <w:rPr>
                <w:rFonts w:eastAsia="Calibri" w:cs="Times New Roman"/>
                <w:b/>
                <w:sz w:val="28"/>
                <w:szCs w:val="28"/>
                <w:lang w:eastAsia="lv-LV"/>
              </w:rPr>
              <w:t>martam vai līdz 1.</w:t>
            </w:r>
            <w:r w:rsidR="007B3AF8">
              <w:rPr>
                <w:rFonts w:eastAsia="Calibri" w:cs="Times New Roman"/>
                <w:b/>
                <w:sz w:val="28"/>
                <w:szCs w:val="28"/>
                <w:lang w:eastAsia="lv-LV"/>
              </w:rPr>
              <w:t> </w:t>
            </w:r>
            <w:r w:rsidRPr="002E079C">
              <w:rPr>
                <w:rFonts w:eastAsia="Calibri" w:cs="Times New Roman"/>
                <w:b/>
                <w:sz w:val="28"/>
                <w:szCs w:val="28"/>
                <w:lang w:eastAsia="lv-LV"/>
              </w:rPr>
              <w:t>septembrim, ja nepieciešams</w:t>
            </w:r>
            <w:r w:rsidRPr="002E079C">
              <w:rPr>
                <w:rFonts w:eastAsia="Calibri" w:cs="Times New Roman"/>
                <w:sz w:val="28"/>
                <w:szCs w:val="28"/>
                <w:lang w:eastAsia="lv-LV"/>
              </w:rPr>
              <w:t>.</w:t>
            </w:r>
          </w:p>
          <w:p w14:paraId="5EFF65E8" w14:textId="338BF359" w:rsidR="002E079C" w:rsidRPr="002E079C" w:rsidRDefault="002E079C" w:rsidP="002E079C">
            <w:pPr>
              <w:numPr>
                <w:ilvl w:val="0"/>
                <w:numId w:val="32"/>
              </w:numPr>
              <w:ind w:left="10" w:firstLine="0"/>
              <w:contextualSpacing/>
              <w:jc w:val="both"/>
              <w:rPr>
                <w:rFonts w:eastAsia="Calibri" w:cs="Times New Roman"/>
                <w:sz w:val="28"/>
                <w:szCs w:val="28"/>
                <w:lang w:eastAsia="lv-LV"/>
              </w:rPr>
            </w:pPr>
            <w:r w:rsidRPr="002E079C">
              <w:rPr>
                <w:rFonts w:eastAsia="Calibri" w:cs="Times New Roman"/>
                <w:b/>
                <w:sz w:val="28"/>
                <w:szCs w:val="28"/>
                <w:lang w:eastAsia="lv-LV"/>
              </w:rPr>
              <w:t>Par 6 mēnešu pagarinājumu</w:t>
            </w:r>
            <w:r w:rsidRPr="002E079C">
              <w:rPr>
                <w:rFonts w:eastAsia="Calibri" w:cs="Times New Roman"/>
                <w:sz w:val="28"/>
                <w:szCs w:val="28"/>
                <w:lang w:eastAsia="lv-LV"/>
              </w:rPr>
              <w:t xml:space="preserve"> - </w:t>
            </w:r>
            <w:r w:rsidRPr="002E079C">
              <w:rPr>
                <w:rFonts w:eastAsia="Calibri" w:cs="Times New Roman"/>
                <w:b/>
                <w:sz w:val="28"/>
                <w:szCs w:val="28"/>
                <w:u w:val="single"/>
                <w:lang w:eastAsia="lv-LV"/>
              </w:rPr>
              <w:t>Nozares ministrijas</w:t>
            </w:r>
            <w:r w:rsidRPr="002E079C">
              <w:rPr>
                <w:rFonts w:eastAsia="Calibri" w:cs="Times New Roman"/>
                <w:sz w:val="28"/>
                <w:szCs w:val="28"/>
                <w:lang w:eastAsia="lv-LV"/>
              </w:rPr>
              <w:t xml:space="preserve"> izvērtē informāciju par to padotības iestāžu īstenotajiem projektiem, sagatavojot informāciju par konkrētajiem iespējamajiem risinājumiem un turpmāko rīcību projektu īstenošanas konstatēto problēmu novēršanai un iesniedz tos:</w:t>
            </w:r>
          </w:p>
          <w:p w14:paraId="06F56FA5" w14:textId="77777777" w:rsidR="002E079C" w:rsidRPr="002E079C" w:rsidRDefault="002E079C" w:rsidP="002E079C">
            <w:pPr>
              <w:numPr>
                <w:ilvl w:val="1"/>
                <w:numId w:val="32"/>
              </w:numPr>
              <w:ind w:left="10" w:firstLine="0"/>
              <w:contextualSpacing/>
              <w:jc w:val="both"/>
              <w:rPr>
                <w:rFonts w:eastAsia="Calibri" w:cs="Times New Roman"/>
                <w:sz w:val="28"/>
                <w:szCs w:val="28"/>
                <w:lang w:eastAsia="lv-LV"/>
              </w:rPr>
            </w:pPr>
            <w:r w:rsidRPr="002E079C">
              <w:rPr>
                <w:rFonts w:eastAsia="Calibri" w:cs="Times New Roman"/>
                <w:b/>
                <w:sz w:val="28"/>
                <w:szCs w:val="28"/>
                <w:u w:val="single"/>
                <w:lang w:eastAsia="lv-LV"/>
              </w:rPr>
              <w:t>FM</w:t>
            </w:r>
            <w:r w:rsidRPr="002E079C">
              <w:rPr>
                <w:rFonts w:eastAsia="Calibri" w:cs="Times New Roman"/>
                <w:b/>
                <w:sz w:val="28"/>
                <w:szCs w:val="28"/>
                <w:u w:val="single"/>
                <w:vertAlign w:val="superscript"/>
                <w:lang w:eastAsia="lv-LV"/>
              </w:rPr>
              <w:t>14</w:t>
            </w:r>
            <w:r w:rsidRPr="002E079C">
              <w:rPr>
                <w:rFonts w:eastAsia="Calibri" w:cs="Times New Roman"/>
                <w:b/>
                <w:sz w:val="28"/>
                <w:szCs w:val="28"/>
                <w:lang w:eastAsia="lv-LV"/>
              </w:rPr>
              <w:t xml:space="preserve"> iekļaušanai apkopotā veidā MK kopā ar FM pusgada ziņojumu par ES fondu ieviešanu līdz 1.septembrim vai 1.martam</w:t>
            </w:r>
            <w:r w:rsidRPr="002E079C">
              <w:rPr>
                <w:rFonts w:eastAsia="Calibri" w:cs="Times New Roman"/>
                <w:sz w:val="28"/>
                <w:szCs w:val="28"/>
                <w:lang w:eastAsia="lv-LV"/>
              </w:rPr>
              <w:t>.</w:t>
            </w:r>
          </w:p>
          <w:p w14:paraId="10C8B1CF" w14:textId="77777777" w:rsidR="002E079C" w:rsidRPr="002E079C" w:rsidRDefault="002E079C" w:rsidP="002E079C">
            <w:pPr>
              <w:numPr>
                <w:ilvl w:val="1"/>
                <w:numId w:val="32"/>
              </w:numPr>
              <w:ind w:left="10" w:firstLine="0"/>
              <w:contextualSpacing/>
              <w:jc w:val="both"/>
              <w:rPr>
                <w:rFonts w:eastAsia="Calibri" w:cs="Times New Roman"/>
                <w:sz w:val="28"/>
                <w:szCs w:val="28"/>
              </w:rPr>
            </w:pPr>
            <w:r w:rsidRPr="002E079C">
              <w:rPr>
                <w:rFonts w:eastAsia="Calibri" w:cs="Times New Roman"/>
                <w:b/>
                <w:sz w:val="28"/>
                <w:szCs w:val="28"/>
                <w:lang w:eastAsia="lv-LV"/>
              </w:rPr>
              <w:lastRenderedPageBreak/>
              <w:t xml:space="preserve">MK atsevišķi, </w:t>
            </w:r>
            <w:r w:rsidRPr="002E079C">
              <w:rPr>
                <w:rFonts w:eastAsia="Calibri" w:cs="Times New Roman"/>
                <w:sz w:val="28"/>
                <w:szCs w:val="28"/>
              </w:rPr>
              <w:t xml:space="preserve">sagatavojot </w:t>
            </w:r>
            <w:r w:rsidRPr="002E079C">
              <w:rPr>
                <w:rFonts w:eastAsia="Calibri" w:cs="Times New Roman"/>
                <w:sz w:val="28"/>
                <w:szCs w:val="28"/>
                <w:lang w:eastAsia="lv-LV"/>
              </w:rPr>
              <w:t>MK rīkojuma projektu</w:t>
            </w:r>
            <w:r w:rsidRPr="002E079C">
              <w:rPr>
                <w:rFonts w:eastAsia="Calibri" w:cs="Times New Roman"/>
                <w:sz w:val="28"/>
                <w:szCs w:val="28"/>
                <w:vertAlign w:val="superscript"/>
                <w:lang w:eastAsia="lv-LV"/>
              </w:rPr>
              <w:footnoteReference w:id="88"/>
            </w:r>
            <w:r w:rsidRPr="002E079C">
              <w:rPr>
                <w:rFonts w:eastAsia="Calibri" w:cs="Times New Roman"/>
                <w:sz w:val="28"/>
                <w:szCs w:val="28"/>
                <w:lang w:eastAsia="lv-LV"/>
              </w:rPr>
              <w:t xml:space="preserve"> vai MK sēdes protokollēmuma projektu ar konkrētiem turpmāk veicamiem uzdevumiem, to izpildes termiņiem un atbildīgajiem par to īstenošanu, anotācijā vai informatīvajā ziņojumā sniedzot detalizētu aprakstu par konstatētajām problēmām, par jau veiktajām un plānotajām pārbaudēm, lai konstatētu, vai minētās problēmas un to rašanas cēloņi ir tieši saistīti ar konkrētu darbinieku/ amatpersonu darbību vai bezdarbību. </w:t>
            </w:r>
          </w:p>
          <w:p w14:paraId="7E5A13C2" w14:textId="77777777" w:rsidR="002E079C" w:rsidRPr="002E079C" w:rsidRDefault="002E079C" w:rsidP="002E079C">
            <w:pPr>
              <w:ind w:left="66"/>
              <w:contextualSpacing/>
              <w:jc w:val="both"/>
              <w:rPr>
                <w:rFonts w:eastAsia="Calibri" w:cs="Times New Roman"/>
                <w:sz w:val="28"/>
                <w:szCs w:val="28"/>
              </w:rPr>
            </w:pPr>
          </w:p>
        </w:tc>
        <w:tc>
          <w:tcPr>
            <w:tcW w:w="3250" w:type="dxa"/>
          </w:tcPr>
          <w:p w14:paraId="60B4F734" w14:textId="1B0379A5" w:rsidR="002E079C" w:rsidRPr="002E079C" w:rsidRDefault="002E079C" w:rsidP="002E079C">
            <w:pPr>
              <w:contextualSpacing/>
              <w:jc w:val="both"/>
              <w:rPr>
                <w:rFonts w:eastAsia="Calibri" w:cs="Times New Roman"/>
                <w:sz w:val="28"/>
                <w:szCs w:val="28"/>
              </w:rPr>
            </w:pPr>
            <w:r w:rsidRPr="002E079C">
              <w:rPr>
                <w:rFonts w:eastAsia="Calibri" w:cs="Times New Roman"/>
                <w:sz w:val="28"/>
                <w:szCs w:val="28"/>
              </w:rPr>
              <w:lastRenderedPageBreak/>
              <w:t xml:space="preserve">Gadījumos, kad </w:t>
            </w:r>
            <w:r w:rsidR="003A1ACB">
              <w:rPr>
                <w:rFonts w:eastAsia="Calibri" w:cs="Times New Roman"/>
                <w:sz w:val="28"/>
                <w:szCs w:val="28"/>
              </w:rPr>
              <w:t>FS</w:t>
            </w:r>
            <w:r w:rsidRPr="002E079C">
              <w:rPr>
                <w:rFonts w:eastAsia="Calibri" w:cs="Times New Roman"/>
                <w:sz w:val="28"/>
                <w:szCs w:val="28"/>
              </w:rPr>
              <w:t xml:space="preserve"> vēršas ar lūgumu atļaut pagarināt projekta </w:t>
            </w:r>
            <w:proofErr w:type="spellStart"/>
            <w:r w:rsidRPr="002E079C">
              <w:rPr>
                <w:rFonts w:eastAsia="Calibri" w:cs="Times New Roman"/>
                <w:sz w:val="28"/>
                <w:szCs w:val="28"/>
              </w:rPr>
              <w:t>attiecināmības</w:t>
            </w:r>
            <w:proofErr w:type="spellEnd"/>
            <w:r w:rsidRPr="002E079C">
              <w:rPr>
                <w:rFonts w:eastAsia="Calibri" w:cs="Times New Roman"/>
                <w:sz w:val="28"/>
                <w:szCs w:val="28"/>
              </w:rPr>
              <w:t xml:space="preserve"> termiņu vairāk nekā par 6 mēnešiem un kad argumentēti lūdz nesamazināt publisko atbalsta finansējumu, </w:t>
            </w:r>
            <w:r w:rsidRPr="002E079C">
              <w:rPr>
                <w:rFonts w:eastAsia="Calibri" w:cs="Times New Roman"/>
                <w:sz w:val="28"/>
                <w:szCs w:val="28"/>
                <w:u w:val="single"/>
              </w:rPr>
              <w:t>CFLA informē AI un vadošo iestādi</w:t>
            </w:r>
            <w:r w:rsidRPr="002E079C">
              <w:rPr>
                <w:rFonts w:eastAsia="Calibri" w:cs="Times New Roman"/>
                <w:sz w:val="28"/>
                <w:szCs w:val="28"/>
              </w:rPr>
              <w:t xml:space="preserve"> un iestādes savstarpēji vienojas, vai ir pamats izņēmumam, par ko nepieciešams MK lēmums. </w:t>
            </w:r>
          </w:p>
          <w:p w14:paraId="197C7E4E" w14:textId="77777777" w:rsidR="002E079C" w:rsidRPr="002E079C" w:rsidRDefault="002E079C" w:rsidP="002E079C">
            <w:pPr>
              <w:contextualSpacing/>
              <w:jc w:val="both"/>
              <w:rPr>
                <w:rFonts w:eastAsia="Calibri" w:cs="Times New Roman"/>
                <w:b/>
                <w:sz w:val="28"/>
                <w:szCs w:val="28"/>
              </w:rPr>
            </w:pPr>
          </w:p>
          <w:p w14:paraId="580625D7" w14:textId="77777777" w:rsidR="002E079C" w:rsidRPr="002E079C" w:rsidRDefault="002E079C" w:rsidP="002E079C">
            <w:pPr>
              <w:contextualSpacing/>
              <w:jc w:val="both"/>
              <w:rPr>
                <w:rFonts w:eastAsia="Calibri" w:cs="Times New Roman"/>
                <w:sz w:val="28"/>
                <w:szCs w:val="28"/>
                <w:u w:val="single"/>
              </w:rPr>
            </w:pPr>
            <w:r w:rsidRPr="002E079C">
              <w:rPr>
                <w:rFonts w:eastAsia="Calibri" w:cs="Times New Roman"/>
                <w:sz w:val="28"/>
                <w:szCs w:val="28"/>
                <w:u w:val="single"/>
              </w:rPr>
              <w:t>Ja iestādes vienojas par finanšu disciplīnas izņēmuma gadījuma pamatotību, iespējama šāda virzība MK atkarībā no nepieciešamā MK lēmuma termiņa:</w:t>
            </w:r>
          </w:p>
          <w:p w14:paraId="7EE68916" w14:textId="177040D1" w:rsidR="002E079C" w:rsidRPr="002E079C" w:rsidRDefault="002E079C" w:rsidP="002E079C">
            <w:pPr>
              <w:numPr>
                <w:ilvl w:val="0"/>
                <w:numId w:val="36"/>
              </w:numPr>
              <w:ind w:left="169" w:firstLine="0"/>
              <w:contextualSpacing/>
              <w:jc w:val="both"/>
              <w:rPr>
                <w:rFonts w:eastAsia="Calibri" w:cs="Times New Roman"/>
                <w:sz w:val="28"/>
                <w:szCs w:val="28"/>
                <w:lang w:eastAsia="lv-LV"/>
              </w:rPr>
            </w:pPr>
            <w:r w:rsidRPr="002E079C">
              <w:rPr>
                <w:rFonts w:eastAsia="Calibri" w:cs="Times New Roman"/>
                <w:b/>
                <w:sz w:val="28"/>
                <w:szCs w:val="28"/>
                <w:lang w:eastAsia="lv-LV"/>
              </w:rPr>
              <w:t>Par 25</w:t>
            </w:r>
            <w:r w:rsidR="007B3AF8">
              <w:rPr>
                <w:rFonts w:eastAsia="Calibri" w:cs="Times New Roman"/>
                <w:b/>
                <w:sz w:val="28"/>
                <w:szCs w:val="28"/>
                <w:lang w:eastAsia="lv-LV"/>
              </w:rPr>
              <w:t> </w:t>
            </w:r>
            <w:r w:rsidRPr="002E079C">
              <w:rPr>
                <w:rFonts w:eastAsia="Calibri" w:cs="Times New Roman"/>
                <w:b/>
                <w:sz w:val="28"/>
                <w:szCs w:val="28"/>
                <w:lang w:eastAsia="lv-LV"/>
              </w:rPr>
              <w:t>% novirzēm no kalendārā gada plāna</w:t>
            </w:r>
            <w:r w:rsidRPr="002E079C">
              <w:rPr>
                <w:rFonts w:eastAsia="Calibri" w:cs="Times New Roman"/>
                <w:sz w:val="28"/>
                <w:szCs w:val="28"/>
                <w:lang w:eastAsia="lv-LV"/>
              </w:rPr>
              <w:t xml:space="preserve"> - </w:t>
            </w:r>
            <w:r w:rsidRPr="002E079C">
              <w:rPr>
                <w:rFonts w:eastAsia="Calibri" w:cs="Times New Roman"/>
                <w:b/>
                <w:sz w:val="28"/>
                <w:szCs w:val="28"/>
                <w:u w:val="single"/>
              </w:rPr>
              <w:t>ES fondu atbildīgā iestāde</w:t>
            </w:r>
            <w:r w:rsidRPr="002E079C">
              <w:rPr>
                <w:rFonts w:eastAsia="Calibri" w:cs="Times New Roman"/>
                <w:sz w:val="28"/>
                <w:szCs w:val="28"/>
              </w:rPr>
              <w:t xml:space="preserve"> atbilstoši tās kompetencē esošajam specifiskā atbalsta mērķim, uz kuru attiecas projektam piemērojamais disciplīnas izņēmuma </w:t>
            </w:r>
            <w:r w:rsidRPr="002E079C">
              <w:rPr>
                <w:rFonts w:eastAsia="Calibri" w:cs="Times New Roman"/>
                <w:sz w:val="28"/>
                <w:szCs w:val="28"/>
              </w:rPr>
              <w:lastRenderedPageBreak/>
              <w:t xml:space="preserve">gadījums, izvērtē informāciju un </w:t>
            </w:r>
            <w:r w:rsidRPr="002E079C">
              <w:rPr>
                <w:rFonts w:eastAsia="Calibri" w:cs="Times New Roman"/>
                <w:sz w:val="28"/>
                <w:szCs w:val="28"/>
                <w:u w:val="single"/>
                <w:lang w:eastAsia="lv-LV"/>
              </w:rPr>
              <w:t xml:space="preserve">iesniedz to </w:t>
            </w:r>
            <w:r w:rsidRPr="002E079C">
              <w:rPr>
                <w:rFonts w:eastAsia="Calibri" w:cs="Times New Roman"/>
                <w:b/>
                <w:sz w:val="28"/>
                <w:szCs w:val="28"/>
                <w:u w:val="single"/>
                <w:lang w:eastAsia="lv-LV"/>
              </w:rPr>
              <w:t>FM</w:t>
            </w:r>
            <w:r w:rsidRPr="002E079C">
              <w:rPr>
                <w:rFonts w:eastAsia="Calibri" w:cs="Times New Roman"/>
                <w:b/>
                <w:sz w:val="28"/>
                <w:szCs w:val="28"/>
                <w:u w:val="single"/>
                <w:vertAlign w:val="superscript"/>
                <w:lang w:eastAsia="lv-LV"/>
              </w:rPr>
              <w:t>14</w:t>
            </w:r>
            <w:r w:rsidRPr="002E079C">
              <w:rPr>
                <w:rFonts w:eastAsia="Calibri" w:cs="Times New Roman"/>
                <w:b/>
                <w:sz w:val="28"/>
                <w:szCs w:val="28"/>
                <w:lang w:eastAsia="lv-LV"/>
              </w:rPr>
              <w:t xml:space="preserve"> iekļaušanai apkopotā veidā MK kopā ar FM pusgada ziņojumu par ES fondu ieviešanu līdz 1.martam vai līdz 1.</w:t>
            </w:r>
            <w:r w:rsidR="007B3AF8">
              <w:rPr>
                <w:rFonts w:eastAsia="Calibri" w:cs="Times New Roman"/>
                <w:b/>
                <w:sz w:val="28"/>
                <w:szCs w:val="28"/>
                <w:lang w:eastAsia="lv-LV"/>
              </w:rPr>
              <w:t> </w:t>
            </w:r>
            <w:r w:rsidRPr="002E079C">
              <w:rPr>
                <w:rFonts w:eastAsia="Calibri" w:cs="Times New Roman"/>
                <w:b/>
                <w:sz w:val="28"/>
                <w:szCs w:val="28"/>
                <w:lang w:eastAsia="lv-LV"/>
              </w:rPr>
              <w:t>septembrim, ja nepieciešams</w:t>
            </w:r>
            <w:r w:rsidRPr="002E079C">
              <w:rPr>
                <w:rFonts w:eastAsia="Calibri" w:cs="Times New Roman"/>
                <w:sz w:val="28"/>
                <w:szCs w:val="28"/>
                <w:lang w:eastAsia="lv-LV"/>
              </w:rPr>
              <w:t>.</w:t>
            </w:r>
          </w:p>
          <w:p w14:paraId="6D2604FB" w14:textId="77777777" w:rsidR="002E079C" w:rsidRPr="002E079C" w:rsidRDefault="002E079C" w:rsidP="002E079C">
            <w:pPr>
              <w:numPr>
                <w:ilvl w:val="0"/>
                <w:numId w:val="36"/>
              </w:numPr>
              <w:ind w:left="169" w:firstLine="0"/>
              <w:contextualSpacing/>
              <w:jc w:val="both"/>
              <w:rPr>
                <w:rFonts w:eastAsia="Calibri" w:cs="Times New Roman"/>
                <w:sz w:val="28"/>
                <w:szCs w:val="28"/>
              </w:rPr>
            </w:pPr>
            <w:r w:rsidRPr="002E079C">
              <w:rPr>
                <w:rFonts w:eastAsia="Calibri" w:cs="Times New Roman"/>
                <w:b/>
                <w:sz w:val="28"/>
                <w:szCs w:val="28"/>
                <w:lang w:eastAsia="lv-LV"/>
              </w:rPr>
              <w:t>Par 6 mēnešu pagarinājumu</w:t>
            </w:r>
            <w:r w:rsidRPr="002E079C">
              <w:rPr>
                <w:rFonts w:eastAsia="Calibri" w:cs="Times New Roman"/>
                <w:sz w:val="28"/>
                <w:szCs w:val="28"/>
                <w:lang w:eastAsia="lv-LV"/>
              </w:rPr>
              <w:t xml:space="preserve"> - </w:t>
            </w:r>
            <w:r w:rsidRPr="002E079C">
              <w:rPr>
                <w:rFonts w:eastAsia="Calibri" w:cs="Times New Roman"/>
                <w:b/>
                <w:sz w:val="28"/>
                <w:szCs w:val="28"/>
                <w:u w:val="single"/>
              </w:rPr>
              <w:t>ES fondu atbildīgās iestādes</w:t>
            </w:r>
            <w:r w:rsidRPr="002E079C">
              <w:rPr>
                <w:rFonts w:eastAsia="Calibri" w:cs="Times New Roman"/>
                <w:sz w:val="28"/>
                <w:szCs w:val="28"/>
              </w:rPr>
              <w:t xml:space="preserve"> atbilstoši to kompetencē esošajiem specifiskajiem atbalsta mērķiem sagatavo informāciju par konkrētajiem iespējamajiem risinājumiem un turpmāko rīcību projektu īstenošanas konstatēto problēmu novēršanai, kā arī iesniedz priekšlikumu MK lēmumam par izņēmuma kārtā atbalstāmiem projekta grozījumiem </w:t>
            </w:r>
            <w:r w:rsidRPr="002E079C">
              <w:rPr>
                <w:rFonts w:eastAsia="Calibri" w:cs="Times New Roman"/>
                <w:b/>
                <w:sz w:val="28"/>
                <w:szCs w:val="28"/>
              </w:rPr>
              <w:t>un iesniedz</w:t>
            </w:r>
          </w:p>
          <w:p w14:paraId="6699F1EA" w14:textId="77777777" w:rsidR="002E079C" w:rsidRPr="002E079C" w:rsidRDefault="002E079C" w:rsidP="002E079C">
            <w:pPr>
              <w:numPr>
                <w:ilvl w:val="1"/>
                <w:numId w:val="36"/>
              </w:numPr>
              <w:ind w:left="169" w:firstLine="0"/>
              <w:contextualSpacing/>
              <w:jc w:val="both"/>
              <w:rPr>
                <w:rFonts w:eastAsia="Calibri" w:cs="Times New Roman"/>
                <w:b/>
                <w:sz w:val="28"/>
                <w:szCs w:val="28"/>
              </w:rPr>
            </w:pPr>
            <w:r w:rsidRPr="002E079C">
              <w:rPr>
                <w:rFonts w:eastAsia="Calibri" w:cs="Times New Roman"/>
                <w:b/>
                <w:sz w:val="28"/>
                <w:szCs w:val="28"/>
                <w:u w:val="single"/>
              </w:rPr>
              <w:t>FM</w:t>
            </w:r>
            <w:r w:rsidRPr="002E079C">
              <w:rPr>
                <w:rFonts w:eastAsia="Calibri" w:cs="Times New Roman"/>
                <w:b/>
                <w:sz w:val="28"/>
                <w:szCs w:val="28"/>
              </w:rPr>
              <w:t xml:space="preserve"> iekļaušanai apkopotā veidā MK kopā ar FM pusgada ziņojumu par ES fondu ieviešanu līdz 1.septembrim vai 1.martam.</w:t>
            </w:r>
          </w:p>
          <w:p w14:paraId="3AE28B07" w14:textId="4873464D" w:rsidR="002E079C" w:rsidRPr="002E079C" w:rsidRDefault="002E079C" w:rsidP="002E079C">
            <w:pPr>
              <w:numPr>
                <w:ilvl w:val="1"/>
                <w:numId w:val="36"/>
              </w:numPr>
              <w:ind w:left="169" w:firstLine="0"/>
              <w:contextualSpacing/>
              <w:jc w:val="both"/>
              <w:rPr>
                <w:rFonts w:eastAsia="Calibri" w:cs="Times New Roman"/>
                <w:sz w:val="28"/>
                <w:szCs w:val="28"/>
              </w:rPr>
            </w:pPr>
            <w:r w:rsidRPr="002E079C">
              <w:rPr>
                <w:rFonts w:eastAsia="Calibri" w:cs="Times New Roman"/>
                <w:b/>
                <w:sz w:val="28"/>
                <w:szCs w:val="28"/>
                <w:u w:val="single"/>
              </w:rPr>
              <w:t xml:space="preserve">MK atsevišķi, sagatavojot </w:t>
            </w:r>
            <w:r w:rsidRPr="002E079C">
              <w:rPr>
                <w:rFonts w:eastAsia="Calibri" w:cs="Times New Roman"/>
                <w:sz w:val="28"/>
                <w:szCs w:val="28"/>
                <w:lang w:eastAsia="lv-LV"/>
              </w:rPr>
              <w:t xml:space="preserve">MK rīkojuma projektu vai MK sēdes protokollēmuma projektu </w:t>
            </w:r>
            <w:r w:rsidRPr="002E079C">
              <w:rPr>
                <w:rFonts w:eastAsia="Calibri" w:cs="Times New Roman"/>
                <w:sz w:val="28"/>
                <w:szCs w:val="28"/>
              </w:rPr>
              <w:t xml:space="preserve">par konkrētajiem iespējamajiem </w:t>
            </w:r>
            <w:r w:rsidRPr="002E079C">
              <w:rPr>
                <w:rFonts w:eastAsia="Calibri" w:cs="Times New Roman"/>
                <w:sz w:val="28"/>
                <w:szCs w:val="28"/>
              </w:rPr>
              <w:lastRenderedPageBreak/>
              <w:t>risinājumiem un turpmāko rīcību</w:t>
            </w:r>
            <w:r w:rsidRPr="002E079C">
              <w:rPr>
                <w:rFonts w:eastAsia="Calibri" w:cs="Times New Roman"/>
                <w:sz w:val="28"/>
                <w:szCs w:val="28"/>
                <w:lang w:eastAsia="lv-LV"/>
              </w:rPr>
              <w:t xml:space="preserve"> projektu īstenošanas konstatēto problēmu novēršanai līdz līguma grozījumu iesniegšanai vai akceptēšanai </w:t>
            </w:r>
            <w:r w:rsidR="00025360">
              <w:rPr>
                <w:rFonts w:eastAsia="Calibri" w:cs="Times New Roman"/>
                <w:sz w:val="28"/>
                <w:szCs w:val="28"/>
                <w:lang w:eastAsia="lv-LV"/>
              </w:rPr>
              <w:t>SI</w:t>
            </w:r>
            <w:r w:rsidRPr="002E079C">
              <w:rPr>
                <w:rFonts w:eastAsia="Calibri" w:cs="Times New Roman"/>
                <w:sz w:val="28"/>
                <w:szCs w:val="28"/>
                <w:lang w:eastAsia="lv-LV"/>
              </w:rPr>
              <w:t>, kā arī iesniedz priekšlikumu MK lēmumam par izņēmuma kārtā atbalstāmiem projekta grozījumiem.</w:t>
            </w:r>
          </w:p>
        </w:tc>
      </w:tr>
      <w:tr w:rsidR="002E079C" w:rsidRPr="002E079C" w14:paraId="59EE0824" w14:textId="77777777" w:rsidTr="003167D9">
        <w:tc>
          <w:tcPr>
            <w:tcW w:w="1725" w:type="dxa"/>
          </w:tcPr>
          <w:p w14:paraId="3270BF43" w14:textId="77777777" w:rsidR="002E079C" w:rsidRPr="002E079C" w:rsidRDefault="002E079C" w:rsidP="002E079C">
            <w:pPr>
              <w:jc w:val="both"/>
              <w:rPr>
                <w:rFonts w:eastAsia="Calibri" w:cs="Times New Roman"/>
                <w:sz w:val="28"/>
                <w:szCs w:val="28"/>
              </w:rPr>
            </w:pPr>
            <w:r w:rsidRPr="002E079C">
              <w:rPr>
                <w:rFonts w:eastAsia="Calibri" w:cs="Times New Roman"/>
                <w:sz w:val="28"/>
                <w:szCs w:val="28"/>
              </w:rPr>
              <w:lastRenderedPageBreak/>
              <w:t>MK lēmums par:</w:t>
            </w:r>
          </w:p>
        </w:tc>
        <w:tc>
          <w:tcPr>
            <w:tcW w:w="7347" w:type="dxa"/>
            <w:gridSpan w:val="2"/>
          </w:tcPr>
          <w:p w14:paraId="2A664EC0" w14:textId="77777777" w:rsidR="002E079C" w:rsidRPr="002E079C" w:rsidRDefault="002E079C" w:rsidP="002E079C">
            <w:pPr>
              <w:ind w:left="29"/>
              <w:contextualSpacing/>
              <w:jc w:val="both"/>
              <w:rPr>
                <w:rFonts w:eastAsia="Calibri" w:cs="Times New Roman"/>
                <w:sz w:val="28"/>
                <w:szCs w:val="28"/>
                <w:lang w:eastAsia="lv-LV"/>
              </w:rPr>
            </w:pPr>
            <w:r w:rsidRPr="002E079C">
              <w:rPr>
                <w:rFonts w:eastAsia="Calibri" w:cs="Times New Roman"/>
                <w:b/>
                <w:sz w:val="28"/>
                <w:szCs w:val="28"/>
                <w:lang w:eastAsia="lv-LV"/>
              </w:rPr>
              <w:t>-</w:t>
            </w:r>
            <w:r w:rsidRPr="002E079C">
              <w:rPr>
                <w:rFonts w:eastAsia="Calibri" w:cs="Times New Roman"/>
                <w:sz w:val="28"/>
                <w:szCs w:val="28"/>
                <w:lang w:eastAsia="lv-LV"/>
              </w:rPr>
              <w:tab/>
              <w:t>Projekta īstenošanas termiņa pagarināšanu/nepagarināšanu;</w:t>
            </w:r>
          </w:p>
          <w:p w14:paraId="31E7D452" w14:textId="77777777" w:rsidR="002E079C" w:rsidRPr="002E079C" w:rsidRDefault="002E079C" w:rsidP="002E079C">
            <w:pPr>
              <w:ind w:left="29"/>
              <w:contextualSpacing/>
              <w:jc w:val="both"/>
              <w:rPr>
                <w:rFonts w:eastAsia="Calibri" w:cs="Times New Roman"/>
                <w:sz w:val="28"/>
                <w:szCs w:val="28"/>
                <w:lang w:eastAsia="lv-LV"/>
              </w:rPr>
            </w:pPr>
            <w:r w:rsidRPr="002E079C">
              <w:rPr>
                <w:rFonts w:eastAsia="Calibri" w:cs="Times New Roman"/>
                <w:sz w:val="28"/>
                <w:szCs w:val="28"/>
                <w:lang w:eastAsia="lv-LV"/>
              </w:rPr>
              <w:t>-</w:t>
            </w:r>
            <w:r w:rsidRPr="002E079C">
              <w:rPr>
                <w:rFonts w:eastAsia="Calibri" w:cs="Times New Roman"/>
                <w:sz w:val="28"/>
                <w:szCs w:val="28"/>
                <w:lang w:eastAsia="lv-LV"/>
              </w:rPr>
              <w:tab/>
              <w:t>Projekta finanšu plūsmas aktualizēšanu;</w:t>
            </w:r>
          </w:p>
          <w:p w14:paraId="25C92CF3" w14:textId="77777777" w:rsidR="002E079C" w:rsidRPr="002E079C" w:rsidRDefault="002E079C" w:rsidP="002E079C">
            <w:pPr>
              <w:ind w:left="29"/>
              <w:contextualSpacing/>
              <w:jc w:val="both"/>
              <w:rPr>
                <w:rFonts w:eastAsia="Calibri" w:cs="Times New Roman"/>
                <w:sz w:val="28"/>
                <w:szCs w:val="28"/>
                <w:lang w:eastAsia="lv-LV"/>
              </w:rPr>
            </w:pPr>
            <w:r w:rsidRPr="002E079C">
              <w:rPr>
                <w:rFonts w:eastAsia="Calibri" w:cs="Times New Roman"/>
                <w:sz w:val="28"/>
                <w:szCs w:val="28"/>
                <w:lang w:eastAsia="lv-LV"/>
              </w:rPr>
              <w:t>-</w:t>
            </w:r>
            <w:r w:rsidRPr="002E079C">
              <w:rPr>
                <w:rFonts w:eastAsia="Calibri" w:cs="Times New Roman"/>
                <w:sz w:val="28"/>
                <w:szCs w:val="28"/>
                <w:lang w:eastAsia="lv-LV"/>
              </w:rPr>
              <w:tab/>
              <w:t>Disciplinārlietas ierosināšanu;</w:t>
            </w:r>
          </w:p>
          <w:p w14:paraId="31CE33FB" w14:textId="77777777" w:rsidR="002E079C" w:rsidRPr="002E079C" w:rsidRDefault="002E079C" w:rsidP="002E079C">
            <w:pPr>
              <w:ind w:left="29"/>
              <w:contextualSpacing/>
              <w:jc w:val="both"/>
              <w:rPr>
                <w:rFonts w:eastAsia="Calibri" w:cs="Times New Roman"/>
                <w:sz w:val="28"/>
                <w:szCs w:val="28"/>
                <w:lang w:eastAsia="lv-LV"/>
              </w:rPr>
            </w:pPr>
            <w:r w:rsidRPr="002E079C">
              <w:rPr>
                <w:rFonts w:eastAsia="Calibri" w:cs="Times New Roman"/>
                <w:sz w:val="28"/>
                <w:szCs w:val="28"/>
                <w:lang w:eastAsia="lv-LV"/>
              </w:rPr>
              <w:t>-</w:t>
            </w:r>
            <w:r w:rsidRPr="002E079C">
              <w:rPr>
                <w:rFonts w:eastAsia="Calibri" w:cs="Times New Roman"/>
                <w:sz w:val="28"/>
                <w:szCs w:val="28"/>
                <w:lang w:eastAsia="lv-LV"/>
              </w:rPr>
              <w:tab/>
              <w:t>Naudas pārdali citam projektam/SAM;</w:t>
            </w:r>
          </w:p>
          <w:p w14:paraId="4EACE585" w14:textId="77777777" w:rsidR="002E079C" w:rsidRPr="002E079C" w:rsidRDefault="002E079C" w:rsidP="002E079C">
            <w:pPr>
              <w:ind w:left="29"/>
              <w:contextualSpacing/>
              <w:jc w:val="both"/>
              <w:rPr>
                <w:rFonts w:eastAsia="Calibri" w:cs="Times New Roman"/>
                <w:b/>
                <w:sz w:val="28"/>
                <w:szCs w:val="28"/>
                <w:lang w:eastAsia="lv-LV"/>
              </w:rPr>
            </w:pPr>
            <w:r w:rsidRPr="002E079C">
              <w:rPr>
                <w:rFonts w:eastAsia="Calibri" w:cs="Times New Roman"/>
                <w:sz w:val="28"/>
                <w:szCs w:val="28"/>
                <w:lang w:eastAsia="lv-LV"/>
              </w:rPr>
              <w:t>-</w:t>
            </w:r>
            <w:r w:rsidRPr="002E079C">
              <w:rPr>
                <w:rFonts w:eastAsia="Calibri" w:cs="Times New Roman"/>
                <w:sz w:val="28"/>
                <w:szCs w:val="28"/>
                <w:lang w:eastAsia="lv-LV"/>
              </w:rPr>
              <w:tab/>
              <w:t xml:space="preserve">Projekta līguma laušanu utt. </w:t>
            </w:r>
          </w:p>
        </w:tc>
      </w:tr>
      <w:tr w:rsidR="008419A5" w:rsidRPr="002E079C" w14:paraId="54BB0555" w14:textId="77777777" w:rsidTr="003167D9">
        <w:tc>
          <w:tcPr>
            <w:tcW w:w="1725" w:type="dxa"/>
          </w:tcPr>
          <w:p w14:paraId="4BEADEEE" w14:textId="350672D8" w:rsidR="008419A5" w:rsidRPr="002E079C" w:rsidRDefault="008419A5" w:rsidP="002E079C">
            <w:pPr>
              <w:jc w:val="both"/>
              <w:rPr>
                <w:rFonts w:eastAsia="Calibri" w:cs="Times New Roman"/>
                <w:sz w:val="28"/>
                <w:szCs w:val="28"/>
              </w:rPr>
            </w:pPr>
            <w:r>
              <w:rPr>
                <w:rFonts w:eastAsia="Calibri" w:cs="Times New Roman"/>
                <w:sz w:val="28"/>
                <w:szCs w:val="28"/>
              </w:rPr>
              <w:t>Izņēmumu gad</w:t>
            </w:r>
            <w:r w:rsidR="00A3230B">
              <w:rPr>
                <w:rFonts w:eastAsia="Calibri" w:cs="Times New Roman"/>
                <w:sz w:val="28"/>
                <w:szCs w:val="28"/>
              </w:rPr>
              <w:t>ījumi</w:t>
            </w:r>
          </w:p>
        </w:tc>
        <w:tc>
          <w:tcPr>
            <w:tcW w:w="7347" w:type="dxa"/>
            <w:gridSpan w:val="2"/>
          </w:tcPr>
          <w:p w14:paraId="17076213" w14:textId="095CD08B" w:rsidR="008419A5" w:rsidRPr="008419A5" w:rsidRDefault="008419A5" w:rsidP="00FF0CF0">
            <w:pPr>
              <w:jc w:val="both"/>
              <w:rPr>
                <w:color w:val="000000"/>
                <w:sz w:val="28"/>
                <w:szCs w:val="28"/>
              </w:rPr>
            </w:pPr>
            <w:r w:rsidRPr="00141E05">
              <w:rPr>
                <w:rFonts w:cs="Times New Roman"/>
                <w:sz w:val="28"/>
                <w:szCs w:val="28"/>
              </w:rPr>
              <w:t>Iespējamie izņēmumu gadījumi, kad atkāpes no noteiktiem finanšu disciplīnas nosacījumiem var tikt uzskatītas par objektīvi pamatotām, tiks noteikti MK noteikumu grozījumos Nr.784</w:t>
            </w:r>
            <w:r w:rsidRPr="00141E05">
              <w:rPr>
                <w:color w:val="000000"/>
                <w:sz w:val="28"/>
                <w:szCs w:val="28"/>
              </w:rPr>
              <w:t xml:space="preserve">. </w:t>
            </w:r>
            <w:r w:rsidRPr="00141E05">
              <w:rPr>
                <w:rFonts w:cs="Times New Roman"/>
                <w:sz w:val="28"/>
                <w:szCs w:val="28"/>
              </w:rPr>
              <w:t>Pie noteiktās situāc</w:t>
            </w:r>
            <w:r w:rsidR="00F20549">
              <w:rPr>
                <w:rFonts w:cs="Times New Roman"/>
                <w:sz w:val="28"/>
                <w:szCs w:val="28"/>
              </w:rPr>
              <w:t>i</w:t>
            </w:r>
            <w:r w:rsidRPr="00141E05">
              <w:rPr>
                <w:rFonts w:cs="Times New Roman"/>
                <w:sz w:val="28"/>
                <w:szCs w:val="28"/>
              </w:rPr>
              <w:t>jas iestāšan</w:t>
            </w:r>
            <w:r w:rsidR="00DE5989">
              <w:rPr>
                <w:rFonts w:cs="Times New Roman"/>
                <w:sz w:val="28"/>
                <w:szCs w:val="28"/>
              </w:rPr>
              <w:t>ā</w:t>
            </w:r>
            <w:r w:rsidRPr="00141E05">
              <w:rPr>
                <w:rFonts w:cs="Times New Roman"/>
                <w:sz w:val="28"/>
                <w:szCs w:val="28"/>
              </w:rPr>
              <w:t xml:space="preserve">s attiecīgi netiks piemērotas sankcijas un CFLA būs tiesīga atbalstīt attiecīgas objektīvi pamatotas izmaiņas projekta ieviešanas plānā. Katrs cits gadījums tiks atsevišķi vērtēts. Kā </w:t>
            </w:r>
            <w:r w:rsidR="00FF0CF0">
              <w:rPr>
                <w:rFonts w:cs="Times New Roman"/>
                <w:sz w:val="28"/>
                <w:szCs w:val="28"/>
              </w:rPr>
              <w:t>iespējamu</w:t>
            </w:r>
            <w:r w:rsidRPr="00141E05">
              <w:rPr>
                <w:rFonts w:cs="Times New Roman"/>
                <w:sz w:val="28"/>
                <w:szCs w:val="28"/>
              </w:rPr>
              <w:t xml:space="preserve"> pamatotu atkāpi no plāna var uzskat</w:t>
            </w:r>
            <w:r w:rsidR="00FF0CF0">
              <w:rPr>
                <w:rFonts w:cs="Times New Roman"/>
                <w:sz w:val="28"/>
                <w:szCs w:val="28"/>
              </w:rPr>
              <w:t xml:space="preserve">īt </w:t>
            </w:r>
            <w:r w:rsidRPr="00141E05">
              <w:rPr>
                <w:color w:val="000000"/>
                <w:sz w:val="28"/>
                <w:szCs w:val="28"/>
              </w:rPr>
              <w:t>izmaksu ietaupījum</w:t>
            </w:r>
            <w:r>
              <w:rPr>
                <w:color w:val="000000"/>
                <w:sz w:val="28"/>
                <w:szCs w:val="28"/>
              </w:rPr>
              <w:t>u</w:t>
            </w:r>
            <w:r w:rsidRPr="00141E05">
              <w:rPr>
                <w:color w:val="000000"/>
                <w:sz w:val="28"/>
                <w:szCs w:val="28"/>
              </w:rPr>
              <w:t>, izpildītāju avansu neizmantošan</w:t>
            </w:r>
            <w:r>
              <w:rPr>
                <w:color w:val="000000"/>
                <w:sz w:val="28"/>
                <w:szCs w:val="28"/>
              </w:rPr>
              <w:t>u</w:t>
            </w:r>
            <w:r w:rsidRPr="00141E05">
              <w:rPr>
                <w:color w:val="000000"/>
                <w:sz w:val="28"/>
                <w:szCs w:val="28"/>
              </w:rPr>
              <w:t>, ārkārtas laikapstākļ</w:t>
            </w:r>
            <w:r>
              <w:rPr>
                <w:color w:val="000000"/>
                <w:sz w:val="28"/>
                <w:szCs w:val="28"/>
              </w:rPr>
              <w:t>us</w:t>
            </w:r>
            <w:r w:rsidRPr="00141E05">
              <w:rPr>
                <w:color w:val="000000"/>
                <w:sz w:val="28"/>
                <w:szCs w:val="28"/>
              </w:rPr>
              <w:t xml:space="preserve"> u.c. </w:t>
            </w:r>
            <w:r w:rsidR="001D5CF2" w:rsidRPr="001D5CF2">
              <w:rPr>
                <w:color w:val="000000"/>
                <w:sz w:val="28"/>
                <w:szCs w:val="28"/>
              </w:rPr>
              <w:t>Izņēmumu gadījumi tiek noteikti, lai CFLA varētu atbalstīt izmaiņas projektā bez saskaņošanas MK.</w:t>
            </w:r>
          </w:p>
          <w:p w14:paraId="0C773864" w14:textId="77777777" w:rsidR="008419A5" w:rsidRPr="003167D9" w:rsidRDefault="008419A5" w:rsidP="002E079C">
            <w:pPr>
              <w:ind w:left="29"/>
              <w:contextualSpacing/>
              <w:jc w:val="both"/>
              <w:rPr>
                <w:rFonts w:eastAsia="Calibri" w:cs="Times New Roman"/>
                <w:sz w:val="28"/>
                <w:szCs w:val="28"/>
                <w:lang w:eastAsia="lv-LV"/>
              </w:rPr>
            </w:pPr>
          </w:p>
        </w:tc>
      </w:tr>
      <w:tr w:rsidR="002E079C" w:rsidRPr="002E079C" w14:paraId="72B94452" w14:textId="77777777" w:rsidTr="003167D9">
        <w:tc>
          <w:tcPr>
            <w:tcW w:w="1725" w:type="dxa"/>
          </w:tcPr>
          <w:p w14:paraId="1BBB2B57" w14:textId="77777777" w:rsidR="002E079C" w:rsidRPr="002E079C" w:rsidRDefault="002E079C" w:rsidP="002E079C">
            <w:pPr>
              <w:jc w:val="both"/>
              <w:rPr>
                <w:rFonts w:eastAsia="Calibri" w:cs="Times New Roman"/>
                <w:sz w:val="28"/>
                <w:szCs w:val="28"/>
              </w:rPr>
            </w:pPr>
            <w:r w:rsidRPr="002E079C">
              <w:rPr>
                <w:rFonts w:eastAsia="Calibri" w:cs="Times New Roman"/>
                <w:sz w:val="28"/>
                <w:szCs w:val="28"/>
              </w:rPr>
              <w:t>Riski</w:t>
            </w:r>
          </w:p>
        </w:tc>
        <w:tc>
          <w:tcPr>
            <w:tcW w:w="7347" w:type="dxa"/>
            <w:gridSpan w:val="2"/>
          </w:tcPr>
          <w:p w14:paraId="767A6F69" w14:textId="008BDE07" w:rsidR="002E079C" w:rsidRPr="003167D9" w:rsidRDefault="002E079C" w:rsidP="002E079C">
            <w:pPr>
              <w:ind w:left="29"/>
              <w:contextualSpacing/>
              <w:jc w:val="both"/>
              <w:rPr>
                <w:rFonts w:eastAsia="Calibri" w:cs="Times New Roman"/>
                <w:sz w:val="28"/>
                <w:szCs w:val="28"/>
                <w:lang w:eastAsia="lv-LV"/>
              </w:rPr>
            </w:pPr>
            <w:r w:rsidRPr="003167D9">
              <w:rPr>
                <w:rFonts w:eastAsia="Calibri" w:cs="Times New Roman"/>
                <w:sz w:val="28"/>
                <w:szCs w:val="28"/>
                <w:lang w:eastAsia="lv-LV"/>
              </w:rPr>
              <w:t>F</w:t>
            </w:r>
            <w:r w:rsidR="003A1ACB">
              <w:rPr>
                <w:rFonts w:eastAsia="Calibri" w:cs="Times New Roman"/>
                <w:sz w:val="28"/>
                <w:szCs w:val="28"/>
                <w:lang w:eastAsia="lv-LV"/>
              </w:rPr>
              <w:t>S</w:t>
            </w:r>
            <w:r w:rsidRPr="003167D9">
              <w:rPr>
                <w:rFonts w:eastAsia="Calibri" w:cs="Times New Roman"/>
                <w:sz w:val="28"/>
                <w:szCs w:val="28"/>
                <w:lang w:eastAsia="lv-LV"/>
              </w:rPr>
              <w:t xml:space="preserve"> strīdus saistībā ar projekta īstenošanas termiņa pagarināšanu un piemērojamo finanšu korekciju risina Eiropas Savienības struktūrfondu un Kohēzijas fonda 2014.</w:t>
            </w:r>
            <w:r w:rsidR="00F4624E">
              <w:rPr>
                <w:rFonts w:eastAsia="Calibri" w:cs="Times New Roman"/>
                <w:sz w:val="28"/>
                <w:szCs w:val="28"/>
                <w:lang w:eastAsia="lv-LV"/>
              </w:rPr>
              <w:t> – </w:t>
            </w:r>
            <w:r w:rsidRPr="003167D9">
              <w:rPr>
                <w:rFonts w:eastAsia="Calibri" w:cs="Times New Roman"/>
                <w:sz w:val="28"/>
                <w:szCs w:val="28"/>
                <w:lang w:eastAsia="lv-LV"/>
              </w:rPr>
              <w:t>2020.</w:t>
            </w:r>
            <w:r w:rsidR="00F4624E">
              <w:rPr>
                <w:rFonts w:eastAsia="Calibri" w:cs="Times New Roman"/>
                <w:sz w:val="28"/>
                <w:szCs w:val="28"/>
                <w:lang w:eastAsia="lv-LV"/>
              </w:rPr>
              <w:t> </w:t>
            </w:r>
            <w:r w:rsidRPr="003167D9">
              <w:rPr>
                <w:rFonts w:eastAsia="Calibri" w:cs="Times New Roman"/>
                <w:sz w:val="28"/>
                <w:szCs w:val="28"/>
                <w:lang w:eastAsia="lv-LV"/>
              </w:rPr>
              <w:t>gada plānošanas perioda vadības likumā noteiktajā kārtībā, proti, civiltiesiskā kārtībā (privātpersonas) vai apstrīdot CFLA lēmumu vadošajā iestādē (publiskas personas).</w:t>
            </w:r>
          </w:p>
          <w:p w14:paraId="521101EF" w14:textId="77777777" w:rsidR="002E079C" w:rsidRPr="003167D9" w:rsidRDefault="002E079C" w:rsidP="002E079C">
            <w:pPr>
              <w:ind w:left="29"/>
              <w:contextualSpacing/>
              <w:jc w:val="both"/>
              <w:rPr>
                <w:rFonts w:eastAsia="Calibri" w:cs="Times New Roman"/>
                <w:sz w:val="28"/>
                <w:szCs w:val="28"/>
                <w:lang w:eastAsia="lv-LV"/>
              </w:rPr>
            </w:pPr>
          </w:p>
          <w:p w14:paraId="71841227" w14:textId="7E1ED10B" w:rsidR="002E079C" w:rsidRPr="002E079C" w:rsidRDefault="002E079C" w:rsidP="002E079C">
            <w:pPr>
              <w:ind w:left="29"/>
              <w:contextualSpacing/>
              <w:jc w:val="both"/>
              <w:rPr>
                <w:rFonts w:eastAsia="Calibri" w:cs="Times New Roman"/>
                <w:sz w:val="28"/>
                <w:szCs w:val="28"/>
                <w:u w:val="single"/>
                <w:lang w:eastAsia="lv-LV"/>
              </w:rPr>
            </w:pPr>
            <w:r w:rsidRPr="003167D9">
              <w:rPr>
                <w:rFonts w:eastAsia="Calibri" w:cs="Times New Roman"/>
                <w:sz w:val="28"/>
                <w:szCs w:val="28"/>
                <w:lang w:eastAsia="lv-LV"/>
              </w:rPr>
              <w:t>Finanšu disciplīnu ieviešanai nav ietekmes uz snieguma ietvara jeb starpposma mērķu sasniegšanu 2018.</w:t>
            </w:r>
            <w:r w:rsidR="007B3AF8">
              <w:rPr>
                <w:rFonts w:eastAsia="Calibri" w:cs="Times New Roman"/>
                <w:sz w:val="28"/>
                <w:szCs w:val="28"/>
                <w:lang w:eastAsia="lv-LV"/>
              </w:rPr>
              <w:t> </w:t>
            </w:r>
            <w:r w:rsidRPr="003167D9">
              <w:rPr>
                <w:rFonts w:eastAsia="Calibri" w:cs="Times New Roman"/>
                <w:sz w:val="28"/>
                <w:szCs w:val="28"/>
                <w:lang w:eastAsia="lv-LV"/>
              </w:rPr>
              <w:t xml:space="preserve">gadā, bet konkrēto </w:t>
            </w:r>
            <w:r w:rsidR="003A1ACB">
              <w:rPr>
                <w:rFonts w:eastAsia="Calibri" w:cs="Times New Roman"/>
                <w:sz w:val="28"/>
                <w:szCs w:val="28"/>
                <w:lang w:eastAsia="lv-LV"/>
              </w:rPr>
              <w:t>FS</w:t>
            </w:r>
            <w:r w:rsidRPr="003167D9">
              <w:rPr>
                <w:rFonts w:eastAsia="Calibri" w:cs="Times New Roman"/>
                <w:sz w:val="28"/>
                <w:szCs w:val="28"/>
                <w:lang w:eastAsia="lv-LV"/>
              </w:rPr>
              <w:t xml:space="preserve"> plānu neizpilžu gadījumos var kalpot par labu pamatojumu/argumentu </w:t>
            </w:r>
            <w:proofErr w:type="spellStart"/>
            <w:r w:rsidRPr="003167D9">
              <w:rPr>
                <w:rFonts w:eastAsia="Calibri" w:cs="Times New Roman"/>
                <w:sz w:val="28"/>
                <w:szCs w:val="28"/>
                <w:lang w:eastAsia="lv-LV"/>
              </w:rPr>
              <w:t>virssaistību</w:t>
            </w:r>
            <w:proofErr w:type="spellEnd"/>
            <w:r w:rsidRPr="003167D9">
              <w:rPr>
                <w:rFonts w:eastAsia="Calibri" w:cs="Times New Roman"/>
                <w:sz w:val="28"/>
                <w:szCs w:val="28"/>
                <w:lang w:eastAsia="lv-LV"/>
              </w:rPr>
              <w:t xml:space="preserve"> un finanšu rezerves </w:t>
            </w:r>
            <w:r w:rsidR="007378FB">
              <w:rPr>
                <w:rFonts w:eastAsia="Calibri" w:cs="Times New Roman"/>
                <w:sz w:val="28"/>
                <w:szCs w:val="28"/>
                <w:lang w:eastAsia="lv-LV"/>
              </w:rPr>
              <w:t>ne</w:t>
            </w:r>
            <w:r w:rsidRPr="003167D9">
              <w:rPr>
                <w:rFonts w:eastAsia="Calibri" w:cs="Times New Roman"/>
                <w:sz w:val="28"/>
                <w:szCs w:val="28"/>
                <w:lang w:eastAsia="lv-LV"/>
              </w:rPr>
              <w:t>piešķiršanai.</w:t>
            </w:r>
          </w:p>
        </w:tc>
      </w:tr>
    </w:tbl>
    <w:p w14:paraId="683A6634" w14:textId="1672F554" w:rsidR="002E079C" w:rsidRDefault="002E079C" w:rsidP="002E079C"/>
    <w:p w14:paraId="424E7D3F" w14:textId="3ACCB2C7" w:rsidR="006D46FF" w:rsidRPr="00544C50" w:rsidRDefault="001F7BCC" w:rsidP="00942973">
      <w:pPr>
        <w:pStyle w:val="1lmenis"/>
        <w:spacing w:line="240" w:lineRule="auto"/>
      </w:pPr>
      <w:bookmarkStart w:id="14" w:name="_Toc504564217"/>
      <w:r w:rsidRPr="00544C50">
        <w:lastRenderedPageBreak/>
        <w:t xml:space="preserve">5. </w:t>
      </w:r>
      <w:r w:rsidR="009C0862" w:rsidRPr="00544C50">
        <w:t>EEZ/Norvēģijas finanšu instrumentu ieviešana</w:t>
      </w:r>
      <w:r w:rsidR="009C0862" w:rsidRPr="00544C50">
        <w:rPr>
          <w:rStyle w:val="FootnoteReference"/>
        </w:rPr>
        <w:footnoteReference w:id="89"/>
      </w:r>
      <w:bookmarkEnd w:id="14"/>
    </w:p>
    <w:p w14:paraId="02D2C369" w14:textId="6085A8D1" w:rsidR="00523E58" w:rsidRPr="00544C50" w:rsidRDefault="004F1492" w:rsidP="00942973">
      <w:pPr>
        <w:pStyle w:val="Default"/>
        <w:spacing w:line="240" w:lineRule="auto"/>
        <w:ind w:firstLine="720"/>
        <w:rPr>
          <w:rFonts w:eastAsia="Times New Roman"/>
          <w:b/>
          <w:i/>
          <w:sz w:val="28"/>
          <w:szCs w:val="28"/>
          <w:lang w:eastAsia="en-US"/>
        </w:rPr>
      </w:pPr>
      <w:r w:rsidRPr="00544C50">
        <w:rPr>
          <w:rFonts w:eastAsia="Times New Roman"/>
          <w:b/>
          <w:i/>
          <w:sz w:val="28"/>
          <w:szCs w:val="28"/>
          <w:lang w:eastAsia="en-US"/>
        </w:rPr>
        <w:t>EEZ/Norvēģijas finanšu instrumentu 2009</w:t>
      </w:r>
      <w:r w:rsidR="00991127">
        <w:rPr>
          <w:rFonts w:eastAsia="Times New Roman"/>
          <w:b/>
          <w:i/>
          <w:sz w:val="28"/>
          <w:szCs w:val="28"/>
          <w:lang w:eastAsia="en-US"/>
        </w:rPr>
        <w:t>. – </w:t>
      </w:r>
      <w:r w:rsidRPr="00544C50">
        <w:rPr>
          <w:rFonts w:eastAsia="Times New Roman"/>
          <w:b/>
          <w:i/>
          <w:sz w:val="28"/>
          <w:szCs w:val="28"/>
          <w:lang w:eastAsia="en-US"/>
        </w:rPr>
        <w:t>2014.</w:t>
      </w:r>
      <w:r w:rsidR="00991127">
        <w:rPr>
          <w:rFonts w:eastAsia="Times New Roman"/>
          <w:b/>
          <w:i/>
          <w:sz w:val="28"/>
          <w:szCs w:val="28"/>
          <w:lang w:eastAsia="en-US"/>
        </w:rPr>
        <w:t> </w:t>
      </w:r>
      <w:r w:rsidRPr="00544C50">
        <w:rPr>
          <w:rFonts w:eastAsia="Times New Roman"/>
          <w:b/>
          <w:i/>
          <w:sz w:val="28"/>
          <w:szCs w:val="28"/>
          <w:lang w:eastAsia="en-US"/>
        </w:rPr>
        <w:t>gada perioda ieviešana</w:t>
      </w:r>
    </w:p>
    <w:p w14:paraId="65120B01" w14:textId="77777777" w:rsidR="003D4393" w:rsidRPr="00544C50" w:rsidRDefault="00F50606" w:rsidP="003D4393">
      <w:pPr>
        <w:autoSpaceDE w:val="0"/>
        <w:autoSpaceDN w:val="0"/>
        <w:adjustRightInd w:val="0"/>
        <w:spacing w:before="120" w:after="120"/>
        <w:ind w:firstLine="720"/>
        <w:jc w:val="both"/>
        <w:rPr>
          <w:rFonts w:eastAsia="Calibri" w:cs="Times New Roman"/>
          <w:color w:val="000000"/>
          <w:sz w:val="28"/>
          <w:szCs w:val="28"/>
          <w:lang w:eastAsia="lv-LV"/>
        </w:rPr>
      </w:pPr>
      <w:r w:rsidRPr="00F50606">
        <w:rPr>
          <w:rFonts w:eastAsia="Calibri" w:cs="Times New Roman"/>
          <w:color w:val="000000"/>
          <w:sz w:val="28"/>
          <w:szCs w:val="28"/>
          <w:lang w:eastAsia="lv-LV"/>
        </w:rPr>
        <w:t>No kopējā pieejamā 75,1 milj.</w:t>
      </w:r>
      <w:r w:rsidRPr="00F50606">
        <w:rPr>
          <w:rFonts w:eastAsia="Calibri" w:cs="Times New Roman"/>
          <w:i/>
          <w:color w:val="000000"/>
          <w:sz w:val="28"/>
          <w:szCs w:val="28"/>
          <w:lang w:eastAsia="lv-LV"/>
        </w:rPr>
        <w:t> euro</w:t>
      </w:r>
      <w:r w:rsidRPr="00F50606">
        <w:rPr>
          <w:rFonts w:eastAsia="Calibri" w:cs="Times New Roman"/>
          <w:color w:val="000000"/>
          <w:sz w:val="28"/>
          <w:szCs w:val="28"/>
          <w:lang w:eastAsia="lv-LV"/>
        </w:rPr>
        <w:t xml:space="preserve"> EEZ/Norvēģijas finansējuma izmaksāti 67,6 milj.</w:t>
      </w:r>
      <w:r w:rsidRPr="00F50606">
        <w:rPr>
          <w:rFonts w:eastAsia="Calibri" w:cs="Times New Roman"/>
          <w:i/>
          <w:color w:val="000000"/>
          <w:sz w:val="28"/>
          <w:szCs w:val="28"/>
          <w:lang w:eastAsia="lv-LV"/>
        </w:rPr>
        <w:t> euro</w:t>
      </w:r>
      <w:r w:rsidRPr="00F50606">
        <w:rPr>
          <w:rFonts w:eastAsia="Calibri" w:cs="Times New Roman"/>
          <w:color w:val="000000"/>
          <w:sz w:val="28"/>
          <w:szCs w:val="28"/>
          <w:lang w:eastAsia="lv-LV"/>
        </w:rPr>
        <w:t xml:space="preserve"> jeb 90,0 %</w:t>
      </w:r>
      <w:r w:rsidR="00173436">
        <w:rPr>
          <w:rFonts w:eastAsia="Calibri" w:cs="Times New Roman"/>
          <w:color w:val="000000"/>
          <w:sz w:val="28"/>
          <w:szCs w:val="28"/>
          <w:lang w:eastAsia="lv-LV"/>
        </w:rPr>
        <w:t xml:space="preserve"> un investētais finansējums nodrošināja visu programmu efektīvu ieviešanu.</w:t>
      </w:r>
      <w:r w:rsidR="003D4393">
        <w:rPr>
          <w:rFonts w:eastAsia="Calibri" w:cs="Times New Roman"/>
          <w:color w:val="000000"/>
          <w:sz w:val="28"/>
          <w:szCs w:val="28"/>
          <w:lang w:eastAsia="lv-LV"/>
        </w:rPr>
        <w:t xml:space="preserve"> </w:t>
      </w:r>
      <w:r w:rsidR="003D4393" w:rsidRPr="00544C50">
        <w:rPr>
          <w:rFonts w:eastAsia="Calibri" w:cs="Times New Roman"/>
          <w:color w:val="000000"/>
          <w:sz w:val="28"/>
          <w:szCs w:val="28"/>
          <w:lang w:eastAsia="lv-LV"/>
        </w:rPr>
        <w:t>Līdz pārskata perioda beigām visās 7</w:t>
      </w:r>
      <w:r w:rsidR="003D4393">
        <w:rPr>
          <w:rFonts w:eastAsia="Calibri" w:cs="Times New Roman"/>
          <w:color w:val="000000"/>
          <w:sz w:val="28"/>
          <w:szCs w:val="28"/>
          <w:lang w:eastAsia="lv-LV"/>
        </w:rPr>
        <w:t> </w:t>
      </w:r>
      <w:r w:rsidR="003D4393" w:rsidRPr="00544C50">
        <w:rPr>
          <w:rFonts w:eastAsia="Calibri" w:cs="Times New Roman"/>
          <w:color w:val="000000"/>
          <w:sz w:val="28"/>
          <w:szCs w:val="28"/>
          <w:lang w:eastAsia="lv-LV"/>
        </w:rPr>
        <w:t xml:space="preserve">programmās veikti </w:t>
      </w:r>
      <w:proofErr w:type="spellStart"/>
      <w:r w:rsidR="003D4393" w:rsidRPr="00F02FD1">
        <w:rPr>
          <w:rFonts w:eastAsia="Calibri" w:cs="Times New Roman"/>
          <w:i/>
          <w:color w:val="000000"/>
          <w:sz w:val="28"/>
          <w:szCs w:val="28"/>
          <w:lang w:eastAsia="lv-LV"/>
        </w:rPr>
        <w:t>ex</w:t>
      </w:r>
      <w:proofErr w:type="spellEnd"/>
      <w:r w:rsidR="003D4393">
        <w:rPr>
          <w:rFonts w:eastAsia="Calibri" w:cs="Times New Roman"/>
          <w:i/>
          <w:color w:val="000000"/>
          <w:sz w:val="28"/>
          <w:szCs w:val="28"/>
          <w:lang w:eastAsia="lv-LV"/>
        </w:rPr>
        <w:t> </w:t>
      </w:r>
      <w:r w:rsidR="003D4393" w:rsidRPr="00F02FD1">
        <w:rPr>
          <w:rFonts w:eastAsia="Calibri" w:cs="Times New Roman"/>
          <w:i/>
          <w:color w:val="000000"/>
          <w:sz w:val="28"/>
          <w:szCs w:val="28"/>
          <w:lang w:eastAsia="lv-LV"/>
        </w:rPr>
        <w:t>–</w:t>
      </w:r>
      <w:r w:rsidR="003D4393">
        <w:rPr>
          <w:rFonts w:eastAsia="Calibri" w:cs="Times New Roman"/>
          <w:i/>
          <w:color w:val="000000"/>
          <w:sz w:val="28"/>
          <w:szCs w:val="28"/>
          <w:lang w:eastAsia="lv-LV"/>
        </w:rPr>
        <w:t> </w:t>
      </w:r>
      <w:r w:rsidR="003D4393" w:rsidRPr="00F02FD1">
        <w:rPr>
          <w:rFonts w:eastAsia="Calibri" w:cs="Times New Roman"/>
          <w:i/>
          <w:color w:val="000000"/>
          <w:sz w:val="28"/>
          <w:szCs w:val="28"/>
          <w:lang w:eastAsia="lv-LV"/>
        </w:rPr>
        <w:t xml:space="preserve">post </w:t>
      </w:r>
      <w:r w:rsidR="003D4393" w:rsidRPr="00F02FD1">
        <w:rPr>
          <w:rFonts w:eastAsia="Calibri" w:cs="Times New Roman"/>
          <w:color w:val="000000"/>
          <w:sz w:val="28"/>
          <w:szCs w:val="28"/>
          <w:lang w:eastAsia="lv-LV"/>
        </w:rPr>
        <w:t>(</w:t>
      </w:r>
      <w:r w:rsidR="003D4393" w:rsidRPr="00544C50">
        <w:rPr>
          <w:rFonts w:eastAsia="Calibri" w:cs="Times New Roman"/>
          <w:color w:val="000000"/>
          <w:sz w:val="28"/>
          <w:szCs w:val="28"/>
          <w:lang w:eastAsia="lv-LV"/>
        </w:rPr>
        <w:t>noslēguma) novērtējumi, kuros tika secināts, ka kopumā programmās sasniegti plānotie mērķi un rezultāti, un finansējums investēts efektīvi un lietderīgi, kā arī sadarbība ar donorvalstu partneriem kopumā uzrādīja augstu abpusējo ieguldījumu programmu īstenošanā.</w:t>
      </w:r>
    </w:p>
    <w:p w14:paraId="0762C5B5" w14:textId="1749AF23" w:rsidR="003D4393" w:rsidRPr="002A6F37" w:rsidRDefault="003D4393" w:rsidP="003D4393">
      <w:pPr>
        <w:autoSpaceDE w:val="0"/>
        <w:autoSpaceDN w:val="0"/>
        <w:adjustRightInd w:val="0"/>
        <w:spacing w:before="120" w:after="120"/>
        <w:ind w:firstLine="720"/>
        <w:jc w:val="both"/>
        <w:rPr>
          <w:rFonts w:eastAsia="Calibri" w:cs="Times New Roman"/>
          <w:color w:val="000000"/>
          <w:sz w:val="28"/>
          <w:szCs w:val="28"/>
          <w:lang w:eastAsia="lv-LV"/>
        </w:rPr>
      </w:pPr>
      <w:r w:rsidRPr="00544C50">
        <w:rPr>
          <w:rFonts w:eastAsia="Calibri" w:cs="Times New Roman"/>
          <w:color w:val="000000"/>
          <w:sz w:val="28"/>
          <w:szCs w:val="28"/>
          <w:lang w:eastAsia="lv-LV"/>
        </w:rPr>
        <w:t>2017.</w:t>
      </w:r>
      <w:r>
        <w:rPr>
          <w:rFonts w:eastAsia="Calibri" w:cs="Times New Roman"/>
          <w:color w:val="000000"/>
          <w:sz w:val="28"/>
          <w:szCs w:val="28"/>
          <w:lang w:eastAsia="lv-LV"/>
        </w:rPr>
        <w:t> </w:t>
      </w:r>
      <w:r w:rsidRPr="00544C50">
        <w:rPr>
          <w:rFonts w:eastAsia="Calibri" w:cs="Times New Roman"/>
          <w:color w:val="000000"/>
          <w:sz w:val="28"/>
          <w:szCs w:val="28"/>
          <w:lang w:eastAsia="lv-LV"/>
        </w:rPr>
        <w:t>gadā organizēti 6</w:t>
      </w:r>
      <w:r>
        <w:rPr>
          <w:rFonts w:eastAsia="Calibri" w:cs="Times New Roman"/>
          <w:color w:val="000000"/>
          <w:sz w:val="28"/>
          <w:szCs w:val="28"/>
          <w:lang w:eastAsia="lv-LV"/>
        </w:rPr>
        <w:t> </w:t>
      </w:r>
      <w:r w:rsidRPr="00544C50">
        <w:rPr>
          <w:rFonts w:eastAsia="Calibri" w:cs="Times New Roman"/>
          <w:color w:val="000000"/>
          <w:sz w:val="28"/>
          <w:szCs w:val="28"/>
          <w:lang w:eastAsia="lv-LV"/>
        </w:rPr>
        <w:t xml:space="preserve">programmu noslēguma pasākumi, tai skaitā </w:t>
      </w:r>
      <w:r>
        <w:rPr>
          <w:rFonts w:eastAsia="Calibri" w:cs="Times New Roman"/>
          <w:color w:val="000000"/>
          <w:sz w:val="28"/>
          <w:szCs w:val="28"/>
          <w:lang w:eastAsia="lv-LV"/>
        </w:rPr>
        <w:t>II </w:t>
      </w:r>
      <w:r w:rsidRPr="00544C50">
        <w:rPr>
          <w:rFonts w:eastAsia="Calibri" w:cs="Times New Roman"/>
          <w:color w:val="000000"/>
          <w:sz w:val="28"/>
          <w:szCs w:val="28"/>
          <w:lang w:eastAsia="lv-LV"/>
        </w:rPr>
        <w:t>pusgadā pēdējie 3</w:t>
      </w:r>
      <w:r>
        <w:rPr>
          <w:rFonts w:eastAsia="Calibri" w:cs="Times New Roman"/>
          <w:color w:val="000000"/>
          <w:sz w:val="28"/>
          <w:szCs w:val="28"/>
          <w:lang w:eastAsia="lv-LV"/>
        </w:rPr>
        <w:t> – </w:t>
      </w:r>
      <w:r w:rsidRPr="00544C50">
        <w:rPr>
          <w:rFonts w:eastAsia="Calibri" w:cs="Times New Roman"/>
          <w:color w:val="000000"/>
          <w:sz w:val="28"/>
          <w:szCs w:val="28"/>
          <w:lang w:eastAsia="lv-LV"/>
        </w:rPr>
        <w:t xml:space="preserve">IZM programmā </w:t>
      </w:r>
      <w:r w:rsidRPr="00544C50">
        <w:rPr>
          <w:rFonts w:eastAsia="Calibri" w:cs="Times New Roman"/>
          <w:b/>
          <w:color w:val="000000"/>
          <w:sz w:val="28"/>
          <w:szCs w:val="28"/>
          <w:lang w:eastAsia="lv-LV"/>
        </w:rPr>
        <w:t>“</w:t>
      </w:r>
      <w:r w:rsidRPr="00544C50">
        <w:rPr>
          <w:rFonts w:eastAsia="Calibri" w:cs="Times New Roman"/>
          <w:color w:val="000000"/>
          <w:sz w:val="28"/>
          <w:szCs w:val="28"/>
          <w:lang w:eastAsia="lv-LV"/>
        </w:rPr>
        <w:t>Pētniecība un stipendijas”, TM programmā “Latvijas korekcijas dienestu un Valsts policijas īslaicīgās aizturēšanas vietu reforma” un EM programmā “Inovācijas “zaļās” ražošanas jomā”.</w:t>
      </w:r>
      <w:r>
        <w:rPr>
          <w:rFonts w:eastAsia="Calibri" w:cs="Times New Roman"/>
          <w:color w:val="000000"/>
          <w:sz w:val="28"/>
          <w:szCs w:val="28"/>
          <w:lang w:eastAsia="lv-LV"/>
        </w:rPr>
        <w:t xml:space="preserve"> </w:t>
      </w:r>
      <w:r w:rsidRPr="00544C50">
        <w:rPr>
          <w:rFonts w:eastAsia="Calibri" w:cs="Times New Roman"/>
          <w:color w:val="000000"/>
          <w:sz w:val="28"/>
          <w:szCs w:val="28"/>
          <w:lang w:eastAsia="lv-LV"/>
        </w:rPr>
        <w:t>Plašāka informācija par</w:t>
      </w:r>
      <w:r w:rsidRPr="00544C50">
        <w:rPr>
          <w:rFonts w:eastAsia="Times New Roman" w:cs="Times New Roman"/>
          <w:szCs w:val="24"/>
        </w:rPr>
        <w:t xml:space="preserve"> </w:t>
      </w:r>
      <w:r w:rsidRPr="00544C50">
        <w:rPr>
          <w:rFonts w:eastAsia="Calibri" w:cs="Times New Roman"/>
          <w:color w:val="000000"/>
          <w:sz w:val="28"/>
          <w:szCs w:val="28"/>
          <w:lang w:eastAsia="lv-LV"/>
        </w:rPr>
        <w:t>EEZ/Norvēģijas finanšu instrumentiem pieejama tīmekļa vietnēs.</w:t>
      </w:r>
      <w:r w:rsidRPr="00544C50">
        <w:rPr>
          <w:rFonts w:eastAsia="Calibri" w:cs="Times New Roman"/>
          <w:color w:val="000000"/>
          <w:sz w:val="28"/>
          <w:szCs w:val="28"/>
          <w:vertAlign w:val="superscript"/>
          <w:lang w:eastAsia="lv-LV"/>
        </w:rPr>
        <w:footnoteReference w:id="90"/>
      </w:r>
    </w:p>
    <w:p w14:paraId="1B8A65DF" w14:textId="10D16D84" w:rsidR="00D12328" w:rsidRPr="009243E0" w:rsidRDefault="00A6600F" w:rsidP="009243E0">
      <w:pPr>
        <w:pStyle w:val="Caption"/>
        <w:keepNext/>
        <w:ind w:firstLine="720"/>
        <w:jc w:val="both"/>
        <w:rPr>
          <w:rFonts w:cs="Times New Roman"/>
          <w:color w:val="auto"/>
          <w:sz w:val="24"/>
          <w:szCs w:val="28"/>
        </w:rPr>
      </w:pPr>
      <w:r>
        <w:rPr>
          <w:rFonts w:cs="Times New Roman"/>
          <w:color w:val="auto"/>
          <w:sz w:val="24"/>
          <w:szCs w:val="28"/>
        </w:rPr>
        <w:t>I</w:t>
      </w:r>
      <w:r w:rsidR="00D12328" w:rsidRPr="009243E0">
        <w:rPr>
          <w:rFonts w:cs="Times New Roman"/>
          <w:color w:val="auto"/>
          <w:sz w:val="24"/>
          <w:szCs w:val="28"/>
        </w:rPr>
        <w:t xml:space="preserve">lustrācija </w:t>
      </w:r>
      <w:r w:rsidR="00FB2FF1" w:rsidRPr="0009605A">
        <w:rPr>
          <w:rFonts w:cs="Times New Roman"/>
          <w:color w:val="auto"/>
          <w:sz w:val="24"/>
          <w:szCs w:val="28"/>
        </w:rPr>
        <w:t>Nr.</w:t>
      </w:r>
      <w:r w:rsidR="00F4624E">
        <w:rPr>
          <w:rFonts w:cs="Times New Roman"/>
          <w:color w:val="auto"/>
          <w:sz w:val="24"/>
          <w:szCs w:val="28"/>
        </w:rPr>
        <w:t>4</w:t>
      </w:r>
      <w:r w:rsidR="00D12328" w:rsidRPr="0009605A">
        <w:rPr>
          <w:rFonts w:cs="Times New Roman"/>
          <w:color w:val="auto"/>
          <w:sz w:val="24"/>
          <w:szCs w:val="28"/>
        </w:rPr>
        <w:t xml:space="preserve"> “EEZ</w:t>
      </w:r>
      <w:r w:rsidR="00D12328" w:rsidRPr="009243E0">
        <w:rPr>
          <w:rFonts w:cs="Times New Roman"/>
          <w:color w:val="auto"/>
          <w:sz w:val="24"/>
          <w:szCs w:val="28"/>
        </w:rPr>
        <w:t>/Norvēģijas finanšu instrumentu programmās pieejamais un izmaksātais finansējums līdz 2017.</w:t>
      </w:r>
      <w:r w:rsidR="00991127" w:rsidRPr="009243E0">
        <w:rPr>
          <w:rFonts w:cs="Times New Roman"/>
          <w:color w:val="auto"/>
          <w:sz w:val="24"/>
          <w:szCs w:val="28"/>
        </w:rPr>
        <w:t> </w:t>
      </w:r>
      <w:r w:rsidR="00D12328" w:rsidRPr="009243E0">
        <w:rPr>
          <w:rFonts w:cs="Times New Roman"/>
          <w:color w:val="auto"/>
          <w:sz w:val="24"/>
          <w:szCs w:val="28"/>
        </w:rPr>
        <w:t>gada 3</w:t>
      </w:r>
      <w:r w:rsidR="00F50606" w:rsidRPr="009243E0">
        <w:rPr>
          <w:rFonts w:cs="Times New Roman"/>
          <w:color w:val="auto"/>
          <w:sz w:val="24"/>
          <w:szCs w:val="28"/>
        </w:rPr>
        <w:t>1</w:t>
      </w:r>
      <w:r w:rsidR="00D12328" w:rsidRPr="009243E0">
        <w:rPr>
          <w:rFonts w:cs="Times New Roman"/>
          <w:color w:val="auto"/>
          <w:sz w:val="24"/>
          <w:szCs w:val="28"/>
        </w:rPr>
        <w:t>.</w:t>
      </w:r>
      <w:r w:rsidR="00FB2FF1" w:rsidRPr="009243E0">
        <w:rPr>
          <w:rFonts w:cs="Times New Roman"/>
          <w:color w:val="auto"/>
          <w:sz w:val="24"/>
          <w:szCs w:val="28"/>
        </w:rPr>
        <w:t> </w:t>
      </w:r>
      <w:r w:rsidR="00F50606" w:rsidRPr="009243E0">
        <w:rPr>
          <w:rFonts w:cs="Times New Roman"/>
          <w:color w:val="auto"/>
          <w:sz w:val="24"/>
          <w:szCs w:val="28"/>
        </w:rPr>
        <w:t>decembrim</w:t>
      </w:r>
      <w:r w:rsidR="00D12328" w:rsidRPr="009243E0">
        <w:rPr>
          <w:rFonts w:cs="Times New Roman"/>
          <w:color w:val="auto"/>
          <w:sz w:val="24"/>
          <w:szCs w:val="28"/>
        </w:rPr>
        <w:t>, milj.</w:t>
      </w:r>
      <w:r w:rsidR="00FB2FF1" w:rsidRPr="009243E0">
        <w:rPr>
          <w:rFonts w:cs="Times New Roman"/>
          <w:color w:val="auto"/>
          <w:sz w:val="24"/>
          <w:szCs w:val="28"/>
        </w:rPr>
        <w:t> </w:t>
      </w:r>
      <w:r w:rsidR="00D12328" w:rsidRPr="009243E0">
        <w:rPr>
          <w:rFonts w:cs="Times New Roman"/>
          <w:color w:val="auto"/>
          <w:sz w:val="24"/>
          <w:szCs w:val="28"/>
        </w:rPr>
        <w:t>euro”</w:t>
      </w:r>
    </w:p>
    <w:p w14:paraId="5007467C" w14:textId="38D594F0" w:rsidR="00CF09BA" w:rsidRPr="00E94DEB" w:rsidRDefault="00F50606" w:rsidP="00942973">
      <w:pPr>
        <w:pStyle w:val="Default"/>
        <w:spacing w:line="240" w:lineRule="auto"/>
        <w:rPr>
          <w:sz w:val="28"/>
          <w:szCs w:val="28"/>
          <w:highlight w:val="yellow"/>
        </w:rPr>
      </w:pPr>
      <w:r>
        <w:rPr>
          <w:noProof/>
        </w:rPr>
        <w:drawing>
          <wp:inline distT="0" distB="0" distL="0" distR="0" wp14:anchorId="7E3AC4C3" wp14:editId="16E5C95C">
            <wp:extent cx="5760085" cy="4286250"/>
            <wp:effectExtent l="0" t="0" r="1206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B2CA8D" w14:textId="5429C72C" w:rsidR="00544C50" w:rsidRPr="00544C50" w:rsidRDefault="003D4393" w:rsidP="00942973">
      <w:pPr>
        <w:pStyle w:val="Default"/>
        <w:spacing w:line="240" w:lineRule="auto"/>
        <w:ind w:firstLine="720"/>
        <w:rPr>
          <w:i/>
          <w:sz w:val="28"/>
          <w:szCs w:val="28"/>
        </w:rPr>
      </w:pPr>
      <w:r>
        <w:rPr>
          <w:sz w:val="28"/>
          <w:szCs w:val="28"/>
        </w:rPr>
        <w:lastRenderedPageBreak/>
        <w:t>S</w:t>
      </w:r>
      <w:r w:rsidR="00544C50" w:rsidRPr="00544C50">
        <w:rPr>
          <w:sz w:val="28"/>
          <w:szCs w:val="28"/>
        </w:rPr>
        <w:t xml:space="preserve">askaņā ar MK 2017. gada 14. marta sēdes protokollēmuma (Nr. 12 43.§) 10. punktu 2017. gadā EEZ/Norvēģijas finanšu instrumentu līdzfinansējuma investīcijas </w:t>
      </w:r>
      <w:r>
        <w:rPr>
          <w:sz w:val="28"/>
          <w:szCs w:val="28"/>
        </w:rPr>
        <w:t xml:space="preserve">veiktas par </w:t>
      </w:r>
      <w:r w:rsidR="00544C50" w:rsidRPr="00544C50">
        <w:rPr>
          <w:sz w:val="28"/>
          <w:szCs w:val="28"/>
        </w:rPr>
        <w:t>6,5 milj. </w:t>
      </w:r>
      <w:r w:rsidR="00544C50" w:rsidRPr="00544C50">
        <w:rPr>
          <w:i/>
          <w:sz w:val="28"/>
          <w:szCs w:val="28"/>
        </w:rPr>
        <w:t>euro</w:t>
      </w:r>
      <w:r w:rsidR="00544C50" w:rsidRPr="00544C50">
        <w:rPr>
          <w:sz w:val="28"/>
          <w:szCs w:val="28"/>
        </w:rPr>
        <w:t xml:space="preserve"> </w:t>
      </w:r>
      <w:r>
        <w:rPr>
          <w:sz w:val="28"/>
          <w:szCs w:val="28"/>
        </w:rPr>
        <w:t>(</w:t>
      </w:r>
      <w:r w:rsidR="00544C50" w:rsidRPr="00544C50">
        <w:rPr>
          <w:sz w:val="28"/>
          <w:szCs w:val="28"/>
        </w:rPr>
        <w:t>par 49,6 % mazāk</w:t>
      </w:r>
      <w:r>
        <w:rPr>
          <w:sz w:val="28"/>
          <w:szCs w:val="28"/>
        </w:rPr>
        <w:t xml:space="preserve"> nekā plānot</w:t>
      </w:r>
      <w:r w:rsidR="00544C50" w:rsidRPr="00544C50">
        <w:rPr>
          <w:sz w:val="28"/>
          <w:szCs w:val="28"/>
        </w:rPr>
        <w:t>s</w:t>
      </w:r>
      <w:r>
        <w:rPr>
          <w:sz w:val="28"/>
          <w:szCs w:val="28"/>
        </w:rPr>
        <w:t>)</w:t>
      </w:r>
      <w:r w:rsidR="00544C50" w:rsidRPr="00544C50">
        <w:rPr>
          <w:sz w:val="28"/>
          <w:szCs w:val="28"/>
        </w:rPr>
        <w:t>.</w:t>
      </w:r>
    </w:p>
    <w:p w14:paraId="3F1B0901" w14:textId="4D63128E" w:rsidR="0067788E" w:rsidRPr="009243E0" w:rsidRDefault="00A6600F" w:rsidP="003B5107">
      <w:pPr>
        <w:pStyle w:val="Caption"/>
        <w:keepNext/>
        <w:jc w:val="both"/>
        <w:rPr>
          <w:rFonts w:cs="Times New Roman"/>
          <w:color w:val="auto"/>
          <w:sz w:val="24"/>
          <w:szCs w:val="28"/>
        </w:rPr>
      </w:pPr>
      <w:r>
        <w:rPr>
          <w:rFonts w:cs="Times New Roman"/>
          <w:color w:val="auto"/>
          <w:sz w:val="24"/>
          <w:szCs w:val="28"/>
        </w:rPr>
        <w:t>Il</w:t>
      </w:r>
      <w:r w:rsidR="0067788E" w:rsidRPr="009243E0">
        <w:rPr>
          <w:rFonts w:cs="Times New Roman"/>
          <w:color w:val="auto"/>
          <w:sz w:val="24"/>
          <w:szCs w:val="28"/>
        </w:rPr>
        <w:t xml:space="preserve">ustrācija </w:t>
      </w:r>
      <w:r w:rsidR="00FB2FF1" w:rsidRPr="0009605A">
        <w:rPr>
          <w:rFonts w:cs="Times New Roman"/>
          <w:color w:val="auto"/>
          <w:sz w:val="24"/>
          <w:szCs w:val="28"/>
        </w:rPr>
        <w:t>Nr.</w:t>
      </w:r>
      <w:r w:rsidR="00F4624E">
        <w:rPr>
          <w:rFonts w:cs="Times New Roman"/>
          <w:color w:val="auto"/>
          <w:sz w:val="24"/>
          <w:szCs w:val="28"/>
        </w:rPr>
        <w:t>5</w:t>
      </w:r>
      <w:r w:rsidR="0067788E" w:rsidRPr="0009605A">
        <w:rPr>
          <w:rFonts w:cs="Times New Roman"/>
          <w:color w:val="auto"/>
          <w:sz w:val="24"/>
          <w:szCs w:val="28"/>
        </w:rPr>
        <w:t xml:space="preserve"> “EEZ</w:t>
      </w:r>
      <w:r w:rsidR="0067788E" w:rsidRPr="009243E0">
        <w:rPr>
          <w:rFonts w:cs="Times New Roman"/>
          <w:color w:val="auto"/>
          <w:sz w:val="24"/>
          <w:szCs w:val="28"/>
        </w:rPr>
        <w:t>/Norvēģijas finanšu instrumentu investīciju plāns un tā izpilde 2017.</w:t>
      </w:r>
      <w:r w:rsidR="00991127" w:rsidRPr="009243E0">
        <w:rPr>
          <w:rFonts w:cs="Times New Roman"/>
          <w:color w:val="auto"/>
          <w:sz w:val="24"/>
          <w:szCs w:val="28"/>
        </w:rPr>
        <w:t> </w:t>
      </w:r>
      <w:r w:rsidR="0067788E" w:rsidRPr="009243E0">
        <w:rPr>
          <w:rFonts w:cs="Times New Roman"/>
          <w:color w:val="auto"/>
          <w:sz w:val="24"/>
          <w:szCs w:val="28"/>
        </w:rPr>
        <w:t>gada pārskata periodā, milj.</w:t>
      </w:r>
      <w:r w:rsidR="00991127" w:rsidRPr="009243E0">
        <w:rPr>
          <w:rFonts w:cs="Times New Roman"/>
          <w:color w:val="auto"/>
          <w:sz w:val="24"/>
          <w:szCs w:val="28"/>
        </w:rPr>
        <w:t> </w:t>
      </w:r>
      <w:r w:rsidR="0067788E" w:rsidRPr="009243E0">
        <w:rPr>
          <w:rFonts w:cs="Times New Roman"/>
          <w:color w:val="auto"/>
          <w:sz w:val="24"/>
          <w:szCs w:val="28"/>
        </w:rPr>
        <w:t>euro. ”</w:t>
      </w:r>
    </w:p>
    <w:p w14:paraId="2EE7EED1" w14:textId="665464D8" w:rsidR="00CF09BA" w:rsidRPr="00E94DEB" w:rsidRDefault="00544C50" w:rsidP="00942973">
      <w:pPr>
        <w:pStyle w:val="Default"/>
        <w:spacing w:line="240" w:lineRule="auto"/>
        <w:rPr>
          <w:sz w:val="28"/>
          <w:szCs w:val="28"/>
          <w:highlight w:val="yellow"/>
        </w:rPr>
      </w:pPr>
      <w:r>
        <w:rPr>
          <w:noProof/>
        </w:rPr>
        <w:drawing>
          <wp:inline distT="0" distB="0" distL="0" distR="0" wp14:anchorId="4EADB1C5" wp14:editId="55891B51">
            <wp:extent cx="5732780" cy="3219450"/>
            <wp:effectExtent l="0" t="0" r="127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37CEBE" w14:textId="4A375092" w:rsidR="00544C50" w:rsidRPr="00544C50" w:rsidRDefault="00544C50" w:rsidP="00942973">
      <w:pPr>
        <w:autoSpaceDE w:val="0"/>
        <w:autoSpaceDN w:val="0"/>
        <w:adjustRightInd w:val="0"/>
        <w:spacing w:before="120" w:after="120"/>
        <w:ind w:firstLine="720"/>
        <w:jc w:val="both"/>
        <w:rPr>
          <w:rFonts w:eastAsia="Calibri" w:cs="Times New Roman"/>
          <w:color w:val="000000"/>
          <w:sz w:val="28"/>
          <w:szCs w:val="28"/>
          <w:lang w:eastAsia="lv-LV"/>
        </w:rPr>
      </w:pPr>
      <w:r w:rsidRPr="00544C50">
        <w:rPr>
          <w:rFonts w:eastAsia="Calibri" w:cs="Times New Roman"/>
          <w:color w:val="000000"/>
          <w:sz w:val="28"/>
          <w:szCs w:val="28"/>
          <w:lang w:eastAsia="lv-LV"/>
        </w:rPr>
        <w:t>Vislielākās novirzes no investīciju plāna radās KM programmā “Kultūras un dabas mantojuma saglabāšana un atjaunināšana”, jo Rakstniecības un mūzikas muzeja projektā bija nozīmīgi sarežģījumi gan iepirkumos, gan būvniecības darbos, kā rezultātā projekta mērķis</w:t>
      </w:r>
      <w:r w:rsidR="00FD5650">
        <w:rPr>
          <w:rFonts w:eastAsia="Calibri" w:cs="Times New Roman"/>
          <w:color w:val="000000"/>
          <w:sz w:val="28"/>
          <w:szCs w:val="28"/>
          <w:lang w:eastAsia="lv-LV"/>
        </w:rPr>
        <w:t> </w:t>
      </w:r>
      <w:r w:rsidR="009243E0">
        <w:rPr>
          <w:rFonts w:eastAsia="Calibri" w:cs="Times New Roman"/>
          <w:color w:val="000000"/>
          <w:sz w:val="28"/>
          <w:szCs w:val="28"/>
          <w:lang w:eastAsia="lv-LV"/>
        </w:rPr>
        <w:t>–</w:t>
      </w:r>
      <w:r w:rsidR="00FD5650">
        <w:rPr>
          <w:rFonts w:eastAsia="Calibri" w:cs="Times New Roman"/>
          <w:color w:val="000000"/>
          <w:sz w:val="28"/>
          <w:szCs w:val="28"/>
          <w:lang w:eastAsia="lv-LV"/>
        </w:rPr>
        <w:t> </w:t>
      </w:r>
      <w:r w:rsidRPr="00544C50">
        <w:rPr>
          <w:rFonts w:eastAsia="Calibri" w:cs="Times New Roman"/>
          <w:color w:val="000000"/>
          <w:sz w:val="28"/>
          <w:szCs w:val="28"/>
          <w:lang w:eastAsia="lv-LV"/>
        </w:rPr>
        <w:t>atjaunot muzeja ēku un piemērot to sabiedrības vajadzībām, izveidojot jaunas ekspozīcijas</w:t>
      </w:r>
      <w:r w:rsidR="00FD5650">
        <w:rPr>
          <w:rFonts w:eastAsia="Calibri" w:cs="Times New Roman"/>
          <w:color w:val="000000"/>
          <w:sz w:val="28"/>
          <w:szCs w:val="28"/>
          <w:lang w:eastAsia="lv-LV"/>
        </w:rPr>
        <w:t> – </w:t>
      </w:r>
      <w:r w:rsidRPr="00544C50">
        <w:rPr>
          <w:rFonts w:eastAsia="Calibri" w:cs="Times New Roman"/>
          <w:color w:val="000000"/>
          <w:sz w:val="28"/>
          <w:szCs w:val="28"/>
          <w:lang w:eastAsia="lv-LV"/>
        </w:rPr>
        <w:t>netika sasniegts projekta īstenošanas termiņā līdz 2017.</w:t>
      </w:r>
      <w:r w:rsidR="00991127">
        <w:rPr>
          <w:rFonts w:eastAsia="Calibri" w:cs="Times New Roman"/>
          <w:color w:val="000000"/>
          <w:sz w:val="28"/>
          <w:szCs w:val="28"/>
          <w:lang w:eastAsia="lv-LV"/>
        </w:rPr>
        <w:t> </w:t>
      </w:r>
      <w:r w:rsidRPr="00544C50">
        <w:rPr>
          <w:rFonts w:eastAsia="Calibri" w:cs="Times New Roman"/>
          <w:color w:val="000000"/>
          <w:sz w:val="28"/>
          <w:szCs w:val="28"/>
          <w:lang w:eastAsia="lv-LV"/>
        </w:rPr>
        <w:t>gada 30.</w:t>
      </w:r>
      <w:r w:rsidR="00991127">
        <w:rPr>
          <w:rFonts w:eastAsia="Calibri" w:cs="Times New Roman"/>
          <w:color w:val="000000"/>
          <w:sz w:val="28"/>
          <w:szCs w:val="28"/>
          <w:lang w:eastAsia="lv-LV"/>
        </w:rPr>
        <w:t> </w:t>
      </w:r>
      <w:r w:rsidRPr="00544C50">
        <w:rPr>
          <w:rFonts w:eastAsia="Calibri" w:cs="Times New Roman"/>
          <w:color w:val="000000"/>
          <w:sz w:val="28"/>
          <w:szCs w:val="28"/>
          <w:lang w:eastAsia="lv-LV"/>
        </w:rPr>
        <w:t>aprīlim. Pārējās programmās novirzes galvenokārt skaidrojamas ar finansējuma ietaupījumiem projektos.</w:t>
      </w:r>
    </w:p>
    <w:p w14:paraId="001C4BB0" w14:textId="7AD1F8BD" w:rsidR="00AB3AE3" w:rsidRPr="00F02FD1" w:rsidRDefault="00DC67FA" w:rsidP="00942973">
      <w:pPr>
        <w:ind w:firstLine="720"/>
        <w:jc w:val="both"/>
        <w:rPr>
          <w:rFonts w:cs="Times New Roman"/>
          <w:i/>
          <w:color w:val="000000"/>
          <w:sz w:val="28"/>
          <w:szCs w:val="28"/>
          <w:lang w:eastAsia="lv-LV"/>
        </w:rPr>
      </w:pPr>
      <w:r w:rsidRPr="00F02FD1">
        <w:rPr>
          <w:rFonts w:eastAsia="Times New Roman" w:cs="Times New Roman"/>
          <w:b/>
          <w:i/>
          <w:color w:val="000000"/>
          <w:sz w:val="28"/>
          <w:szCs w:val="28"/>
          <w:lang w:eastAsia="lv-LV"/>
        </w:rPr>
        <w:t xml:space="preserve">EEZ/Norvēģijas finanšu instrumentu </w:t>
      </w:r>
      <w:r w:rsidR="004F1492" w:rsidRPr="00F02FD1">
        <w:rPr>
          <w:rFonts w:eastAsia="Times New Roman" w:cs="Times New Roman"/>
          <w:b/>
          <w:i/>
          <w:color w:val="000000"/>
          <w:sz w:val="28"/>
          <w:szCs w:val="28"/>
          <w:lang w:eastAsia="lv-LV"/>
        </w:rPr>
        <w:t>2014</w:t>
      </w:r>
      <w:r w:rsidR="002F3841" w:rsidRPr="00F02FD1">
        <w:rPr>
          <w:rFonts w:eastAsia="Times New Roman" w:cs="Times New Roman"/>
          <w:b/>
          <w:i/>
          <w:color w:val="000000"/>
          <w:sz w:val="28"/>
          <w:szCs w:val="28"/>
          <w:lang w:eastAsia="lv-LV"/>
        </w:rPr>
        <w:t>.</w:t>
      </w:r>
      <w:r w:rsidR="00FB2FF1" w:rsidRPr="00F02FD1">
        <w:rPr>
          <w:rFonts w:eastAsia="Times New Roman" w:cs="Times New Roman"/>
          <w:b/>
          <w:i/>
          <w:color w:val="000000"/>
          <w:sz w:val="28"/>
          <w:szCs w:val="28"/>
          <w:lang w:eastAsia="lv-LV"/>
        </w:rPr>
        <w:t> </w:t>
      </w:r>
      <w:r w:rsidR="0083696D" w:rsidRPr="00F02FD1">
        <w:rPr>
          <w:rFonts w:eastAsia="Times New Roman" w:cs="Times New Roman"/>
          <w:b/>
          <w:i/>
          <w:color w:val="000000"/>
          <w:sz w:val="28"/>
          <w:szCs w:val="28"/>
          <w:lang w:eastAsia="lv-LV"/>
        </w:rPr>
        <w:t>–</w:t>
      </w:r>
      <w:r w:rsidR="00FB2FF1" w:rsidRPr="00F02FD1">
        <w:rPr>
          <w:rFonts w:eastAsia="Times New Roman" w:cs="Times New Roman"/>
          <w:b/>
          <w:i/>
          <w:color w:val="000000"/>
          <w:sz w:val="28"/>
          <w:szCs w:val="28"/>
          <w:lang w:eastAsia="lv-LV"/>
        </w:rPr>
        <w:t> </w:t>
      </w:r>
      <w:r w:rsidR="004F1492" w:rsidRPr="00F02FD1">
        <w:rPr>
          <w:rFonts w:eastAsia="Times New Roman" w:cs="Times New Roman"/>
          <w:b/>
          <w:i/>
          <w:color w:val="000000"/>
          <w:sz w:val="28"/>
          <w:szCs w:val="28"/>
          <w:lang w:eastAsia="lv-LV"/>
        </w:rPr>
        <w:t>2021.</w:t>
      </w:r>
      <w:r w:rsidR="002F3841" w:rsidRPr="00F02FD1">
        <w:rPr>
          <w:rFonts w:eastAsia="Times New Roman" w:cs="Times New Roman"/>
          <w:b/>
          <w:i/>
          <w:color w:val="000000"/>
          <w:sz w:val="28"/>
          <w:szCs w:val="28"/>
          <w:lang w:eastAsia="lv-LV"/>
        </w:rPr>
        <w:t> </w:t>
      </w:r>
      <w:r w:rsidR="004F1492" w:rsidRPr="00F02FD1">
        <w:rPr>
          <w:rFonts w:eastAsia="Times New Roman" w:cs="Times New Roman"/>
          <w:b/>
          <w:i/>
          <w:color w:val="000000"/>
          <w:sz w:val="28"/>
          <w:szCs w:val="28"/>
          <w:lang w:eastAsia="lv-LV"/>
        </w:rPr>
        <w:t xml:space="preserve">gada </w:t>
      </w:r>
      <w:r w:rsidRPr="00F02FD1">
        <w:rPr>
          <w:rFonts w:eastAsia="Times New Roman" w:cs="Times New Roman"/>
          <w:b/>
          <w:i/>
          <w:color w:val="000000"/>
          <w:sz w:val="28"/>
          <w:szCs w:val="28"/>
          <w:lang w:eastAsia="lv-LV"/>
        </w:rPr>
        <w:t>perioda plānošana</w:t>
      </w:r>
    </w:p>
    <w:p w14:paraId="7A27E168" w14:textId="70027090" w:rsidR="00990A6D" w:rsidRPr="00E94DEB" w:rsidRDefault="00990A6D" w:rsidP="00942973">
      <w:pPr>
        <w:pStyle w:val="NoSpacing"/>
        <w:spacing w:before="120" w:after="120"/>
        <w:ind w:firstLine="720"/>
        <w:jc w:val="both"/>
        <w:rPr>
          <w:rFonts w:cs="Times New Roman"/>
          <w:sz w:val="28"/>
          <w:szCs w:val="28"/>
        </w:rPr>
      </w:pPr>
      <w:r w:rsidRPr="00E94DEB">
        <w:rPr>
          <w:rFonts w:cs="Times New Roman"/>
          <w:sz w:val="28"/>
          <w:szCs w:val="28"/>
        </w:rPr>
        <w:t>2017.</w:t>
      </w:r>
      <w:r w:rsidR="00991127">
        <w:rPr>
          <w:rFonts w:cs="Times New Roman"/>
          <w:sz w:val="28"/>
          <w:szCs w:val="28"/>
        </w:rPr>
        <w:t> </w:t>
      </w:r>
      <w:r w:rsidRPr="00E94DEB">
        <w:rPr>
          <w:rFonts w:cs="Times New Roman"/>
          <w:sz w:val="28"/>
          <w:szCs w:val="28"/>
        </w:rPr>
        <w:t>gadā noslēdzās darbs pie EEZ/Norvēģijas finanšu instrumentu 2014. – 2021. gada perioda sagatavošanas, kurā Latvijai pieejamais bruto finansējums abu finanšu instrumentu ietvaros ir 102,1 milj.</w:t>
      </w:r>
      <w:r w:rsidRPr="00E94DEB">
        <w:rPr>
          <w:rFonts w:cs="Times New Roman"/>
          <w:i/>
          <w:iCs/>
          <w:sz w:val="28"/>
          <w:szCs w:val="28"/>
        </w:rPr>
        <w:t> euro</w:t>
      </w:r>
      <w:r w:rsidRPr="00E94DEB">
        <w:rPr>
          <w:rFonts w:cs="Times New Roman"/>
          <w:sz w:val="28"/>
          <w:szCs w:val="28"/>
        </w:rPr>
        <w:t>.</w:t>
      </w:r>
    </w:p>
    <w:p w14:paraId="66FF5D19" w14:textId="475BA787" w:rsidR="00990A6D" w:rsidRPr="00E94DEB" w:rsidRDefault="00990A6D" w:rsidP="003D4393">
      <w:pPr>
        <w:ind w:firstLine="709"/>
        <w:jc w:val="both"/>
        <w:rPr>
          <w:rFonts w:cs="Times New Roman"/>
          <w:sz w:val="28"/>
          <w:szCs w:val="28"/>
        </w:rPr>
      </w:pPr>
      <w:r w:rsidRPr="00E94DEB">
        <w:rPr>
          <w:rFonts w:cs="Times New Roman"/>
          <w:sz w:val="28"/>
          <w:szCs w:val="28"/>
        </w:rPr>
        <w:t>2017.</w:t>
      </w:r>
      <w:r w:rsidR="00991127">
        <w:rPr>
          <w:rFonts w:cs="Times New Roman"/>
          <w:sz w:val="28"/>
          <w:szCs w:val="28"/>
        </w:rPr>
        <w:t> </w:t>
      </w:r>
      <w:r w:rsidRPr="00E94DEB">
        <w:rPr>
          <w:rFonts w:cs="Times New Roman"/>
          <w:sz w:val="28"/>
          <w:szCs w:val="28"/>
        </w:rPr>
        <w:t>gada 5.</w:t>
      </w:r>
      <w:r w:rsidR="00991127">
        <w:rPr>
          <w:rFonts w:cs="Times New Roman"/>
          <w:sz w:val="28"/>
          <w:szCs w:val="28"/>
        </w:rPr>
        <w:t> </w:t>
      </w:r>
      <w:r w:rsidRPr="00E94DEB">
        <w:rPr>
          <w:rFonts w:cs="Times New Roman"/>
          <w:sz w:val="28"/>
          <w:szCs w:val="28"/>
        </w:rPr>
        <w:t>decembrī saprašanās memorandi, kā arī pavadošie MK noteikumi</w:t>
      </w:r>
      <w:r w:rsidRPr="00E94DEB">
        <w:rPr>
          <w:rStyle w:val="FootnoteReference"/>
          <w:rFonts w:cs="Times New Roman"/>
          <w:sz w:val="28"/>
          <w:szCs w:val="28"/>
        </w:rPr>
        <w:footnoteReference w:id="91"/>
      </w:r>
      <w:r w:rsidRPr="00E94DEB">
        <w:rPr>
          <w:rFonts w:cs="Times New Roman"/>
          <w:sz w:val="28"/>
          <w:szCs w:val="28"/>
        </w:rPr>
        <w:t xml:space="preserve"> tika apstiprināti MK sēdē, savukārt 2017.</w:t>
      </w:r>
      <w:r w:rsidR="00991127">
        <w:rPr>
          <w:rFonts w:cs="Times New Roman"/>
          <w:sz w:val="28"/>
          <w:szCs w:val="28"/>
        </w:rPr>
        <w:t> </w:t>
      </w:r>
      <w:r w:rsidRPr="00E94DEB">
        <w:rPr>
          <w:rFonts w:cs="Times New Roman"/>
          <w:sz w:val="28"/>
          <w:szCs w:val="28"/>
        </w:rPr>
        <w:t xml:space="preserve">gada 14. decembrī abi saprašanās memorandi tika parakstīti no Latvijas un donorvalstu oficiālo pārstāvju puses, tādējādi veiksmīgi noslēdzot sarunas par EEZ/Norvēģijas finanšu </w:t>
      </w:r>
      <w:r w:rsidRPr="00E94DEB">
        <w:rPr>
          <w:rFonts w:cs="Times New Roman"/>
          <w:sz w:val="28"/>
          <w:szCs w:val="28"/>
        </w:rPr>
        <w:lastRenderedPageBreak/>
        <w:t>instrumentu ieviešanu līdz 2021.</w:t>
      </w:r>
      <w:r w:rsidR="00991127">
        <w:rPr>
          <w:rFonts w:cs="Times New Roman"/>
          <w:sz w:val="28"/>
          <w:szCs w:val="28"/>
        </w:rPr>
        <w:t> </w:t>
      </w:r>
      <w:r w:rsidRPr="00E94DEB">
        <w:rPr>
          <w:rFonts w:cs="Times New Roman"/>
          <w:sz w:val="28"/>
          <w:szCs w:val="28"/>
        </w:rPr>
        <w:t xml:space="preserve">gadam. Atbilstoši parakstītajiem līgumiem, jaunajā periodā </w:t>
      </w:r>
      <w:r w:rsidR="003D4393">
        <w:rPr>
          <w:rFonts w:cs="Times New Roman"/>
          <w:sz w:val="28"/>
          <w:szCs w:val="28"/>
        </w:rPr>
        <w:t xml:space="preserve">donorvalstu </w:t>
      </w:r>
      <w:r w:rsidRPr="00E94DEB">
        <w:rPr>
          <w:sz w:val="28"/>
          <w:szCs w:val="28"/>
        </w:rPr>
        <w:t>atbalsts tiks sniegts šādu programmu ietvaros:</w:t>
      </w:r>
    </w:p>
    <w:p w14:paraId="3BD56535" w14:textId="35D0A28B" w:rsidR="00544C50" w:rsidRPr="001201DB" w:rsidRDefault="00544C50" w:rsidP="003D4393">
      <w:pPr>
        <w:pStyle w:val="ListParagraph"/>
        <w:numPr>
          <w:ilvl w:val="0"/>
          <w:numId w:val="7"/>
        </w:numPr>
        <w:jc w:val="both"/>
        <w:rPr>
          <w:rFonts w:eastAsia="Calibri" w:cs="Times New Roman"/>
          <w:sz w:val="28"/>
          <w:szCs w:val="28"/>
        </w:rPr>
      </w:pPr>
      <w:r w:rsidRPr="001201DB">
        <w:rPr>
          <w:rFonts w:eastAsia="Calibri" w:cs="Times New Roman"/>
          <w:sz w:val="28"/>
          <w:szCs w:val="28"/>
        </w:rPr>
        <w:t>Starptautiskā policijas sadarbība un noz</w:t>
      </w:r>
      <w:r w:rsidR="00C521DC">
        <w:rPr>
          <w:rFonts w:eastAsia="Calibri" w:cs="Times New Roman"/>
          <w:sz w:val="28"/>
          <w:szCs w:val="28"/>
        </w:rPr>
        <w:t xml:space="preserve">iedzības apkarošana </w:t>
      </w:r>
      <w:r w:rsidR="0033609C">
        <w:rPr>
          <w:rFonts w:eastAsia="Calibri" w:cs="Times New Roman"/>
          <w:sz w:val="28"/>
          <w:szCs w:val="28"/>
        </w:rPr>
        <w:t>(15,0 milj. </w:t>
      </w:r>
      <w:r w:rsidRPr="00F02FD1">
        <w:rPr>
          <w:rFonts w:eastAsia="Calibri" w:cs="Times New Roman"/>
          <w:i/>
          <w:sz w:val="28"/>
          <w:szCs w:val="28"/>
        </w:rPr>
        <w:t>euro</w:t>
      </w:r>
      <w:r w:rsidRPr="001201DB">
        <w:rPr>
          <w:rFonts w:eastAsia="Calibri" w:cs="Times New Roman"/>
          <w:sz w:val="28"/>
          <w:szCs w:val="28"/>
        </w:rPr>
        <w:t>);</w:t>
      </w:r>
    </w:p>
    <w:p w14:paraId="04986924" w14:textId="4E03EA65" w:rsidR="00544C50" w:rsidRPr="001201DB" w:rsidRDefault="00544C50" w:rsidP="003D4393">
      <w:pPr>
        <w:numPr>
          <w:ilvl w:val="0"/>
          <w:numId w:val="7"/>
        </w:numPr>
        <w:tabs>
          <w:tab w:val="center" w:pos="4153"/>
          <w:tab w:val="right" w:pos="8306"/>
        </w:tabs>
        <w:jc w:val="both"/>
        <w:rPr>
          <w:rFonts w:eastAsia="Calibri" w:cs="Times New Roman"/>
          <w:sz w:val="28"/>
          <w:szCs w:val="28"/>
        </w:rPr>
      </w:pPr>
      <w:r w:rsidRPr="000C55B3">
        <w:rPr>
          <w:rFonts w:eastAsia="Calibri" w:cs="Times New Roman"/>
          <w:color w:val="000000"/>
          <w:sz w:val="28"/>
          <w:szCs w:val="28"/>
          <w:lang w:bidi="lv-LV"/>
        </w:rPr>
        <w:t>Pētniecība un izglītība (14,5</w:t>
      </w:r>
      <w:r w:rsidR="00991127">
        <w:rPr>
          <w:rFonts w:eastAsia="Calibri" w:cs="Times New Roman"/>
          <w:color w:val="000000"/>
          <w:sz w:val="28"/>
          <w:szCs w:val="28"/>
          <w:lang w:bidi="lv-LV"/>
        </w:rPr>
        <w:t> </w:t>
      </w:r>
      <w:r w:rsidRPr="000C55B3">
        <w:rPr>
          <w:rFonts w:eastAsia="Calibri" w:cs="Times New Roman"/>
          <w:color w:val="000000"/>
          <w:sz w:val="28"/>
          <w:szCs w:val="28"/>
          <w:lang w:bidi="lv-LV"/>
        </w:rPr>
        <w:t>milj.</w:t>
      </w:r>
      <w:r w:rsidR="00991127">
        <w:rPr>
          <w:rFonts w:eastAsia="Calibri" w:cs="Times New Roman"/>
          <w:color w:val="000000"/>
          <w:sz w:val="28"/>
          <w:szCs w:val="28"/>
          <w:lang w:bidi="lv-LV"/>
        </w:rPr>
        <w:t> </w:t>
      </w:r>
      <w:r w:rsidRPr="000C55B3">
        <w:rPr>
          <w:rFonts w:eastAsia="Calibri" w:cs="Times New Roman"/>
          <w:i/>
          <w:color w:val="000000"/>
          <w:sz w:val="28"/>
          <w:szCs w:val="28"/>
          <w:lang w:bidi="lv-LV"/>
        </w:rPr>
        <w:t>euro</w:t>
      </w:r>
      <w:r w:rsidRPr="000C55B3">
        <w:rPr>
          <w:rFonts w:eastAsia="Calibri" w:cs="Times New Roman"/>
          <w:color w:val="000000"/>
          <w:sz w:val="28"/>
          <w:szCs w:val="28"/>
          <w:lang w:bidi="lv-LV"/>
        </w:rPr>
        <w:t>);</w:t>
      </w:r>
    </w:p>
    <w:p w14:paraId="6606371C" w14:textId="77777777" w:rsidR="00544C50" w:rsidRPr="001201DB" w:rsidRDefault="00544C50" w:rsidP="003D4393">
      <w:pPr>
        <w:numPr>
          <w:ilvl w:val="0"/>
          <w:numId w:val="7"/>
        </w:numPr>
        <w:tabs>
          <w:tab w:val="center" w:pos="4153"/>
          <w:tab w:val="right" w:pos="8306"/>
        </w:tabs>
        <w:jc w:val="both"/>
        <w:rPr>
          <w:rFonts w:eastAsia="Calibri" w:cs="Times New Roman"/>
          <w:sz w:val="28"/>
          <w:szCs w:val="28"/>
          <w:lang w:bidi="lv-LV"/>
        </w:rPr>
      </w:pPr>
      <w:r w:rsidRPr="001201DB">
        <w:rPr>
          <w:rFonts w:eastAsia="Calibri" w:cs="Times New Roman"/>
          <w:sz w:val="28"/>
          <w:szCs w:val="28"/>
          <w:lang w:bidi="lv-LV"/>
        </w:rPr>
        <w:t>Klimata pārmaiņu mazināšana, pielāgošanās tām un vide (14,0 milj. </w:t>
      </w:r>
      <w:r w:rsidRPr="001201DB">
        <w:rPr>
          <w:rFonts w:eastAsia="Calibri" w:cs="Times New Roman"/>
          <w:i/>
          <w:sz w:val="28"/>
          <w:szCs w:val="28"/>
          <w:lang w:bidi="lv-LV"/>
        </w:rPr>
        <w:t>euro</w:t>
      </w:r>
      <w:r w:rsidRPr="001201DB">
        <w:rPr>
          <w:rFonts w:eastAsia="Calibri" w:cs="Times New Roman"/>
          <w:sz w:val="28"/>
          <w:szCs w:val="28"/>
          <w:lang w:bidi="lv-LV"/>
        </w:rPr>
        <w:t>);</w:t>
      </w:r>
    </w:p>
    <w:p w14:paraId="177D0D62" w14:textId="59DB52CC" w:rsidR="00544C50" w:rsidRPr="001201DB" w:rsidRDefault="00544C50" w:rsidP="003D4393">
      <w:pPr>
        <w:numPr>
          <w:ilvl w:val="0"/>
          <w:numId w:val="7"/>
        </w:numPr>
        <w:tabs>
          <w:tab w:val="center" w:pos="4153"/>
          <w:tab w:val="right" w:pos="8306"/>
        </w:tabs>
        <w:jc w:val="both"/>
        <w:rPr>
          <w:rFonts w:eastAsia="Calibri" w:cs="Times New Roman"/>
          <w:sz w:val="28"/>
          <w:szCs w:val="28"/>
          <w:lang w:bidi="lv-LV"/>
        </w:rPr>
      </w:pPr>
      <w:r w:rsidRPr="001201DB">
        <w:rPr>
          <w:rFonts w:eastAsia="Calibri" w:cs="Times New Roman"/>
          <w:sz w:val="28"/>
          <w:szCs w:val="28"/>
          <w:lang w:bidi="lv-LV"/>
        </w:rPr>
        <w:t>Korekcijas dienesti (13,0</w:t>
      </w:r>
      <w:r w:rsidR="00991127">
        <w:rPr>
          <w:rFonts w:eastAsia="Calibri" w:cs="Times New Roman"/>
          <w:sz w:val="28"/>
          <w:szCs w:val="28"/>
          <w:lang w:bidi="lv-LV"/>
        </w:rPr>
        <w:t> </w:t>
      </w:r>
      <w:r w:rsidRPr="001201DB">
        <w:rPr>
          <w:rFonts w:eastAsia="Calibri" w:cs="Times New Roman"/>
          <w:sz w:val="28"/>
          <w:szCs w:val="28"/>
          <w:lang w:bidi="lv-LV"/>
        </w:rPr>
        <w:t>milj.</w:t>
      </w:r>
      <w:r w:rsidR="00991127">
        <w:rPr>
          <w:rFonts w:eastAsia="Calibri" w:cs="Times New Roman"/>
          <w:sz w:val="28"/>
          <w:szCs w:val="28"/>
          <w:lang w:bidi="lv-LV"/>
        </w:rPr>
        <w:t> </w:t>
      </w:r>
      <w:r w:rsidRPr="001201DB">
        <w:rPr>
          <w:rFonts w:eastAsia="Calibri" w:cs="Times New Roman"/>
          <w:i/>
          <w:sz w:val="28"/>
          <w:szCs w:val="28"/>
          <w:lang w:bidi="lv-LV"/>
        </w:rPr>
        <w:t>euro</w:t>
      </w:r>
      <w:r w:rsidRPr="001201DB">
        <w:rPr>
          <w:rFonts w:eastAsia="Calibri" w:cs="Times New Roman"/>
          <w:sz w:val="28"/>
          <w:szCs w:val="28"/>
          <w:lang w:bidi="lv-LV"/>
        </w:rPr>
        <w:t>);</w:t>
      </w:r>
    </w:p>
    <w:p w14:paraId="337724C5" w14:textId="4E043D4A" w:rsidR="00544C50" w:rsidRPr="001201DB" w:rsidRDefault="00544C50" w:rsidP="003D4393">
      <w:pPr>
        <w:numPr>
          <w:ilvl w:val="0"/>
          <w:numId w:val="7"/>
        </w:numPr>
        <w:tabs>
          <w:tab w:val="center" w:pos="4153"/>
          <w:tab w:val="right" w:pos="8306"/>
        </w:tabs>
        <w:jc w:val="both"/>
        <w:rPr>
          <w:rFonts w:eastAsia="Calibri" w:cs="Times New Roman"/>
          <w:sz w:val="28"/>
          <w:szCs w:val="28"/>
          <w:lang w:bidi="lv-LV"/>
        </w:rPr>
      </w:pPr>
      <w:r w:rsidRPr="001201DB">
        <w:rPr>
          <w:rFonts w:eastAsia="Calibri" w:cs="Times New Roman"/>
          <w:sz w:val="28"/>
          <w:szCs w:val="28"/>
          <w:lang w:bidi="lv-LV"/>
        </w:rPr>
        <w:t>Uzņēmējdarbības attīstība, inovācijas un mazie un vidējie uzņēmumi (12,5 milj.</w:t>
      </w:r>
      <w:r w:rsidR="00991127">
        <w:rPr>
          <w:rFonts w:eastAsia="Calibri" w:cs="Times New Roman"/>
          <w:sz w:val="28"/>
          <w:szCs w:val="28"/>
          <w:lang w:bidi="lv-LV"/>
        </w:rPr>
        <w:t> </w:t>
      </w:r>
      <w:r w:rsidRPr="001201DB">
        <w:rPr>
          <w:rFonts w:eastAsia="Calibri" w:cs="Times New Roman"/>
          <w:i/>
          <w:sz w:val="28"/>
          <w:szCs w:val="28"/>
          <w:lang w:bidi="lv-LV"/>
        </w:rPr>
        <w:t>euro</w:t>
      </w:r>
      <w:r w:rsidRPr="001201DB">
        <w:rPr>
          <w:rFonts w:eastAsia="Calibri" w:cs="Times New Roman"/>
          <w:sz w:val="28"/>
          <w:szCs w:val="28"/>
          <w:lang w:bidi="lv-LV"/>
        </w:rPr>
        <w:t>);</w:t>
      </w:r>
    </w:p>
    <w:p w14:paraId="7CCA6DEF" w14:textId="78665C28" w:rsidR="00544C50" w:rsidRPr="001201DB" w:rsidRDefault="00544C50" w:rsidP="003D4393">
      <w:pPr>
        <w:numPr>
          <w:ilvl w:val="0"/>
          <w:numId w:val="7"/>
        </w:numPr>
        <w:tabs>
          <w:tab w:val="center" w:pos="4153"/>
          <w:tab w:val="right" w:pos="8647"/>
        </w:tabs>
        <w:jc w:val="both"/>
        <w:rPr>
          <w:rFonts w:eastAsia="Calibri" w:cs="Times New Roman"/>
          <w:sz w:val="28"/>
          <w:szCs w:val="28"/>
        </w:rPr>
      </w:pPr>
      <w:r w:rsidRPr="001201DB">
        <w:rPr>
          <w:rFonts w:eastAsia="Calibri" w:cs="Times New Roman"/>
          <w:sz w:val="28"/>
          <w:szCs w:val="28"/>
          <w:lang w:bidi="lv-LV"/>
        </w:rPr>
        <w:t>Vietējā attīstība, nabadzības m</w:t>
      </w:r>
      <w:r w:rsidR="00FD3B2C">
        <w:rPr>
          <w:rFonts w:eastAsia="Calibri" w:cs="Times New Roman"/>
          <w:sz w:val="28"/>
          <w:szCs w:val="28"/>
          <w:lang w:bidi="lv-LV"/>
        </w:rPr>
        <w:t xml:space="preserve">azināšana un kultūras sadarbība </w:t>
      </w:r>
      <w:r w:rsidRPr="001201DB">
        <w:rPr>
          <w:rFonts w:eastAsia="Calibri" w:cs="Times New Roman"/>
          <w:sz w:val="28"/>
          <w:szCs w:val="28"/>
          <w:lang w:bidi="lv-LV"/>
        </w:rPr>
        <w:t>(10,0 milj. </w:t>
      </w:r>
      <w:r w:rsidRPr="001201DB">
        <w:rPr>
          <w:rFonts w:eastAsia="Calibri" w:cs="Times New Roman"/>
          <w:i/>
          <w:sz w:val="28"/>
          <w:szCs w:val="28"/>
          <w:lang w:bidi="lv-LV"/>
        </w:rPr>
        <w:t>euro</w:t>
      </w:r>
      <w:r w:rsidRPr="001201DB">
        <w:rPr>
          <w:rFonts w:eastAsia="Calibri" w:cs="Times New Roman"/>
          <w:sz w:val="28"/>
          <w:szCs w:val="28"/>
          <w:lang w:bidi="lv-LV"/>
        </w:rPr>
        <w:t>);</w:t>
      </w:r>
    </w:p>
    <w:p w14:paraId="7CE857E4" w14:textId="6938D8F3" w:rsidR="00544C50" w:rsidRPr="000C55B3" w:rsidRDefault="00544C50" w:rsidP="003D4393">
      <w:pPr>
        <w:numPr>
          <w:ilvl w:val="0"/>
          <w:numId w:val="7"/>
        </w:numPr>
        <w:jc w:val="both"/>
        <w:rPr>
          <w:rFonts w:eastAsia="Calibri" w:cs="Times New Roman"/>
          <w:sz w:val="28"/>
          <w:szCs w:val="28"/>
        </w:rPr>
      </w:pPr>
      <w:r w:rsidRPr="000C55B3">
        <w:rPr>
          <w:rFonts w:eastAsia="Calibri" w:cs="Times New Roman"/>
          <w:color w:val="000000"/>
          <w:sz w:val="28"/>
          <w:szCs w:val="28"/>
          <w:lang w:bidi="lv-LV"/>
        </w:rPr>
        <w:t>Pilsoniska sabiedrība (8,5</w:t>
      </w:r>
      <w:r w:rsidR="00991127">
        <w:rPr>
          <w:rFonts w:eastAsia="Calibri" w:cs="Times New Roman"/>
          <w:color w:val="000000"/>
          <w:sz w:val="28"/>
          <w:szCs w:val="28"/>
          <w:lang w:bidi="lv-LV"/>
        </w:rPr>
        <w:t> </w:t>
      </w:r>
      <w:r w:rsidRPr="000C55B3">
        <w:rPr>
          <w:rFonts w:eastAsia="Calibri" w:cs="Times New Roman"/>
          <w:color w:val="000000"/>
          <w:sz w:val="28"/>
          <w:szCs w:val="28"/>
          <w:lang w:bidi="lv-LV"/>
        </w:rPr>
        <w:t>milj.</w:t>
      </w:r>
      <w:r w:rsidR="00991127">
        <w:rPr>
          <w:rFonts w:eastAsia="Calibri" w:cs="Times New Roman"/>
          <w:color w:val="000000"/>
          <w:sz w:val="28"/>
          <w:szCs w:val="28"/>
          <w:lang w:bidi="lv-LV"/>
        </w:rPr>
        <w:t> </w:t>
      </w:r>
      <w:proofErr w:type="spellStart"/>
      <w:r w:rsidRPr="000C55B3">
        <w:rPr>
          <w:rFonts w:eastAsia="Calibri" w:cs="Times New Roman"/>
          <w:i/>
          <w:color w:val="000000"/>
          <w:sz w:val="28"/>
          <w:szCs w:val="28"/>
          <w:lang w:bidi="lv-LV"/>
        </w:rPr>
        <w:t>euro</w:t>
      </w:r>
      <w:proofErr w:type="spellEnd"/>
      <w:r>
        <w:rPr>
          <w:rFonts w:eastAsia="Calibri" w:cs="Times New Roman"/>
          <w:color w:val="000000"/>
          <w:sz w:val="28"/>
          <w:szCs w:val="28"/>
          <w:lang w:bidi="lv-LV"/>
        </w:rPr>
        <w:t xml:space="preserve">, administrē </w:t>
      </w:r>
      <w:proofErr w:type="spellStart"/>
      <w:r>
        <w:rPr>
          <w:rFonts w:eastAsia="Calibri" w:cs="Times New Roman"/>
          <w:color w:val="000000"/>
          <w:sz w:val="28"/>
          <w:szCs w:val="28"/>
          <w:lang w:bidi="lv-LV"/>
        </w:rPr>
        <w:t>donorvalstis</w:t>
      </w:r>
      <w:proofErr w:type="spellEnd"/>
      <w:r w:rsidRPr="000C55B3">
        <w:rPr>
          <w:rFonts w:eastAsia="Calibri" w:cs="Times New Roman"/>
          <w:color w:val="000000"/>
          <w:sz w:val="28"/>
          <w:szCs w:val="28"/>
          <w:lang w:bidi="lv-LV"/>
        </w:rPr>
        <w:t>);</w:t>
      </w:r>
    </w:p>
    <w:p w14:paraId="7880BF95" w14:textId="6A724375" w:rsidR="00544C50" w:rsidRPr="000C55B3" w:rsidRDefault="00544C50" w:rsidP="003D4393">
      <w:pPr>
        <w:numPr>
          <w:ilvl w:val="0"/>
          <w:numId w:val="7"/>
        </w:numPr>
        <w:jc w:val="both"/>
        <w:rPr>
          <w:rFonts w:eastAsia="Calibri" w:cs="Times New Roman"/>
          <w:color w:val="000000"/>
          <w:sz w:val="28"/>
          <w:szCs w:val="28"/>
          <w:lang w:bidi="lv-LV"/>
        </w:rPr>
      </w:pPr>
      <w:r w:rsidRPr="000C55B3">
        <w:rPr>
          <w:rFonts w:eastAsia="Calibri" w:cs="Times New Roman"/>
          <w:color w:val="000000"/>
          <w:sz w:val="28"/>
          <w:szCs w:val="28"/>
          <w:lang w:bidi="lv-LV"/>
        </w:rPr>
        <w:t>Sociālais dialogs</w:t>
      </w:r>
      <w:r w:rsidR="007C5923">
        <w:rPr>
          <w:rFonts w:eastAsia="Calibri" w:cs="Times New Roman"/>
          <w:color w:val="000000"/>
          <w:sz w:val="28"/>
          <w:szCs w:val="28"/>
          <w:lang w:bidi="lv-LV"/>
        </w:rPr>
        <w:t> </w:t>
      </w:r>
      <w:r w:rsidRPr="000C55B3">
        <w:rPr>
          <w:rFonts w:eastAsia="Calibri" w:cs="Times New Roman"/>
          <w:color w:val="000000"/>
          <w:sz w:val="28"/>
          <w:szCs w:val="28"/>
          <w:lang w:bidi="lv-LV"/>
        </w:rPr>
        <w:t>–</w:t>
      </w:r>
      <w:r w:rsidR="007C5923">
        <w:rPr>
          <w:rFonts w:eastAsia="Calibri" w:cs="Times New Roman"/>
          <w:color w:val="000000"/>
          <w:sz w:val="28"/>
          <w:szCs w:val="28"/>
          <w:lang w:bidi="lv-LV"/>
        </w:rPr>
        <w:t> </w:t>
      </w:r>
      <w:r w:rsidRPr="000C55B3">
        <w:rPr>
          <w:rFonts w:eastAsia="Calibri" w:cs="Times New Roman"/>
          <w:color w:val="000000"/>
          <w:sz w:val="28"/>
          <w:szCs w:val="28"/>
          <w:lang w:bidi="lv-LV"/>
        </w:rPr>
        <w:t>pienācīgs darbs (0,5</w:t>
      </w:r>
      <w:r w:rsidR="00991127">
        <w:rPr>
          <w:rFonts w:eastAsia="Calibri" w:cs="Times New Roman"/>
          <w:color w:val="000000"/>
          <w:sz w:val="28"/>
          <w:szCs w:val="28"/>
          <w:lang w:bidi="lv-LV"/>
        </w:rPr>
        <w:t> </w:t>
      </w:r>
      <w:r w:rsidRPr="000C55B3">
        <w:rPr>
          <w:rFonts w:eastAsia="Calibri" w:cs="Times New Roman"/>
          <w:color w:val="000000"/>
          <w:sz w:val="28"/>
          <w:szCs w:val="28"/>
          <w:lang w:bidi="lv-LV"/>
        </w:rPr>
        <w:t>milj.</w:t>
      </w:r>
      <w:r w:rsidR="00991127">
        <w:rPr>
          <w:rFonts w:eastAsia="Calibri" w:cs="Times New Roman"/>
          <w:color w:val="000000"/>
          <w:sz w:val="28"/>
          <w:szCs w:val="28"/>
          <w:lang w:bidi="lv-LV"/>
        </w:rPr>
        <w:t> </w:t>
      </w:r>
      <w:proofErr w:type="spellStart"/>
      <w:r w:rsidRPr="000C55B3">
        <w:rPr>
          <w:rFonts w:eastAsia="Calibri" w:cs="Times New Roman"/>
          <w:i/>
          <w:color w:val="000000"/>
          <w:sz w:val="28"/>
          <w:szCs w:val="28"/>
          <w:lang w:bidi="lv-LV"/>
        </w:rPr>
        <w:t>euro</w:t>
      </w:r>
      <w:proofErr w:type="spellEnd"/>
      <w:r>
        <w:rPr>
          <w:rFonts w:eastAsia="Calibri" w:cs="Times New Roman"/>
          <w:color w:val="000000"/>
          <w:sz w:val="28"/>
          <w:szCs w:val="28"/>
          <w:lang w:bidi="lv-LV"/>
        </w:rPr>
        <w:t xml:space="preserve">, administrē </w:t>
      </w:r>
      <w:proofErr w:type="spellStart"/>
      <w:r>
        <w:rPr>
          <w:rFonts w:eastAsia="Calibri" w:cs="Times New Roman"/>
          <w:color w:val="000000"/>
          <w:sz w:val="28"/>
          <w:szCs w:val="28"/>
          <w:lang w:bidi="lv-LV"/>
        </w:rPr>
        <w:t>donorvalstis</w:t>
      </w:r>
      <w:proofErr w:type="spellEnd"/>
      <w:r w:rsidRPr="000C55B3">
        <w:rPr>
          <w:rFonts w:eastAsia="Calibri" w:cs="Times New Roman"/>
          <w:color w:val="000000"/>
          <w:sz w:val="28"/>
          <w:szCs w:val="28"/>
          <w:lang w:bidi="lv-LV"/>
        </w:rPr>
        <w:t>).</w:t>
      </w:r>
    </w:p>
    <w:p w14:paraId="0ACFA3FC" w14:textId="6136D9C4" w:rsidR="002214B0" w:rsidRDefault="00990A6D" w:rsidP="003D4393">
      <w:pPr>
        <w:pStyle w:val="NoSpacing"/>
        <w:spacing w:before="120" w:after="120"/>
        <w:ind w:firstLine="720"/>
        <w:jc w:val="both"/>
        <w:rPr>
          <w:rFonts w:cs="Times New Roman"/>
          <w:sz w:val="28"/>
          <w:szCs w:val="28"/>
        </w:rPr>
      </w:pPr>
      <w:r w:rsidRPr="00E94DEB">
        <w:rPr>
          <w:rFonts w:cs="Times New Roman"/>
          <w:color w:val="000000"/>
          <w:sz w:val="28"/>
          <w:szCs w:val="28"/>
          <w:lang w:bidi="lv-LV"/>
        </w:rPr>
        <w:t>Tāpat daļa finansējuma ir iezīmēta arī donorvalstu administratīvajām izmaksām, tehniskajai palīdzībai un divpusējās sadarbības veicināšanas fondam.</w:t>
      </w:r>
      <w:r w:rsidR="00B75B34">
        <w:rPr>
          <w:rFonts w:cs="Times New Roman"/>
          <w:color w:val="000000"/>
          <w:sz w:val="28"/>
          <w:szCs w:val="28"/>
          <w:lang w:bidi="lv-LV"/>
        </w:rPr>
        <w:t xml:space="preserve"> </w:t>
      </w:r>
      <w:r w:rsidR="002214B0">
        <w:rPr>
          <w:rFonts w:cs="Times New Roman"/>
          <w:sz w:val="28"/>
          <w:szCs w:val="28"/>
        </w:rPr>
        <w:t>Līdztekus</w:t>
      </w:r>
      <w:r w:rsidRPr="00E94DEB">
        <w:rPr>
          <w:rFonts w:cs="Times New Roman"/>
          <w:sz w:val="28"/>
          <w:szCs w:val="28"/>
        </w:rPr>
        <w:t xml:space="preserve"> 2017.</w:t>
      </w:r>
      <w:r w:rsidR="00991127">
        <w:rPr>
          <w:rFonts w:cs="Times New Roman"/>
          <w:sz w:val="28"/>
          <w:szCs w:val="28"/>
        </w:rPr>
        <w:t> </w:t>
      </w:r>
      <w:r w:rsidRPr="00E94DEB">
        <w:rPr>
          <w:rFonts w:cs="Times New Roman"/>
          <w:sz w:val="28"/>
          <w:szCs w:val="28"/>
        </w:rPr>
        <w:t xml:space="preserve">gada </w:t>
      </w:r>
      <w:r w:rsidR="00177745">
        <w:rPr>
          <w:rFonts w:cs="Times New Roman"/>
          <w:sz w:val="28"/>
          <w:szCs w:val="28"/>
        </w:rPr>
        <w:t>II pusgadā</w:t>
      </w:r>
      <w:r w:rsidRPr="00E94DEB">
        <w:rPr>
          <w:rFonts w:cs="Times New Roman"/>
          <w:sz w:val="28"/>
          <w:szCs w:val="28"/>
        </w:rPr>
        <w:t xml:space="preserve"> </w:t>
      </w:r>
      <w:r w:rsidR="002214B0">
        <w:rPr>
          <w:rFonts w:cs="Times New Roman"/>
          <w:sz w:val="28"/>
          <w:szCs w:val="28"/>
        </w:rPr>
        <w:t>tika saskaņots</w:t>
      </w:r>
      <w:r w:rsidRPr="00E94DEB">
        <w:rPr>
          <w:rFonts w:cs="Times New Roman"/>
          <w:sz w:val="28"/>
          <w:szCs w:val="28"/>
        </w:rPr>
        <w:t xml:space="preserve"> </w:t>
      </w:r>
      <w:r w:rsidR="002214B0">
        <w:rPr>
          <w:rFonts w:cs="Times New Roman"/>
          <w:sz w:val="28"/>
          <w:szCs w:val="28"/>
        </w:rPr>
        <w:t>l</w:t>
      </w:r>
      <w:r w:rsidR="002214B0" w:rsidRPr="00E94DEB">
        <w:rPr>
          <w:rFonts w:cs="Times New Roman"/>
          <w:sz w:val="28"/>
          <w:szCs w:val="28"/>
        </w:rPr>
        <w:t>ikumprojekts “Eiropas Ekonomikas zonas finanšu instrumenta un Norvēģijas finanšu instrumenta 2014.</w:t>
      </w:r>
      <w:r w:rsidR="002214B0">
        <w:rPr>
          <w:rFonts w:cs="Times New Roman"/>
          <w:sz w:val="28"/>
          <w:szCs w:val="28"/>
        </w:rPr>
        <w:t> – </w:t>
      </w:r>
      <w:r w:rsidR="002214B0" w:rsidRPr="00E94DEB">
        <w:rPr>
          <w:rFonts w:cs="Times New Roman"/>
          <w:sz w:val="28"/>
          <w:szCs w:val="28"/>
        </w:rPr>
        <w:t>2021.</w:t>
      </w:r>
      <w:r w:rsidR="002214B0">
        <w:rPr>
          <w:rFonts w:cs="Times New Roman"/>
          <w:sz w:val="28"/>
          <w:szCs w:val="28"/>
        </w:rPr>
        <w:t> </w:t>
      </w:r>
      <w:r w:rsidR="002214B0" w:rsidRPr="00E94DEB">
        <w:rPr>
          <w:rFonts w:cs="Times New Roman"/>
          <w:sz w:val="28"/>
          <w:szCs w:val="28"/>
        </w:rPr>
        <w:t xml:space="preserve">gada perioda vadības likums” </w:t>
      </w:r>
      <w:r w:rsidR="002214B0" w:rsidRPr="00E94DEB">
        <w:rPr>
          <w:sz w:val="28"/>
          <w:szCs w:val="28"/>
        </w:rPr>
        <w:t>(VSS-563)</w:t>
      </w:r>
      <w:r w:rsidR="00547894">
        <w:rPr>
          <w:rFonts w:cs="Times New Roman"/>
          <w:sz w:val="28"/>
          <w:szCs w:val="28"/>
        </w:rPr>
        <w:t xml:space="preserve"> </w:t>
      </w:r>
      <w:r w:rsidRPr="00E94DEB">
        <w:rPr>
          <w:rFonts w:cs="Times New Roman"/>
          <w:sz w:val="28"/>
          <w:szCs w:val="28"/>
        </w:rPr>
        <w:t xml:space="preserve">un </w:t>
      </w:r>
      <w:r w:rsidR="002214B0">
        <w:rPr>
          <w:rFonts w:cs="Times New Roman"/>
          <w:sz w:val="28"/>
          <w:szCs w:val="28"/>
        </w:rPr>
        <w:t xml:space="preserve">FM uzsāka </w:t>
      </w:r>
      <w:r w:rsidR="00F25195">
        <w:rPr>
          <w:rFonts w:cs="Times New Roman"/>
          <w:sz w:val="28"/>
          <w:szCs w:val="28"/>
        </w:rPr>
        <w:t xml:space="preserve">MK </w:t>
      </w:r>
      <w:r w:rsidR="00547894">
        <w:rPr>
          <w:rFonts w:cs="Times New Roman"/>
          <w:sz w:val="28"/>
          <w:szCs w:val="28"/>
        </w:rPr>
        <w:t>not</w:t>
      </w:r>
      <w:r w:rsidR="0033609C">
        <w:rPr>
          <w:rFonts w:cs="Times New Roman"/>
          <w:sz w:val="28"/>
          <w:szCs w:val="28"/>
        </w:rPr>
        <w:t>ei</w:t>
      </w:r>
      <w:r w:rsidR="00547894">
        <w:rPr>
          <w:rFonts w:cs="Times New Roman"/>
          <w:sz w:val="28"/>
          <w:szCs w:val="28"/>
        </w:rPr>
        <w:t>kumu</w:t>
      </w:r>
      <w:r w:rsidR="002D5D79">
        <w:rPr>
          <w:rFonts w:cs="Times New Roman"/>
          <w:sz w:val="28"/>
          <w:szCs w:val="28"/>
        </w:rPr>
        <w:t xml:space="preserve"> projekta par </w:t>
      </w:r>
      <w:r w:rsidR="002D5D79" w:rsidRPr="002D5D79">
        <w:rPr>
          <w:rFonts w:cs="Times New Roman"/>
          <w:sz w:val="28"/>
          <w:szCs w:val="28"/>
        </w:rPr>
        <w:t>EEZ/Norvēģijas finanšu instrumentu</w:t>
      </w:r>
      <w:r w:rsidR="0097100C">
        <w:rPr>
          <w:rFonts w:cs="Times New Roman"/>
          <w:sz w:val="28"/>
          <w:szCs w:val="28"/>
        </w:rPr>
        <w:t xml:space="preserve"> </w:t>
      </w:r>
      <w:r w:rsidR="002D5D79">
        <w:rPr>
          <w:rFonts w:cs="Times New Roman"/>
          <w:sz w:val="28"/>
          <w:szCs w:val="28"/>
        </w:rPr>
        <w:t xml:space="preserve">vadību un kontroli </w:t>
      </w:r>
      <w:r w:rsidR="00547894">
        <w:rPr>
          <w:rFonts w:cs="Times New Roman"/>
          <w:sz w:val="28"/>
          <w:szCs w:val="28"/>
        </w:rPr>
        <w:t>izstrād</w:t>
      </w:r>
      <w:r w:rsidR="002214B0">
        <w:rPr>
          <w:rFonts w:cs="Times New Roman"/>
          <w:sz w:val="28"/>
          <w:szCs w:val="28"/>
        </w:rPr>
        <w:t>i</w:t>
      </w:r>
      <w:r w:rsidRPr="00E94DEB">
        <w:rPr>
          <w:rFonts w:cs="Times New Roman"/>
          <w:sz w:val="28"/>
          <w:szCs w:val="28"/>
        </w:rPr>
        <w:t xml:space="preserve">. </w:t>
      </w:r>
      <w:r w:rsidR="002E7E79">
        <w:rPr>
          <w:rFonts w:cs="Times New Roman"/>
          <w:sz w:val="28"/>
          <w:szCs w:val="28"/>
        </w:rPr>
        <w:t>L</w:t>
      </w:r>
      <w:r w:rsidRPr="00E94DEB">
        <w:rPr>
          <w:rFonts w:cs="Times New Roman"/>
          <w:sz w:val="28"/>
          <w:szCs w:val="28"/>
        </w:rPr>
        <w:t>ikumprojekts tik</w:t>
      </w:r>
      <w:r w:rsidR="002E7E79">
        <w:rPr>
          <w:rFonts w:cs="Times New Roman"/>
          <w:sz w:val="28"/>
          <w:szCs w:val="28"/>
        </w:rPr>
        <w:t>a saskaņots ar visām iesaistītajām institūcijām</w:t>
      </w:r>
      <w:r w:rsidR="0097100C">
        <w:rPr>
          <w:rFonts w:cs="Times New Roman"/>
          <w:sz w:val="28"/>
          <w:szCs w:val="28"/>
        </w:rPr>
        <w:t>,</w:t>
      </w:r>
      <w:r w:rsidR="002E7E79">
        <w:rPr>
          <w:rFonts w:cs="Times New Roman"/>
          <w:sz w:val="28"/>
          <w:szCs w:val="28"/>
        </w:rPr>
        <w:t xml:space="preserve"> un plānots, ka tas tiks </w:t>
      </w:r>
      <w:r w:rsidRPr="00E94DEB">
        <w:rPr>
          <w:rFonts w:cs="Times New Roman"/>
          <w:sz w:val="28"/>
          <w:szCs w:val="28"/>
        </w:rPr>
        <w:t>izskatīts MK 2018.</w:t>
      </w:r>
      <w:r w:rsidR="00991127">
        <w:rPr>
          <w:rFonts w:cs="Times New Roman"/>
          <w:sz w:val="28"/>
          <w:szCs w:val="28"/>
        </w:rPr>
        <w:t> </w:t>
      </w:r>
      <w:r w:rsidRPr="00E94DEB">
        <w:rPr>
          <w:rFonts w:cs="Times New Roman"/>
          <w:sz w:val="28"/>
          <w:szCs w:val="28"/>
        </w:rPr>
        <w:t xml:space="preserve">gada janvārī un </w:t>
      </w:r>
      <w:r w:rsidR="002214B0">
        <w:rPr>
          <w:rFonts w:cs="Times New Roman"/>
          <w:sz w:val="28"/>
          <w:szCs w:val="28"/>
        </w:rPr>
        <w:t xml:space="preserve">MK lūgs </w:t>
      </w:r>
      <w:r w:rsidRPr="00E94DEB">
        <w:rPr>
          <w:rFonts w:cs="Times New Roman"/>
          <w:sz w:val="28"/>
          <w:szCs w:val="28"/>
        </w:rPr>
        <w:t>Saeim</w:t>
      </w:r>
      <w:r w:rsidR="002214B0">
        <w:rPr>
          <w:rFonts w:cs="Times New Roman"/>
          <w:sz w:val="28"/>
          <w:szCs w:val="28"/>
        </w:rPr>
        <w:t>u to izskatīt kā steidzamu</w:t>
      </w:r>
      <w:r w:rsidRPr="00E94DEB">
        <w:rPr>
          <w:rFonts w:cs="Times New Roman"/>
          <w:sz w:val="28"/>
          <w:szCs w:val="28"/>
        </w:rPr>
        <w:t>.</w:t>
      </w:r>
    </w:p>
    <w:p w14:paraId="0AB903F6" w14:textId="7F468136" w:rsidR="003D4393" w:rsidRDefault="00AD58FE" w:rsidP="003D4393">
      <w:pPr>
        <w:pStyle w:val="NoSpacing"/>
        <w:spacing w:before="120" w:after="120"/>
        <w:ind w:firstLine="720"/>
        <w:jc w:val="both"/>
        <w:rPr>
          <w:rFonts w:cs="Times New Roman"/>
          <w:sz w:val="28"/>
          <w:szCs w:val="28"/>
          <w:lang w:bidi="lv-LV"/>
        </w:rPr>
      </w:pPr>
      <w:r>
        <w:rPr>
          <w:rFonts w:cs="Times New Roman"/>
          <w:sz w:val="28"/>
          <w:szCs w:val="28"/>
          <w:lang w:bidi="lv-LV"/>
        </w:rPr>
        <w:t xml:space="preserve">Lai nodrošinātu efektīvāku programmu uzsākšanu, programmu </w:t>
      </w:r>
      <w:proofErr w:type="spellStart"/>
      <w:r>
        <w:rPr>
          <w:rFonts w:cs="Times New Roman"/>
          <w:sz w:val="28"/>
          <w:szCs w:val="28"/>
          <w:lang w:bidi="lv-LV"/>
        </w:rPr>
        <w:t>apsaimniekotāji</w:t>
      </w:r>
      <w:proofErr w:type="spellEnd"/>
      <w:r>
        <w:rPr>
          <w:rFonts w:cs="Times New Roman"/>
          <w:sz w:val="28"/>
          <w:szCs w:val="28"/>
          <w:lang w:bidi="lv-LV"/>
        </w:rPr>
        <w:t xml:space="preserve"> saskaņā</w:t>
      </w:r>
      <w:r w:rsidRPr="00F04ADA">
        <w:rPr>
          <w:rFonts w:cs="Times New Roman"/>
          <w:sz w:val="28"/>
          <w:szCs w:val="28"/>
          <w:lang w:bidi="lv-LV"/>
        </w:rPr>
        <w:t xml:space="preserve"> </w:t>
      </w:r>
      <w:r>
        <w:rPr>
          <w:rFonts w:cs="Times New Roman"/>
          <w:sz w:val="28"/>
          <w:szCs w:val="28"/>
          <w:lang w:bidi="lv-LV"/>
        </w:rPr>
        <w:t xml:space="preserve">ar </w:t>
      </w:r>
      <w:r w:rsidRPr="00F04ADA">
        <w:rPr>
          <w:rFonts w:cs="Times New Roman"/>
          <w:sz w:val="28"/>
          <w:szCs w:val="28"/>
          <w:lang w:bidi="lv-LV"/>
        </w:rPr>
        <w:t>2017.</w:t>
      </w:r>
      <w:r>
        <w:rPr>
          <w:rFonts w:cs="Times New Roman"/>
          <w:sz w:val="28"/>
          <w:szCs w:val="28"/>
          <w:lang w:bidi="lv-LV"/>
        </w:rPr>
        <w:t> </w:t>
      </w:r>
      <w:r w:rsidRPr="00F04ADA">
        <w:rPr>
          <w:rFonts w:cs="Times New Roman"/>
          <w:sz w:val="28"/>
          <w:szCs w:val="28"/>
          <w:lang w:bidi="lv-LV"/>
        </w:rPr>
        <w:t>gada 5.</w:t>
      </w:r>
      <w:r>
        <w:rPr>
          <w:rFonts w:cs="Times New Roman"/>
          <w:sz w:val="28"/>
          <w:szCs w:val="28"/>
          <w:lang w:bidi="lv-LV"/>
        </w:rPr>
        <w:t> </w:t>
      </w:r>
      <w:r w:rsidRPr="00F04ADA">
        <w:rPr>
          <w:rFonts w:cs="Times New Roman"/>
          <w:sz w:val="28"/>
          <w:szCs w:val="28"/>
          <w:lang w:bidi="lv-LV"/>
        </w:rPr>
        <w:t>decembra MK sēdes protokollēmuma (Nr.</w:t>
      </w:r>
      <w:r>
        <w:rPr>
          <w:rFonts w:cs="Times New Roman"/>
          <w:sz w:val="28"/>
          <w:szCs w:val="28"/>
          <w:lang w:bidi="lv-LV"/>
        </w:rPr>
        <w:t> </w:t>
      </w:r>
      <w:r w:rsidRPr="00F04ADA">
        <w:rPr>
          <w:rFonts w:cs="Times New Roman"/>
          <w:sz w:val="28"/>
          <w:szCs w:val="28"/>
          <w:lang w:bidi="lv-LV"/>
        </w:rPr>
        <w:t xml:space="preserve">60 23.§ un 24.§) </w:t>
      </w:r>
      <w:r>
        <w:rPr>
          <w:rFonts w:cs="Times New Roman"/>
          <w:sz w:val="28"/>
          <w:szCs w:val="28"/>
          <w:lang w:bidi="lv-LV"/>
        </w:rPr>
        <w:t>4.3. apakšpunktu</w:t>
      </w:r>
      <w:r w:rsidRPr="00F04ADA">
        <w:rPr>
          <w:rFonts w:cs="Times New Roman"/>
          <w:sz w:val="28"/>
          <w:szCs w:val="28"/>
          <w:lang w:bidi="lv-LV"/>
        </w:rPr>
        <w:t xml:space="preserve">, iesniedza </w:t>
      </w:r>
      <w:r>
        <w:rPr>
          <w:rFonts w:cs="Times New Roman"/>
          <w:sz w:val="28"/>
          <w:szCs w:val="28"/>
          <w:lang w:bidi="lv-LV"/>
        </w:rPr>
        <w:t xml:space="preserve">VI </w:t>
      </w:r>
      <w:r w:rsidRPr="00F04ADA">
        <w:rPr>
          <w:rFonts w:cs="Times New Roman"/>
          <w:sz w:val="28"/>
          <w:szCs w:val="28"/>
          <w:lang w:bidi="lv-LV"/>
        </w:rPr>
        <w:t>MK noteikumu par programmu īstenošanu izstrādes laika grafiku</w:t>
      </w:r>
      <w:r>
        <w:rPr>
          <w:rFonts w:cs="Times New Roman"/>
          <w:sz w:val="28"/>
          <w:szCs w:val="28"/>
          <w:lang w:bidi="lv-LV"/>
        </w:rPr>
        <w:t xml:space="preserve"> (</w:t>
      </w:r>
      <w:r w:rsidR="00C54143">
        <w:rPr>
          <w:rFonts w:cs="Times New Roman"/>
          <w:sz w:val="28"/>
          <w:szCs w:val="28"/>
          <w:lang w:bidi="lv-LV"/>
        </w:rPr>
        <w:t>skatīt 2</w:t>
      </w:r>
      <w:r w:rsidRPr="003B5107">
        <w:rPr>
          <w:rFonts w:cs="Times New Roman"/>
          <w:sz w:val="28"/>
          <w:szCs w:val="28"/>
          <w:lang w:bidi="lv-LV"/>
        </w:rPr>
        <w:t>. pieli</w:t>
      </w:r>
      <w:r w:rsidRPr="00E767F9">
        <w:rPr>
          <w:rFonts w:cs="Times New Roman"/>
          <w:sz w:val="28"/>
          <w:szCs w:val="28"/>
          <w:lang w:bidi="lv-LV"/>
        </w:rPr>
        <w:t>kumu</w:t>
      </w:r>
      <w:r>
        <w:rPr>
          <w:rFonts w:cs="Times New Roman"/>
          <w:sz w:val="28"/>
          <w:szCs w:val="28"/>
          <w:lang w:bidi="lv-LV"/>
        </w:rPr>
        <w:t>) un</w:t>
      </w:r>
      <w:r w:rsidRPr="00F04ADA">
        <w:rPr>
          <w:rFonts w:cs="Times New Roman"/>
          <w:sz w:val="28"/>
          <w:szCs w:val="28"/>
          <w:lang w:bidi="lv-LV"/>
        </w:rPr>
        <w:t xml:space="preserve"> plānoto programmu izdevumu finanšu plūsmu.</w:t>
      </w:r>
      <w:r>
        <w:rPr>
          <w:rFonts w:cs="Times New Roman"/>
          <w:sz w:val="28"/>
          <w:szCs w:val="28"/>
          <w:lang w:bidi="lv-LV"/>
        </w:rPr>
        <w:t xml:space="preserve"> </w:t>
      </w:r>
      <w:r w:rsidR="003D4393">
        <w:rPr>
          <w:rFonts w:cs="Times New Roman"/>
          <w:sz w:val="28"/>
          <w:szCs w:val="28"/>
          <w:lang w:bidi="lv-LV"/>
        </w:rPr>
        <w:t xml:space="preserve">Veicot salīdzinošo analīzi plānotajām finanšu izdevumu plūsmām </w:t>
      </w:r>
      <w:r w:rsidR="003D4393" w:rsidRPr="003D4142">
        <w:rPr>
          <w:rFonts w:cs="Times New Roman"/>
          <w:sz w:val="28"/>
          <w:szCs w:val="28"/>
          <w:lang w:bidi="lv-LV"/>
        </w:rPr>
        <w:t xml:space="preserve">2009. – 2014. </w:t>
      </w:r>
      <w:r w:rsidR="003D4393">
        <w:rPr>
          <w:rFonts w:cs="Times New Roman"/>
          <w:sz w:val="28"/>
          <w:szCs w:val="28"/>
          <w:lang w:bidi="lv-LV"/>
        </w:rPr>
        <w:t>un 2014. – 2021.</w:t>
      </w:r>
      <w:r w:rsidR="003D4393" w:rsidRPr="003D4142">
        <w:rPr>
          <w:rFonts w:cs="Times New Roman"/>
          <w:sz w:val="28"/>
          <w:szCs w:val="28"/>
          <w:lang w:bidi="lv-LV"/>
        </w:rPr>
        <w:t xml:space="preserve"> EEZ/Norvēģijas finanšu instrumentu</w:t>
      </w:r>
      <w:r w:rsidR="003D4393">
        <w:rPr>
          <w:rFonts w:cs="Times New Roman"/>
          <w:sz w:val="28"/>
          <w:szCs w:val="28"/>
          <w:lang w:bidi="lv-LV"/>
        </w:rPr>
        <w:t xml:space="preserve"> periodu pirmajiem programmu ieviešanas gadiem, secināms, ka programmu </w:t>
      </w:r>
      <w:proofErr w:type="spellStart"/>
      <w:r w:rsidR="003D4393">
        <w:rPr>
          <w:rFonts w:cs="Times New Roman"/>
          <w:sz w:val="28"/>
          <w:szCs w:val="28"/>
          <w:lang w:bidi="lv-LV"/>
        </w:rPr>
        <w:t>apsaimniekotāju</w:t>
      </w:r>
      <w:proofErr w:type="spellEnd"/>
      <w:r w:rsidR="003D4393">
        <w:rPr>
          <w:rFonts w:cs="Times New Roman"/>
          <w:sz w:val="28"/>
          <w:szCs w:val="28"/>
          <w:lang w:bidi="lv-LV"/>
        </w:rPr>
        <w:t xml:space="preserve"> ieceres pirmajā gadā ir līdzīgā apmērā (~0,1% no kopā pieejamā finansējuma). Tomēr faktiski, ņemot vērā līdzšinējo faktisko izpildi ( t.i. t</w:t>
      </w:r>
      <w:r w:rsidR="003D4393" w:rsidRPr="00075B1B">
        <w:rPr>
          <w:rFonts w:cs="Times New Roman"/>
          <w:sz w:val="28"/>
          <w:szCs w:val="28"/>
          <w:lang w:bidi="lv-LV"/>
        </w:rPr>
        <w:t xml:space="preserve">ikai ~55% </w:t>
      </w:r>
      <w:r w:rsidR="003D4393">
        <w:rPr>
          <w:rFonts w:cs="Times New Roman"/>
          <w:sz w:val="28"/>
          <w:szCs w:val="28"/>
          <w:lang w:bidi="lv-LV"/>
        </w:rPr>
        <w:t xml:space="preserve">plānu izpilde kopumā) un programmu koncepciju izstrādes sākuma stadiju, FM uzskata, ka </w:t>
      </w:r>
      <w:r w:rsidR="003D4393" w:rsidRPr="003D4393">
        <w:rPr>
          <w:rFonts w:cs="Times New Roman"/>
          <w:sz w:val="28"/>
          <w:szCs w:val="28"/>
          <w:lang w:bidi="lv-LV"/>
        </w:rPr>
        <w:t xml:space="preserve">2018. gadā administratīvie un Divpusējās sadarbības fonda izdevumi programmās </w:t>
      </w:r>
      <w:r w:rsidR="003D4393">
        <w:rPr>
          <w:rFonts w:cs="Times New Roman"/>
          <w:sz w:val="28"/>
          <w:szCs w:val="28"/>
          <w:lang w:bidi="lv-LV"/>
        </w:rPr>
        <w:t>plānojami uz pusi mazāk nekā optim</w:t>
      </w:r>
      <w:r w:rsidR="00064BC1">
        <w:rPr>
          <w:rFonts w:cs="Times New Roman"/>
          <w:sz w:val="28"/>
          <w:szCs w:val="28"/>
          <w:lang w:bidi="lv-LV"/>
        </w:rPr>
        <w:t>i</w:t>
      </w:r>
      <w:r w:rsidR="003D4393">
        <w:rPr>
          <w:rFonts w:cs="Times New Roman"/>
          <w:sz w:val="28"/>
          <w:szCs w:val="28"/>
          <w:lang w:bidi="lv-LV"/>
        </w:rPr>
        <w:t xml:space="preserve">stiskās ieceres, t.i. </w:t>
      </w:r>
      <w:r w:rsidR="003D4393" w:rsidRPr="003D4393">
        <w:rPr>
          <w:rFonts w:cs="Times New Roman"/>
          <w:sz w:val="28"/>
          <w:szCs w:val="28"/>
          <w:lang w:bidi="lv-LV"/>
        </w:rPr>
        <w:t xml:space="preserve">indikatīvi 523 656 </w:t>
      </w:r>
      <w:r w:rsidR="003D4393" w:rsidRPr="00203FC7">
        <w:rPr>
          <w:rFonts w:cs="Times New Roman"/>
          <w:i/>
          <w:sz w:val="28"/>
          <w:szCs w:val="28"/>
          <w:lang w:bidi="lv-LV"/>
        </w:rPr>
        <w:t>euro</w:t>
      </w:r>
      <w:r w:rsidR="003D4393" w:rsidRPr="003D4393">
        <w:rPr>
          <w:rFonts w:cs="Times New Roman"/>
          <w:sz w:val="28"/>
          <w:szCs w:val="28"/>
          <w:lang w:bidi="lv-LV"/>
        </w:rPr>
        <w:t xml:space="preserve"> (EEZ/Norvēģijas finanšu instrumentu </w:t>
      </w:r>
      <w:proofErr w:type="spellStart"/>
      <w:r w:rsidR="003D4393" w:rsidRPr="003D4393">
        <w:rPr>
          <w:rFonts w:cs="Times New Roman"/>
          <w:sz w:val="28"/>
          <w:szCs w:val="28"/>
          <w:lang w:bidi="lv-LV"/>
        </w:rPr>
        <w:t>granta</w:t>
      </w:r>
      <w:proofErr w:type="spellEnd"/>
      <w:r w:rsidR="003D4393" w:rsidRPr="003D4393">
        <w:rPr>
          <w:rFonts w:cs="Times New Roman"/>
          <w:sz w:val="28"/>
          <w:szCs w:val="28"/>
          <w:lang w:bidi="lv-LV"/>
        </w:rPr>
        <w:t xml:space="preserve"> daļa kopā).</w:t>
      </w:r>
    </w:p>
    <w:p w14:paraId="1D249280" w14:textId="2FDECE8D" w:rsidR="009759AB" w:rsidRDefault="009759AB">
      <w:pPr>
        <w:rPr>
          <w:rFonts w:cs="Times New Roman"/>
          <w:i/>
          <w:szCs w:val="24"/>
        </w:rPr>
      </w:pPr>
      <w:r>
        <w:rPr>
          <w:rFonts w:cs="Times New Roman"/>
          <w:i/>
          <w:szCs w:val="24"/>
        </w:rPr>
        <w:br w:type="page"/>
      </w:r>
    </w:p>
    <w:p w14:paraId="5732CD7C" w14:textId="5F9FB229" w:rsidR="00AD58FE" w:rsidRDefault="00AD58FE" w:rsidP="00820C99">
      <w:pPr>
        <w:pStyle w:val="NoSpacing"/>
        <w:jc w:val="both"/>
        <w:rPr>
          <w:rFonts w:cs="Times New Roman"/>
          <w:i/>
          <w:szCs w:val="24"/>
        </w:rPr>
      </w:pPr>
      <w:r w:rsidRPr="00714937">
        <w:rPr>
          <w:rFonts w:cs="Times New Roman"/>
          <w:i/>
          <w:szCs w:val="24"/>
        </w:rPr>
        <w:lastRenderedPageBreak/>
        <w:t>Tabula Nr.3 “Plānotā</w:t>
      </w:r>
      <w:r>
        <w:rPr>
          <w:rFonts w:cs="Times New Roman"/>
          <w:i/>
          <w:szCs w:val="24"/>
        </w:rPr>
        <w:t xml:space="preserve"> izdevumu</w:t>
      </w:r>
      <w:r w:rsidRPr="00714937">
        <w:rPr>
          <w:rFonts w:cs="Times New Roman"/>
          <w:i/>
          <w:szCs w:val="24"/>
        </w:rPr>
        <w:t xml:space="preserve"> finanšu plūsma </w:t>
      </w:r>
      <w:r w:rsidR="00957659">
        <w:rPr>
          <w:rFonts w:cs="Times New Roman"/>
          <w:i/>
          <w:szCs w:val="24"/>
        </w:rPr>
        <w:t>2018.</w:t>
      </w:r>
      <w:r w:rsidR="00281281">
        <w:rPr>
          <w:rFonts w:cs="Times New Roman"/>
          <w:i/>
          <w:szCs w:val="24"/>
        </w:rPr>
        <w:t> </w:t>
      </w:r>
      <w:r w:rsidR="00957659">
        <w:rPr>
          <w:rFonts w:cs="Times New Roman"/>
          <w:i/>
          <w:szCs w:val="24"/>
        </w:rPr>
        <w:t>gadā un indikatīvi līdz 202</w:t>
      </w:r>
      <w:r w:rsidRPr="00714937">
        <w:rPr>
          <w:rFonts w:cs="Times New Roman"/>
          <w:i/>
          <w:szCs w:val="24"/>
        </w:rPr>
        <w:t>4.</w:t>
      </w:r>
      <w:r w:rsidR="00281281">
        <w:rPr>
          <w:rFonts w:cs="Times New Roman"/>
          <w:i/>
          <w:szCs w:val="24"/>
        </w:rPr>
        <w:t> </w:t>
      </w:r>
      <w:r w:rsidRPr="00714937">
        <w:rPr>
          <w:rFonts w:cs="Times New Roman"/>
          <w:i/>
          <w:szCs w:val="24"/>
        </w:rPr>
        <w:t xml:space="preserve">gadam </w:t>
      </w:r>
      <w:r w:rsidR="00E65379">
        <w:rPr>
          <w:rFonts w:cs="Times New Roman"/>
          <w:i/>
          <w:szCs w:val="24"/>
        </w:rPr>
        <w:t xml:space="preserve">par </w:t>
      </w:r>
      <w:r w:rsidR="00E65379" w:rsidRPr="00B84540">
        <w:rPr>
          <w:rFonts w:cs="Times New Roman"/>
          <w:i/>
          <w:szCs w:val="24"/>
          <w:lang w:bidi="lv-LV"/>
        </w:rPr>
        <w:t>EEZ/Norvēģijas finanšu instrumentu grant</w:t>
      </w:r>
      <w:r w:rsidR="00E65379">
        <w:rPr>
          <w:rFonts w:cs="Times New Roman"/>
          <w:i/>
          <w:szCs w:val="24"/>
          <w:lang w:bidi="lv-LV"/>
        </w:rPr>
        <w:t>u</w:t>
      </w:r>
      <w:r w:rsidR="00E65379" w:rsidRPr="00B84540">
        <w:rPr>
          <w:rFonts w:cs="Times New Roman"/>
          <w:i/>
          <w:szCs w:val="24"/>
          <w:lang w:bidi="lv-LV"/>
        </w:rPr>
        <w:t xml:space="preserve"> daļ</w:t>
      </w:r>
      <w:r w:rsidR="00E65379">
        <w:rPr>
          <w:rFonts w:cs="Times New Roman"/>
          <w:i/>
          <w:szCs w:val="24"/>
          <w:lang w:bidi="lv-LV"/>
        </w:rPr>
        <w:t>u</w:t>
      </w:r>
      <w:r w:rsidR="00E65379" w:rsidRPr="00B84540">
        <w:rPr>
          <w:rFonts w:cs="Times New Roman"/>
          <w:i/>
          <w:szCs w:val="24"/>
          <w:lang w:bidi="lv-LV"/>
        </w:rPr>
        <w:t xml:space="preserve"> kopā</w:t>
      </w:r>
      <w:r w:rsidR="00E65379" w:rsidRPr="00E65379" w:rsidDel="00E65379">
        <w:rPr>
          <w:rFonts w:cs="Times New Roman"/>
          <w:i/>
          <w:szCs w:val="24"/>
        </w:rPr>
        <w:t xml:space="preserve"> </w:t>
      </w:r>
      <w:r w:rsidRPr="00714937">
        <w:rPr>
          <w:rFonts w:cs="Times New Roman"/>
          <w:i/>
          <w:szCs w:val="24"/>
        </w:rPr>
        <w:t>(euro)”</w:t>
      </w:r>
    </w:p>
    <w:tbl>
      <w:tblPr>
        <w:tblW w:w="9061" w:type="dxa"/>
        <w:jc w:val="center"/>
        <w:tblLook w:val="04A0" w:firstRow="1" w:lastRow="0" w:firstColumn="1" w:lastColumn="0" w:noHBand="0" w:noVBand="1"/>
      </w:tblPr>
      <w:tblGrid>
        <w:gridCol w:w="2119"/>
        <w:gridCol w:w="1923"/>
        <w:gridCol w:w="1765"/>
        <w:gridCol w:w="1678"/>
        <w:gridCol w:w="1576"/>
      </w:tblGrid>
      <w:tr w:rsidR="00B84540" w:rsidRPr="00E65379" w14:paraId="39EEAC38" w14:textId="77777777" w:rsidTr="004A6901">
        <w:trPr>
          <w:trHeight w:val="630"/>
          <w:jc w:val="center"/>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20183" w14:textId="0CFF1466" w:rsidR="00B84540" w:rsidRPr="00B84540" w:rsidRDefault="00B84540" w:rsidP="00AD58FE">
            <w:pPr>
              <w:jc w:val="center"/>
              <w:rPr>
                <w:rFonts w:eastAsia="Times New Roman" w:cs="Times New Roman"/>
                <w:color w:val="000000"/>
                <w:szCs w:val="24"/>
                <w:lang w:eastAsia="lv-LV"/>
              </w:rPr>
            </w:pPr>
            <w:r w:rsidRPr="00B84540">
              <w:rPr>
                <w:rFonts w:eastAsia="Times New Roman" w:cs="Times New Roman"/>
                <w:color w:val="000000"/>
                <w:szCs w:val="24"/>
                <w:lang w:eastAsia="lv-LV"/>
              </w:rPr>
              <w:t xml:space="preserve">Programmas </w:t>
            </w:r>
            <w:proofErr w:type="spellStart"/>
            <w:r w:rsidRPr="00B84540">
              <w:rPr>
                <w:rFonts w:eastAsia="Times New Roman" w:cs="Times New Roman"/>
                <w:color w:val="000000"/>
                <w:szCs w:val="24"/>
                <w:lang w:eastAsia="lv-LV"/>
              </w:rPr>
              <w:t>apsaimniekotājs</w:t>
            </w:r>
            <w:proofErr w:type="spellEnd"/>
            <w:r w:rsidRPr="00B84540">
              <w:rPr>
                <w:rFonts w:eastAsia="Times New Roman" w:cs="Times New Roman"/>
                <w:color w:val="000000"/>
                <w:szCs w:val="24"/>
                <w:lang w:eastAsia="lv-LV"/>
              </w:rPr>
              <w:t xml:space="preserve"> (PA)/ </w:t>
            </w:r>
            <w:r w:rsidRPr="00B84540">
              <w:rPr>
                <w:rFonts w:eastAsia="Times New Roman" w:cs="Times New Roman"/>
                <w:i/>
                <w:iCs/>
                <w:color w:val="000000"/>
                <w:szCs w:val="24"/>
                <w:lang w:eastAsia="lv-LV"/>
              </w:rPr>
              <w:t>Programmas nosaukums</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0D4E9" w14:textId="0C82AAD6" w:rsidR="00B84540" w:rsidRPr="00B84540" w:rsidRDefault="00B84540" w:rsidP="00B84540">
            <w:pPr>
              <w:jc w:val="center"/>
              <w:rPr>
                <w:rFonts w:eastAsia="Times New Roman" w:cs="Times New Roman"/>
                <w:color w:val="000000"/>
                <w:szCs w:val="24"/>
                <w:lang w:eastAsia="lv-LV"/>
              </w:rPr>
            </w:pPr>
            <w:r>
              <w:rPr>
                <w:rFonts w:eastAsia="Times New Roman" w:cs="Times New Roman"/>
                <w:i/>
                <w:color w:val="000000"/>
                <w:szCs w:val="24"/>
                <w:lang w:eastAsia="lv-LV" w:bidi="lv-LV"/>
              </w:rPr>
              <w:t xml:space="preserve">Programmai piešķirtā </w:t>
            </w:r>
            <w:proofErr w:type="spellStart"/>
            <w:r>
              <w:rPr>
                <w:rFonts w:eastAsia="Times New Roman" w:cs="Times New Roman"/>
                <w:i/>
                <w:color w:val="000000"/>
                <w:szCs w:val="24"/>
                <w:lang w:eastAsia="lv-LV" w:bidi="lv-LV"/>
              </w:rPr>
              <w:t>grantu</w:t>
            </w:r>
            <w:proofErr w:type="spellEnd"/>
            <w:r>
              <w:rPr>
                <w:rFonts w:eastAsia="Times New Roman" w:cs="Times New Roman"/>
                <w:i/>
                <w:color w:val="000000"/>
                <w:szCs w:val="24"/>
                <w:lang w:eastAsia="lv-LV" w:bidi="lv-LV"/>
              </w:rPr>
              <w:t xml:space="preserve"> daļa atbilstoši </w:t>
            </w:r>
            <w:proofErr w:type="spellStart"/>
            <w:r>
              <w:rPr>
                <w:rFonts w:eastAsia="Times New Roman" w:cs="Times New Roman"/>
                <w:i/>
                <w:color w:val="000000"/>
                <w:szCs w:val="24"/>
                <w:lang w:eastAsia="lv-LV" w:bidi="lv-LV"/>
              </w:rPr>
              <w:t>MoU</w:t>
            </w:r>
            <w:proofErr w:type="spellEnd"/>
          </w:p>
        </w:tc>
        <w:tc>
          <w:tcPr>
            <w:tcW w:w="3443" w:type="dxa"/>
            <w:gridSpan w:val="2"/>
            <w:tcBorders>
              <w:top w:val="single" w:sz="4" w:space="0" w:color="auto"/>
              <w:left w:val="nil"/>
              <w:bottom w:val="single" w:sz="4" w:space="0" w:color="auto"/>
              <w:right w:val="single" w:sz="4" w:space="0" w:color="auto"/>
            </w:tcBorders>
            <w:shd w:val="clear" w:color="auto" w:fill="auto"/>
            <w:vAlign w:val="center"/>
            <w:hideMark/>
          </w:tcPr>
          <w:p w14:paraId="5D195581" w14:textId="0BE0825A" w:rsidR="00B84540" w:rsidRPr="00B84540" w:rsidRDefault="00B84540" w:rsidP="00E65379">
            <w:pPr>
              <w:jc w:val="center"/>
              <w:rPr>
                <w:rFonts w:eastAsia="Times New Roman" w:cs="Times New Roman"/>
                <w:color w:val="000000"/>
                <w:szCs w:val="24"/>
                <w:lang w:eastAsia="lv-LV"/>
              </w:rPr>
            </w:pPr>
            <w:r w:rsidRPr="00E65379">
              <w:rPr>
                <w:rFonts w:cs="Times New Roman"/>
                <w:i/>
                <w:szCs w:val="24"/>
                <w:lang w:bidi="lv-LV"/>
              </w:rPr>
              <w:t>EEZ/Norvēģijas finanšu instrumentu grantu</w:t>
            </w:r>
            <w:r w:rsidRPr="00A06FBD">
              <w:rPr>
                <w:rFonts w:cs="Times New Roman"/>
                <w:i/>
                <w:szCs w:val="24"/>
                <w:lang w:bidi="lv-LV"/>
              </w:rPr>
              <w:t xml:space="preserve"> daļa </w:t>
            </w:r>
            <w:r w:rsidRPr="00B84540">
              <w:rPr>
                <w:rFonts w:eastAsia="Times New Roman" w:cs="Times New Roman"/>
                <w:color w:val="000000"/>
                <w:szCs w:val="24"/>
                <w:lang w:eastAsia="lv-LV"/>
              </w:rPr>
              <w:t>2018.gadā</w:t>
            </w:r>
          </w:p>
        </w:tc>
        <w:tc>
          <w:tcPr>
            <w:tcW w:w="1576" w:type="dxa"/>
            <w:vMerge w:val="restart"/>
            <w:tcBorders>
              <w:top w:val="single" w:sz="4" w:space="0" w:color="auto"/>
              <w:left w:val="single" w:sz="4" w:space="0" w:color="auto"/>
              <w:right w:val="single" w:sz="4" w:space="0" w:color="auto"/>
            </w:tcBorders>
            <w:shd w:val="clear" w:color="auto" w:fill="auto"/>
            <w:vAlign w:val="center"/>
            <w:hideMark/>
          </w:tcPr>
          <w:p w14:paraId="1E6C4062" w14:textId="37FB4284" w:rsidR="00B84540" w:rsidRPr="00B84540" w:rsidRDefault="00B84540" w:rsidP="003E5DD7">
            <w:pPr>
              <w:jc w:val="center"/>
              <w:rPr>
                <w:rFonts w:eastAsia="Times New Roman" w:cs="Times New Roman"/>
                <w:color w:val="000000"/>
                <w:szCs w:val="24"/>
                <w:lang w:eastAsia="lv-LV"/>
              </w:rPr>
            </w:pPr>
            <w:r>
              <w:rPr>
                <w:rFonts w:eastAsia="Times New Roman" w:cs="Times New Roman"/>
                <w:color w:val="000000"/>
                <w:szCs w:val="24"/>
                <w:lang w:eastAsia="lv-LV"/>
              </w:rPr>
              <w:t>Atlikusī</w:t>
            </w:r>
            <w:r w:rsidR="003E5DD7">
              <w:rPr>
                <w:rFonts w:eastAsia="Times New Roman" w:cs="Times New Roman"/>
                <w:color w:val="000000"/>
                <w:szCs w:val="24"/>
                <w:lang w:eastAsia="lv-LV"/>
              </w:rPr>
              <w:t xml:space="preserve"> </w:t>
            </w:r>
            <w:r>
              <w:rPr>
                <w:rFonts w:eastAsia="Times New Roman" w:cs="Times New Roman"/>
                <w:color w:val="000000"/>
                <w:szCs w:val="24"/>
                <w:lang w:eastAsia="lv-LV"/>
              </w:rPr>
              <w:t>daļa</w:t>
            </w:r>
            <w:r w:rsidRPr="00B84540">
              <w:rPr>
                <w:rFonts w:eastAsia="Times New Roman" w:cs="Times New Roman"/>
                <w:color w:val="000000"/>
                <w:szCs w:val="24"/>
                <w:lang w:eastAsia="lv-LV"/>
              </w:rPr>
              <w:t>: 2019.-2024.gadam</w:t>
            </w:r>
            <w:r>
              <w:rPr>
                <w:rFonts w:eastAsia="Times New Roman" w:cs="Times New Roman"/>
                <w:color w:val="000000"/>
                <w:szCs w:val="24"/>
                <w:lang w:eastAsia="lv-LV"/>
              </w:rPr>
              <w:t xml:space="preserve"> atbilstoši FM prognozei</w:t>
            </w:r>
          </w:p>
        </w:tc>
      </w:tr>
      <w:tr w:rsidR="00B84540" w:rsidRPr="00E65379" w14:paraId="09E8C80C" w14:textId="77777777" w:rsidTr="004A6901">
        <w:trPr>
          <w:trHeight w:val="780"/>
          <w:jc w:val="center"/>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1451B82A" w14:textId="77777777" w:rsidR="00B84540" w:rsidRPr="00866986" w:rsidRDefault="00B84540" w:rsidP="00AD58FE">
            <w:pPr>
              <w:rPr>
                <w:rFonts w:eastAsia="Times New Roman" w:cs="Times New Roman"/>
                <w:color w:val="000000"/>
                <w:szCs w:val="24"/>
                <w:lang w:eastAsia="lv-LV"/>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14:paraId="1E12D23E" w14:textId="77777777" w:rsidR="00B84540" w:rsidRPr="00866986" w:rsidRDefault="00B84540" w:rsidP="00AD58FE">
            <w:pPr>
              <w:rPr>
                <w:rFonts w:eastAsia="Times New Roman" w:cs="Times New Roman"/>
                <w:color w:val="000000"/>
                <w:szCs w:val="24"/>
                <w:lang w:eastAsia="lv-LV"/>
              </w:rPr>
            </w:pPr>
          </w:p>
        </w:tc>
        <w:tc>
          <w:tcPr>
            <w:tcW w:w="1765" w:type="dxa"/>
            <w:tcBorders>
              <w:top w:val="nil"/>
              <w:left w:val="nil"/>
              <w:bottom w:val="single" w:sz="4" w:space="0" w:color="auto"/>
              <w:right w:val="single" w:sz="4" w:space="0" w:color="auto"/>
            </w:tcBorders>
            <w:shd w:val="clear" w:color="auto" w:fill="auto"/>
            <w:vAlign w:val="center"/>
            <w:hideMark/>
          </w:tcPr>
          <w:p w14:paraId="64EB210B" w14:textId="6270F2AC" w:rsidR="00B84540" w:rsidRPr="00B84540" w:rsidRDefault="00B84540" w:rsidP="00A06FBD">
            <w:pPr>
              <w:jc w:val="center"/>
              <w:rPr>
                <w:rFonts w:eastAsia="Times New Roman" w:cs="Times New Roman"/>
                <w:color w:val="000000"/>
                <w:szCs w:val="24"/>
                <w:lang w:eastAsia="lv-LV"/>
              </w:rPr>
            </w:pPr>
            <w:r w:rsidRPr="00866986">
              <w:rPr>
                <w:rFonts w:eastAsia="Times New Roman" w:cs="Times New Roman"/>
                <w:color w:val="000000"/>
                <w:szCs w:val="24"/>
                <w:lang w:eastAsia="lv-LV"/>
              </w:rPr>
              <w:t>PA prognoze</w:t>
            </w:r>
            <w:r>
              <w:rPr>
                <w:rFonts w:eastAsia="Times New Roman" w:cs="Times New Roman"/>
                <w:color w:val="000000"/>
                <w:szCs w:val="24"/>
                <w:lang w:eastAsia="lv-LV"/>
              </w:rPr>
              <w:t xml:space="preserve"> - iespējamā</w:t>
            </w:r>
            <w:r w:rsidRPr="00B84540">
              <w:rPr>
                <w:rFonts w:eastAsia="Times New Roman" w:cs="Times New Roman"/>
                <w:color w:val="000000"/>
                <w:szCs w:val="24"/>
                <w:lang w:eastAsia="lv-LV"/>
              </w:rPr>
              <w:t xml:space="preserve">: </w:t>
            </w:r>
          </w:p>
        </w:tc>
        <w:tc>
          <w:tcPr>
            <w:tcW w:w="1678" w:type="dxa"/>
            <w:tcBorders>
              <w:top w:val="single" w:sz="4" w:space="0" w:color="auto"/>
              <w:left w:val="single" w:sz="4" w:space="0" w:color="auto"/>
              <w:bottom w:val="single" w:sz="4" w:space="0" w:color="auto"/>
              <w:right w:val="single" w:sz="4" w:space="0" w:color="auto"/>
            </w:tcBorders>
          </w:tcPr>
          <w:p w14:paraId="77875912" w14:textId="221AA500" w:rsidR="00B84540" w:rsidRPr="00B84540" w:rsidRDefault="00B84540" w:rsidP="00A06FBD">
            <w:pPr>
              <w:jc w:val="center"/>
              <w:rPr>
                <w:rFonts w:eastAsia="Times New Roman" w:cs="Times New Roman"/>
                <w:color w:val="000000"/>
                <w:szCs w:val="24"/>
                <w:lang w:eastAsia="lv-LV"/>
              </w:rPr>
            </w:pPr>
            <w:r w:rsidRPr="00B84540">
              <w:rPr>
                <w:rFonts w:eastAsia="Times New Roman" w:cs="Times New Roman"/>
                <w:color w:val="000000"/>
                <w:szCs w:val="24"/>
                <w:lang w:eastAsia="lv-LV"/>
              </w:rPr>
              <w:t>FM prognoze</w:t>
            </w:r>
            <w:r>
              <w:rPr>
                <w:rFonts w:eastAsia="Times New Roman" w:cs="Times New Roman"/>
                <w:color w:val="000000"/>
                <w:szCs w:val="24"/>
                <w:lang w:eastAsia="lv-LV"/>
              </w:rPr>
              <w:t xml:space="preserve"> – reālistiskā, minimāli plānojamā</w:t>
            </w:r>
            <w:r w:rsidRPr="00B84540">
              <w:rPr>
                <w:rFonts w:eastAsia="Times New Roman" w:cs="Times New Roman"/>
                <w:color w:val="000000"/>
                <w:szCs w:val="24"/>
                <w:lang w:eastAsia="lv-LV"/>
              </w:rPr>
              <w:t xml:space="preserve">: </w:t>
            </w:r>
          </w:p>
        </w:tc>
        <w:tc>
          <w:tcPr>
            <w:tcW w:w="1576" w:type="dxa"/>
            <w:vMerge/>
            <w:tcBorders>
              <w:left w:val="single" w:sz="4" w:space="0" w:color="auto"/>
              <w:bottom w:val="single" w:sz="4" w:space="0" w:color="auto"/>
              <w:right w:val="single" w:sz="4" w:space="0" w:color="auto"/>
            </w:tcBorders>
            <w:vAlign w:val="center"/>
            <w:hideMark/>
          </w:tcPr>
          <w:p w14:paraId="2B5F811C" w14:textId="2FF22522" w:rsidR="00B84540" w:rsidRPr="00B84540" w:rsidRDefault="00B84540" w:rsidP="00AD58FE">
            <w:pPr>
              <w:rPr>
                <w:rFonts w:eastAsia="Times New Roman" w:cs="Times New Roman"/>
                <w:color w:val="000000"/>
                <w:szCs w:val="24"/>
                <w:lang w:eastAsia="lv-LV"/>
              </w:rPr>
            </w:pPr>
          </w:p>
        </w:tc>
      </w:tr>
      <w:tr w:rsidR="00B84540" w:rsidRPr="00E65379" w14:paraId="47C8F5BA" w14:textId="77777777" w:rsidTr="00B84540">
        <w:trPr>
          <w:trHeight w:val="315"/>
          <w:jc w:val="center"/>
        </w:trPr>
        <w:tc>
          <w:tcPr>
            <w:tcW w:w="2119"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24F22AA" w14:textId="77777777" w:rsidR="00B84540" w:rsidRPr="00B84540" w:rsidRDefault="00B84540" w:rsidP="00B84540">
            <w:pPr>
              <w:jc w:val="right"/>
              <w:rPr>
                <w:rFonts w:eastAsia="Times New Roman" w:cs="Times New Roman"/>
                <w:b/>
                <w:bCs/>
                <w:color w:val="000000"/>
                <w:szCs w:val="24"/>
                <w:lang w:eastAsia="lv-LV"/>
              </w:rPr>
            </w:pPr>
            <w:r w:rsidRPr="00B84540">
              <w:rPr>
                <w:rFonts w:eastAsia="Times New Roman" w:cs="Times New Roman"/>
                <w:b/>
                <w:bCs/>
                <w:color w:val="000000"/>
                <w:szCs w:val="24"/>
                <w:lang w:eastAsia="lv-LV"/>
              </w:rPr>
              <w:t xml:space="preserve">KOPĀ, T.SK.: </w:t>
            </w:r>
          </w:p>
        </w:tc>
        <w:tc>
          <w:tcPr>
            <w:tcW w:w="1923" w:type="dxa"/>
            <w:tcBorders>
              <w:top w:val="nil"/>
              <w:left w:val="nil"/>
              <w:bottom w:val="single" w:sz="4" w:space="0" w:color="auto"/>
              <w:right w:val="single" w:sz="4" w:space="0" w:color="auto"/>
            </w:tcBorders>
            <w:shd w:val="clear" w:color="000000" w:fill="B7DEE8"/>
            <w:noWrap/>
            <w:hideMark/>
          </w:tcPr>
          <w:p w14:paraId="70F1B756" w14:textId="59895D5F" w:rsidR="00B84540" w:rsidRPr="00B84540" w:rsidRDefault="00B84540" w:rsidP="00B84540">
            <w:pPr>
              <w:jc w:val="center"/>
              <w:rPr>
                <w:rFonts w:eastAsia="Times New Roman" w:cs="Times New Roman"/>
                <w:b/>
                <w:bCs/>
                <w:color w:val="000000"/>
                <w:szCs w:val="24"/>
                <w:lang w:eastAsia="lv-LV"/>
              </w:rPr>
            </w:pPr>
            <w:r w:rsidRPr="00473CA3">
              <w:t>80 531 500</w:t>
            </w:r>
          </w:p>
        </w:tc>
        <w:tc>
          <w:tcPr>
            <w:tcW w:w="1765" w:type="dxa"/>
            <w:tcBorders>
              <w:top w:val="nil"/>
              <w:left w:val="nil"/>
              <w:bottom w:val="single" w:sz="4" w:space="0" w:color="auto"/>
              <w:right w:val="single" w:sz="4" w:space="0" w:color="auto"/>
            </w:tcBorders>
            <w:shd w:val="clear" w:color="000000" w:fill="B7DEE8"/>
            <w:noWrap/>
            <w:vAlign w:val="center"/>
            <w:hideMark/>
          </w:tcPr>
          <w:p w14:paraId="72A894C9" w14:textId="4EF7611A" w:rsidR="00B84540" w:rsidRPr="00B84540" w:rsidRDefault="00B84540" w:rsidP="00B84540">
            <w:pPr>
              <w:jc w:val="center"/>
              <w:rPr>
                <w:rFonts w:eastAsia="Times New Roman" w:cs="Times New Roman"/>
                <w:b/>
                <w:bCs/>
                <w:color w:val="000000"/>
                <w:szCs w:val="24"/>
                <w:lang w:eastAsia="lv-LV"/>
              </w:rPr>
            </w:pPr>
            <w:r w:rsidRPr="00B84540">
              <w:rPr>
                <w:rFonts w:eastAsia="Times New Roman" w:cs="Times New Roman"/>
                <w:b/>
                <w:bCs/>
                <w:color w:val="000000"/>
                <w:szCs w:val="24"/>
                <w:lang w:eastAsia="lv-LV"/>
              </w:rPr>
              <w:t>923 296</w:t>
            </w:r>
          </w:p>
        </w:tc>
        <w:tc>
          <w:tcPr>
            <w:tcW w:w="1678" w:type="dxa"/>
            <w:tcBorders>
              <w:top w:val="single" w:sz="4" w:space="0" w:color="auto"/>
              <w:left w:val="nil"/>
              <w:bottom w:val="single" w:sz="4" w:space="0" w:color="auto"/>
              <w:right w:val="single" w:sz="4" w:space="0" w:color="auto"/>
            </w:tcBorders>
            <w:shd w:val="clear" w:color="auto" w:fill="C5E0B3" w:themeFill="accent6" w:themeFillTint="66"/>
          </w:tcPr>
          <w:p w14:paraId="72C9C42E" w14:textId="06BA177F" w:rsidR="00B84540" w:rsidRPr="00B84540" w:rsidRDefault="00B84540" w:rsidP="00B84540">
            <w:pPr>
              <w:jc w:val="center"/>
              <w:rPr>
                <w:rFonts w:eastAsia="Times New Roman" w:cs="Times New Roman"/>
                <w:b/>
                <w:bCs/>
                <w:color w:val="000000"/>
                <w:szCs w:val="24"/>
                <w:lang w:eastAsia="lv-LV"/>
              </w:rPr>
            </w:pPr>
            <w:r w:rsidRPr="00B84540">
              <w:rPr>
                <w:rFonts w:eastAsia="Times New Roman" w:cs="Times New Roman"/>
                <w:b/>
                <w:bCs/>
                <w:color w:val="000000"/>
                <w:szCs w:val="24"/>
                <w:lang w:eastAsia="lv-LV"/>
              </w:rPr>
              <w:t>523 656</w:t>
            </w:r>
          </w:p>
        </w:tc>
        <w:tc>
          <w:tcPr>
            <w:tcW w:w="1576" w:type="dxa"/>
            <w:tcBorders>
              <w:top w:val="nil"/>
              <w:left w:val="single" w:sz="4" w:space="0" w:color="auto"/>
              <w:bottom w:val="single" w:sz="4" w:space="0" w:color="auto"/>
              <w:right w:val="single" w:sz="4" w:space="0" w:color="auto"/>
            </w:tcBorders>
            <w:shd w:val="clear" w:color="000000" w:fill="B7DEE8"/>
            <w:noWrap/>
            <w:hideMark/>
          </w:tcPr>
          <w:p w14:paraId="4860E1F3" w14:textId="0458683C" w:rsidR="00B84540" w:rsidRPr="00B84540" w:rsidRDefault="00B84540" w:rsidP="00B84540">
            <w:pPr>
              <w:jc w:val="center"/>
              <w:rPr>
                <w:rFonts w:eastAsia="Times New Roman" w:cs="Times New Roman"/>
                <w:b/>
                <w:bCs/>
                <w:color w:val="000000"/>
                <w:szCs w:val="24"/>
                <w:lang w:eastAsia="lv-LV"/>
              </w:rPr>
            </w:pPr>
            <w:r w:rsidRPr="008549E4">
              <w:t>79 608 204</w:t>
            </w:r>
          </w:p>
        </w:tc>
      </w:tr>
      <w:tr w:rsidR="00B84540" w:rsidRPr="00E65379" w14:paraId="67A06CB2" w14:textId="77777777" w:rsidTr="00B84540">
        <w:trPr>
          <w:trHeight w:val="315"/>
          <w:jc w:val="center"/>
        </w:trPr>
        <w:tc>
          <w:tcPr>
            <w:tcW w:w="2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87C13B" w14:textId="77777777" w:rsidR="00B84540" w:rsidRPr="00B84540" w:rsidRDefault="00B84540" w:rsidP="00B84540">
            <w:pPr>
              <w:rPr>
                <w:rFonts w:eastAsia="Times New Roman" w:cs="Times New Roman"/>
                <w:color w:val="000000"/>
                <w:szCs w:val="24"/>
                <w:lang w:eastAsia="lv-LV"/>
              </w:rPr>
            </w:pPr>
            <w:r w:rsidRPr="00B84540">
              <w:rPr>
                <w:rFonts w:eastAsia="Times New Roman" w:cs="Times New Roman"/>
                <w:b/>
                <w:bCs/>
                <w:color w:val="000000"/>
                <w:szCs w:val="24"/>
                <w:lang w:eastAsia="lv-LV"/>
              </w:rPr>
              <w:t>LIAA</w:t>
            </w:r>
            <w:r w:rsidRPr="00B84540">
              <w:rPr>
                <w:rFonts w:eastAsia="Times New Roman" w:cs="Times New Roman"/>
                <w:color w:val="000000"/>
                <w:szCs w:val="24"/>
                <w:lang w:eastAsia="lv-LV"/>
              </w:rPr>
              <w:t xml:space="preserve"> /</w:t>
            </w:r>
            <w:r w:rsidRPr="00B84540">
              <w:rPr>
                <w:rFonts w:eastAsia="Times New Roman" w:cs="Times New Roman"/>
                <w:i/>
                <w:iCs/>
                <w:color w:val="000000"/>
                <w:szCs w:val="24"/>
                <w:lang w:eastAsia="lv-LV"/>
              </w:rPr>
              <w:t>Uzņēmējdarbības attīstība, inovācijas un MVU</w:t>
            </w:r>
          </w:p>
        </w:tc>
        <w:tc>
          <w:tcPr>
            <w:tcW w:w="1923" w:type="dxa"/>
            <w:tcBorders>
              <w:top w:val="nil"/>
              <w:left w:val="nil"/>
              <w:bottom w:val="single" w:sz="4" w:space="0" w:color="auto"/>
              <w:right w:val="single" w:sz="4" w:space="0" w:color="auto"/>
            </w:tcBorders>
            <w:shd w:val="clear" w:color="auto" w:fill="auto"/>
            <w:hideMark/>
          </w:tcPr>
          <w:p w14:paraId="0A0CB40D" w14:textId="5A6F609A" w:rsidR="00B84540" w:rsidRPr="00B84540" w:rsidRDefault="00B84540" w:rsidP="00B84540">
            <w:pPr>
              <w:jc w:val="center"/>
              <w:rPr>
                <w:rFonts w:eastAsia="Times New Roman" w:cs="Times New Roman"/>
                <w:color w:val="000000"/>
                <w:szCs w:val="24"/>
                <w:lang w:eastAsia="lv-LV"/>
              </w:rPr>
            </w:pPr>
            <w:r w:rsidRPr="00473CA3">
              <w:t>12 500 000</w:t>
            </w:r>
          </w:p>
        </w:tc>
        <w:tc>
          <w:tcPr>
            <w:tcW w:w="1765" w:type="dxa"/>
            <w:tcBorders>
              <w:top w:val="nil"/>
              <w:left w:val="nil"/>
              <w:bottom w:val="single" w:sz="4" w:space="0" w:color="auto"/>
              <w:right w:val="single" w:sz="4" w:space="0" w:color="auto"/>
            </w:tcBorders>
            <w:shd w:val="clear" w:color="auto" w:fill="auto"/>
            <w:vAlign w:val="center"/>
            <w:hideMark/>
          </w:tcPr>
          <w:p w14:paraId="2E216A1B" w14:textId="3EE53B46" w:rsidR="00B84540" w:rsidRPr="00B84540" w:rsidRDefault="00B84540" w:rsidP="00B84540">
            <w:pPr>
              <w:jc w:val="center"/>
              <w:rPr>
                <w:rFonts w:eastAsia="Times New Roman" w:cs="Times New Roman"/>
                <w:color w:val="000000"/>
                <w:szCs w:val="24"/>
                <w:lang w:eastAsia="lv-LV"/>
              </w:rPr>
            </w:pPr>
            <w:r w:rsidRPr="00B84540">
              <w:rPr>
                <w:rFonts w:eastAsia="Times New Roman" w:cs="Times New Roman"/>
                <w:color w:val="000000"/>
                <w:szCs w:val="24"/>
                <w:lang w:eastAsia="lv-LV"/>
              </w:rPr>
              <w:t>91 694</w:t>
            </w:r>
          </w:p>
        </w:tc>
        <w:tc>
          <w:tcPr>
            <w:tcW w:w="1678" w:type="dxa"/>
            <w:tcBorders>
              <w:top w:val="single" w:sz="4" w:space="0" w:color="auto"/>
              <w:left w:val="nil"/>
              <w:bottom w:val="single" w:sz="4" w:space="0" w:color="auto"/>
              <w:right w:val="single" w:sz="4" w:space="0" w:color="auto"/>
            </w:tcBorders>
            <w:vAlign w:val="center"/>
          </w:tcPr>
          <w:p w14:paraId="34D9D7EE" w14:textId="423412A5" w:rsidR="00B84540" w:rsidRPr="00B84540" w:rsidRDefault="00B84540" w:rsidP="00B84540">
            <w:pPr>
              <w:jc w:val="center"/>
              <w:rPr>
                <w:rFonts w:eastAsia="Times New Roman" w:cs="Times New Roman"/>
                <w:color w:val="000000"/>
                <w:szCs w:val="24"/>
                <w:lang w:eastAsia="lv-LV"/>
              </w:rPr>
            </w:pPr>
            <w:r w:rsidRPr="00B84540">
              <w:rPr>
                <w:rFonts w:eastAsia="Times New Roman" w:cs="Times New Roman"/>
                <w:color w:val="000000"/>
                <w:szCs w:val="24"/>
                <w:lang w:eastAsia="lv-LV"/>
              </w:rPr>
              <w:t>66 275</w:t>
            </w:r>
          </w:p>
        </w:tc>
        <w:tc>
          <w:tcPr>
            <w:tcW w:w="1576" w:type="dxa"/>
            <w:tcBorders>
              <w:top w:val="nil"/>
              <w:left w:val="single" w:sz="4" w:space="0" w:color="auto"/>
              <w:bottom w:val="single" w:sz="4" w:space="0" w:color="auto"/>
              <w:right w:val="single" w:sz="4" w:space="0" w:color="auto"/>
            </w:tcBorders>
            <w:shd w:val="clear" w:color="auto" w:fill="auto"/>
            <w:noWrap/>
            <w:hideMark/>
          </w:tcPr>
          <w:p w14:paraId="52F04C00" w14:textId="4CD6AB71" w:rsidR="00B84540" w:rsidRPr="00B84540" w:rsidRDefault="00B84540" w:rsidP="00B84540">
            <w:pPr>
              <w:jc w:val="center"/>
              <w:rPr>
                <w:rFonts w:eastAsia="Times New Roman" w:cs="Times New Roman"/>
                <w:color w:val="000000"/>
                <w:szCs w:val="24"/>
                <w:lang w:eastAsia="lv-LV"/>
              </w:rPr>
            </w:pPr>
            <w:r w:rsidRPr="008549E4">
              <w:t>12 408 306</w:t>
            </w:r>
          </w:p>
        </w:tc>
      </w:tr>
      <w:tr w:rsidR="00B84540" w:rsidRPr="00E65379" w14:paraId="0F0CA767" w14:textId="77777777" w:rsidTr="00B84540">
        <w:trPr>
          <w:trHeight w:val="315"/>
          <w:jc w:val="center"/>
        </w:trPr>
        <w:tc>
          <w:tcPr>
            <w:tcW w:w="2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76DA8F" w14:textId="77777777" w:rsidR="00B84540" w:rsidRPr="00B84540" w:rsidRDefault="00B84540" w:rsidP="00B84540">
            <w:pPr>
              <w:rPr>
                <w:rFonts w:eastAsia="Times New Roman" w:cs="Times New Roman"/>
                <w:color w:val="000000"/>
                <w:szCs w:val="24"/>
                <w:lang w:eastAsia="lv-LV"/>
              </w:rPr>
            </w:pPr>
            <w:r w:rsidRPr="00B84540">
              <w:rPr>
                <w:rFonts w:eastAsia="Times New Roman" w:cs="Times New Roman"/>
                <w:b/>
                <w:bCs/>
                <w:color w:val="000000"/>
                <w:szCs w:val="24"/>
                <w:lang w:eastAsia="lv-LV"/>
              </w:rPr>
              <w:t>IEM</w:t>
            </w:r>
            <w:r w:rsidRPr="00B84540">
              <w:rPr>
                <w:rFonts w:eastAsia="Times New Roman" w:cs="Times New Roman"/>
                <w:color w:val="000000"/>
                <w:szCs w:val="24"/>
                <w:lang w:eastAsia="lv-LV"/>
              </w:rPr>
              <w:t xml:space="preserve"> /</w:t>
            </w:r>
            <w:r w:rsidRPr="00B84540">
              <w:rPr>
                <w:rFonts w:eastAsia="Times New Roman" w:cs="Times New Roman"/>
                <w:i/>
                <w:iCs/>
                <w:color w:val="000000"/>
                <w:szCs w:val="24"/>
                <w:lang w:eastAsia="lv-LV"/>
              </w:rPr>
              <w:t xml:space="preserve"> Starptautiskā policijas sadarbība un noziedzības apkarošana</w:t>
            </w:r>
          </w:p>
        </w:tc>
        <w:tc>
          <w:tcPr>
            <w:tcW w:w="1923" w:type="dxa"/>
            <w:tcBorders>
              <w:top w:val="nil"/>
              <w:left w:val="nil"/>
              <w:bottom w:val="single" w:sz="4" w:space="0" w:color="auto"/>
              <w:right w:val="single" w:sz="4" w:space="0" w:color="auto"/>
            </w:tcBorders>
            <w:shd w:val="clear" w:color="auto" w:fill="auto"/>
            <w:hideMark/>
          </w:tcPr>
          <w:p w14:paraId="3AAB5706" w14:textId="6EA26F7D" w:rsidR="00B84540" w:rsidRPr="00B84540" w:rsidRDefault="00B84540" w:rsidP="00B84540">
            <w:pPr>
              <w:jc w:val="center"/>
              <w:rPr>
                <w:rFonts w:eastAsia="Times New Roman" w:cs="Times New Roman"/>
                <w:color w:val="000000"/>
                <w:szCs w:val="24"/>
                <w:lang w:eastAsia="lv-LV"/>
              </w:rPr>
            </w:pPr>
            <w:r w:rsidRPr="00473CA3">
              <w:t>15 000 000</w:t>
            </w:r>
          </w:p>
        </w:tc>
        <w:tc>
          <w:tcPr>
            <w:tcW w:w="1765" w:type="dxa"/>
            <w:tcBorders>
              <w:top w:val="nil"/>
              <w:left w:val="nil"/>
              <w:bottom w:val="single" w:sz="4" w:space="0" w:color="auto"/>
              <w:right w:val="single" w:sz="4" w:space="0" w:color="auto"/>
            </w:tcBorders>
            <w:shd w:val="clear" w:color="auto" w:fill="auto"/>
            <w:vAlign w:val="center"/>
            <w:hideMark/>
          </w:tcPr>
          <w:p w14:paraId="6F776135" w14:textId="10371953" w:rsidR="00B84540" w:rsidRPr="00B84540" w:rsidRDefault="00B84540" w:rsidP="00B84540">
            <w:pPr>
              <w:jc w:val="center"/>
              <w:rPr>
                <w:rFonts w:eastAsia="Times New Roman" w:cs="Times New Roman"/>
                <w:color w:val="000000"/>
                <w:szCs w:val="24"/>
                <w:lang w:eastAsia="lv-LV"/>
              </w:rPr>
            </w:pPr>
            <w:r w:rsidRPr="00B84540">
              <w:rPr>
                <w:rFonts w:eastAsia="Times New Roman" w:cs="Times New Roman"/>
                <w:color w:val="000000"/>
                <w:szCs w:val="24"/>
                <w:lang w:eastAsia="lv-LV"/>
              </w:rPr>
              <w:t>60 839</w:t>
            </w:r>
          </w:p>
        </w:tc>
        <w:tc>
          <w:tcPr>
            <w:tcW w:w="1678" w:type="dxa"/>
            <w:tcBorders>
              <w:top w:val="single" w:sz="4" w:space="0" w:color="auto"/>
              <w:left w:val="nil"/>
              <w:bottom w:val="single" w:sz="4" w:space="0" w:color="auto"/>
              <w:right w:val="single" w:sz="4" w:space="0" w:color="auto"/>
            </w:tcBorders>
            <w:vAlign w:val="center"/>
          </w:tcPr>
          <w:p w14:paraId="6854DE54" w14:textId="5886C708" w:rsidR="00B84540" w:rsidRPr="00B84540" w:rsidRDefault="00B84540" w:rsidP="00B84540">
            <w:pPr>
              <w:jc w:val="center"/>
              <w:rPr>
                <w:rFonts w:eastAsia="Times New Roman" w:cs="Times New Roman"/>
                <w:color w:val="000000"/>
                <w:szCs w:val="24"/>
                <w:lang w:eastAsia="lv-LV"/>
              </w:rPr>
            </w:pPr>
            <w:r w:rsidRPr="00B84540">
              <w:rPr>
                <w:rFonts w:eastAsia="Times New Roman" w:cs="Times New Roman"/>
                <w:color w:val="000000"/>
                <w:szCs w:val="24"/>
                <w:lang w:eastAsia="lv-LV"/>
              </w:rPr>
              <w:t>33 462</w:t>
            </w:r>
          </w:p>
        </w:tc>
        <w:tc>
          <w:tcPr>
            <w:tcW w:w="1576" w:type="dxa"/>
            <w:tcBorders>
              <w:top w:val="nil"/>
              <w:left w:val="single" w:sz="4" w:space="0" w:color="auto"/>
              <w:bottom w:val="single" w:sz="4" w:space="0" w:color="auto"/>
              <w:right w:val="single" w:sz="4" w:space="0" w:color="auto"/>
            </w:tcBorders>
            <w:shd w:val="clear" w:color="auto" w:fill="auto"/>
            <w:noWrap/>
            <w:hideMark/>
          </w:tcPr>
          <w:p w14:paraId="51D90E76" w14:textId="02A15946" w:rsidR="00B84540" w:rsidRPr="00B84540" w:rsidRDefault="00B84540" w:rsidP="00B84540">
            <w:pPr>
              <w:jc w:val="center"/>
              <w:rPr>
                <w:rFonts w:eastAsia="Times New Roman" w:cs="Times New Roman"/>
                <w:color w:val="000000"/>
                <w:szCs w:val="24"/>
                <w:lang w:eastAsia="lv-LV"/>
              </w:rPr>
            </w:pPr>
            <w:r w:rsidRPr="008549E4">
              <w:t>14 939 161</w:t>
            </w:r>
          </w:p>
        </w:tc>
      </w:tr>
      <w:tr w:rsidR="00B84540" w:rsidRPr="00E65379" w14:paraId="5DBDFA0A" w14:textId="77777777" w:rsidTr="00B84540">
        <w:trPr>
          <w:trHeight w:val="315"/>
          <w:jc w:val="center"/>
        </w:trPr>
        <w:tc>
          <w:tcPr>
            <w:tcW w:w="2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7EC86C" w14:textId="77777777" w:rsidR="00B84540" w:rsidRPr="00B84540" w:rsidRDefault="00B84540" w:rsidP="00B84540">
            <w:pPr>
              <w:rPr>
                <w:rFonts w:eastAsia="Times New Roman" w:cs="Times New Roman"/>
                <w:szCs w:val="24"/>
                <w:lang w:eastAsia="lv-LV"/>
              </w:rPr>
            </w:pPr>
            <w:r w:rsidRPr="00B84540">
              <w:rPr>
                <w:rFonts w:eastAsia="Times New Roman" w:cs="Times New Roman"/>
                <w:b/>
                <w:bCs/>
                <w:szCs w:val="24"/>
                <w:lang w:eastAsia="lv-LV"/>
              </w:rPr>
              <w:t>TM</w:t>
            </w:r>
            <w:r w:rsidRPr="00B84540">
              <w:rPr>
                <w:rFonts w:eastAsia="Times New Roman" w:cs="Times New Roman"/>
                <w:szCs w:val="24"/>
                <w:lang w:eastAsia="lv-LV"/>
              </w:rPr>
              <w:t xml:space="preserve"> / </w:t>
            </w:r>
            <w:r w:rsidRPr="00B84540">
              <w:rPr>
                <w:rFonts w:eastAsia="Times New Roman" w:cs="Times New Roman"/>
                <w:i/>
                <w:iCs/>
                <w:szCs w:val="24"/>
                <w:lang w:eastAsia="lv-LV"/>
              </w:rPr>
              <w:t>Korekcijas dienesti</w:t>
            </w:r>
          </w:p>
        </w:tc>
        <w:tc>
          <w:tcPr>
            <w:tcW w:w="1923" w:type="dxa"/>
            <w:tcBorders>
              <w:top w:val="nil"/>
              <w:left w:val="nil"/>
              <w:bottom w:val="single" w:sz="4" w:space="0" w:color="auto"/>
              <w:right w:val="single" w:sz="4" w:space="0" w:color="auto"/>
            </w:tcBorders>
            <w:shd w:val="clear" w:color="auto" w:fill="auto"/>
            <w:hideMark/>
          </w:tcPr>
          <w:p w14:paraId="61DBC54D" w14:textId="5C1097E4" w:rsidR="00B84540" w:rsidRPr="00B84540" w:rsidRDefault="00B84540" w:rsidP="00B84540">
            <w:pPr>
              <w:jc w:val="center"/>
              <w:rPr>
                <w:rFonts w:eastAsia="Times New Roman" w:cs="Times New Roman"/>
                <w:szCs w:val="24"/>
                <w:lang w:eastAsia="lv-LV"/>
              </w:rPr>
            </w:pPr>
            <w:r w:rsidRPr="00473CA3">
              <w:t>13 000 000</w:t>
            </w:r>
          </w:p>
        </w:tc>
        <w:tc>
          <w:tcPr>
            <w:tcW w:w="1765" w:type="dxa"/>
            <w:tcBorders>
              <w:top w:val="nil"/>
              <w:left w:val="nil"/>
              <w:bottom w:val="single" w:sz="4" w:space="0" w:color="auto"/>
              <w:right w:val="single" w:sz="4" w:space="0" w:color="auto"/>
            </w:tcBorders>
            <w:shd w:val="clear" w:color="auto" w:fill="auto"/>
            <w:vAlign w:val="center"/>
            <w:hideMark/>
          </w:tcPr>
          <w:p w14:paraId="27812A25" w14:textId="77777777" w:rsidR="00B84540" w:rsidRPr="00B84540" w:rsidRDefault="00B84540" w:rsidP="00B84540">
            <w:pPr>
              <w:jc w:val="center"/>
              <w:rPr>
                <w:rFonts w:eastAsia="Times New Roman" w:cs="Times New Roman"/>
                <w:szCs w:val="24"/>
                <w:lang w:eastAsia="lv-LV"/>
              </w:rPr>
            </w:pPr>
            <w:r w:rsidRPr="00B84540">
              <w:rPr>
                <w:rFonts w:eastAsia="Times New Roman" w:cs="Times New Roman"/>
                <w:szCs w:val="24"/>
                <w:lang w:eastAsia="lv-LV"/>
              </w:rPr>
              <w:t>146 964</w:t>
            </w:r>
          </w:p>
        </w:tc>
        <w:tc>
          <w:tcPr>
            <w:tcW w:w="1678" w:type="dxa"/>
            <w:tcBorders>
              <w:top w:val="single" w:sz="4" w:space="0" w:color="auto"/>
              <w:left w:val="nil"/>
              <w:bottom w:val="single" w:sz="4" w:space="0" w:color="auto"/>
              <w:right w:val="single" w:sz="4" w:space="0" w:color="auto"/>
            </w:tcBorders>
            <w:vAlign w:val="center"/>
          </w:tcPr>
          <w:p w14:paraId="7043BE6C" w14:textId="76BFC2EC" w:rsidR="00B84540" w:rsidRPr="00B84540" w:rsidRDefault="00B84540" w:rsidP="00B84540">
            <w:pPr>
              <w:jc w:val="center"/>
              <w:rPr>
                <w:rFonts w:eastAsia="Times New Roman" w:cs="Times New Roman"/>
                <w:color w:val="000000"/>
                <w:szCs w:val="24"/>
                <w:lang w:eastAsia="lv-LV"/>
              </w:rPr>
            </w:pPr>
            <w:r w:rsidRPr="00B84540">
              <w:rPr>
                <w:rFonts w:eastAsia="Times New Roman" w:cs="Times New Roman"/>
                <w:color w:val="000000"/>
                <w:szCs w:val="24"/>
                <w:lang w:eastAsia="lv-LV"/>
              </w:rPr>
              <w:t>80 830</w:t>
            </w:r>
          </w:p>
        </w:tc>
        <w:tc>
          <w:tcPr>
            <w:tcW w:w="1576" w:type="dxa"/>
            <w:tcBorders>
              <w:top w:val="nil"/>
              <w:left w:val="single" w:sz="4" w:space="0" w:color="auto"/>
              <w:bottom w:val="single" w:sz="4" w:space="0" w:color="auto"/>
              <w:right w:val="single" w:sz="4" w:space="0" w:color="auto"/>
            </w:tcBorders>
            <w:shd w:val="clear" w:color="auto" w:fill="auto"/>
            <w:noWrap/>
            <w:hideMark/>
          </w:tcPr>
          <w:p w14:paraId="213A899C" w14:textId="23C57590" w:rsidR="00B84540" w:rsidRPr="00B84540" w:rsidRDefault="00B84540" w:rsidP="00B84540">
            <w:pPr>
              <w:jc w:val="center"/>
              <w:rPr>
                <w:rFonts w:eastAsia="Times New Roman" w:cs="Times New Roman"/>
                <w:color w:val="000000"/>
                <w:szCs w:val="24"/>
                <w:lang w:eastAsia="lv-LV"/>
              </w:rPr>
            </w:pPr>
            <w:r w:rsidRPr="008549E4">
              <w:t>12 853 036</w:t>
            </w:r>
          </w:p>
        </w:tc>
      </w:tr>
      <w:tr w:rsidR="00B84540" w:rsidRPr="00E65379" w14:paraId="2B660AA8" w14:textId="77777777" w:rsidTr="00B84540">
        <w:trPr>
          <w:trHeight w:val="315"/>
          <w:jc w:val="center"/>
        </w:trPr>
        <w:tc>
          <w:tcPr>
            <w:tcW w:w="2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2E3FB3" w14:textId="77777777" w:rsidR="00B84540" w:rsidRPr="00B84540" w:rsidRDefault="00B84540" w:rsidP="00B84540">
            <w:pPr>
              <w:rPr>
                <w:rFonts w:eastAsia="Times New Roman" w:cs="Times New Roman"/>
                <w:szCs w:val="24"/>
                <w:lang w:eastAsia="lv-LV"/>
              </w:rPr>
            </w:pPr>
            <w:r w:rsidRPr="00B84540">
              <w:rPr>
                <w:rFonts w:eastAsia="Times New Roman" w:cs="Times New Roman"/>
                <w:b/>
                <w:bCs/>
                <w:szCs w:val="24"/>
                <w:lang w:eastAsia="lv-LV"/>
              </w:rPr>
              <w:t>VARAM</w:t>
            </w:r>
            <w:r w:rsidRPr="00B84540">
              <w:rPr>
                <w:rFonts w:eastAsia="Times New Roman" w:cs="Times New Roman"/>
                <w:szCs w:val="24"/>
                <w:lang w:eastAsia="lv-LV"/>
              </w:rPr>
              <w:t>, kopā:</w:t>
            </w:r>
          </w:p>
        </w:tc>
        <w:tc>
          <w:tcPr>
            <w:tcW w:w="1923" w:type="dxa"/>
            <w:tcBorders>
              <w:top w:val="nil"/>
              <w:left w:val="nil"/>
              <w:bottom w:val="single" w:sz="4" w:space="0" w:color="auto"/>
              <w:right w:val="single" w:sz="4" w:space="0" w:color="auto"/>
            </w:tcBorders>
            <w:shd w:val="clear" w:color="auto" w:fill="auto"/>
            <w:hideMark/>
          </w:tcPr>
          <w:p w14:paraId="754EAFB5" w14:textId="4C08AC8E" w:rsidR="00B84540" w:rsidRPr="00B84540" w:rsidRDefault="00B84540" w:rsidP="00B84540">
            <w:pPr>
              <w:jc w:val="center"/>
              <w:rPr>
                <w:rFonts w:eastAsia="Times New Roman" w:cs="Times New Roman"/>
                <w:szCs w:val="24"/>
                <w:lang w:eastAsia="lv-LV"/>
              </w:rPr>
            </w:pPr>
            <w:r w:rsidRPr="00473CA3">
              <w:t>24 000 000</w:t>
            </w:r>
          </w:p>
        </w:tc>
        <w:tc>
          <w:tcPr>
            <w:tcW w:w="1765" w:type="dxa"/>
            <w:tcBorders>
              <w:top w:val="nil"/>
              <w:left w:val="nil"/>
              <w:bottom w:val="single" w:sz="4" w:space="0" w:color="auto"/>
              <w:right w:val="single" w:sz="4" w:space="0" w:color="auto"/>
            </w:tcBorders>
            <w:shd w:val="clear" w:color="auto" w:fill="auto"/>
            <w:vAlign w:val="center"/>
            <w:hideMark/>
          </w:tcPr>
          <w:p w14:paraId="304233C9" w14:textId="77777777" w:rsidR="00B84540" w:rsidRPr="00B84540" w:rsidRDefault="00B84540" w:rsidP="00B84540">
            <w:pPr>
              <w:jc w:val="center"/>
              <w:rPr>
                <w:rFonts w:eastAsia="Times New Roman" w:cs="Times New Roman"/>
                <w:szCs w:val="24"/>
                <w:lang w:eastAsia="lv-LV"/>
              </w:rPr>
            </w:pPr>
            <w:r w:rsidRPr="00B84540">
              <w:rPr>
                <w:rFonts w:eastAsia="Times New Roman" w:cs="Times New Roman"/>
                <w:szCs w:val="24"/>
                <w:lang w:eastAsia="lv-LV"/>
              </w:rPr>
              <w:t>171 206</w:t>
            </w:r>
          </w:p>
        </w:tc>
        <w:tc>
          <w:tcPr>
            <w:tcW w:w="1678" w:type="dxa"/>
            <w:tcBorders>
              <w:top w:val="single" w:sz="4" w:space="0" w:color="auto"/>
              <w:left w:val="nil"/>
              <w:bottom w:val="single" w:sz="4" w:space="0" w:color="auto"/>
              <w:right w:val="single" w:sz="4" w:space="0" w:color="auto"/>
            </w:tcBorders>
            <w:vAlign w:val="center"/>
          </w:tcPr>
          <w:p w14:paraId="34DCF35D" w14:textId="760A5DAE" w:rsidR="00B84540" w:rsidRPr="00B84540" w:rsidRDefault="00B84540" w:rsidP="00B84540">
            <w:pPr>
              <w:jc w:val="center"/>
              <w:rPr>
                <w:rFonts w:eastAsia="Times New Roman" w:cs="Times New Roman"/>
                <w:szCs w:val="24"/>
                <w:lang w:eastAsia="lv-LV"/>
              </w:rPr>
            </w:pPr>
            <w:r w:rsidRPr="00B84540">
              <w:rPr>
                <w:rFonts w:eastAsia="Times New Roman" w:cs="Times New Roman"/>
                <w:szCs w:val="24"/>
                <w:lang w:eastAsia="lv-LV"/>
              </w:rPr>
              <w:t>94 163</w:t>
            </w:r>
          </w:p>
        </w:tc>
        <w:tc>
          <w:tcPr>
            <w:tcW w:w="1576" w:type="dxa"/>
            <w:tcBorders>
              <w:top w:val="nil"/>
              <w:left w:val="single" w:sz="4" w:space="0" w:color="auto"/>
              <w:bottom w:val="single" w:sz="4" w:space="0" w:color="auto"/>
              <w:right w:val="single" w:sz="4" w:space="0" w:color="auto"/>
            </w:tcBorders>
            <w:shd w:val="clear" w:color="auto" w:fill="auto"/>
            <w:hideMark/>
          </w:tcPr>
          <w:p w14:paraId="76C980FB" w14:textId="39D4B72C" w:rsidR="00B84540" w:rsidRPr="00B84540" w:rsidRDefault="00B84540" w:rsidP="00B84540">
            <w:pPr>
              <w:jc w:val="center"/>
              <w:rPr>
                <w:rFonts w:eastAsia="Times New Roman" w:cs="Times New Roman"/>
                <w:szCs w:val="24"/>
                <w:lang w:eastAsia="lv-LV"/>
              </w:rPr>
            </w:pPr>
            <w:r w:rsidRPr="008549E4">
              <w:t>23 828 794</w:t>
            </w:r>
          </w:p>
        </w:tc>
      </w:tr>
      <w:tr w:rsidR="00B84540" w:rsidRPr="00E65379" w14:paraId="0D845D1A" w14:textId="77777777" w:rsidTr="00B84540">
        <w:trPr>
          <w:trHeight w:val="315"/>
          <w:jc w:val="center"/>
        </w:trPr>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3910C" w14:textId="77777777" w:rsidR="00B84540" w:rsidRPr="00B84540" w:rsidRDefault="00B84540" w:rsidP="00B84540">
            <w:pPr>
              <w:rPr>
                <w:rFonts w:eastAsia="Times New Roman" w:cs="Times New Roman"/>
                <w:i/>
                <w:iCs/>
                <w:szCs w:val="24"/>
                <w:lang w:eastAsia="lv-LV"/>
              </w:rPr>
            </w:pPr>
            <w:r w:rsidRPr="00B84540">
              <w:rPr>
                <w:rFonts w:eastAsia="Times New Roman" w:cs="Times New Roman"/>
                <w:i/>
                <w:iCs/>
                <w:szCs w:val="24"/>
                <w:lang w:eastAsia="lv-LV"/>
              </w:rPr>
              <w:t xml:space="preserve">Klimata pārmaiņu mazināšana, pielāgošanās tām un vide </w:t>
            </w:r>
          </w:p>
        </w:tc>
        <w:tc>
          <w:tcPr>
            <w:tcW w:w="1923" w:type="dxa"/>
            <w:tcBorders>
              <w:top w:val="nil"/>
              <w:left w:val="nil"/>
              <w:bottom w:val="single" w:sz="4" w:space="0" w:color="auto"/>
              <w:right w:val="single" w:sz="4" w:space="0" w:color="auto"/>
            </w:tcBorders>
            <w:shd w:val="clear" w:color="auto" w:fill="auto"/>
            <w:noWrap/>
            <w:hideMark/>
          </w:tcPr>
          <w:p w14:paraId="77D02DCE" w14:textId="0FA14956" w:rsidR="00B84540" w:rsidRPr="00B84540" w:rsidRDefault="00B84540" w:rsidP="00B84540">
            <w:pPr>
              <w:jc w:val="center"/>
              <w:rPr>
                <w:rFonts w:eastAsia="Times New Roman" w:cs="Times New Roman"/>
                <w:szCs w:val="24"/>
                <w:lang w:eastAsia="lv-LV"/>
              </w:rPr>
            </w:pPr>
            <w:r w:rsidRPr="00473CA3">
              <w:t>14 000 000</w:t>
            </w:r>
          </w:p>
        </w:tc>
        <w:tc>
          <w:tcPr>
            <w:tcW w:w="1765" w:type="dxa"/>
            <w:tcBorders>
              <w:top w:val="nil"/>
              <w:left w:val="nil"/>
              <w:bottom w:val="single" w:sz="4" w:space="0" w:color="auto"/>
              <w:right w:val="single" w:sz="4" w:space="0" w:color="auto"/>
            </w:tcBorders>
            <w:shd w:val="clear" w:color="auto" w:fill="auto"/>
            <w:noWrap/>
            <w:vAlign w:val="center"/>
            <w:hideMark/>
          </w:tcPr>
          <w:p w14:paraId="549F1F8D" w14:textId="77777777" w:rsidR="00B84540" w:rsidRPr="00B84540" w:rsidRDefault="00B84540" w:rsidP="00B84540">
            <w:pPr>
              <w:jc w:val="center"/>
              <w:rPr>
                <w:rFonts w:eastAsia="Times New Roman" w:cs="Times New Roman"/>
                <w:szCs w:val="24"/>
                <w:lang w:eastAsia="lv-LV"/>
              </w:rPr>
            </w:pPr>
            <w:r w:rsidRPr="00B84540">
              <w:rPr>
                <w:rFonts w:eastAsia="Times New Roman" w:cs="Times New Roman"/>
                <w:szCs w:val="24"/>
                <w:lang w:eastAsia="lv-LV"/>
              </w:rPr>
              <w:t>78 378</w:t>
            </w:r>
          </w:p>
        </w:tc>
        <w:tc>
          <w:tcPr>
            <w:tcW w:w="1678" w:type="dxa"/>
            <w:tcBorders>
              <w:top w:val="single" w:sz="4" w:space="0" w:color="auto"/>
              <w:left w:val="nil"/>
              <w:bottom w:val="single" w:sz="4" w:space="0" w:color="auto"/>
              <w:right w:val="single" w:sz="4" w:space="0" w:color="auto"/>
            </w:tcBorders>
            <w:vAlign w:val="center"/>
          </w:tcPr>
          <w:p w14:paraId="59363736" w14:textId="7EBFF6D7" w:rsidR="00B84540" w:rsidRPr="00B84540" w:rsidRDefault="00B84540" w:rsidP="00B84540">
            <w:pPr>
              <w:jc w:val="center"/>
              <w:rPr>
                <w:rFonts w:eastAsia="Times New Roman" w:cs="Times New Roman"/>
                <w:color w:val="000000"/>
                <w:szCs w:val="24"/>
                <w:lang w:eastAsia="lv-LV"/>
              </w:rPr>
            </w:pPr>
            <w:r w:rsidRPr="00B84540">
              <w:rPr>
                <w:rFonts w:eastAsia="Times New Roman" w:cs="Times New Roman"/>
                <w:color w:val="000000"/>
                <w:szCs w:val="24"/>
                <w:lang w:eastAsia="lv-LV"/>
              </w:rPr>
              <w:t>43 108</w:t>
            </w:r>
          </w:p>
        </w:tc>
        <w:tc>
          <w:tcPr>
            <w:tcW w:w="1576" w:type="dxa"/>
            <w:tcBorders>
              <w:top w:val="nil"/>
              <w:left w:val="single" w:sz="4" w:space="0" w:color="auto"/>
              <w:bottom w:val="single" w:sz="4" w:space="0" w:color="auto"/>
              <w:right w:val="single" w:sz="4" w:space="0" w:color="auto"/>
            </w:tcBorders>
            <w:shd w:val="clear" w:color="auto" w:fill="auto"/>
            <w:noWrap/>
            <w:hideMark/>
          </w:tcPr>
          <w:p w14:paraId="778A3E49" w14:textId="7EC5AECA" w:rsidR="00B84540" w:rsidRPr="00B84540" w:rsidRDefault="00B84540" w:rsidP="00B84540">
            <w:pPr>
              <w:jc w:val="center"/>
              <w:rPr>
                <w:rFonts w:eastAsia="Times New Roman" w:cs="Times New Roman"/>
                <w:color w:val="000000"/>
                <w:szCs w:val="24"/>
                <w:lang w:eastAsia="lv-LV"/>
              </w:rPr>
            </w:pPr>
            <w:r w:rsidRPr="008549E4">
              <w:t>13 921 622</w:t>
            </w:r>
          </w:p>
        </w:tc>
      </w:tr>
      <w:tr w:rsidR="00B84540" w:rsidRPr="00E65379" w14:paraId="13037E66" w14:textId="77777777" w:rsidTr="00B84540">
        <w:trPr>
          <w:trHeight w:val="315"/>
          <w:jc w:val="center"/>
        </w:trPr>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552F" w14:textId="77777777" w:rsidR="00B84540" w:rsidRPr="00B84540" w:rsidRDefault="00B84540" w:rsidP="00B84540">
            <w:pPr>
              <w:rPr>
                <w:rFonts w:eastAsia="Times New Roman" w:cs="Times New Roman"/>
                <w:i/>
                <w:iCs/>
                <w:szCs w:val="24"/>
                <w:lang w:eastAsia="lv-LV"/>
              </w:rPr>
            </w:pPr>
            <w:r w:rsidRPr="00B84540">
              <w:rPr>
                <w:rFonts w:eastAsia="Times New Roman" w:cs="Times New Roman"/>
                <w:i/>
                <w:iCs/>
                <w:szCs w:val="24"/>
                <w:lang w:eastAsia="lv-LV"/>
              </w:rPr>
              <w:t xml:space="preserve">Reģionu attīstība, nabadzības mazināšana un kultūras sadarbība </w:t>
            </w:r>
          </w:p>
        </w:tc>
        <w:tc>
          <w:tcPr>
            <w:tcW w:w="1923" w:type="dxa"/>
            <w:tcBorders>
              <w:top w:val="nil"/>
              <w:left w:val="nil"/>
              <w:bottom w:val="single" w:sz="4" w:space="0" w:color="auto"/>
              <w:right w:val="single" w:sz="4" w:space="0" w:color="auto"/>
            </w:tcBorders>
            <w:shd w:val="clear" w:color="auto" w:fill="auto"/>
            <w:noWrap/>
            <w:hideMark/>
          </w:tcPr>
          <w:p w14:paraId="1D74C265" w14:textId="767FF425" w:rsidR="00B84540" w:rsidRPr="00B84540" w:rsidRDefault="00B84540" w:rsidP="00B84540">
            <w:pPr>
              <w:jc w:val="center"/>
              <w:rPr>
                <w:rFonts w:eastAsia="Times New Roman" w:cs="Times New Roman"/>
                <w:szCs w:val="24"/>
                <w:lang w:eastAsia="lv-LV"/>
              </w:rPr>
            </w:pPr>
            <w:r w:rsidRPr="00473CA3">
              <w:t>10 000 000</w:t>
            </w:r>
          </w:p>
        </w:tc>
        <w:tc>
          <w:tcPr>
            <w:tcW w:w="1765" w:type="dxa"/>
            <w:tcBorders>
              <w:top w:val="nil"/>
              <w:left w:val="nil"/>
              <w:bottom w:val="single" w:sz="4" w:space="0" w:color="auto"/>
              <w:right w:val="single" w:sz="4" w:space="0" w:color="auto"/>
            </w:tcBorders>
            <w:shd w:val="clear" w:color="auto" w:fill="auto"/>
            <w:noWrap/>
            <w:vAlign w:val="center"/>
            <w:hideMark/>
          </w:tcPr>
          <w:p w14:paraId="294A42BE" w14:textId="77777777" w:rsidR="00B84540" w:rsidRPr="00B84540" w:rsidRDefault="00B84540" w:rsidP="00B84540">
            <w:pPr>
              <w:jc w:val="center"/>
              <w:rPr>
                <w:rFonts w:eastAsia="Times New Roman" w:cs="Times New Roman"/>
                <w:szCs w:val="24"/>
                <w:lang w:eastAsia="lv-LV"/>
              </w:rPr>
            </w:pPr>
            <w:r w:rsidRPr="00B84540">
              <w:rPr>
                <w:rFonts w:eastAsia="Times New Roman" w:cs="Times New Roman"/>
                <w:szCs w:val="24"/>
                <w:lang w:eastAsia="lv-LV"/>
              </w:rPr>
              <w:t>92 828</w:t>
            </w:r>
          </w:p>
        </w:tc>
        <w:tc>
          <w:tcPr>
            <w:tcW w:w="1678" w:type="dxa"/>
            <w:tcBorders>
              <w:top w:val="single" w:sz="4" w:space="0" w:color="auto"/>
              <w:left w:val="nil"/>
              <w:bottom w:val="single" w:sz="4" w:space="0" w:color="auto"/>
              <w:right w:val="single" w:sz="4" w:space="0" w:color="auto"/>
            </w:tcBorders>
            <w:vAlign w:val="center"/>
          </w:tcPr>
          <w:p w14:paraId="2D0D23BD" w14:textId="022691CE" w:rsidR="00B84540" w:rsidRPr="00B84540" w:rsidRDefault="00B84540" w:rsidP="00B84540">
            <w:pPr>
              <w:jc w:val="center"/>
              <w:rPr>
                <w:rFonts w:eastAsia="Times New Roman" w:cs="Times New Roman"/>
                <w:color w:val="000000"/>
                <w:szCs w:val="24"/>
                <w:lang w:eastAsia="lv-LV"/>
              </w:rPr>
            </w:pPr>
            <w:r w:rsidRPr="00B84540">
              <w:rPr>
                <w:rFonts w:eastAsia="Times New Roman" w:cs="Times New Roman"/>
                <w:color w:val="000000"/>
                <w:szCs w:val="24"/>
                <w:lang w:eastAsia="lv-LV"/>
              </w:rPr>
              <w:t>51 055</w:t>
            </w:r>
          </w:p>
        </w:tc>
        <w:tc>
          <w:tcPr>
            <w:tcW w:w="1576" w:type="dxa"/>
            <w:tcBorders>
              <w:top w:val="nil"/>
              <w:left w:val="single" w:sz="4" w:space="0" w:color="auto"/>
              <w:bottom w:val="single" w:sz="4" w:space="0" w:color="auto"/>
              <w:right w:val="single" w:sz="4" w:space="0" w:color="auto"/>
            </w:tcBorders>
            <w:shd w:val="clear" w:color="auto" w:fill="auto"/>
            <w:noWrap/>
            <w:hideMark/>
          </w:tcPr>
          <w:p w14:paraId="20EF2FA5" w14:textId="1595E941" w:rsidR="00B84540" w:rsidRPr="00B84540" w:rsidRDefault="00B84540" w:rsidP="00B84540">
            <w:pPr>
              <w:jc w:val="center"/>
              <w:rPr>
                <w:rFonts w:eastAsia="Times New Roman" w:cs="Times New Roman"/>
                <w:color w:val="000000"/>
                <w:szCs w:val="24"/>
                <w:lang w:eastAsia="lv-LV"/>
              </w:rPr>
            </w:pPr>
            <w:r w:rsidRPr="008549E4">
              <w:t>9 907 172</w:t>
            </w:r>
          </w:p>
        </w:tc>
      </w:tr>
      <w:tr w:rsidR="00B84540" w:rsidRPr="00E65379" w14:paraId="5FE83E86" w14:textId="77777777" w:rsidTr="00B84540">
        <w:trPr>
          <w:trHeight w:val="315"/>
          <w:jc w:val="center"/>
        </w:trPr>
        <w:tc>
          <w:tcPr>
            <w:tcW w:w="2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14BE0A" w14:textId="033C6211" w:rsidR="00B84540" w:rsidRPr="00B84540" w:rsidRDefault="00B84540" w:rsidP="00B84540">
            <w:pPr>
              <w:rPr>
                <w:rFonts w:eastAsia="Times New Roman" w:cs="Times New Roman"/>
                <w:szCs w:val="24"/>
                <w:lang w:eastAsia="lv-LV"/>
              </w:rPr>
            </w:pPr>
            <w:r w:rsidRPr="00B84540">
              <w:rPr>
                <w:rFonts w:eastAsia="Times New Roman" w:cs="Times New Roman"/>
                <w:b/>
                <w:bCs/>
                <w:szCs w:val="24"/>
                <w:lang w:eastAsia="lv-LV"/>
              </w:rPr>
              <w:t>IZM</w:t>
            </w:r>
            <w:r w:rsidRPr="00B84540">
              <w:rPr>
                <w:rFonts w:eastAsia="Times New Roman" w:cs="Times New Roman"/>
                <w:szCs w:val="24"/>
                <w:lang w:eastAsia="lv-LV"/>
              </w:rPr>
              <w:t xml:space="preserve"> /</w:t>
            </w:r>
            <w:r w:rsidRPr="00B84540">
              <w:rPr>
                <w:rFonts w:eastAsia="Times New Roman" w:cs="Times New Roman"/>
                <w:i/>
                <w:iCs/>
                <w:szCs w:val="24"/>
                <w:lang w:eastAsia="lv-LV"/>
              </w:rPr>
              <w:t xml:space="preserve"> Pētniecība un izglītība</w:t>
            </w:r>
          </w:p>
        </w:tc>
        <w:tc>
          <w:tcPr>
            <w:tcW w:w="1923" w:type="dxa"/>
            <w:tcBorders>
              <w:top w:val="nil"/>
              <w:left w:val="nil"/>
              <w:bottom w:val="single" w:sz="4" w:space="0" w:color="auto"/>
              <w:right w:val="single" w:sz="4" w:space="0" w:color="auto"/>
            </w:tcBorders>
            <w:shd w:val="clear" w:color="auto" w:fill="auto"/>
            <w:hideMark/>
          </w:tcPr>
          <w:p w14:paraId="1ECB34D7" w14:textId="6145B02E" w:rsidR="00B84540" w:rsidRPr="00B84540" w:rsidRDefault="00B84540" w:rsidP="00B84540">
            <w:pPr>
              <w:jc w:val="center"/>
              <w:rPr>
                <w:rFonts w:eastAsia="Times New Roman" w:cs="Times New Roman"/>
                <w:szCs w:val="24"/>
                <w:lang w:eastAsia="lv-LV"/>
              </w:rPr>
            </w:pPr>
            <w:r w:rsidRPr="00473CA3">
              <w:t>14 500 000</w:t>
            </w:r>
          </w:p>
        </w:tc>
        <w:tc>
          <w:tcPr>
            <w:tcW w:w="1765" w:type="dxa"/>
            <w:tcBorders>
              <w:top w:val="nil"/>
              <w:left w:val="nil"/>
              <w:bottom w:val="single" w:sz="4" w:space="0" w:color="auto"/>
              <w:right w:val="single" w:sz="4" w:space="0" w:color="auto"/>
            </w:tcBorders>
            <w:shd w:val="clear" w:color="auto" w:fill="auto"/>
            <w:vAlign w:val="center"/>
            <w:hideMark/>
          </w:tcPr>
          <w:p w14:paraId="26C47C18" w14:textId="77777777" w:rsidR="00B84540" w:rsidRPr="00B84540" w:rsidRDefault="00B84540" w:rsidP="00B84540">
            <w:pPr>
              <w:jc w:val="center"/>
              <w:rPr>
                <w:rFonts w:eastAsia="Times New Roman" w:cs="Times New Roman"/>
                <w:szCs w:val="24"/>
                <w:lang w:eastAsia="lv-LV"/>
              </w:rPr>
            </w:pPr>
            <w:r w:rsidRPr="00B84540">
              <w:rPr>
                <w:rFonts w:eastAsia="Times New Roman" w:cs="Times New Roman"/>
                <w:szCs w:val="24"/>
                <w:lang w:eastAsia="lv-LV"/>
              </w:rPr>
              <w:t>231 414</w:t>
            </w:r>
          </w:p>
        </w:tc>
        <w:tc>
          <w:tcPr>
            <w:tcW w:w="1678" w:type="dxa"/>
            <w:tcBorders>
              <w:top w:val="single" w:sz="4" w:space="0" w:color="auto"/>
              <w:left w:val="nil"/>
              <w:bottom w:val="single" w:sz="4" w:space="0" w:color="auto"/>
              <w:right w:val="single" w:sz="4" w:space="0" w:color="auto"/>
            </w:tcBorders>
            <w:vAlign w:val="center"/>
          </w:tcPr>
          <w:p w14:paraId="454E70F7" w14:textId="16FFD1AC" w:rsidR="00B84540" w:rsidRPr="00B84540" w:rsidRDefault="00B84540" w:rsidP="00B84540">
            <w:pPr>
              <w:jc w:val="center"/>
              <w:rPr>
                <w:rFonts w:eastAsia="Times New Roman" w:cs="Times New Roman"/>
                <w:color w:val="000000"/>
                <w:szCs w:val="24"/>
                <w:lang w:eastAsia="lv-LV"/>
              </w:rPr>
            </w:pPr>
            <w:r w:rsidRPr="00B84540">
              <w:rPr>
                <w:rFonts w:eastAsia="Times New Roman" w:cs="Times New Roman"/>
                <w:color w:val="000000"/>
                <w:szCs w:val="24"/>
                <w:lang w:eastAsia="lv-LV"/>
              </w:rPr>
              <w:t>127 278</w:t>
            </w:r>
          </w:p>
        </w:tc>
        <w:tc>
          <w:tcPr>
            <w:tcW w:w="1576" w:type="dxa"/>
            <w:tcBorders>
              <w:top w:val="nil"/>
              <w:left w:val="single" w:sz="4" w:space="0" w:color="auto"/>
              <w:bottom w:val="single" w:sz="4" w:space="0" w:color="auto"/>
              <w:right w:val="single" w:sz="4" w:space="0" w:color="auto"/>
            </w:tcBorders>
            <w:shd w:val="clear" w:color="auto" w:fill="auto"/>
            <w:noWrap/>
            <w:hideMark/>
          </w:tcPr>
          <w:p w14:paraId="5AD95D97" w14:textId="3744D1F0" w:rsidR="00B84540" w:rsidRPr="00B84540" w:rsidRDefault="00B84540" w:rsidP="00B84540">
            <w:pPr>
              <w:jc w:val="center"/>
              <w:rPr>
                <w:rFonts w:eastAsia="Times New Roman" w:cs="Times New Roman"/>
                <w:color w:val="000000"/>
                <w:szCs w:val="24"/>
                <w:lang w:eastAsia="lv-LV"/>
              </w:rPr>
            </w:pPr>
            <w:r w:rsidRPr="008549E4">
              <w:t>14 268 586</w:t>
            </w:r>
          </w:p>
        </w:tc>
      </w:tr>
      <w:tr w:rsidR="00B84540" w:rsidRPr="00E65379" w14:paraId="176479F9" w14:textId="77777777" w:rsidTr="00B84540">
        <w:trPr>
          <w:trHeight w:val="315"/>
          <w:jc w:val="center"/>
        </w:trPr>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37E42" w14:textId="1C77544A" w:rsidR="00B84540" w:rsidRPr="00B84540" w:rsidRDefault="00B84540" w:rsidP="00B84540">
            <w:pPr>
              <w:rPr>
                <w:rFonts w:eastAsia="Times New Roman" w:cs="Times New Roman"/>
                <w:szCs w:val="24"/>
                <w:lang w:eastAsia="lv-LV"/>
              </w:rPr>
            </w:pPr>
            <w:r w:rsidRPr="00B84540">
              <w:rPr>
                <w:rFonts w:eastAsia="Times New Roman" w:cs="Times New Roman"/>
                <w:b/>
                <w:bCs/>
                <w:szCs w:val="24"/>
                <w:lang w:eastAsia="lv-LV"/>
              </w:rPr>
              <w:t>FM</w:t>
            </w:r>
            <w:r w:rsidRPr="00B84540">
              <w:rPr>
                <w:rFonts w:eastAsia="Times New Roman" w:cs="Times New Roman"/>
                <w:szCs w:val="24"/>
                <w:lang w:eastAsia="lv-LV"/>
              </w:rPr>
              <w:t xml:space="preserve"> / </w:t>
            </w:r>
            <w:r w:rsidRPr="00B84540">
              <w:rPr>
                <w:rFonts w:eastAsia="Times New Roman" w:cs="Times New Roman"/>
                <w:i/>
                <w:iCs/>
                <w:szCs w:val="24"/>
                <w:lang w:eastAsia="lv-LV"/>
              </w:rPr>
              <w:t>Tehniskās palīdzības fonds</w:t>
            </w:r>
          </w:p>
        </w:tc>
        <w:tc>
          <w:tcPr>
            <w:tcW w:w="1923" w:type="dxa"/>
            <w:tcBorders>
              <w:top w:val="nil"/>
              <w:left w:val="nil"/>
              <w:bottom w:val="single" w:sz="4" w:space="0" w:color="auto"/>
              <w:right w:val="single" w:sz="4" w:space="0" w:color="auto"/>
            </w:tcBorders>
            <w:shd w:val="clear" w:color="auto" w:fill="auto"/>
            <w:noWrap/>
            <w:hideMark/>
          </w:tcPr>
          <w:p w14:paraId="5FFF932D" w14:textId="7DED944D" w:rsidR="00B84540" w:rsidRPr="00B84540" w:rsidRDefault="00B84540" w:rsidP="00B84540">
            <w:pPr>
              <w:jc w:val="center"/>
              <w:rPr>
                <w:rFonts w:eastAsia="Times New Roman" w:cs="Times New Roman"/>
                <w:szCs w:val="24"/>
                <w:lang w:eastAsia="lv-LV"/>
              </w:rPr>
            </w:pPr>
            <w:r w:rsidRPr="00473CA3">
              <w:t>1 531 500</w:t>
            </w:r>
          </w:p>
        </w:tc>
        <w:tc>
          <w:tcPr>
            <w:tcW w:w="1765" w:type="dxa"/>
            <w:tcBorders>
              <w:top w:val="nil"/>
              <w:left w:val="nil"/>
              <w:bottom w:val="single" w:sz="4" w:space="0" w:color="auto"/>
              <w:right w:val="single" w:sz="4" w:space="0" w:color="auto"/>
            </w:tcBorders>
            <w:shd w:val="clear" w:color="auto" w:fill="auto"/>
            <w:noWrap/>
            <w:vAlign w:val="center"/>
            <w:hideMark/>
          </w:tcPr>
          <w:p w14:paraId="1616248F" w14:textId="77777777" w:rsidR="00B84540" w:rsidRPr="00B84540" w:rsidRDefault="00B84540" w:rsidP="00B84540">
            <w:pPr>
              <w:jc w:val="center"/>
              <w:rPr>
                <w:rFonts w:eastAsia="Times New Roman" w:cs="Times New Roman"/>
                <w:szCs w:val="24"/>
                <w:lang w:eastAsia="lv-LV"/>
              </w:rPr>
            </w:pPr>
            <w:r w:rsidRPr="00B84540">
              <w:rPr>
                <w:rFonts w:eastAsia="Times New Roman" w:cs="Times New Roman"/>
                <w:szCs w:val="24"/>
                <w:lang w:eastAsia="lv-LV"/>
              </w:rPr>
              <w:t>221 178</w:t>
            </w:r>
          </w:p>
        </w:tc>
        <w:tc>
          <w:tcPr>
            <w:tcW w:w="1678" w:type="dxa"/>
            <w:tcBorders>
              <w:top w:val="single" w:sz="4" w:space="0" w:color="auto"/>
              <w:left w:val="nil"/>
              <w:bottom w:val="single" w:sz="4" w:space="0" w:color="auto"/>
              <w:right w:val="single" w:sz="4" w:space="0" w:color="auto"/>
            </w:tcBorders>
            <w:vAlign w:val="center"/>
          </w:tcPr>
          <w:p w14:paraId="45627693" w14:textId="4E48ACCA" w:rsidR="00B84540" w:rsidRPr="00B84540" w:rsidRDefault="00B84540" w:rsidP="00B84540">
            <w:pPr>
              <w:jc w:val="center"/>
              <w:rPr>
                <w:rFonts w:eastAsia="Times New Roman" w:cs="Times New Roman"/>
                <w:color w:val="000000"/>
                <w:szCs w:val="24"/>
                <w:lang w:eastAsia="lv-LV"/>
              </w:rPr>
            </w:pPr>
            <w:r w:rsidRPr="00B84540">
              <w:rPr>
                <w:rFonts w:eastAsia="Times New Roman" w:cs="Times New Roman"/>
                <w:color w:val="000000"/>
                <w:szCs w:val="24"/>
                <w:lang w:eastAsia="lv-LV"/>
              </w:rPr>
              <w:t>121 648</w:t>
            </w:r>
          </w:p>
        </w:tc>
        <w:tc>
          <w:tcPr>
            <w:tcW w:w="1576" w:type="dxa"/>
            <w:tcBorders>
              <w:top w:val="nil"/>
              <w:left w:val="single" w:sz="4" w:space="0" w:color="auto"/>
              <w:bottom w:val="single" w:sz="4" w:space="0" w:color="auto"/>
              <w:right w:val="single" w:sz="4" w:space="0" w:color="auto"/>
            </w:tcBorders>
            <w:shd w:val="clear" w:color="auto" w:fill="auto"/>
            <w:noWrap/>
            <w:hideMark/>
          </w:tcPr>
          <w:p w14:paraId="6A85503F" w14:textId="346CF443" w:rsidR="00B84540" w:rsidRPr="00B84540" w:rsidRDefault="00B84540" w:rsidP="00B84540">
            <w:pPr>
              <w:jc w:val="center"/>
              <w:rPr>
                <w:rFonts w:eastAsia="Times New Roman" w:cs="Times New Roman"/>
                <w:color w:val="000000"/>
                <w:szCs w:val="24"/>
                <w:lang w:eastAsia="lv-LV"/>
              </w:rPr>
            </w:pPr>
            <w:r w:rsidRPr="008549E4">
              <w:t>1 310 322</w:t>
            </w:r>
          </w:p>
        </w:tc>
      </w:tr>
    </w:tbl>
    <w:p w14:paraId="525FE207" w14:textId="77777777" w:rsidR="00AE5B83" w:rsidRDefault="00AE5B83" w:rsidP="00AE5B83">
      <w:pPr>
        <w:ind w:firstLine="720"/>
        <w:jc w:val="both"/>
        <w:rPr>
          <w:sz w:val="28"/>
          <w:szCs w:val="28"/>
        </w:rPr>
      </w:pPr>
      <w:bookmarkStart w:id="15" w:name="_Toc504564218"/>
    </w:p>
    <w:p w14:paraId="063850BE" w14:textId="3F5B4375" w:rsidR="00AE5B83" w:rsidRPr="00281281" w:rsidRDefault="00AE5B83" w:rsidP="00281281">
      <w:pPr>
        <w:spacing w:before="120" w:after="120"/>
        <w:ind w:firstLine="720"/>
        <w:jc w:val="both"/>
        <w:rPr>
          <w:sz w:val="28"/>
          <w:szCs w:val="28"/>
        </w:rPr>
      </w:pPr>
      <w:r w:rsidRPr="003B448A">
        <w:rPr>
          <w:sz w:val="28"/>
          <w:szCs w:val="28"/>
        </w:rPr>
        <w:t>2018.</w:t>
      </w:r>
      <w:r w:rsidR="00820C99">
        <w:rPr>
          <w:sz w:val="28"/>
          <w:szCs w:val="28"/>
        </w:rPr>
        <w:t> </w:t>
      </w:r>
      <w:r w:rsidRPr="003B448A">
        <w:rPr>
          <w:sz w:val="28"/>
          <w:szCs w:val="28"/>
        </w:rPr>
        <w:t>gada janvārī Rīgā notika pirmā sanāksme ar donorvalstu pārstāvjiem, lai diskutētu par Divpusējās sadarbības fonda (</w:t>
      </w:r>
      <w:r w:rsidRPr="003B448A">
        <w:rPr>
          <w:rFonts w:eastAsia="Calibri" w:cs="Times New Roman"/>
          <w:sz w:val="28"/>
          <w:szCs w:val="28"/>
          <w:lang w:bidi="lv-LV"/>
        </w:rPr>
        <w:t>2,4 milj. </w:t>
      </w:r>
      <w:r w:rsidRPr="003B448A">
        <w:rPr>
          <w:rFonts w:eastAsia="Calibri" w:cs="Times New Roman"/>
          <w:i/>
          <w:sz w:val="28"/>
          <w:szCs w:val="28"/>
          <w:lang w:bidi="lv-LV"/>
        </w:rPr>
        <w:t>euro)</w:t>
      </w:r>
      <w:r w:rsidRPr="003B448A">
        <w:rPr>
          <w:sz w:val="28"/>
          <w:szCs w:val="28"/>
        </w:rPr>
        <w:t xml:space="preserve"> ieviešanu Latvijā</w:t>
      </w:r>
      <w:r w:rsidR="005E6AFC">
        <w:rPr>
          <w:sz w:val="28"/>
          <w:szCs w:val="28"/>
        </w:rPr>
        <w:t>.</w:t>
      </w:r>
      <w:r w:rsidR="00FF31D9">
        <w:rPr>
          <w:sz w:val="28"/>
          <w:szCs w:val="28"/>
        </w:rPr>
        <w:t xml:space="preserve"> </w:t>
      </w:r>
      <w:r w:rsidR="005E6AFC" w:rsidRPr="00F8110D">
        <w:rPr>
          <w:iCs/>
          <w:sz w:val="28"/>
        </w:rPr>
        <w:t>Sanāksmes laikā Ārlietu ministrija donorvalstu pārstāvjiem izvērtēšanai iesniedza priekšlikumus par Divpusējā sadarbības fonda stratēģiskajām prioritātēm.</w:t>
      </w:r>
      <w:r w:rsidRPr="003B448A">
        <w:rPr>
          <w:sz w:val="28"/>
          <w:szCs w:val="28"/>
        </w:rPr>
        <w:t xml:space="preserve"> Divpusējās sadarbības fonda mērķis ir atbalstīt labas prakses piemēru un zināšanu apmaiņu starp donorvalstu un Latvijas institūcijām dažādās jomās.</w:t>
      </w:r>
      <w:r w:rsidR="00FF31D9">
        <w:rPr>
          <w:sz w:val="28"/>
          <w:szCs w:val="28"/>
        </w:rPr>
        <w:t xml:space="preserve"> </w:t>
      </w:r>
      <w:r w:rsidRPr="003B448A">
        <w:rPr>
          <w:sz w:val="28"/>
          <w:szCs w:val="28"/>
        </w:rPr>
        <w:t>Sanāksmē tika pārrunāts</w:t>
      </w:r>
      <w:r w:rsidR="00FF31D9">
        <w:rPr>
          <w:sz w:val="28"/>
          <w:szCs w:val="28"/>
        </w:rPr>
        <w:t xml:space="preserve"> arī</w:t>
      </w:r>
      <w:r w:rsidRPr="003B448A">
        <w:rPr>
          <w:sz w:val="28"/>
          <w:szCs w:val="28"/>
        </w:rPr>
        <w:t xml:space="preserve"> jautājums par EEZ finanšu instrumenta </w:t>
      </w:r>
      <w:r w:rsidR="00E609C1">
        <w:rPr>
          <w:sz w:val="28"/>
          <w:szCs w:val="28"/>
        </w:rPr>
        <w:t>s</w:t>
      </w:r>
      <w:r w:rsidR="00E609C1" w:rsidRPr="003B448A">
        <w:rPr>
          <w:sz w:val="28"/>
          <w:szCs w:val="28"/>
        </w:rPr>
        <w:t xml:space="preserve">aprašanās </w:t>
      </w:r>
      <w:r w:rsidR="00B82A66" w:rsidRPr="005B124B">
        <w:rPr>
          <w:sz w:val="28"/>
          <w:szCs w:val="28"/>
        </w:rPr>
        <w:t xml:space="preserve">memoranda B pielikumā </w:t>
      </w:r>
      <w:r w:rsidR="00B82A66">
        <w:rPr>
          <w:sz w:val="28"/>
          <w:szCs w:val="28"/>
        </w:rPr>
        <w:t>iekļauto divpusējās iniciatīvas</w:t>
      </w:r>
      <w:r w:rsidR="00FF31D9">
        <w:rPr>
          <w:sz w:val="28"/>
          <w:szCs w:val="28"/>
        </w:rPr>
        <w:t xml:space="preserve"> </w:t>
      </w:r>
      <w:r>
        <w:rPr>
          <w:sz w:val="28"/>
          <w:szCs w:val="28"/>
        </w:rPr>
        <w:t xml:space="preserve">finansējumu </w:t>
      </w:r>
      <w:r w:rsidR="00B82A66">
        <w:rPr>
          <w:sz w:val="28"/>
          <w:szCs w:val="28"/>
        </w:rPr>
        <w:t>(400 000</w:t>
      </w:r>
      <w:r w:rsidR="00B82A66" w:rsidRPr="003B448A">
        <w:rPr>
          <w:rFonts w:eastAsia="Calibri" w:cs="Times New Roman"/>
          <w:sz w:val="28"/>
          <w:szCs w:val="28"/>
          <w:lang w:bidi="lv-LV"/>
        </w:rPr>
        <w:t> </w:t>
      </w:r>
      <w:r w:rsidR="00B82A66">
        <w:rPr>
          <w:rFonts w:eastAsia="Calibri" w:cs="Times New Roman"/>
          <w:i/>
          <w:sz w:val="28"/>
          <w:szCs w:val="28"/>
          <w:lang w:bidi="lv-LV"/>
        </w:rPr>
        <w:t>euro)</w:t>
      </w:r>
      <w:r w:rsidR="00B82A66" w:rsidRPr="003B448A">
        <w:rPr>
          <w:sz w:val="28"/>
          <w:szCs w:val="28"/>
        </w:rPr>
        <w:t xml:space="preserve"> </w:t>
      </w:r>
      <w:r>
        <w:rPr>
          <w:sz w:val="28"/>
          <w:szCs w:val="28"/>
        </w:rPr>
        <w:t xml:space="preserve">biedrībai </w:t>
      </w:r>
      <w:r w:rsidRPr="005B124B">
        <w:rPr>
          <w:sz w:val="28"/>
          <w:szCs w:val="28"/>
        </w:rPr>
        <w:t>“Baltijas Mediju izcilības centrs”</w:t>
      </w:r>
      <w:r w:rsidR="00B82A66">
        <w:rPr>
          <w:sz w:val="28"/>
          <w:szCs w:val="28"/>
        </w:rPr>
        <w:t>. A</w:t>
      </w:r>
      <w:r w:rsidR="00FF31D9">
        <w:rPr>
          <w:sz w:val="28"/>
          <w:szCs w:val="28"/>
        </w:rPr>
        <w:t>tbilstoši donorvalstu pārstāvju ierosinājumam</w:t>
      </w:r>
      <w:r w:rsidRPr="003B448A">
        <w:rPr>
          <w:sz w:val="28"/>
          <w:szCs w:val="28"/>
        </w:rPr>
        <w:t xml:space="preserve"> Finanšu ministrija slēgs </w:t>
      </w:r>
      <w:r>
        <w:rPr>
          <w:sz w:val="28"/>
          <w:szCs w:val="28"/>
        </w:rPr>
        <w:t xml:space="preserve">vienošanos ar minēto biedrību </w:t>
      </w:r>
      <w:r w:rsidR="00B82A66">
        <w:rPr>
          <w:sz w:val="28"/>
          <w:szCs w:val="28"/>
        </w:rPr>
        <w:t xml:space="preserve">kā līdzfinansējuma saņēmēju </w:t>
      </w:r>
      <w:r w:rsidRPr="003B448A">
        <w:rPr>
          <w:sz w:val="28"/>
          <w:szCs w:val="28"/>
        </w:rPr>
        <w:t xml:space="preserve">par </w:t>
      </w:r>
      <w:r>
        <w:rPr>
          <w:sz w:val="28"/>
          <w:szCs w:val="28"/>
        </w:rPr>
        <w:t xml:space="preserve">divpusējās sadarbības iniciatīvas īstenošanu </w:t>
      </w:r>
      <w:r w:rsidR="007C22F8" w:rsidRPr="007C22F8">
        <w:rPr>
          <w:iCs/>
          <w:sz w:val="28"/>
          <w:szCs w:val="28"/>
        </w:rPr>
        <w:t xml:space="preserve">mediju </w:t>
      </w:r>
      <w:r w:rsidR="007C22F8" w:rsidRPr="007C22F8">
        <w:rPr>
          <w:bCs/>
          <w:iCs/>
          <w:sz w:val="28"/>
          <w:szCs w:val="28"/>
        </w:rPr>
        <w:t>vides</w:t>
      </w:r>
      <w:r w:rsidR="007C22F8" w:rsidRPr="007C22F8">
        <w:rPr>
          <w:iCs/>
          <w:sz w:val="28"/>
          <w:szCs w:val="28"/>
        </w:rPr>
        <w:t xml:space="preserve"> stiprināšanai</w:t>
      </w:r>
      <w:r>
        <w:rPr>
          <w:sz w:val="28"/>
          <w:szCs w:val="28"/>
        </w:rPr>
        <w:t xml:space="preserve"> (turpmāk – BMIC </w:t>
      </w:r>
      <w:r w:rsidR="002C2C6C">
        <w:rPr>
          <w:sz w:val="28"/>
          <w:szCs w:val="28"/>
        </w:rPr>
        <w:t>ini</w:t>
      </w:r>
      <w:r w:rsidR="00064BC1">
        <w:rPr>
          <w:sz w:val="28"/>
          <w:szCs w:val="28"/>
        </w:rPr>
        <w:t>c</w:t>
      </w:r>
      <w:r w:rsidR="002C2C6C">
        <w:rPr>
          <w:sz w:val="28"/>
          <w:szCs w:val="28"/>
        </w:rPr>
        <w:t>iatīva</w:t>
      </w:r>
      <w:r w:rsidR="00FE4512">
        <w:rPr>
          <w:sz w:val="28"/>
          <w:szCs w:val="28"/>
        </w:rPr>
        <w:t xml:space="preserve">). Plānots iekļaut Ārlietu ministriju kā minētās vienošanās trešo pusi, paredzot BMIC iniciatīvas saturiskās uzraudzības </w:t>
      </w:r>
      <w:r w:rsidR="00FE4512">
        <w:rPr>
          <w:sz w:val="28"/>
          <w:szCs w:val="28"/>
        </w:rPr>
        <w:lastRenderedPageBreak/>
        <w:t>funkciju, sniedzot viedokli - atzinumu Finanšu ministrijai par BMIC iniciatīvas</w:t>
      </w:r>
      <w:r w:rsidR="00FE4512" w:rsidRPr="005B124B">
        <w:rPr>
          <w:sz w:val="28"/>
          <w:szCs w:val="28"/>
        </w:rPr>
        <w:t xml:space="preserve"> </w:t>
      </w:r>
      <w:r w:rsidR="00FE4512">
        <w:rPr>
          <w:sz w:val="28"/>
          <w:szCs w:val="28"/>
        </w:rPr>
        <w:t xml:space="preserve">mērķu un rezultātu atbilstību paredzētajam. </w:t>
      </w:r>
      <w:r>
        <w:rPr>
          <w:sz w:val="28"/>
          <w:szCs w:val="28"/>
        </w:rPr>
        <w:t xml:space="preserve">Pēc vienošanās noslēgšanas </w:t>
      </w:r>
      <w:r w:rsidR="00820C99">
        <w:rPr>
          <w:sz w:val="28"/>
          <w:szCs w:val="28"/>
        </w:rPr>
        <w:t>FM</w:t>
      </w:r>
      <w:r w:rsidRPr="005B124B">
        <w:rPr>
          <w:sz w:val="28"/>
          <w:szCs w:val="28"/>
        </w:rPr>
        <w:t xml:space="preserve"> normatīvajos aktos noteiktā kārtībā iesnieg</w:t>
      </w:r>
      <w:r>
        <w:rPr>
          <w:sz w:val="28"/>
          <w:szCs w:val="28"/>
        </w:rPr>
        <w:t>s</w:t>
      </w:r>
      <w:r w:rsidRPr="005B124B">
        <w:rPr>
          <w:sz w:val="28"/>
          <w:szCs w:val="28"/>
        </w:rPr>
        <w:t xml:space="preserve"> pieprasījumu līdzekļu p</w:t>
      </w:r>
      <w:r w:rsidR="00B82A66">
        <w:rPr>
          <w:sz w:val="28"/>
          <w:szCs w:val="28"/>
        </w:rPr>
        <w:t>ārdalei no 80.00.00. programmas</w:t>
      </w:r>
      <w:r>
        <w:rPr>
          <w:sz w:val="28"/>
          <w:szCs w:val="28"/>
        </w:rPr>
        <w:t xml:space="preserve">. </w:t>
      </w:r>
      <w:r w:rsidRPr="00F916EE">
        <w:rPr>
          <w:sz w:val="28"/>
          <w:szCs w:val="28"/>
        </w:rPr>
        <w:t xml:space="preserve">BMIC </w:t>
      </w:r>
      <w:r>
        <w:rPr>
          <w:sz w:val="28"/>
          <w:szCs w:val="28"/>
        </w:rPr>
        <w:t>iniciatīvas</w:t>
      </w:r>
      <w:r w:rsidRPr="00F916EE">
        <w:rPr>
          <w:sz w:val="28"/>
          <w:szCs w:val="28"/>
        </w:rPr>
        <w:t xml:space="preserve"> </w:t>
      </w:r>
      <w:r>
        <w:rPr>
          <w:sz w:val="28"/>
          <w:szCs w:val="28"/>
        </w:rPr>
        <w:t xml:space="preserve">īstenošanu plānots uzsākt </w:t>
      </w:r>
      <w:r w:rsidR="00B82A66">
        <w:rPr>
          <w:sz w:val="28"/>
          <w:szCs w:val="28"/>
        </w:rPr>
        <w:t xml:space="preserve">indikatīvi </w:t>
      </w:r>
      <w:r>
        <w:rPr>
          <w:sz w:val="28"/>
          <w:szCs w:val="28"/>
        </w:rPr>
        <w:t>2018. gada septembrī.</w:t>
      </w:r>
    </w:p>
    <w:p w14:paraId="2F64AF6F" w14:textId="5B19C21A" w:rsidR="002267E1" w:rsidRPr="00F02FD1" w:rsidRDefault="00893CEB" w:rsidP="00942973">
      <w:pPr>
        <w:pStyle w:val="1lmenis"/>
        <w:spacing w:line="240" w:lineRule="auto"/>
      </w:pPr>
      <w:r w:rsidRPr="00F02FD1">
        <w:t xml:space="preserve">6. </w:t>
      </w:r>
      <w:r w:rsidR="009C0862" w:rsidRPr="00F02FD1">
        <w:t>Šveices programmas ieviešana</w:t>
      </w:r>
      <w:bookmarkEnd w:id="15"/>
    </w:p>
    <w:p w14:paraId="3268B4E4" w14:textId="465F7260" w:rsidR="001E7385" w:rsidRPr="001E7385" w:rsidRDefault="001E7385" w:rsidP="00942973">
      <w:pPr>
        <w:spacing w:before="120" w:after="120"/>
        <w:ind w:firstLine="720"/>
        <w:jc w:val="both"/>
        <w:rPr>
          <w:rFonts w:eastAsia="Times New Roman" w:cs="Times New Roman"/>
          <w:sz w:val="28"/>
          <w:szCs w:val="28"/>
        </w:rPr>
      </w:pPr>
      <w:r w:rsidRPr="001E7385">
        <w:rPr>
          <w:rFonts w:eastAsia="Times New Roman" w:cs="Times New Roman"/>
          <w:sz w:val="28"/>
          <w:szCs w:val="28"/>
        </w:rPr>
        <w:t>Finansējums Latvijai 56,8 milj. Šveices franku jeb 48,5 milj.</w:t>
      </w:r>
      <w:r w:rsidRPr="001E7385">
        <w:rPr>
          <w:rFonts w:eastAsia="Times New Roman" w:cs="Times New Roman"/>
          <w:i/>
          <w:sz w:val="28"/>
          <w:szCs w:val="28"/>
        </w:rPr>
        <w:t> euro</w:t>
      </w:r>
      <w:r w:rsidRPr="001E7385">
        <w:rPr>
          <w:rFonts w:eastAsia="Times New Roman" w:cs="Times New Roman"/>
          <w:i/>
          <w:sz w:val="28"/>
          <w:szCs w:val="28"/>
          <w:vertAlign w:val="superscript"/>
        </w:rPr>
        <w:footnoteReference w:id="92"/>
      </w:r>
      <w:r w:rsidRPr="001E7385">
        <w:rPr>
          <w:rFonts w:eastAsia="Times New Roman" w:cs="Times New Roman"/>
          <w:sz w:val="28"/>
          <w:szCs w:val="28"/>
        </w:rPr>
        <w:t xml:space="preserve"> apmērā bija pieejams no 2007. gada 14.</w:t>
      </w:r>
      <w:r w:rsidR="00991127">
        <w:rPr>
          <w:rFonts w:eastAsia="Times New Roman" w:cs="Times New Roman"/>
          <w:sz w:val="28"/>
          <w:szCs w:val="28"/>
        </w:rPr>
        <w:t> </w:t>
      </w:r>
      <w:r w:rsidRPr="001E7385">
        <w:rPr>
          <w:rFonts w:eastAsia="Times New Roman" w:cs="Times New Roman"/>
          <w:sz w:val="28"/>
          <w:szCs w:val="28"/>
        </w:rPr>
        <w:t>jūnija līdz 2017. gada 13.</w:t>
      </w:r>
      <w:r w:rsidR="00991127">
        <w:rPr>
          <w:rFonts w:eastAsia="Times New Roman" w:cs="Times New Roman"/>
          <w:sz w:val="28"/>
          <w:szCs w:val="28"/>
        </w:rPr>
        <w:t> </w:t>
      </w:r>
      <w:r w:rsidRPr="001E7385">
        <w:rPr>
          <w:rFonts w:eastAsia="Times New Roman" w:cs="Times New Roman"/>
          <w:sz w:val="28"/>
          <w:szCs w:val="28"/>
        </w:rPr>
        <w:t xml:space="preserve">jūnijam, kad noslēdzās visi 10 Šveices programmas projekti (Skolu autobusu projekts, NVO fonds, Tiesu modernizācijas Latvijā projekts, </w:t>
      </w:r>
      <w:proofErr w:type="spellStart"/>
      <w:r w:rsidRPr="001E7385">
        <w:rPr>
          <w:rFonts w:eastAsia="Times New Roman" w:cs="Times New Roman"/>
          <w:sz w:val="28"/>
          <w:szCs w:val="28"/>
        </w:rPr>
        <w:t>Mikrokreditēšanas</w:t>
      </w:r>
      <w:proofErr w:type="spellEnd"/>
      <w:r w:rsidRPr="001E7385">
        <w:rPr>
          <w:rFonts w:eastAsia="Times New Roman" w:cs="Times New Roman"/>
          <w:sz w:val="28"/>
          <w:szCs w:val="28"/>
        </w:rPr>
        <w:t xml:space="preserve"> programma, Skolu ugunsdrošības projekts, Šveices pētnieku aktivitātes Latvijā grantu shēma, Stipendiju fonds, Jauniešu centru programma, Sarkandaugavas sanācijas projekts un Finanšu pārskatu sagatavošanas projekts). Līdz pārskata perioda beigām no </w:t>
      </w:r>
      <w:proofErr w:type="spellStart"/>
      <w:r w:rsidRPr="001E7385">
        <w:rPr>
          <w:rFonts w:eastAsia="Times New Roman" w:cs="Times New Roman"/>
          <w:sz w:val="28"/>
          <w:szCs w:val="28"/>
        </w:rPr>
        <w:t>donorvalsts</w:t>
      </w:r>
      <w:proofErr w:type="spellEnd"/>
      <w:r w:rsidRPr="001E7385">
        <w:rPr>
          <w:rFonts w:eastAsia="Times New Roman" w:cs="Times New Roman"/>
          <w:sz w:val="28"/>
          <w:szCs w:val="28"/>
        </w:rPr>
        <w:t xml:space="preserve"> saņemtas visas atmaksas 45,5 milj.</w:t>
      </w:r>
      <w:r w:rsidRPr="001E7385">
        <w:rPr>
          <w:rFonts w:eastAsia="Times New Roman" w:cs="Times New Roman"/>
          <w:i/>
          <w:sz w:val="28"/>
          <w:szCs w:val="28"/>
        </w:rPr>
        <w:t> euro</w:t>
      </w:r>
      <w:r w:rsidRPr="001E7385">
        <w:rPr>
          <w:rFonts w:eastAsia="Times New Roman" w:cs="Times New Roman"/>
          <w:sz w:val="28"/>
          <w:szCs w:val="28"/>
          <w:vertAlign w:val="superscript"/>
        </w:rPr>
        <w:footnoteReference w:id="93"/>
      </w:r>
      <w:r w:rsidRPr="001E7385">
        <w:rPr>
          <w:rFonts w:eastAsia="Times New Roman" w:cs="Times New Roman"/>
          <w:sz w:val="28"/>
          <w:szCs w:val="28"/>
        </w:rPr>
        <w:t xml:space="preserve"> apmērā jeb 93,8 % no Šveices programmas kopējā finansējuma, progress pusgadā pieaudzis par 2 milj.</w:t>
      </w:r>
      <w:r w:rsidRPr="001E7385">
        <w:rPr>
          <w:rFonts w:eastAsia="Times New Roman" w:cs="Times New Roman"/>
          <w:i/>
          <w:sz w:val="28"/>
          <w:szCs w:val="28"/>
        </w:rPr>
        <w:t> euro</w:t>
      </w:r>
      <w:r w:rsidRPr="001E7385">
        <w:rPr>
          <w:rFonts w:eastAsia="Times New Roman" w:cs="Times New Roman"/>
          <w:sz w:val="28"/>
          <w:szCs w:val="28"/>
        </w:rPr>
        <w:t xml:space="preserve"> jeb 4, %. Šveices kompetentās iestādes 2017.</w:t>
      </w:r>
      <w:r w:rsidR="00991127">
        <w:rPr>
          <w:rFonts w:eastAsia="Times New Roman" w:cs="Times New Roman"/>
          <w:sz w:val="28"/>
          <w:szCs w:val="28"/>
        </w:rPr>
        <w:t> </w:t>
      </w:r>
      <w:r w:rsidRPr="001E7385">
        <w:rPr>
          <w:rFonts w:eastAsia="Times New Roman" w:cs="Times New Roman"/>
          <w:sz w:val="28"/>
          <w:szCs w:val="28"/>
        </w:rPr>
        <w:t>gada decembrī oficiāli noslēdza Šveices programmu. Plašāka informācija par Šveices programmas projektiem pieejama tīmekļa vietnē</w:t>
      </w:r>
      <w:r w:rsidRPr="001E7385">
        <w:rPr>
          <w:rFonts w:eastAsia="Times New Roman" w:cs="Times New Roman"/>
          <w:sz w:val="28"/>
          <w:szCs w:val="28"/>
          <w:vertAlign w:val="superscript"/>
        </w:rPr>
        <w:footnoteReference w:id="94"/>
      </w:r>
      <w:r w:rsidRPr="001E7385">
        <w:rPr>
          <w:rFonts w:eastAsia="Times New Roman" w:cs="Times New Roman"/>
          <w:sz w:val="28"/>
          <w:szCs w:val="28"/>
        </w:rPr>
        <w:t xml:space="preserve">. </w:t>
      </w:r>
    </w:p>
    <w:p w14:paraId="349AFA65" w14:textId="35F54BDE" w:rsidR="00893CEB" w:rsidRPr="00640B5C" w:rsidRDefault="00893CEB" w:rsidP="00942973">
      <w:pPr>
        <w:pStyle w:val="1lmenis"/>
        <w:spacing w:line="240" w:lineRule="auto"/>
      </w:pPr>
      <w:bookmarkStart w:id="16" w:name="_Toc504564219"/>
      <w:r w:rsidRPr="00640B5C">
        <w:t xml:space="preserve">7. </w:t>
      </w:r>
      <w:r w:rsidR="0094027F" w:rsidRPr="00640B5C">
        <w:t>Projektos konstatētie neatbilstoši</w:t>
      </w:r>
      <w:r w:rsidR="002118E5" w:rsidRPr="00640B5C">
        <w:t xml:space="preserve"> </w:t>
      </w:r>
      <w:r w:rsidR="0094027F" w:rsidRPr="00640B5C">
        <w:t>veiktie izdevumi</w:t>
      </w:r>
      <w:bookmarkEnd w:id="16"/>
      <w:r w:rsidR="0094027F" w:rsidRPr="00640B5C" w:rsidDel="0094027F">
        <w:t xml:space="preserve"> </w:t>
      </w:r>
    </w:p>
    <w:p w14:paraId="74A19502" w14:textId="77777777" w:rsidR="00640B5C" w:rsidRPr="00640B5C" w:rsidRDefault="00640B5C" w:rsidP="00640B5C">
      <w:pPr>
        <w:spacing w:before="120" w:after="120"/>
        <w:ind w:firstLine="720"/>
        <w:jc w:val="both"/>
        <w:rPr>
          <w:rFonts w:eastAsia="Times New Roman" w:cs="Times New Roman"/>
          <w:sz w:val="28"/>
          <w:szCs w:val="28"/>
        </w:rPr>
      </w:pPr>
      <w:bookmarkStart w:id="17" w:name="_Toc472690741"/>
      <w:r w:rsidRPr="00640B5C">
        <w:rPr>
          <w:rFonts w:eastAsia="Times New Roman" w:cs="Times New Roman"/>
          <w:sz w:val="28"/>
          <w:szCs w:val="28"/>
        </w:rPr>
        <w:t>ES fondu gadījumā neatbilstība ir jebkurš ES tiesību aktu pārkāpums, kas noticis ES fondu projektu īstenošanā iesaistīta saimnieciskās darbības subjekta darbības vai bezdarbības dēļ un kas rada vai varētu radīt kaitējumu ES vispārējam budžetam, prasot no vispārējā budžeta segt nepamatotu izdevumu daļu</w:t>
      </w:r>
      <w:r w:rsidRPr="00BD5BEB">
        <w:rPr>
          <w:rFonts w:eastAsia="Times New Roman" w:cs="Times New Roman"/>
          <w:sz w:val="28"/>
          <w:szCs w:val="28"/>
          <w:vertAlign w:val="superscript"/>
        </w:rPr>
        <w:footnoteReference w:id="95"/>
      </w:r>
      <w:r w:rsidRPr="00640B5C">
        <w:rPr>
          <w:rFonts w:eastAsia="Times New Roman" w:cs="Times New Roman"/>
          <w:sz w:val="28"/>
          <w:szCs w:val="28"/>
        </w:rPr>
        <w:t>.</w:t>
      </w:r>
    </w:p>
    <w:p w14:paraId="75DE677B" w14:textId="6929472A" w:rsidR="00640B5C" w:rsidRDefault="00640B5C" w:rsidP="00640B5C">
      <w:pPr>
        <w:spacing w:before="120" w:after="120"/>
        <w:ind w:firstLine="720"/>
        <w:jc w:val="both"/>
        <w:rPr>
          <w:rFonts w:eastAsia="Times New Roman" w:cs="Times New Roman"/>
          <w:sz w:val="28"/>
          <w:szCs w:val="28"/>
        </w:rPr>
      </w:pPr>
      <w:r w:rsidRPr="00640B5C">
        <w:rPr>
          <w:rFonts w:eastAsia="Times New Roman" w:cs="Times New Roman"/>
          <w:sz w:val="28"/>
          <w:szCs w:val="28"/>
        </w:rPr>
        <w:t>Ziņojumā analizētas neatbilstības ar finansiālu ietekmi</w:t>
      </w:r>
      <w:r w:rsidR="007C5923">
        <w:rPr>
          <w:rFonts w:eastAsia="Times New Roman" w:cs="Times New Roman"/>
          <w:sz w:val="28"/>
          <w:szCs w:val="28"/>
        </w:rPr>
        <w:t> </w:t>
      </w:r>
      <w:r w:rsidRPr="00640B5C">
        <w:rPr>
          <w:rFonts w:eastAsia="Times New Roman" w:cs="Times New Roman"/>
          <w:sz w:val="28"/>
          <w:szCs w:val="28"/>
        </w:rPr>
        <w:t>–</w:t>
      </w:r>
      <w:r w:rsidR="007C5923">
        <w:rPr>
          <w:rFonts w:eastAsia="Times New Roman" w:cs="Times New Roman"/>
          <w:sz w:val="28"/>
          <w:szCs w:val="28"/>
        </w:rPr>
        <w:t> </w:t>
      </w:r>
      <w:r w:rsidRPr="00640B5C">
        <w:rPr>
          <w:rFonts w:eastAsia="Times New Roman" w:cs="Times New Roman"/>
          <w:sz w:val="28"/>
          <w:szCs w:val="28"/>
        </w:rPr>
        <w:t>neatbilstības, kuru rezultātā radušies neatbilstoši veikti izdevumi (veikti vai maksājuma pieprasījumā konstatēti ietverti neattaisnoti/neattiecināmi/nepamatoti izdevumi), kam piemērota kāda no atgūšanas procedūrām</w:t>
      </w:r>
      <w:r w:rsidRPr="00BD5BEB">
        <w:rPr>
          <w:rFonts w:eastAsia="Times New Roman" w:cs="Times New Roman"/>
          <w:sz w:val="28"/>
          <w:szCs w:val="28"/>
          <w:vertAlign w:val="superscript"/>
        </w:rPr>
        <w:footnoteReference w:id="96"/>
      </w:r>
      <w:r w:rsidRPr="00640B5C">
        <w:rPr>
          <w:rFonts w:eastAsia="Times New Roman" w:cs="Times New Roman"/>
          <w:sz w:val="28"/>
          <w:szCs w:val="28"/>
        </w:rPr>
        <w:t xml:space="preserve"> (piemēram, veikto izdevumu ieturēšana no kārtējā vai nākamā maksājuma pieprasījuma, atprasīšana, norakstīšana u.c.).</w:t>
      </w:r>
    </w:p>
    <w:p w14:paraId="6F9C03A7" w14:textId="77777777" w:rsidR="00866986" w:rsidRPr="00640B5C" w:rsidRDefault="00866986" w:rsidP="00640B5C">
      <w:pPr>
        <w:spacing w:before="120" w:after="120"/>
        <w:ind w:firstLine="720"/>
        <w:jc w:val="both"/>
        <w:rPr>
          <w:rFonts w:eastAsia="Times New Roman" w:cs="Times New Roman"/>
          <w:sz w:val="28"/>
          <w:szCs w:val="28"/>
        </w:rPr>
      </w:pPr>
    </w:p>
    <w:p w14:paraId="531EA703" w14:textId="74C155AD" w:rsidR="00BD5BEB" w:rsidRPr="008A2B1C" w:rsidRDefault="00BD5BEB" w:rsidP="00BD5BEB">
      <w:pPr>
        <w:spacing w:before="120"/>
        <w:ind w:firstLine="720"/>
        <w:jc w:val="both"/>
      </w:pPr>
      <w:bookmarkStart w:id="18" w:name="_Toc472690742"/>
      <w:bookmarkEnd w:id="17"/>
      <w:r w:rsidRPr="008A2B1C">
        <w:rPr>
          <w:b/>
          <w:i/>
          <w:sz w:val="28"/>
        </w:rPr>
        <w:lastRenderedPageBreak/>
        <w:t>ES fondu 2007.</w:t>
      </w:r>
      <w:r w:rsidR="00193E86">
        <w:rPr>
          <w:b/>
          <w:i/>
          <w:sz w:val="28"/>
        </w:rPr>
        <w:t> </w:t>
      </w:r>
      <w:r w:rsidRPr="005C31F0">
        <w:rPr>
          <w:b/>
          <w:sz w:val="28"/>
          <w:szCs w:val="28"/>
        </w:rPr>
        <w:t>–</w:t>
      </w:r>
      <w:r w:rsidR="00193E86">
        <w:rPr>
          <w:b/>
          <w:i/>
          <w:sz w:val="28"/>
        </w:rPr>
        <w:t> </w:t>
      </w:r>
      <w:r w:rsidRPr="008A2B1C">
        <w:rPr>
          <w:b/>
          <w:i/>
          <w:sz w:val="28"/>
        </w:rPr>
        <w:t>2013. gada plānošanas period</w:t>
      </w:r>
      <w:r>
        <w:rPr>
          <w:b/>
          <w:i/>
          <w:sz w:val="28"/>
        </w:rPr>
        <w:t>a</w:t>
      </w:r>
      <w:r w:rsidRPr="008A2B1C">
        <w:rPr>
          <w:b/>
          <w:i/>
          <w:sz w:val="28"/>
        </w:rPr>
        <w:t xml:space="preserve"> </w:t>
      </w:r>
      <w:r>
        <w:rPr>
          <w:b/>
          <w:i/>
          <w:sz w:val="28"/>
        </w:rPr>
        <w:t>n</w:t>
      </w:r>
      <w:r w:rsidRPr="008A2B1C">
        <w:rPr>
          <w:b/>
          <w:i/>
          <w:sz w:val="28"/>
        </w:rPr>
        <w:t>eatbilstības ar finansiālu ietekmi līdz 201</w:t>
      </w:r>
      <w:r>
        <w:rPr>
          <w:b/>
          <w:i/>
          <w:sz w:val="28"/>
        </w:rPr>
        <w:t>7</w:t>
      </w:r>
      <w:r w:rsidRPr="008A2B1C">
        <w:rPr>
          <w:b/>
          <w:i/>
          <w:sz w:val="28"/>
        </w:rPr>
        <w:t>. gada 3</w:t>
      </w:r>
      <w:r>
        <w:rPr>
          <w:b/>
          <w:i/>
          <w:sz w:val="28"/>
        </w:rPr>
        <w:t>1</w:t>
      </w:r>
      <w:r w:rsidRPr="008A2B1C">
        <w:rPr>
          <w:b/>
          <w:i/>
          <w:sz w:val="28"/>
        </w:rPr>
        <w:t>.</w:t>
      </w:r>
      <w:r w:rsidR="00193E86">
        <w:rPr>
          <w:b/>
          <w:i/>
          <w:sz w:val="28"/>
        </w:rPr>
        <w:t> </w:t>
      </w:r>
      <w:r>
        <w:rPr>
          <w:b/>
          <w:i/>
          <w:sz w:val="28"/>
        </w:rPr>
        <w:t>decembrim</w:t>
      </w:r>
    </w:p>
    <w:p w14:paraId="13B71B40" w14:textId="131B37EF" w:rsidR="00BD5BEB" w:rsidRDefault="00BD5BEB" w:rsidP="00BD5BEB">
      <w:pPr>
        <w:spacing w:before="120" w:after="120"/>
        <w:ind w:firstLine="709"/>
        <w:jc w:val="both"/>
        <w:rPr>
          <w:rFonts w:eastAsia="EUAlbertina-Bold-Identity-H" w:cs="Times New Roman"/>
          <w:sz w:val="28"/>
          <w:szCs w:val="24"/>
        </w:rPr>
      </w:pPr>
      <w:r w:rsidRPr="00772D4E">
        <w:rPr>
          <w:rFonts w:eastAsia="EUAlbertina-Bold-Identity-H" w:cs="Times New Roman"/>
          <w:sz w:val="28"/>
          <w:szCs w:val="24"/>
        </w:rPr>
        <w:t>2017.</w:t>
      </w:r>
      <w:r w:rsidR="00193E86">
        <w:rPr>
          <w:rFonts w:eastAsia="EUAlbertina-Bold-Identity-H" w:cs="Times New Roman"/>
          <w:sz w:val="28"/>
          <w:szCs w:val="24"/>
        </w:rPr>
        <w:t> </w:t>
      </w:r>
      <w:r w:rsidRPr="00772D4E">
        <w:rPr>
          <w:rFonts w:eastAsia="EUAlbertina-Bold-Identity-H" w:cs="Times New Roman"/>
          <w:sz w:val="28"/>
          <w:szCs w:val="24"/>
        </w:rPr>
        <w:t>gada II</w:t>
      </w:r>
      <w:r w:rsidR="00193E86">
        <w:rPr>
          <w:rFonts w:eastAsia="EUAlbertina-Bold-Identity-H" w:cs="Times New Roman"/>
          <w:sz w:val="28"/>
          <w:szCs w:val="24"/>
        </w:rPr>
        <w:t> </w:t>
      </w:r>
      <w:r w:rsidRPr="00772D4E">
        <w:rPr>
          <w:rFonts w:eastAsia="EUAlbertina-Bold-Identity-H" w:cs="Times New Roman"/>
          <w:sz w:val="28"/>
          <w:szCs w:val="24"/>
        </w:rPr>
        <w:t>pusgadā konstatētas 3</w:t>
      </w:r>
      <w:r w:rsidR="007C5923">
        <w:rPr>
          <w:rFonts w:eastAsia="EUAlbertina-Bold-Identity-H" w:cs="Times New Roman"/>
          <w:sz w:val="28"/>
          <w:szCs w:val="24"/>
        </w:rPr>
        <w:t> </w:t>
      </w:r>
      <w:r w:rsidRPr="00772D4E">
        <w:rPr>
          <w:rFonts w:eastAsia="EUAlbertina-Bold-Identity-H" w:cs="Times New Roman"/>
          <w:sz w:val="28"/>
          <w:szCs w:val="24"/>
        </w:rPr>
        <w:t>jaunas neatbilstības par kopējo summu 2,89 milj.</w:t>
      </w:r>
      <w:r w:rsidR="00193E86">
        <w:rPr>
          <w:rFonts w:eastAsia="EUAlbertina-Bold-Identity-H" w:cs="Times New Roman"/>
          <w:sz w:val="28"/>
          <w:szCs w:val="24"/>
        </w:rPr>
        <w:t> </w:t>
      </w:r>
      <w:r w:rsidRPr="00772D4E">
        <w:rPr>
          <w:rFonts w:eastAsia="EUAlbertina-Bold-Identity-H" w:cs="Times New Roman"/>
          <w:i/>
          <w:sz w:val="28"/>
          <w:szCs w:val="24"/>
        </w:rPr>
        <w:t>euro</w:t>
      </w:r>
      <w:r w:rsidR="006A777A">
        <w:rPr>
          <w:rStyle w:val="FootnoteReference"/>
          <w:rFonts w:eastAsia="EUAlbertina-Bold-Identity-H" w:cs="Times New Roman"/>
          <w:i/>
          <w:sz w:val="28"/>
          <w:szCs w:val="24"/>
        </w:rPr>
        <w:footnoteReference w:id="97"/>
      </w:r>
      <w:r w:rsidRPr="00772D4E">
        <w:rPr>
          <w:rFonts w:eastAsia="EUAlbertina-Bold-Identity-H" w:cs="Times New Roman"/>
          <w:sz w:val="28"/>
          <w:szCs w:val="24"/>
        </w:rPr>
        <w:t>, no kuras lielāko īpatsvaru</w:t>
      </w:r>
      <w:r w:rsidR="007C5923">
        <w:rPr>
          <w:rFonts w:eastAsia="EUAlbertina-Bold-Identity-H" w:cs="Times New Roman"/>
          <w:sz w:val="28"/>
          <w:szCs w:val="24"/>
        </w:rPr>
        <w:t> </w:t>
      </w:r>
      <w:r w:rsidRPr="00772D4E">
        <w:rPr>
          <w:rFonts w:eastAsia="EUAlbertina-Bold-Identity-H" w:cs="Times New Roman"/>
          <w:sz w:val="28"/>
          <w:szCs w:val="24"/>
        </w:rPr>
        <w:t>–</w:t>
      </w:r>
      <w:r w:rsidR="007C5923">
        <w:rPr>
          <w:rFonts w:eastAsia="EUAlbertina-Bold-Identity-H" w:cs="Times New Roman"/>
          <w:sz w:val="28"/>
          <w:szCs w:val="24"/>
        </w:rPr>
        <w:t> </w:t>
      </w:r>
      <w:r w:rsidRPr="00772D4E">
        <w:rPr>
          <w:rFonts w:eastAsia="EUAlbertina-Bold-Identity-H" w:cs="Times New Roman"/>
          <w:sz w:val="28"/>
          <w:szCs w:val="24"/>
        </w:rPr>
        <w:t>2,59</w:t>
      </w:r>
      <w:r w:rsidR="00193E86">
        <w:rPr>
          <w:rFonts w:eastAsia="EUAlbertina-Bold-Identity-H" w:cs="Times New Roman"/>
          <w:sz w:val="28"/>
          <w:szCs w:val="24"/>
        </w:rPr>
        <w:t> </w:t>
      </w:r>
      <w:r w:rsidRPr="00772D4E">
        <w:rPr>
          <w:rFonts w:eastAsia="EUAlbertina-Bold-Identity-H" w:cs="Times New Roman"/>
          <w:sz w:val="28"/>
          <w:szCs w:val="24"/>
        </w:rPr>
        <w:t>milj.</w:t>
      </w:r>
      <w:r w:rsidR="00193E86">
        <w:rPr>
          <w:rFonts w:eastAsia="EUAlbertina-Bold-Identity-H" w:cs="Times New Roman"/>
          <w:sz w:val="28"/>
          <w:szCs w:val="24"/>
        </w:rPr>
        <w:t> </w:t>
      </w:r>
      <w:r w:rsidRPr="00772D4E">
        <w:rPr>
          <w:rFonts w:eastAsia="EUAlbertina-Bold-Identity-H" w:cs="Times New Roman"/>
          <w:i/>
          <w:sz w:val="28"/>
          <w:szCs w:val="24"/>
        </w:rPr>
        <w:t>euro</w:t>
      </w:r>
      <w:r w:rsidRPr="00772D4E">
        <w:rPr>
          <w:rFonts w:eastAsia="EUAlbertina-Bold-Identity-H" w:cs="Times New Roman"/>
          <w:sz w:val="28"/>
          <w:szCs w:val="24"/>
        </w:rPr>
        <w:t xml:space="preserve"> jeb 89,8</w:t>
      </w:r>
      <w:r w:rsidR="00193E86">
        <w:rPr>
          <w:rFonts w:eastAsia="EUAlbertina-Bold-Identity-H" w:cs="Times New Roman"/>
          <w:sz w:val="28"/>
          <w:szCs w:val="24"/>
        </w:rPr>
        <w:t> </w:t>
      </w:r>
      <w:r w:rsidRPr="00772D4E">
        <w:rPr>
          <w:rFonts w:eastAsia="EUAlbertina-Bold-Identity-H" w:cs="Times New Roman"/>
          <w:sz w:val="28"/>
          <w:szCs w:val="24"/>
        </w:rPr>
        <w:t>% veido neatbilstība ar klasifikāciju “Aizdomas par krāpšanu”, kas 3.5.2.1.1.</w:t>
      </w:r>
      <w:r w:rsidR="00F02FD1">
        <w:rPr>
          <w:rFonts w:eastAsia="EUAlbertina-Bold-Identity-H" w:cs="Times New Roman"/>
          <w:sz w:val="28"/>
          <w:szCs w:val="24"/>
        </w:rPr>
        <w:t> </w:t>
      </w:r>
      <w:proofErr w:type="spellStart"/>
      <w:r w:rsidR="00F02FD1">
        <w:rPr>
          <w:rFonts w:eastAsia="EUAlbertina-Bold-Identity-H" w:cs="Times New Roman"/>
          <w:sz w:val="28"/>
          <w:szCs w:val="24"/>
        </w:rPr>
        <w:t>apakšaktivitātes</w:t>
      </w:r>
      <w:proofErr w:type="spellEnd"/>
      <w:r w:rsidR="00F02FD1">
        <w:rPr>
          <w:rFonts w:eastAsia="EUAlbertina-Bold-Identity-H" w:cs="Times New Roman"/>
          <w:sz w:val="28"/>
          <w:szCs w:val="24"/>
        </w:rPr>
        <w:t xml:space="preserve"> “</w:t>
      </w:r>
      <w:r w:rsidRPr="00772D4E">
        <w:rPr>
          <w:rFonts w:eastAsia="EUAlbertina-Bold-Identity-H" w:cs="Times New Roman"/>
          <w:sz w:val="28"/>
          <w:szCs w:val="24"/>
        </w:rPr>
        <w:t>Pasākumi centralizētās siltumapgādes sistēm</w:t>
      </w:r>
      <w:r w:rsidR="00F02FD1">
        <w:rPr>
          <w:rFonts w:eastAsia="EUAlbertina-Bold-Identity-H" w:cs="Times New Roman"/>
          <w:sz w:val="28"/>
          <w:szCs w:val="24"/>
        </w:rPr>
        <w:t>u efektivitātes paaugstināšanai”</w:t>
      </w:r>
      <w:r w:rsidRPr="00772D4E">
        <w:rPr>
          <w:rFonts w:eastAsia="EUAlbertina-Bold-Identity-H" w:cs="Times New Roman"/>
          <w:sz w:val="28"/>
          <w:szCs w:val="24"/>
        </w:rPr>
        <w:t xml:space="preserve"> projektā.</w:t>
      </w:r>
      <w:r>
        <w:rPr>
          <w:rFonts w:eastAsia="EUAlbertina-Bold-Identity-H" w:cs="Times New Roman"/>
          <w:sz w:val="28"/>
          <w:szCs w:val="24"/>
        </w:rPr>
        <w:t xml:space="preserve"> </w:t>
      </w:r>
      <w:proofErr w:type="spellStart"/>
      <w:r w:rsidRPr="00586237">
        <w:rPr>
          <w:rFonts w:eastAsia="EUAlbertina-Bold-Identity-H" w:cs="Times New Roman"/>
          <w:sz w:val="28"/>
          <w:szCs w:val="24"/>
        </w:rPr>
        <w:t>Tiesībsargājošā</w:t>
      </w:r>
      <w:r>
        <w:rPr>
          <w:rFonts w:eastAsia="EUAlbertina-Bold-Identity-H" w:cs="Times New Roman"/>
          <w:sz w:val="28"/>
          <w:szCs w:val="24"/>
        </w:rPr>
        <w:t>s</w:t>
      </w:r>
      <w:proofErr w:type="spellEnd"/>
      <w:r w:rsidRPr="00586237">
        <w:rPr>
          <w:rFonts w:eastAsia="EUAlbertina-Bold-Identity-H" w:cs="Times New Roman"/>
          <w:sz w:val="28"/>
          <w:szCs w:val="24"/>
        </w:rPr>
        <w:t xml:space="preserve"> iestāde</w:t>
      </w:r>
      <w:r w:rsidR="006A777A">
        <w:rPr>
          <w:rFonts w:eastAsia="EUAlbertina-Bold-Identity-H" w:cs="Times New Roman"/>
          <w:sz w:val="28"/>
          <w:szCs w:val="24"/>
        </w:rPr>
        <w:t>s</w:t>
      </w:r>
      <w:r w:rsidRPr="00586237">
        <w:rPr>
          <w:rFonts w:eastAsia="EUAlbertina-Bold-Identity-H" w:cs="Times New Roman"/>
          <w:sz w:val="28"/>
          <w:szCs w:val="24"/>
        </w:rPr>
        <w:t xml:space="preserve"> </w:t>
      </w:r>
      <w:r w:rsidR="006A777A">
        <w:rPr>
          <w:rFonts w:eastAsia="EUAlbertina-Bold-Identity-H" w:cs="Times New Roman"/>
          <w:sz w:val="28"/>
          <w:szCs w:val="24"/>
        </w:rPr>
        <w:t>veic darbības atbilstoši kompetencei</w:t>
      </w:r>
      <w:r w:rsidRPr="00586237">
        <w:rPr>
          <w:rFonts w:eastAsia="EUAlbertina-Bold-Identity-H" w:cs="Times New Roman"/>
          <w:sz w:val="28"/>
          <w:szCs w:val="24"/>
        </w:rPr>
        <w:t>.</w:t>
      </w:r>
    </w:p>
    <w:p w14:paraId="49391CD7" w14:textId="193500B2" w:rsidR="002F3369" w:rsidRPr="002F3369" w:rsidRDefault="00BD5BEB" w:rsidP="002F3369">
      <w:pPr>
        <w:spacing w:before="120" w:after="120"/>
        <w:ind w:firstLine="709"/>
        <w:jc w:val="both"/>
        <w:rPr>
          <w:rFonts w:eastAsia="EUAlbertina-Bold-Identity-H" w:cs="Times New Roman"/>
          <w:sz w:val="28"/>
          <w:szCs w:val="28"/>
          <w:highlight w:val="yellow"/>
        </w:rPr>
      </w:pPr>
      <w:r w:rsidRPr="00525936">
        <w:rPr>
          <w:rFonts w:eastAsia="EUAlbertina-Bold-Identity-H" w:cs="Times New Roman"/>
          <w:sz w:val="28"/>
          <w:szCs w:val="24"/>
        </w:rPr>
        <w:t>EK 2017.</w:t>
      </w:r>
      <w:r w:rsidR="00531A0C">
        <w:rPr>
          <w:rFonts w:eastAsia="EUAlbertina-Bold-Identity-H" w:cs="Times New Roman"/>
          <w:sz w:val="28"/>
          <w:szCs w:val="24"/>
        </w:rPr>
        <w:t> </w:t>
      </w:r>
      <w:r w:rsidRPr="00525936">
        <w:rPr>
          <w:rFonts w:eastAsia="EUAlbertina-Bold-Identity-H" w:cs="Times New Roman"/>
          <w:sz w:val="28"/>
          <w:szCs w:val="24"/>
        </w:rPr>
        <w:t>gada 9.</w:t>
      </w:r>
      <w:r w:rsidR="00531A0C">
        <w:rPr>
          <w:rFonts w:eastAsia="EUAlbertina-Bold-Identity-H" w:cs="Times New Roman"/>
          <w:sz w:val="28"/>
          <w:szCs w:val="24"/>
        </w:rPr>
        <w:t> </w:t>
      </w:r>
      <w:r w:rsidRPr="00525936">
        <w:rPr>
          <w:rFonts w:eastAsia="EUAlbertina-Bold-Identity-H" w:cs="Times New Roman"/>
          <w:sz w:val="28"/>
          <w:szCs w:val="24"/>
        </w:rPr>
        <w:t>novembra vēstulē sniedza skaidrojumu par proporcionālas finanšu korekcijas piemērošan</w:t>
      </w:r>
      <w:r w:rsidR="002A2F29">
        <w:rPr>
          <w:rFonts w:eastAsia="EUAlbertina-Bold-Identity-H" w:cs="Times New Roman"/>
          <w:sz w:val="28"/>
          <w:szCs w:val="24"/>
        </w:rPr>
        <w:t>as iespēj</w:t>
      </w:r>
      <w:r w:rsidRPr="00525936">
        <w:rPr>
          <w:rFonts w:eastAsia="EUAlbertina-Bold-Identity-H" w:cs="Times New Roman"/>
          <w:sz w:val="28"/>
          <w:szCs w:val="24"/>
        </w:rPr>
        <w:t>u konkurences pārkāpumu gadījumos,</w:t>
      </w:r>
      <w:r w:rsidR="003E3524">
        <w:rPr>
          <w:rFonts w:eastAsia="EUAlbertina-Bold-Identity-H" w:cs="Times New Roman"/>
          <w:sz w:val="28"/>
          <w:szCs w:val="24"/>
        </w:rPr>
        <w:t xml:space="preserve"> </w:t>
      </w:r>
      <w:hyperlink r:id="rId17" w:tgtFrame="_blank" w:history="1">
        <w:r w:rsidRPr="00525936">
          <w:rPr>
            <w:rFonts w:eastAsia="EUAlbertina-Bold-Identity-H" w:cs="Times New Roman"/>
            <w:sz w:val="28"/>
            <w:szCs w:val="24"/>
          </w:rPr>
          <w:t>t.sk</w:t>
        </w:r>
      </w:hyperlink>
      <w:r w:rsidRPr="00525936">
        <w:rPr>
          <w:rFonts w:eastAsia="EUAlbertina-Bold-Identity-H" w:cs="Times New Roman"/>
          <w:sz w:val="28"/>
          <w:szCs w:val="24"/>
        </w:rPr>
        <w:t xml:space="preserve">. </w:t>
      </w:r>
      <w:r w:rsidR="002A2F29" w:rsidRPr="00525936">
        <w:rPr>
          <w:rFonts w:eastAsia="EUAlbertina-Bold-Identity-H" w:cs="Times New Roman"/>
          <w:sz w:val="28"/>
          <w:szCs w:val="24"/>
        </w:rPr>
        <w:t>aizliegtas</w:t>
      </w:r>
      <w:r w:rsidRPr="00525936">
        <w:rPr>
          <w:rFonts w:eastAsia="EUAlbertina-Bold-Identity-H" w:cs="Times New Roman"/>
          <w:sz w:val="28"/>
          <w:szCs w:val="24"/>
        </w:rPr>
        <w:t xml:space="preserve"> vienošanās gadījumā, ja kompetentās iestādes nav konstatējušas </w:t>
      </w:r>
      <w:r w:rsidR="007C5923">
        <w:rPr>
          <w:rFonts w:eastAsia="EUAlbertina-Bold-Identity-H" w:cs="Times New Roman"/>
          <w:sz w:val="28"/>
          <w:szCs w:val="24"/>
        </w:rPr>
        <w:t>FS</w:t>
      </w:r>
      <w:r w:rsidRPr="00525936">
        <w:rPr>
          <w:rFonts w:eastAsia="EUAlbertina-Bold-Identity-H" w:cs="Times New Roman"/>
          <w:sz w:val="28"/>
          <w:szCs w:val="24"/>
        </w:rPr>
        <w:t xml:space="preserve"> iesaisti. Saskaņā ar EK viedokli, konkurences neievērošana iepirkumu procedūrā ir pārkāpums, par ko ir piemērojama finanšu korekcija. Lai lemtu par piemērojamās korekcijas apmēru, ir jāvērtē vairāki faktori, tai skaitā, vai </w:t>
      </w:r>
      <w:r w:rsidR="00531A0C">
        <w:rPr>
          <w:rFonts w:eastAsia="EUAlbertina-Bold-Identity-H" w:cs="Times New Roman"/>
          <w:sz w:val="28"/>
          <w:szCs w:val="24"/>
        </w:rPr>
        <w:t>FS</w:t>
      </w:r>
      <w:r w:rsidRPr="00525936">
        <w:rPr>
          <w:rFonts w:eastAsia="EUAlbertina-Bold-Identity-H" w:cs="Times New Roman"/>
          <w:sz w:val="28"/>
          <w:szCs w:val="24"/>
        </w:rPr>
        <w:t xml:space="preserve"> ir bijis iesaistīts aizliegtajā vienošanās, kas ir iepirkumā uzvarējušais pretendents un kāda ir bijusi konkurence. Balstoties uz šo EK skaidrojumu, tikai K</w:t>
      </w:r>
      <w:r w:rsidR="003E3524">
        <w:rPr>
          <w:rFonts w:eastAsia="EUAlbertina-Bold-Identity-H" w:cs="Times New Roman"/>
          <w:sz w:val="28"/>
          <w:szCs w:val="24"/>
        </w:rPr>
        <w:t>P</w:t>
      </w:r>
      <w:r w:rsidRPr="00525936">
        <w:rPr>
          <w:rFonts w:eastAsia="EUAlbertina-Bold-Identity-H" w:cs="Times New Roman"/>
          <w:sz w:val="28"/>
          <w:szCs w:val="24"/>
        </w:rPr>
        <w:t xml:space="preserve"> var noteikt to, vai kāds no ES fondu administrēšanā iesaistītajiem pārstāvjiem, vai </w:t>
      </w:r>
      <w:r w:rsidR="00531A0C">
        <w:rPr>
          <w:rFonts w:eastAsia="EUAlbertina-Bold-Identity-H" w:cs="Times New Roman"/>
          <w:sz w:val="28"/>
          <w:szCs w:val="24"/>
        </w:rPr>
        <w:t>FS</w:t>
      </w:r>
      <w:r w:rsidRPr="00525936">
        <w:rPr>
          <w:rFonts w:eastAsia="EUAlbertina-Bold-Identity-H" w:cs="Times New Roman"/>
          <w:sz w:val="28"/>
          <w:szCs w:val="24"/>
        </w:rPr>
        <w:t xml:space="preserve"> ir bijis iesaistīts aizliegtajā vienošanās, un visi šādi aizliegtas vienošanās gadījumi ir sūtāmi K</w:t>
      </w:r>
      <w:r w:rsidR="003E3524">
        <w:rPr>
          <w:rFonts w:eastAsia="EUAlbertina-Bold-Identity-H" w:cs="Times New Roman"/>
          <w:sz w:val="28"/>
          <w:szCs w:val="24"/>
        </w:rPr>
        <w:t>P</w:t>
      </w:r>
      <w:r w:rsidRPr="00525936">
        <w:rPr>
          <w:rFonts w:eastAsia="EUAlbertina-Bold-Identity-H" w:cs="Times New Roman"/>
          <w:sz w:val="28"/>
          <w:szCs w:val="24"/>
        </w:rPr>
        <w:t xml:space="preserve"> izvērtēšanai. Attiecīgi pēc visu iepriekš minēto apsvērumu izvērtēšanas var pieņemt lēmumu par atbilstošāko finanšu korekciju. EK vēstulē dod skaidras norādes piemērojamajam finanšu korekciju procentuālajam apmēram katrā no gadījumiem, un šie nosacījumi tiks iestrādāti arī EK un pēc tam arī VI neatbilstību vadlīnijās.</w:t>
      </w:r>
      <w:r w:rsidR="006A777A">
        <w:rPr>
          <w:rFonts w:eastAsia="EUAlbertina-Bold-Identity-H" w:cs="Times New Roman"/>
          <w:sz w:val="28"/>
          <w:szCs w:val="24"/>
        </w:rPr>
        <w:t xml:space="preserve"> </w:t>
      </w:r>
      <w:r w:rsidRPr="00525936">
        <w:rPr>
          <w:rFonts w:eastAsia="EUAlbertina-Bold-Identity-H" w:cs="Times New Roman"/>
          <w:sz w:val="28"/>
          <w:szCs w:val="24"/>
        </w:rPr>
        <w:t>Ņemot vērā šo EK skaidrojumu</w:t>
      </w:r>
      <w:r w:rsidR="006A777A">
        <w:rPr>
          <w:rFonts w:eastAsia="EUAlbertina-Bold-Identity-H" w:cs="Times New Roman"/>
          <w:sz w:val="28"/>
          <w:szCs w:val="24"/>
        </w:rPr>
        <w:t>,</w:t>
      </w:r>
      <w:r w:rsidRPr="00525936">
        <w:rPr>
          <w:rFonts w:eastAsia="EUAlbertina-Bold-Identity-H" w:cs="Times New Roman"/>
          <w:sz w:val="28"/>
          <w:szCs w:val="28"/>
        </w:rPr>
        <w:t xml:space="preserve"> </w:t>
      </w:r>
      <w:r>
        <w:rPr>
          <w:rFonts w:eastAsia="EUAlbertina-Bold-Identity-H" w:cs="Times New Roman"/>
          <w:sz w:val="28"/>
          <w:szCs w:val="28"/>
        </w:rPr>
        <w:t>p</w:t>
      </w:r>
      <w:r w:rsidR="002F3369" w:rsidRPr="00F02FD1">
        <w:rPr>
          <w:rFonts w:eastAsia="EUAlbertina-Bold-Identity-H" w:cs="Times New Roman"/>
          <w:sz w:val="28"/>
          <w:szCs w:val="28"/>
        </w:rPr>
        <w:t xml:space="preserve">ārskata periodā </w:t>
      </w:r>
      <w:r w:rsidR="005D45FC">
        <w:rPr>
          <w:rFonts w:eastAsia="EUAlbertina-Bold-Identity-H" w:cs="Times New Roman"/>
          <w:sz w:val="28"/>
          <w:szCs w:val="28"/>
        </w:rPr>
        <w:t>aktivitātē</w:t>
      </w:r>
      <w:r w:rsidR="005D45FC" w:rsidRPr="002F3369">
        <w:rPr>
          <w:rFonts w:eastAsia="EUAlbertina-Bold-Identity-H" w:cs="Times New Roman"/>
          <w:sz w:val="28"/>
          <w:szCs w:val="28"/>
        </w:rPr>
        <w:t xml:space="preserve"> „Ūdenssaimniecības infrastruktūras attīstība apdzīvotās vietās ar iedzīvotāju skaitu līdz 2000”</w:t>
      </w:r>
      <w:r w:rsidR="005D45FC">
        <w:rPr>
          <w:rFonts w:eastAsia="EUAlbertina-Bold-Identity-H" w:cs="Times New Roman"/>
          <w:sz w:val="28"/>
          <w:szCs w:val="28"/>
        </w:rPr>
        <w:t xml:space="preserve"> </w:t>
      </w:r>
      <w:r w:rsidR="002F3369">
        <w:rPr>
          <w:rFonts w:eastAsia="EUAlbertina-Bold-Identity-H" w:cs="Times New Roman"/>
          <w:sz w:val="28"/>
          <w:szCs w:val="28"/>
        </w:rPr>
        <w:t>neatbilstību apjoms ir samazinā</w:t>
      </w:r>
      <w:r w:rsidR="00552F29">
        <w:rPr>
          <w:rFonts w:eastAsia="EUAlbertina-Bold-Identity-H" w:cs="Times New Roman"/>
          <w:sz w:val="28"/>
          <w:szCs w:val="28"/>
        </w:rPr>
        <w:t xml:space="preserve">jies </w:t>
      </w:r>
      <w:r w:rsidR="002F3369">
        <w:rPr>
          <w:rFonts w:eastAsia="EUAlbertina-Bold-Identity-H" w:cs="Times New Roman"/>
          <w:sz w:val="28"/>
          <w:szCs w:val="28"/>
        </w:rPr>
        <w:t>par 1,</w:t>
      </w:r>
      <w:r w:rsidR="005D45FC">
        <w:rPr>
          <w:rFonts w:eastAsia="EUAlbertina-Bold-Identity-H" w:cs="Times New Roman"/>
          <w:sz w:val="28"/>
          <w:szCs w:val="28"/>
        </w:rPr>
        <w:t>0</w:t>
      </w:r>
      <w:r w:rsidR="00991127">
        <w:rPr>
          <w:rFonts w:eastAsia="EUAlbertina-Bold-Identity-H" w:cs="Times New Roman"/>
          <w:sz w:val="28"/>
          <w:szCs w:val="28"/>
        </w:rPr>
        <w:t> </w:t>
      </w:r>
      <w:r w:rsidR="005D45FC">
        <w:rPr>
          <w:rFonts w:eastAsia="EUAlbertina-Bold-Identity-H" w:cs="Times New Roman"/>
          <w:sz w:val="28"/>
          <w:szCs w:val="28"/>
        </w:rPr>
        <w:t>milj.</w:t>
      </w:r>
      <w:r w:rsidR="00991127">
        <w:rPr>
          <w:rFonts w:eastAsia="EUAlbertina-Bold-Identity-H" w:cs="Times New Roman"/>
          <w:sz w:val="28"/>
          <w:szCs w:val="28"/>
        </w:rPr>
        <w:t> </w:t>
      </w:r>
      <w:r w:rsidR="005D45FC" w:rsidRPr="00F02FD1">
        <w:rPr>
          <w:rFonts w:eastAsia="EUAlbertina-Bold-Identity-H" w:cs="Times New Roman"/>
          <w:i/>
          <w:sz w:val="28"/>
          <w:szCs w:val="28"/>
        </w:rPr>
        <w:t>euro</w:t>
      </w:r>
      <w:r w:rsidR="005D45FC">
        <w:rPr>
          <w:rFonts w:eastAsia="EUAlbertina-Bold-Identity-H" w:cs="Times New Roman"/>
          <w:sz w:val="28"/>
          <w:szCs w:val="28"/>
        </w:rPr>
        <w:t xml:space="preserve">, jo </w:t>
      </w:r>
      <w:r w:rsidR="00552F29">
        <w:rPr>
          <w:rFonts w:eastAsia="EUAlbertina-Bold-Identity-H" w:cs="Times New Roman"/>
          <w:sz w:val="28"/>
          <w:szCs w:val="28"/>
        </w:rPr>
        <w:t xml:space="preserve">CFLA ir samazinājusi iepriekš piemērotās finanšu </w:t>
      </w:r>
      <w:r w:rsidR="006A777A">
        <w:rPr>
          <w:rFonts w:eastAsia="EUAlbertina-Bold-Identity-H" w:cs="Times New Roman"/>
          <w:sz w:val="28"/>
          <w:szCs w:val="28"/>
        </w:rPr>
        <w:t xml:space="preserve">korekcijas. </w:t>
      </w:r>
      <w:r w:rsidR="00415220">
        <w:rPr>
          <w:rFonts w:eastAsia="EUAlbertina-Bold-Identity-H" w:cs="Times New Roman"/>
          <w:sz w:val="28"/>
          <w:szCs w:val="28"/>
        </w:rPr>
        <w:t xml:space="preserve">Notiek vienošanās </w:t>
      </w:r>
      <w:r w:rsidR="00C72D14" w:rsidRPr="00FD0508">
        <w:rPr>
          <w:rFonts w:eastAsia="EUAlbertina-Bold-Identity-H" w:cs="Times New Roman"/>
          <w:sz w:val="28"/>
          <w:szCs w:val="28"/>
        </w:rPr>
        <w:t xml:space="preserve">ar </w:t>
      </w:r>
      <w:r w:rsidR="00C72D14">
        <w:rPr>
          <w:rFonts w:eastAsia="EUAlbertina-Bold-Identity-H" w:cs="Times New Roman"/>
          <w:sz w:val="28"/>
          <w:szCs w:val="28"/>
        </w:rPr>
        <w:t xml:space="preserve">pašvaldībām </w:t>
      </w:r>
      <w:r w:rsidR="00415220">
        <w:rPr>
          <w:rFonts w:eastAsia="EUAlbertina-Bold-Identity-H" w:cs="Times New Roman"/>
          <w:sz w:val="28"/>
          <w:szCs w:val="28"/>
        </w:rPr>
        <w:t xml:space="preserve">par rīcību, </w:t>
      </w:r>
      <w:r w:rsidR="00C72D14">
        <w:rPr>
          <w:rFonts w:eastAsia="EUAlbertina-Bold-Identity-H" w:cs="Times New Roman"/>
          <w:sz w:val="28"/>
          <w:szCs w:val="28"/>
        </w:rPr>
        <w:t>ka</w:t>
      </w:r>
      <w:r w:rsidR="00FD0508" w:rsidRPr="00FD0508">
        <w:rPr>
          <w:rFonts w:eastAsia="EUAlbertina-Bold-Identity-H" w:cs="Times New Roman"/>
          <w:sz w:val="28"/>
          <w:szCs w:val="28"/>
        </w:rPr>
        <w:t xml:space="preserve"> tikai gadījum</w:t>
      </w:r>
      <w:r w:rsidR="00C72D14">
        <w:rPr>
          <w:rFonts w:eastAsia="EUAlbertina-Bold-Identity-H" w:cs="Times New Roman"/>
          <w:sz w:val="28"/>
          <w:szCs w:val="28"/>
        </w:rPr>
        <w:t>os</w:t>
      </w:r>
      <w:r w:rsidR="00FD0508" w:rsidRPr="00FD0508">
        <w:rPr>
          <w:rFonts w:eastAsia="EUAlbertina-Bold-Identity-H" w:cs="Times New Roman"/>
          <w:sz w:val="28"/>
          <w:szCs w:val="28"/>
        </w:rPr>
        <w:t xml:space="preserve">, ja pašvaldības būs izdarījušas visu iespējamo, t.i. vērsušās tiesā pret komersantiem par zaudējumu piedziņu un tiesvedības ceļā zaudējumu atgūšana no komersantiem nebūs rezultatīva, FM izskatīs situāciju un iespēju sniegt priekšlikumu valdībai  MK ziņojumā un </w:t>
      </w:r>
      <w:proofErr w:type="spellStart"/>
      <w:r w:rsidR="00FD0508" w:rsidRPr="00FD0508">
        <w:rPr>
          <w:rFonts w:eastAsia="EUAlbertina-Bold-Identity-H" w:cs="Times New Roman"/>
          <w:sz w:val="28"/>
          <w:szCs w:val="28"/>
        </w:rPr>
        <w:t>protokllēmuma</w:t>
      </w:r>
      <w:proofErr w:type="spellEnd"/>
      <w:r w:rsidR="00FD0508" w:rsidRPr="00FD0508">
        <w:rPr>
          <w:rFonts w:eastAsia="EUAlbertina-Bold-Identity-H" w:cs="Times New Roman"/>
          <w:sz w:val="28"/>
          <w:szCs w:val="28"/>
        </w:rPr>
        <w:t xml:space="preserve"> projektā atbalstīt, ka pašvaldībām netiek pieprasīts atmaksāt pilnu vai daļēju korekcijas summu. </w:t>
      </w:r>
      <w:r w:rsidR="00415220">
        <w:rPr>
          <w:rFonts w:eastAsia="EUAlbertina-Bold-Identity-H" w:cs="Times New Roman"/>
          <w:sz w:val="28"/>
          <w:szCs w:val="28"/>
        </w:rPr>
        <w:t xml:space="preserve">Vienlaicīgi </w:t>
      </w:r>
      <w:r w:rsidR="00FD0508" w:rsidRPr="00FD0508">
        <w:rPr>
          <w:rFonts w:eastAsia="EUAlbertina-Bold-Identity-H" w:cs="Times New Roman"/>
          <w:sz w:val="28"/>
          <w:szCs w:val="28"/>
        </w:rPr>
        <w:t xml:space="preserve">CFLA, savukārt, </w:t>
      </w:r>
      <w:r w:rsidR="00415220">
        <w:rPr>
          <w:rFonts w:eastAsia="EUAlbertina-Bold-Identity-H" w:cs="Times New Roman"/>
          <w:sz w:val="28"/>
          <w:szCs w:val="28"/>
        </w:rPr>
        <w:t>plāno</w:t>
      </w:r>
      <w:r w:rsidR="00FD0508" w:rsidRPr="00FD0508">
        <w:rPr>
          <w:rFonts w:eastAsia="EUAlbertina-Bold-Identity-H" w:cs="Times New Roman"/>
          <w:sz w:val="28"/>
          <w:szCs w:val="28"/>
        </w:rPr>
        <w:t xml:space="preserve"> noslēgt vienošan</w:t>
      </w:r>
      <w:r w:rsidR="00C72D14">
        <w:rPr>
          <w:rFonts w:eastAsia="EUAlbertina-Bold-Identity-H" w:cs="Times New Roman"/>
          <w:sz w:val="28"/>
          <w:szCs w:val="28"/>
        </w:rPr>
        <w:t>o</w:t>
      </w:r>
      <w:r w:rsidR="00FD0508" w:rsidRPr="00FD0508">
        <w:rPr>
          <w:rFonts w:eastAsia="EUAlbertina-Bold-Identity-H" w:cs="Times New Roman"/>
          <w:sz w:val="28"/>
          <w:szCs w:val="28"/>
        </w:rPr>
        <w:t xml:space="preserve">s ar pašvaldībām par līdzekļu atmaksas termiņa pagarinājumu līdz tiesvedības rezultātam. </w:t>
      </w:r>
      <w:r w:rsidR="006A777A">
        <w:rPr>
          <w:rFonts w:eastAsia="EUAlbertina-Bold-Identity-H" w:cs="Times New Roman"/>
          <w:sz w:val="28"/>
          <w:szCs w:val="28"/>
        </w:rPr>
        <w:t xml:space="preserve">Turpmākos ziņojumos tiks sniegta informācija par jautājuma </w:t>
      </w:r>
      <w:r w:rsidR="00C72D14">
        <w:rPr>
          <w:rFonts w:eastAsia="EUAlbertina-Bold-Identity-H" w:cs="Times New Roman"/>
          <w:sz w:val="28"/>
          <w:szCs w:val="28"/>
        </w:rPr>
        <w:t>virzību</w:t>
      </w:r>
      <w:r w:rsidR="006A777A">
        <w:rPr>
          <w:rFonts w:eastAsia="EUAlbertina-Bold-Identity-H" w:cs="Times New Roman"/>
          <w:sz w:val="28"/>
          <w:szCs w:val="28"/>
        </w:rPr>
        <w:t xml:space="preserve">. </w:t>
      </w:r>
    </w:p>
    <w:p w14:paraId="5647A0A3" w14:textId="3529F1BB" w:rsidR="00612179" w:rsidRDefault="00330CF8" w:rsidP="0062255B">
      <w:pPr>
        <w:spacing w:before="120" w:after="120"/>
        <w:ind w:firstLine="720"/>
        <w:jc w:val="both"/>
        <w:rPr>
          <w:rFonts w:eastAsia="EUAlbertina-Bold-Identity-H" w:cs="Times New Roman"/>
          <w:sz w:val="28"/>
          <w:szCs w:val="28"/>
        </w:rPr>
      </w:pPr>
      <w:r w:rsidRPr="00BD5BEB">
        <w:rPr>
          <w:rFonts w:eastAsia="EUAlbertina-Bold-Identity-H" w:cs="Times New Roman"/>
          <w:sz w:val="28"/>
          <w:szCs w:val="28"/>
        </w:rPr>
        <w:t>Saskaņā ar MK noteikumu Nr.</w:t>
      </w:r>
      <w:r w:rsidR="0072211E" w:rsidRPr="00BD5BEB">
        <w:rPr>
          <w:rFonts w:eastAsia="EUAlbertina-Bold-Identity-H" w:cs="Times New Roman"/>
          <w:sz w:val="28"/>
          <w:szCs w:val="28"/>
        </w:rPr>
        <w:t> </w:t>
      </w:r>
      <w:r w:rsidRPr="00BD5BEB">
        <w:rPr>
          <w:rFonts w:eastAsia="EUAlbertina-Bold-Identity-H" w:cs="Times New Roman"/>
          <w:sz w:val="28"/>
          <w:szCs w:val="28"/>
        </w:rPr>
        <w:t>740</w:t>
      </w:r>
      <w:r w:rsidRPr="00BD5BEB">
        <w:rPr>
          <w:rStyle w:val="FootnoteReference"/>
          <w:rFonts w:eastAsia="EUAlbertina-Bold-Identity-H" w:cs="Times New Roman"/>
          <w:sz w:val="28"/>
          <w:szCs w:val="28"/>
        </w:rPr>
        <w:footnoteReference w:id="98"/>
      </w:r>
      <w:r w:rsidRPr="00BD5BEB">
        <w:rPr>
          <w:rFonts w:eastAsia="EUAlbertina-Bold-Identity-H" w:cs="Times New Roman"/>
          <w:sz w:val="28"/>
          <w:szCs w:val="28"/>
        </w:rPr>
        <w:t xml:space="preserve"> 23.</w:t>
      </w:r>
      <w:r w:rsidR="003E3524">
        <w:rPr>
          <w:rFonts w:eastAsia="EUAlbertina-Bold-Identity-H" w:cs="Times New Roman"/>
          <w:sz w:val="28"/>
          <w:szCs w:val="28"/>
        </w:rPr>
        <w:t> </w:t>
      </w:r>
      <w:r w:rsidRPr="00BD5BEB">
        <w:rPr>
          <w:rFonts w:eastAsia="EUAlbertina-Bold-Identity-H" w:cs="Times New Roman"/>
          <w:sz w:val="28"/>
          <w:szCs w:val="28"/>
        </w:rPr>
        <w:t xml:space="preserve">punktu VI informē par </w:t>
      </w:r>
      <w:r w:rsidR="005026FB">
        <w:rPr>
          <w:rFonts w:eastAsia="EUAlbertina-Bold-Identity-H" w:cs="Times New Roman"/>
          <w:sz w:val="28"/>
          <w:szCs w:val="28"/>
        </w:rPr>
        <w:t>sekojošo</w:t>
      </w:r>
      <w:r w:rsidR="005026FB" w:rsidRPr="00BD5BEB">
        <w:rPr>
          <w:rFonts w:eastAsia="EUAlbertina-Bold-Identity-H" w:cs="Times New Roman"/>
          <w:sz w:val="28"/>
          <w:szCs w:val="28"/>
        </w:rPr>
        <w:t xml:space="preserve"> gadījum</w:t>
      </w:r>
      <w:r w:rsidR="005026FB">
        <w:rPr>
          <w:rFonts w:eastAsia="EUAlbertina-Bold-Identity-H" w:cs="Times New Roman"/>
          <w:sz w:val="28"/>
          <w:szCs w:val="28"/>
        </w:rPr>
        <w:t>u</w:t>
      </w:r>
      <w:r w:rsidRPr="00BD5BEB">
        <w:rPr>
          <w:rFonts w:eastAsia="EUAlbertina-Bold-Identity-H" w:cs="Times New Roman"/>
          <w:sz w:val="28"/>
          <w:szCs w:val="28"/>
        </w:rPr>
        <w:t xml:space="preserve">, </w:t>
      </w:r>
      <w:r w:rsidR="005026FB" w:rsidRPr="00BD5BEB">
        <w:rPr>
          <w:rFonts w:eastAsia="EUAlbertina-Bold-Identity-H" w:cs="Times New Roman"/>
          <w:sz w:val="28"/>
          <w:szCs w:val="28"/>
        </w:rPr>
        <w:t>kur</w:t>
      </w:r>
      <w:r w:rsidR="005026FB">
        <w:rPr>
          <w:rFonts w:eastAsia="EUAlbertina-Bold-Identity-H" w:cs="Times New Roman"/>
          <w:sz w:val="28"/>
          <w:szCs w:val="28"/>
        </w:rPr>
        <w:t>ā</w:t>
      </w:r>
      <w:r w:rsidR="005026FB" w:rsidRPr="00BD5BEB">
        <w:rPr>
          <w:rFonts w:eastAsia="EUAlbertina-Bold-Identity-H" w:cs="Times New Roman"/>
          <w:sz w:val="28"/>
          <w:szCs w:val="28"/>
        </w:rPr>
        <w:t xml:space="preserve"> </w:t>
      </w:r>
      <w:r w:rsidRPr="00BD5BEB">
        <w:rPr>
          <w:rFonts w:eastAsia="EUAlbertina-Bold-Identity-H" w:cs="Times New Roman"/>
          <w:sz w:val="28"/>
          <w:szCs w:val="28"/>
        </w:rPr>
        <w:t>nav iespējams atgūt neatbilstoši veiktos izdevumus</w:t>
      </w:r>
      <w:r w:rsidR="005026FB">
        <w:rPr>
          <w:rFonts w:eastAsia="EUAlbertina-Bold-Identity-H" w:cs="Times New Roman"/>
          <w:sz w:val="28"/>
          <w:szCs w:val="28"/>
        </w:rPr>
        <w:t xml:space="preserve">. </w:t>
      </w:r>
      <w:r w:rsidR="00612179" w:rsidRPr="00BD5BEB">
        <w:rPr>
          <w:rFonts w:eastAsia="EUAlbertina-Bold-Identity-H" w:cs="Times New Roman"/>
          <w:sz w:val="28"/>
          <w:szCs w:val="28"/>
        </w:rPr>
        <w:t>Pamatojoties uz R</w:t>
      </w:r>
      <w:r w:rsidR="00177745" w:rsidRPr="00BD5BEB">
        <w:rPr>
          <w:rFonts w:eastAsia="EUAlbertina-Bold-Identity-H" w:cs="Times New Roman"/>
          <w:sz w:val="28"/>
          <w:szCs w:val="28"/>
        </w:rPr>
        <w:t>I</w:t>
      </w:r>
      <w:r w:rsidR="00612179" w:rsidRPr="00BD5BEB">
        <w:rPr>
          <w:rFonts w:eastAsia="EUAlbertina-Bold-Identity-H" w:cs="Times New Roman"/>
          <w:sz w:val="28"/>
          <w:szCs w:val="28"/>
        </w:rPr>
        <w:t xml:space="preserve"> ziņojumu</w:t>
      </w:r>
      <w:r w:rsidR="00AA1D11" w:rsidRPr="00BD5BEB">
        <w:rPr>
          <w:rFonts w:eastAsia="EUAlbertina-Bold-Identity-H" w:cs="Times New Roman"/>
          <w:sz w:val="28"/>
          <w:szCs w:val="28"/>
        </w:rPr>
        <w:t>,</w:t>
      </w:r>
      <w:r w:rsidR="00612179" w:rsidRPr="00BD5BEB">
        <w:rPr>
          <w:rFonts w:eastAsia="EUAlbertina-Bold-Identity-H" w:cs="Times New Roman"/>
          <w:sz w:val="28"/>
          <w:szCs w:val="28"/>
        </w:rPr>
        <w:t xml:space="preserve"> VIAA 2014.</w:t>
      </w:r>
      <w:r w:rsidR="00AA1A78" w:rsidRPr="00BD5BEB">
        <w:rPr>
          <w:rFonts w:eastAsia="EUAlbertina-Bold-Identity-H" w:cs="Times New Roman"/>
          <w:sz w:val="28"/>
          <w:szCs w:val="28"/>
        </w:rPr>
        <w:t> </w:t>
      </w:r>
      <w:r w:rsidR="00612179" w:rsidRPr="00BD5BEB">
        <w:rPr>
          <w:rFonts w:eastAsia="EUAlbertina-Bold-Identity-H" w:cs="Times New Roman"/>
          <w:sz w:val="28"/>
          <w:szCs w:val="28"/>
        </w:rPr>
        <w:t>gada 16.</w:t>
      </w:r>
      <w:r w:rsidR="00AA1A78" w:rsidRPr="00BD5BEB">
        <w:rPr>
          <w:rFonts w:eastAsia="EUAlbertina-Bold-Identity-H" w:cs="Times New Roman"/>
          <w:sz w:val="28"/>
          <w:szCs w:val="28"/>
        </w:rPr>
        <w:t> </w:t>
      </w:r>
      <w:r w:rsidR="007F3BF6" w:rsidRPr="00BD5BEB">
        <w:rPr>
          <w:rFonts w:eastAsia="EUAlbertina-Bold-Identity-H" w:cs="Times New Roman"/>
          <w:sz w:val="28"/>
          <w:szCs w:val="28"/>
        </w:rPr>
        <w:t>janvāri</w:t>
      </w:r>
      <w:r w:rsidR="00612179" w:rsidRPr="00BD5BEB">
        <w:rPr>
          <w:rFonts w:eastAsia="EUAlbertina-Bold-Identity-H" w:cs="Times New Roman"/>
          <w:sz w:val="28"/>
          <w:szCs w:val="28"/>
        </w:rPr>
        <w:t xml:space="preserve"> pieņēma lēmumu par neatbilstoši </w:t>
      </w:r>
      <w:r w:rsidR="00612179" w:rsidRPr="00BD5BEB">
        <w:rPr>
          <w:rFonts w:eastAsia="EUAlbertina-Bold-Identity-H" w:cs="Times New Roman"/>
          <w:sz w:val="28"/>
          <w:szCs w:val="28"/>
        </w:rPr>
        <w:lastRenderedPageBreak/>
        <w:t>veiktiem izdevum</w:t>
      </w:r>
      <w:r w:rsidR="00AA1D11" w:rsidRPr="00BD5BEB">
        <w:rPr>
          <w:rFonts w:eastAsia="EUAlbertina-Bold-Identity-H" w:cs="Times New Roman"/>
          <w:sz w:val="28"/>
          <w:szCs w:val="28"/>
        </w:rPr>
        <w:t>iem</w:t>
      </w:r>
      <w:r w:rsidR="00612179" w:rsidRPr="00BD5BEB">
        <w:rPr>
          <w:rFonts w:eastAsia="EUAlbertina-Bold-Identity-H" w:cs="Times New Roman"/>
          <w:sz w:val="28"/>
          <w:szCs w:val="28"/>
        </w:rPr>
        <w:t xml:space="preserve"> projektā “</w:t>
      </w:r>
      <w:r w:rsidR="00612179" w:rsidRPr="00BD5BEB">
        <w:rPr>
          <w:rFonts w:eastAsia="EUAlbertina-Bold-Identity-H" w:cs="Times New Roman"/>
          <w:i/>
          <w:sz w:val="28"/>
          <w:szCs w:val="28"/>
        </w:rPr>
        <w:t>Latvijas Kultūras akadēmijas Teātra un Audiovizuālās mākslas katedras Teātra studiju bāzes ēkas rekonstrukcija un pieejamības nodrošināšana personām ar funkcionāliem traucējumiem</w:t>
      </w:r>
      <w:r w:rsidR="00612179" w:rsidRPr="00BD5BEB">
        <w:rPr>
          <w:rFonts w:eastAsia="EUAlbertina-Bold-Identity-H" w:cs="Times New Roman"/>
          <w:sz w:val="28"/>
          <w:szCs w:val="28"/>
        </w:rPr>
        <w:t>”, piemērojot finanšu korekciju 10</w:t>
      </w:r>
      <w:r w:rsidR="00AA1A78" w:rsidRPr="00BD5BEB">
        <w:rPr>
          <w:rFonts w:eastAsia="EUAlbertina-Bold-Identity-H" w:cs="Times New Roman"/>
          <w:sz w:val="28"/>
          <w:szCs w:val="28"/>
        </w:rPr>
        <w:t> </w:t>
      </w:r>
      <w:r w:rsidR="00612179" w:rsidRPr="00BD5BEB">
        <w:rPr>
          <w:rFonts w:eastAsia="EUAlbertina-Bold-Identity-H" w:cs="Times New Roman"/>
          <w:sz w:val="28"/>
          <w:szCs w:val="28"/>
        </w:rPr>
        <w:t>% apmērā</w:t>
      </w:r>
      <w:r w:rsidR="003E3524">
        <w:rPr>
          <w:rFonts w:eastAsia="EUAlbertina-Bold-Identity-H" w:cs="Times New Roman"/>
          <w:sz w:val="28"/>
          <w:szCs w:val="28"/>
        </w:rPr>
        <w:t> </w:t>
      </w:r>
      <w:r w:rsidR="00AA1A78" w:rsidRPr="00BD5BEB">
        <w:rPr>
          <w:rFonts w:eastAsia="EUAlbertina-Bold-Identity-H" w:cs="Times New Roman"/>
          <w:sz w:val="28"/>
          <w:szCs w:val="28"/>
        </w:rPr>
        <w:t>–</w:t>
      </w:r>
      <w:r w:rsidR="003E3524">
        <w:rPr>
          <w:rFonts w:eastAsia="EUAlbertina-Bold-Identity-H" w:cs="Times New Roman"/>
          <w:sz w:val="28"/>
          <w:szCs w:val="28"/>
        </w:rPr>
        <w:t> </w:t>
      </w:r>
      <w:r w:rsidR="00612179" w:rsidRPr="00BD5BEB">
        <w:rPr>
          <w:rFonts w:eastAsia="EUAlbertina-Bold-Identity-H" w:cs="Times New Roman"/>
          <w:sz w:val="28"/>
          <w:szCs w:val="28"/>
        </w:rPr>
        <w:t>147</w:t>
      </w:r>
      <w:r w:rsidR="00AA1A78" w:rsidRPr="00BD5BEB">
        <w:rPr>
          <w:rFonts w:eastAsia="EUAlbertina-Bold-Identity-H" w:cs="Times New Roman"/>
          <w:sz w:val="28"/>
          <w:szCs w:val="28"/>
        </w:rPr>
        <w:t> </w:t>
      </w:r>
      <w:r w:rsidR="00612179" w:rsidRPr="00BD5BEB">
        <w:rPr>
          <w:rFonts w:eastAsia="EUAlbertina-Bold-Identity-H" w:cs="Times New Roman"/>
          <w:sz w:val="28"/>
          <w:szCs w:val="28"/>
        </w:rPr>
        <w:t>837,42</w:t>
      </w:r>
      <w:r w:rsidR="00AA1A78" w:rsidRPr="00BD5BEB">
        <w:rPr>
          <w:rFonts w:eastAsia="EUAlbertina-Bold-Identity-H" w:cs="Times New Roman"/>
          <w:sz w:val="28"/>
          <w:szCs w:val="28"/>
        </w:rPr>
        <w:t> </w:t>
      </w:r>
      <w:r w:rsidR="00612179" w:rsidRPr="00BD5BEB">
        <w:rPr>
          <w:rFonts w:eastAsia="EUAlbertina-Bold-Identity-H" w:cs="Times New Roman"/>
          <w:i/>
          <w:sz w:val="28"/>
          <w:szCs w:val="28"/>
        </w:rPr>
        <w:t>euro</w:t>
      </w:r>
      <w:r w:rsidR="00612179" w:rsidRPr="00BD5BEB">
        <w:rPr>
          <w:rFonts w:eastAsia="EUAlbertina-Bold-Identity-H" w:cs="Times New Roman"/>
          <w:sz w:val="28"/>
          <w:szCs w:val="28"/>
        </w:rPr>
        <w:t xml:space="preserve"> (t.sk. ES finansējums 125</w:t>
      </w:r>
      <w:r w:rsidR="00AA1A78" w:rsidRPr="00BD5BEB">
        <w:rPr>
          <w:rFonts w:eastAsia="EUAlbertina-Bold-Identity-H" w:cs="Times New Roman"/>
          <w:sz w:val="28"/>
          <w:szCs w:val="28"/>
        </w:rPr>
        <w:t> </w:t>
      </w:r>
      <w:r w:rsidR="00612179" w:rsidRPr="00BD5BEB">
        <w:rPr>
          <w:rFonts w:eastAsia="EUAlbertina-Bold-Identity-H" w:cs="Times New Roman"/>
          <w:sz w:val="28"/>
          <w:szCs w:val="28"/>
        </w:rPr>
        <w:t>661</w:t>
      </w:r>
      <w:r w:rsidR="00E65CAF">
        <w:rPr>
          <w:rFonts w:eastAsia="EUAlbertina-Bold-Identity-H" w:cs="Times New Roman"/>
          <w:sz w:val="28"/>
          <w:szCs w:val="28"/>
        </w:rPr>
        <w:t>,</w:t>
      </w:r>
      <w:r w:rsidR="00612179" w:rsidRPr="00BD5BEB">
        <w:rPr>
          <w:rFonts w:eastAsia="EUAlbertina-Bold-Identity-H" w:cs="Times New Roman"/>
          <w:sz w:val="28"/>
          <w:szCs w:val="28"/>
        </w:rPr>
        <w:t>80</w:t>
      </w:r>
      <w:r w:rsidR="00AA1A78" w:rsidRPr="00BD5BEB">
        <w:rPr>
          <w:rFonts w:eastAsia="EUAlbertina-Bold-Identity-H" w:cs="Times New Roman"/>
          <w:sz w:val="28"/>
          <w:szCs w:val="28"/>
        </w:rPr>
        <w:t> </w:t>
      </w:r>
      <w:r w:rsidR="00612179" w:rsidRPr="00BD5BEB">
        <w:rPr>
          <w:rFonts w:eastAsia="EUAlbertina-Bold-Identity-H" w:cs="Times New Roman"/>
          <w:i/>
          <w:sz w:val="28"/>
          <w:szCs w:val="28"/>
        </w:rPr>
        <w:t>euro</w:t>
      </w:r>
      <w:r w:rsidR="00612179" w:rsidRPr="00BD5BEB">
        <w:rPr>
          <w:rFonts w:eastAsia="EUAlbertina-Bold-Identity-H" w:cs="Times New Roman"/>
          <w:sz w:val="28"/>
          <w:szCs w:val="28"/>
        </w:rPr>
        <w:t>, valsts budžeta daļa 10</w:t>
      </w:r>
      <w:r w:rsidR="00AA1A78" w:rsidRPr="00BD5BEB">
        <w:rPr>
          <w:rFonts w:eastAsia="EUAlbertina-Bold-Identity-H" w:cs="Times New Roman"/>
          <w:sz w:val="28"/>
          <w:szCs w:val="28"/>
        </w:rPr>
        <w:t> </w:t>
      </w:r>
      <w:r w:rsidR="00612179" w:rsidRPr="00BD5BEB">
        <w:rPr>
          <w:rFonts w:eastAsia="EUAlbertina-Bold-Identity-H" w:cs="Times New Roman"/>
          <w:sz w:val="28"/>
          <w:szCs w:val="28"/>
        </w:rPr>
        <w:t>599</w:t>
      </w:r>
      <w:r w:rsidR="00E65CAF">
        <w:rPr>
          <w:rFonts w:eastAsia="EUAlbertina-Bold-Identity-H" w:cs="Times New Roman"/>
          <w:sz w:val="28"/>
          <w:szCs w:val="28"/>
        </w:rPr>
        <w:t>,</w:t>
      </w:r>
      <w:r w:rsidR="00612179" w:rsidRPr="00BD5BEB">
        <w:rPr>
          <w:rFonts w:eastAsia="EUAlbertina-Bold-Identity-H" w:cs="Times New Roman"/>
          <w:sz w:val="28"/>
          <w:szCs w:val="28"/>
        </w:rPr>
        <w:t>94</w:t>
      </w:r>
      <w:r w:rsidR="00AA1A78" w:rsidRPr="00BD5BEB">
        <w:rPr>
          <w:rFonts w:eastAsia="EUAlbertina-Bold-Identity-H" w:cs="Times New Roman"/>
          <w:sz w:val="28"/>
          <w:szCs w:val="28"/>
        </w:rPr>
        <w:t> </w:t>
      </w:r>
      <w:r w:rsidR="00612179" w:rsidRPr="00BD5BEB">
        <w:rPr>
          <w:rFonts w:eastAsia="EUAlbertina-Bold-Identity-H" w:cs="Times New Roman"/>
          <w:i/>
          <w:sz w:val="28"/>
          <w:szCs w:val="28"/>
        </w:rPr>
        <w:t>euro</w:t>
      </w:r>
      <w:r w:rsidR="00612179" w:rsidRPr="00BD5BEB">
        <w:rPr>
          <w:rFonts w:eastAsia="EUAlbertina-Bold-Identity-H" w:cs="Times New Roman"/>
          <w:sz w:val="28"/>
          <w:szCs w:val="28"/>
        </w:rPr>
        <w:t>, cits publiskais finansējums 11</w:t>
      </w:r>
      <w:r w:rsidR="00AA1A78" w:rsidRPr="00BD5BEB">
        <w:rPr>
          <w:rFonts w:eastAsia="EUAlbertina-Bold-Identity-H" w:cs="Times New Roman"/>
          <w:sz w:val="28"/>
          <w:szCs w:val="28"/>
        </w:rPr>
        <w:t> </w:t>
      </w:r>
      <w:r w:rsidR="00612179" w:rsidRPr="00BD5BEB">
        <w:rPr>
          <w:rFonts w:eastAsia="EUAlbertina-Bold-Identity-H" w:cs="Times New Roman"/>
          <w:sz w:val="28"/>
          <w:szCs w:val="28"/>
        </w:rPr>
        <w:t>575</w:t>
      </w:r>
      <w:r w:rsidR="00E65CAF">
        <w:rPr>
          <w:rFonts w:eastAsia="EUAlbertina-Bold-Identity-H" w:cs="Times New Roman"/>
          <w:sz w:val="28"/>
          <w:szCs w:val="28"/>
        </w:rPr>
        <w:t>,</w:t>
      </w:r>
      <w:r w:rsidR="00612179" w:rsidRPr="00BD5BEB">
        <w:rPr>
          <w:rFonts w:eastAsia="EUAlbertina-Bold-Identity-H" w:cs="Times New Roman"/>
          <w:sz w:val="28"/>
          <w:szCs w:val="28"/>
        </w:rPr>
        <w:t>68</w:t>
      </w:r>
      <w:r w:rsidR="00AA1A78" w:rsidRPr="00BD5BEB">
        <w:rPr>
          <w:rFonts w:eastAsia="EUAlbertina-Bold-Identity-H" w:cs="Times New Roman"/>
          <w:sz w:val="28"/>
          <w:szCs w:val="28"/>
        </w:rPr>
        <w:t> </w:t>
      </w:r>
      <w:r w:rsidR="00612179" w:rsidRPr="00BD5BEB">
        <w:rPr>
          <w:rFonts w:eastAsia="EUAlbertina-Bold-Identity-H" w:cs="Times New Roman"/>
          <w:i/>
          <w:sz w:val="28"/>
          <w:szCs w:val="28"/>
        </w:rPr>
        <w:t>euro</w:t>
      </w:r>
      <w:r w:rsidR="00612179" w:rsidRPr="00BD5BEB">
        <w:rPr>
          <w:rFonts w:eastAsia="EUAlbertina-Bold-Identity-H" w:cs="Times New Roman"/>
          <w:sz w:val="28"/>
          <w:szCs w:val="28"/>
        </w:rPr>
        <w:t>) no būvniecības līguma kopējās attiecinām</w:t>
      </w:r>
      <w:r w:rsidR="006C6526" w:rsidRPr="00BD5BEB">
        <w:rPr>
          <w:rFonts w:eastAsia="EUAlbertina-Bold-Identity-H" w:cs="Times New Roman"/>
          <w:sz w:val="28"/>
          <w:szCs w:val="28"/>
        </w:rPr>
        <w:t>ā</w:t>
      </w:r>
      <w:r w:rsidR="00612179" w:rsidRPr="00BD5BEB">
        <w:rPr>
          <w:rFonts w:eastAsia="EUAlbertina-Bold-Identity-H" w:cs="Times New Roman"/>
          <w:sz w:val="28"/>
          <w:szCs w:val="28"/>
        </w:rPr>
        <w:t>s summas, ņemot vērā konstatēt</w:t>
      </w:r>
      <w:r w:rsidR="006C6526" w:rsidRPr="00BD5BEB">
        <w:rPr>
          <w:rFonts w:eastAsia="EUAlbertina-Bold-Identity-H" w:cs="Times New Roman"/>
          <w:sz w:val="28"/>
          <w:szCs w:val="28"/>
        </w:rPr>
        <w:t>o</w:t>
      </w:r>
      <w:r w:rsidR="00612179" w:rsidRPr="00BD5BEB">
        <w:rPr>
          <w:rFonts w:eastAsia="EUAlbertina-Bold-Identity-H" w:cs="Times New Roman"/>
          <w:sz w:val="28"/>
          <w:szCs w:val="28"/>
        </w:rPr>
        <w:t>s būtiskus līguma grozījumus. L</w:t>
      </w:r>
      <w:r w:rsidR="003E3524">
        <w:rPr>
          <w:rFonts w:eastAsia="EUAlbertina-Bold-Identity-H" w:cs="Times New Roman"/>
          <w:sz w:val="28"/>
          <w:szCs w:val="28"/>
        </w:rPr>
        <w:t>KA</w:t>
      </w:r>
      <w:r w:rsidR="00612179" w:rsidRPr="00BD5BEB">
        <w:rPr>
          <w:rFonts w:eastAsia="EUAlbertina-Bold-Identity-H" w:cs="Times New Roman"/>
          <w:sz w:val="28"/>
          <w:szCs w:val="28"/>
        </w:rPr>
        <w:t xml:space="preserve"> nepiekrīt VIAA lēmumam pēc būtības un ir sniegusi VIAA argumentus par korekcijas nepiemērošanu, papildus norādot, ka L</w:t>
      </w:r>
      <w:r w:rsidR="003E3524">
        <w:rPr>
          <w:rFonts w:eastAsia="EUAlbertina-Bold-Identity-H" w:cs="Times New Roman"/>
          <w:sz w:val="28"/>
          <w:szCs w:val="28"/>
        </w:rPr>
        <w:t>KA</w:t>
      </w:r>
      <w:r w:rsidR="00612179" w:rsidRPr="00BD5BEB">
        <w:rPr>
          <w:rFonts w:eastAsia="EUAlbertina-Bold-Identity-H" w:cs="Times New Roman"/>
          <w:sz w:val="28"/>
          <w:szCs w:val="28"/>
        </w:rPr>
        <w:t xml:space="preserve"> nav finansiālu iespēju atmaksā</w:t>
      </w:r>
      <w:r w:rsidR="006C6526" w:rsidRPr="00BD5BEB">
        <w:rPr>
          <w:rFonts w:eastAsia="EUAlbertina-Bold-Identity-H" w:cs="Times New Roman"/>
          <w:sz w:val="28"/>
          <w:szCs w:val="28"/>
        </w:rPr>
        <w:t>t</w:t>
      </w:r>
      <w:r w:rsidR="00612179" w:rsidRPr="00BD5BEB">
        <w:rPr>
          <w:rFonts w:eastAsia="EUAlbertina-Bold-Identity-H" w:cs="Times New Roman"/>
          <w:sz w:val="28"/>
          <w:szCs w:val="28"/>
        </w:rPr>
        <w:t xml:space="preserve"> neatbilstoš</w:t>
      </w:r>
      <w:r w:rsidR="006C6526" w:rsidRPr="00BD5BEB">
        <w:rPr>
          <w:rFonts w:eastAsia="EUAlbertina-Bold-Identity-H" w:cs="Times New Roman"/>
          <w:sz w:val="28"/>
          <w:szCs w:val="28"/>
        </w:rPr>
        <w:t>o</w:t>
      </w:r>
      <w:r w:rsidR="00612179" w:rsidRPr="00BD5BEB">
        <w:rPr>
          <w:rFonts w:eastAsia="EUAlbertina-Bold-Identity-H" w:cs="Times New Roman"/>
          <w:sz w:val="28"/>
          <w:szCs w:val="28"/>
        </w:rPr>
        <w:t xml:space="preserve"> izdevumu</w:t>
      </w:r>
      <w:r w:rsidR="006C6526" w:rsidRPr="00BD5BEB">
        <w:rPr>
          <w:rFonts w:eastAsia="EUAlbertina-Bold-Identity-H" w:cs="Times New Roman"/>
          <w:sz w:val="28"/>
          <w:szCs w:val="28"/>
        </w:rPr>
        <w:t xml:space="preserve"> </w:t>
      </w:r>
      <w:r w:rsidR="00612179" w:rsidRPr="00BD5BEB">
        <w:rPr>
          <w:rFonts w:eastAsia="EUAlbertina-Bold-Identity-H" w:cs="Times New Roman"/>
          <w:sz w:val="28"/>
          <w:szCs w:val="28"/>
        </w:rPr>
        <w:t>s</w:t>
      </w:r>
      <w:r w:rsidR="006C6526" w:rsidRPr="00BD5BEB">
        <w:rPr>
          <w:rFonts w:eastAsia="EUAlbertina-Bold-Identity-H" w:cs="Times New Roman"/>
          <w:sz w:val="28"/>
          <w:szCs w:val="28"/>
        </w:rPr>
        <w:t>ummu</w:t>
      </w:r>
      <w:r w:rsidR="00612179" w:rsidRPr="00BD5BEB">
        <w:rPr>
          <w:rFonts w:eastAsia="EUAlbertina-Bold-Identity-H" w:cs="Times New Roman"/>
          <w:sz w:val="28"/>
          <w:szCs w:val="28"/>
        </w:rPr>
        <w:t>. VIAA</w:t>
      </w:r>
      <w:r w:rsidR="00FA7878" w:rsidRPr="00BD5BEB">
        <w:rPr>
          <w:rFonts w:eastAsia="EUAlbertina-Bold-Identity-H" w:cs="Times New Roman"/>
          <w:sz w:val="28"/>
          <w:szCs w:val="28"/>
        </w:rPr>
        <w:t xml:space="preserve">, </w:t>
      </w:r>
      <w:r w:rsidR="00612179" w:rsidRPr="00BD5BEB">
        <w:rPr>
          <w:rFonts w:eastAsia="EUAlbertina-Bold-Identity-H" w:cs="Times New Roman"/>
          <w:sz w:val="28"/>
          <w:szCs w:val="28"/>
        </w:rPr>
        <w:t>izvērtēj</w:t>
      </w:r>
      <w:r w:rsidR="00FA7878" w:rsidRPr="00BD5BEB">
        <w:rPr>
          <w:rFonts w:eastAsia="EUAlbertina-Bold-Identity-H" w:cs="Times New Roman"/>
          <w:sz w:val="28"/>
          <w:szCs w:val="28"/>
        </w:rPr>
        <w:t>ot</w:t>
      </w:r>
      <w:r w:rsidR="00612179" w:rsidRPr="00BD5BEB">
        <w:rPr>
          <w:rFonts w:eastAsia="EUAlbertina-Bold-Identity-H" w:cs="Times New Roman"/>
          <w:sz w:val="28"/>
          <w:szCs w:val="28"/>
        </w:rPr>
        <w:t xml:space="preserve"> </w:t>
      </w:r>
      <w:r w:rsidR="006C6526" w:rsidRPr="00BD5BEB">
        <w:rPr>
          <w:rFonts w:eastAsia="EUAlbertina-Bold-Identity-H" w:cs="Times New Roman"/>
          <w:sz w:val="28"/>
          <w:szCs w:val="28"/>
        </w:rPr>
        <w:t>L</w:t>
      </w:r>
      <w:r w:rsidR="003E3524">
        <w:rPr>
          <w:rFonts w:eastAsia="EUAlbertina-Bold-Identity-H" w:cs="Times New Roman"/>
          <w:sz w:val="28"/>
          <w:szCs w:val="28"/>
        </w:rPr>
        <w:t>KA</w:t>
      </w:r>
      <w:r w:rsidR="006C6526" w:rsidRPr="00BD5BEB">
        <w:rPr>
          <w:rFonts w:eastAsia="EUAlbertina-Bold-Identity-H" w:cs="Times New Roman"/>
          <w:sz w:val="28"/>
          <w:szCs w:val="28"/>
        </w:rPr>
        <w:t xml:space="preserve"> argumentus</w:t>
      </w:r>
      <w:r w:rsidR="00FA7878" w:rsidRPr="00BD5BEB">
        <w:rPr>
          <w:rFonts w:eastAsia="EUAlbertina-Bold-Identity-H" w:cs="Times New Roman"/>
          <w:sz w:val="28"/>
          <w:szCs w:val="28"/>
        </w:rPr>
        <w:t xml:space="preserve">, </w:t>
      </w:r>
      <w:r w:rsidR="006C6526" w:rsidRPr="00BD5BEB">
        <w:rPr>
          <w:rFonts w:eastAsia="EUAlbertina-Bold-Identity-H" w:cs="Times New Roman"/>
          <w:sz w:val="28"/>
          <w:szCs w:val="28"/>
        </w:rPr>
        <w:t xml:space="preserve">secina, ka nepastāv </w:t>
      </w:r>
      <w:r w:rsidR="00612179" w:rsidRPr="00BD5BEB">
        <w:rPr>
          <w:rFonts w:eastAsia="EUAlbertina-Bold-Identity-H" w:cs="Times New Roman"/>
          <w:sz w:val="28"/>
          <w:szCs w:val="28"/>
        </w:rPr>
        <w:t>jaun</w:t>
      </w:r>
      <w:r w:rsidR="006C6526" w:rsidRPr="00BD5BEB">
        <w:rPr>
          <w:rFonts w:eastAsia="EUAlbertina-Bold-Identity-H" w:cs="Times New Roman"/>
          <w:sz w:val="28"/>
          <w:szCs w:val="28"/>
        </w:rPr>
        <w:t>i</w:t>
      </w:r>
      <w:r w:rsidR="00612179" w:rsidRPr="00BD5BEB">
        <w:rPr>
          <w:rFonts w:eastAsia="EUAlbertina-Bold-Identity-H" w:cs="Times New Roman"/>
          <w:sz w:val="28"/>
          <w:szCs w:val="28"/>
        </w:rPr>
        <w:t xml:space="preserve"> apstākļ</w:t>
      </w:r>
      <w:r w:rsidR="006C6526" w:rsidRPr="00BD5BEB">
        <w:rPr>
          <w:rFonts w:eastAsia="EUAlbertina-Bold-Identity-H" w:cs="Times New Roman"/>
          <w:sz w:val="28"/>
          <w:szCs w:val="28"/>
        </w:rPr>
        <w:t>i</w:t>
      </w:r>
      <w:r w:rsidR="00612179" w:rsidRPr="00BD5BEB">
        <w:rPr>
          <w:rFonts w:eastAsia="EUAlbertina-Bold-Identity-H" w:cs="Times New Roman"/>
          <w:sz w:val="28"/>
          <w:szCs w:val="28"/>
        </w:rPr>
        <w:t xml:space="preserve">, kas </w:t>
      </w:r>
      <w:r w:rsidR="00FA7878" w:rsidRPr="00BD5BEB">
        <w:rPr>
          <w:rFonts w:eastAsia="EUAlbertina-Bold-Identity-H" w:cs="Times New Roman"/>
          <w:sz w:val="28"/>
          <w:szCs w:val="28"/>
        </w:rPr>
        <w:t>varētu</w:t>
      </w:r>
      <w:r w:rsidR="00612179" w:rsidRPr="00BD5BEB">
        <w:rPr>
          <w:rFonts w:eastAsia="EUAlbertina-Bold-Identity-H" w:cs="Times New Roman"/>
          <w:sz w:val="28"/>
          <w:szCs w:val="28"/>
        </w:rPr>
        <w:t xml:space="preserve"> mainīt pieņemto neatbilstības lēmumu</w:t>
      </w:r>
      <w:r w:rsidR="006C6526" w:rsidRPr="00BD5BEB">
        <w:rPr>
          <w:rFonts w:eastAsia="EUAlbertina-Bold-Identity-H" w:cs="Times New Roman"/>
          <w:sz w:val="28"/>
          <w:szCs w:val="28"/>
        </w:rPr>
        <w:t>, taču, balstoties uz K</w:t>
      </w:r>
      <w:r w:rsidR="00177745" w:rsidRPr="00BD5BEB">
        <w:rPr>
          <w:rFonts w:eastAsia="EUAlbertina-Bold-Identity-H" w:cs="Times New Roman"/>
          <w:sz w:val="28"/>
          <w:szCs w:val="28"/>
        </w:rPr>
        <w:t>M</w:t>
      </w:r>
      <w:r w:rsidR="006C6526" w:rsidRPr="00BD5BEB">
        <w:rPr>
          <w:rFonts w:eastAsia="EUAlbertina-Bold-Identity-H" w:cs="Times New Roman"/>
          <w:sz w:val="28"/>
          <w:szCs w:val="28"/>
        </w:rPr>
        <w:t xml:space="preserve"> sniegto informāciju un sanāksmē</w:t>
      </w:r>
      <w:r w:rsidR="006C6526" w:rsidRPr="00BD5BEB">
        <w:rPr>
          <w:rStyle w:val="FootnoteReference"/>
          <w:rFonts w:eastAsia="EUAlbertina-Bold-Identity-H" w:cs="Times New Roman"/>
          <w:sz w:val="28"/>
          <w:szCs w:val="28"/>
        </w:rPr>
        <w:footnoteReference w:id="99"/>
      </w:r>
      <w:r w:rsidR="006C6526" w:rsidRPr="00BD5BEB">
        <w:rPr>
          <w:rFonts w:eastAsia="EUAlbertina-Bold-Identity-H" w:cs="Times New Roman"/>
          <w:sz w:val="28"/>
          <w:szCs w:val="28"/>
        </w:rPr>
        <w:t xml:space="preserve"> pārrunāto</w:t>
      </w:r>
      <w:r w:rsidR="00AE4A59">
        <w:rPr>
          <w:rFonts w:eastAsia="EUAlbertina-Bold-Identity-H" w:cs="Times New Roman"/>
          <w:sz w:val="28"/>
          <w:szCs w:val="28"/>
        </w:rPr>
        <w:t xml:space="preserve">, tiek rosināts </w:t>
      </w:r>
      <w:r w:rsidR="006C6526" w:rsidRPr="00BD5BEB">
        <w:rPr>
          <w:rFonts w:eastAsia="EUAlbertina-Bold-Identity-H" w:cs="Times New Roman"/>
          <w:sz w:val="28"/>
          <w:szCs w:val="28"/>
        </w:rPr>
        <w:t>atgūstamo</w:t>
      </w:r>
      <w:r w:rsidR="00AE4A59">
        <w:rPr>
          <w:rFonts w:eastAsia="EUAlbertina-Bold-Identity-H" w:cs="Times New Roman"/>
          <w:sz w:val="28"/>
          <w:szCs w:val="28"/>
        </w:rPr>
        <w:t>s</w:t>
      </w:r>
      <w:r w:rsidR="006C6526" w:rsidRPr="00BD5BEB">
        <w:rPr>
          <w:rFonts w:eastAsia="EUAlbertina-Bold-Identity-H" w:cs="Times New Roman"/>
          <w:sz w:val="28"/>
          <w:szCs w:val="28"/>
        </w:rPr>
        <w:t xml:space="preserve"> līdzekļu</w:t>
      </w:r>
      <w:r w:rsidR="00AE4A59">
        <w:rPr>
          <w:rFonts w:eastAsia="EUAlbertina-Bold-Identity-H" w:cs="Times New Roman"/>
          <w:sz w:val="28"/>
          <w:szCs w:val="28"/>
        </w:rPr>
        <w:t>s</w:t>
      </w:r>
      <w:r w:rsidR="006C6526" w:rsidRPr="00BD5BEB">
        <w:rPr>
          <w:rFonts w:eastAsia="EUAlbertina-Bold-Identity-H" w:cs="Times New Roman"/>
          <w:sz w:val="28"/>
          <w:szCs w:val="28"/>
        </w:rPr>
        <w:t xml:space="preserve"> 136 261,74</w:t>
      </w:r>
      <w:r w:rsidR="00AA1A78" w:rsidRPr="00BD5BEB">
        <w:rPr>
          <w:rFonts w:eastAsia="EUAlbertina-Bold-Identity-H" w:cs="Times New Roman"/>
          <w:sz w:val="28"/>
          <w:szCs w:val="28"/>
        </w:rPr>
        <w:t> </w:t>
      </w:r>
      <w:r w:rsidR="006C6526" w:rsidRPr="00BD5BEB">
        <w:rPr>
          <w:rFonts w:eastAsia="EUAlbertina-Bold-Identity-H" w:cs="Times New Roman"/>
          <w:i/>
          <w:sz w:val="28"/>
          <w:szCs w:val="28"/>
        </w:rPr>
        <w:t>euro</w:t>
      </w:r>
      <w:r w:rsidR="00AE4A59">
        <w:rPr>
          <w:rFonts w:eastAsia="EUAlbertina-Bold-Identity-H" w:cs="Times New Roman"/>
          <w:i/>
          <w:sz w:val="28"/>
          <w:szCs w:val="28"/>
        </w:rPr>
        <w:t xml:space="preserve"> </w:t>
      </w:r>
      <w:r w:rsidR="00AE4A59" w:rsidRPr="000C2B65">
        <w:rPr>
          <w:sz w:val="28"/>
          <w:szCs w:val="28"/>
        </w:rPr>
        <w:t>attiecināt uz ES fondu 2007.</w:t>
      </w:r>
      <w:r w:rsidR="00AE4A59">
        <w:rPr>
          <w:sz w:val="28"/>
          <w:szCs w:val="28"/>
        </w:rPr>
        <w:t> – </w:t>
      </w:r>
      <w:r w:rsidR="00AE4A59" w:rsidRPr="000C2B65">
        <w:rPr>
          <w:sz w:val="28"/>
          <w:szCs w:val="28"/>
        </w:rPr>
        <w:t>2013.</w:t>
      </w:r>
      <w:r w:rsidR="00AE4A59">
        <w:rPr>
          <w:sz w:val="28"/>
          <w:szCs w:val="28"/>
        </w:rPr>
        <w:t> </w:t>
      </w:r>
      <w:r w:rsidR="00AE4A59" w:rsidRPr="000C2B65">
        <w:rPr>
          <w:sz w:val="28"/>
          <w:szCs w:val="28"/>
        </w:rPr>
        <w:t>gada p</w:t>
      </w:r>
      <w:r w:rsidR="00AE4A59">
        <w:rPr>
          <w:sz w:val="28"/>
          <w:szCs w:val="28"/>
        </w:rPr>
        <w:t xml:space="preserve">lānošanas perioda </w:t>
      </w:r>
      <w:proofErr w:type="spellStart"/>
      <w:r w:rsidR="00AE4A59">
        <w:rPr>
          <w:sz w:val="28"/>
          <w:szCs w:val="28"/>
        </w:rPr>
        <w:t>virssaistībām</w:t>
      </w:r>
      <w:proofErr w:type="spellEnd"/>
      <w:r w:rsidR="006C6526" w:rsidRPr="00BD5BEB">
        <w:rPr>
          <w:rFonts w:eastAsia="EUAlbertina-Bold-Identity-H" w:cs="Times New Roman"/>
          <w:sz w:val="28"/>
          <w:szCs w:val="28"/>
        </w:rPr>
        <w:t xml:space="preserve">. </w:t>
      </w:r>
    </w:p>
    <w:p w14:paraId="21F02405" w14:textId="46587346" w:rsidR="005026FB" w:rsidRDefault="005026FB" w:rsidP="00897CFF">
      <w:pPr>
        <w:spacing w:before="120" w:after="120"/>
        <w:ind w:firstLine="720"/>
        <w:jc w:val="both"/>
        <w:rPr>
          <w:rFonts w:eastAsia="EUAlbertina-Bold-Identity-H" w:cs="Times New Roman"/>
          <w:sz w:val="28"/>
          <w:szCs w:val="28"/>
        </w:rPr>
      </w:pPr>
      <w:r w:rsidRPr="00D95F24">
        <w:rPr>
          <w:rFonts w:eastAsia="EUAlbertina-Bold-Identity-H" w:cs="Times New Roman"/>
          <w:sz w:val="28"/>
          <w:szCs w:val="28"/>
        </w:rPr>
        <w:t>Pamatojoties uz RI ziņojumu, LIAA 2016. gada 5. maijā</w:t>
      </w:r>
      <w:r w:rsidR="00AA3DBA" w:rsidRPr="00D95F24">
        <w:rPr>
          <w:rFonts w:eastAsia="EUAlbertina-Bold-Identity-H" w:cs="Times New Roman"/>
          <w:sz w:val="28"/>
          <w:szCs w:val="28"/>
        </w:rPr>
        <w:t xml:space="preserve"> informēja</w:t>
      </w:r>
      <w:r w:rsidRPr="00D95F24">
        <w:t xml:space="preserve"> </w:t>
      </w:r>
      <w:r w:rsidRPr="00D95F24">
        <w:rPr>
          <w:rFonts w:eastAsia="EUAlbertina-Bold-Identity-H" w:cs="Times New Roman"/>
          <w:sz w:val="28"/>
          <w:szCs w:val="28"/>
        </w:rPr>
        <w:t>Durbes novada dom</w:t>
      </w:r>
      <w:r w:rsidR="00AA3DBA" w:rsidRPr="00D95F24">
        <w:rPr>
          <w:rFonts w:eastAsia="EUAlbertina-Bold-Identity-H" w:cs="Times New Roman"/>
          <w:sz w:val="28"/>
          <w:szCs w:val="28"/>
        </w:rPr>
        <w:t>i, ka</w:t>
      </w:r>
      <w:r w:rsidR="00382E07" w:rsidRPr="00D95F24">
        <w:rPr>
          <w:rFonts w:eastAsia="EUAlbertina-Bold-Identity-H" w:cs="Times New Roman"/>
          <w:sz w:val="28"/>
          <w:szCs w:val="28"/>
        </w:rPr>
        <w:t xml:space="preserve"> Domes</w:t>
      </w:r>
      <w:r w:rsidR="00AA3DBA" w:rsidRPr="00D95F24">
        <w:rPr>
          <w:rFonts w:eastAsia="EUAlbertina-Bold-Identity-H" w:cs="Times New Roman"/>
          <w:sz w:val="28"/>
          <w:szCs w:val="28"/>
        </w:rPr>
        <w:t xml:space="preserve"> īstenotajā projektā </w:t>
      </w:r>
      <w:r w:rsidR="00996E12" w:rsidRPr="00D95F24">
        <w:rPr>
          <w:rFonts w:eastAsia="EUAlbertina-Bold-Identity-H" w:cs="Times New Roman"/>
          <w:sz w:val="28"/>
          <w:szCs w:val="28"/>
        </w:rPr>
        <w:t>saņemt</w:t>
      </w:r>
      <w:r w:rsidR="00F711ED">
        <w:rPr>
          <w:rFonts w:eastAsia="EUAlbertina-Bold-Identity-H" w:cs="Times New Roman"/>
          <w:sz w:val="28"/>
          <w:szCs w:val="28"/>
        </w:rPr>
        <w:t>ais</w:t>
      </w:r>
      <w:r w:rsidR="00996E12" w:rsidRPr="00D95F24">
        <w:rPr>
          <w:rFonts w:eastAsia="EUAlbertina-Bold-Identity-H" w:cs="Times New Roman"/>
          <w:sz w:val="28"/>
          <w:szCs w:val="28"/>
        </w:rPr>
        <w:t xml:space="preserve"> līgumsods </w:t>
      </w:r>
      <w:r w:rsidR="00F711ED">
        <w:rPr>
          <w:rFonts w:eastAsia="EUAlbertina-Bold-Identity-H" w:cs="Times New Roman"/>
          <w:sz w:val="28"/>
          <w:szCs w:val="28"/>
        </w:rPr>
        <w:t>(</w:t>
      </w:r>
      <w:r w:rsidR="00714B3E">
        <w:rPr>
          <w:rFonts w:eastAsia="EUAlbertina-Bold-Identity-H" w:cs="Times New Roman"/>
          <w:sz w:val="28"/>
          <w:szCs w:val="28"/>
        </w:rPr>
        <w:t xml:space="preserve">rekonstrukcijas darbu </w:t>
      </w:r>
      <w:r w:rsidR="003C0B7B" w:rsidRPr="0062255B">
        <w:rPr>
          <w:rFonts w:eastAsia="EUAlbertina-Bold-Identity-H" w:cs="Times New Roman"/>
          <w:sz w:val="28"/>
          <w:szCs w:val="28"/>
        </w:rPr>
        <w:t>līguma izpildes termiņa kavējuma dēļ</w:t>
      </w:r>
      <w:r w:rsidR="00F711ED" w:rsidRPr="00F711ED">
        <w:rPr>
          <w:rFonts w:eastAsia="EUAlbertina-Bold-Identity-H" w:cs="Times New Roman"/>
          <w:sz w:val="28"/>
          <w:szCs w:val="28"/>
        </w:rPr>
        <w:t>)</w:t>
      </w:r>
      <w:r w:rsidR="00382E07" w:rsidRPr="0062255B">
        <w:rPr>
          <w:rFonts w:eastAsia="EUAlbertina-Bold-Identity-H" w:cs="Times New Roman"/>
          <w:sz w:val="28"/>
          <w:szCs w:val="28"/>
        </w:rPr>
        <w:t xml:space="preserve"> </w:t>
      </w:r>
      <w:r w:rsidR="00382E07" w:rsidRPr="00D95F24">
        <w:rPr>
          <w:rFonts w:eastAsia="EUAlbertina-Bold-Identity-H" w:cs="Times New Roman"/>
          <w:sz w:val="28"/>
          <w:szCs w:val="28"/>
        </w:rPr>
        <w:t>ir uzskatāms par projekta ietvaros gūtiem ieņēmumiem un projektā faktiski radušos izmaksu apm</w:t>
      </w:r>
      <w:r w:rsidR="00AB6721">
        <w:rPr>
          <w:rFonts w:eastAsia="EUAlbertina-Bold-Identity-H" w:cs="Times New Roman"/>
          <w:sz w:val="28"/>
          <w:szCs w:val="28"/>
        </w:rPr>
        <w:t>ē</w:t>
      </w:r>
      <w:r w:rsidR="00382E07" w:rsidRPr="00D95F24">
        <w:rPr>
          <w:rFonts w:eastAsia="EUAlbertina-Bold-Identity-H" w:cs="Times New Roman"/>
          <w:sz w:val="28"/>
          <w:szCs w:val="28"/>
        </w:rPr>
        <w:t>rs ir maz</w:t>
      </w:r>
      <w:r w:rsidR="00AB6721">
        <w:rPr>
          <w:rFonts w:eastAsia="EUAlbertina-Bold-Identity-H" w:cs="Times New Roman"/>
          <w:sz w:val="28"/>
          <w:szCs w:val="28"/>
        </w:rPr>
        <w:t>ā</w:t>
      </w:r>
      <w:r w:rsidR="00382E07" w:rsidRPr="00D95F24">
        <w:rPr>
          <w:rFonts w:eastAsia="EUAlbertina-Bold-Identity-H" w:cs="Times New Roman"/>
          <w:sz w:val="28"/>
          <w:szCs w:val="28"/>
        </w:rPr>
        <w:t>ks nek</w:t>
      </w:r>
      <w:r w:rsidR="00AB6721">
        <w:rPr>
          <w:rFonts w:eastAsia="EUAlbertina-Bold-Identity-H" w:cs="Times New Roman"/>
          <w:sz w:val="28"/>
          <w:szCs w:val="28"/>
        </w:rPr>
        <w:t>ā</w:t>
      </w:r>
      <w:r w:rsidR="00382E07" w:rsidRPr="00D95F24">
        <w:rPr>
          <w:rFonts w:eastAsia="EUAlbertina-Bold-Identity-H" w:cs="Times New Roman"/>
          <w:sz w:val="28"/>
          <w:szCs w:val="28"/>
        </w:rPr>
        <w:t xml:space="preserve"> atbalsta f</w:t>
      </w:r>
      <w:r w:rsidR="00AB6721">
        <w:rPr>
          <w:rFonts w:eastAsia="EUAlbertina-Bold-Identity-H" w:cs="Times New Roman"/>
          <w:sz w:val="28"/>
          <w:szCs w:val="28"/>
        </w:rPr>
        <w:t>in</w:t>
      </w:r>
      <w:r w:rsidR="00382E07" w:rsidRPr="00D95F24">
        <w:rPr>
          <w:rFonts w:eastAsia="EUAlbertina-Bold-Identity-H" w:cs="Times New Roman"/>
          <w:sz w:val="28"/>
          <w:szCs w:val="28"/>
        </w:rPr>
        <w:t>ans</w:t>
      </w:r>
      <w:r w:rsidR="00AB6721">
        <w:rPr>
          <w:rFonts w:eastAsia="EUAlbertina-Bold-Identity-H" w:cs="Times New Roman"/>
          <w:sz w:val="28"/>
          <w:szCs w:val="28"/>
        </w:rPr>
        <w:t>ē</w:t>
      </w:r>
      <w:r w:rsidR="00382E07" w:rsidRPr="00D95F24">
        <w:rPr>
          <w:rFonts w:eastAsia="EUAlbertina-Bold-Identity-H" w:cs="Times New Roman"/>
          <w:sz w:val="28"/>
          <w:szCs w:val="28"/>
        </w:rPr>
        <w:t>ju</w:t>
      </w:r>
      <w:r w:rsidR="00382E07" w:rsidRPr="00F711ED">
        <w:rPr>
          <w:rFonts w:eastAsia="EUAlbertina-Bold-Identity-H" w:cs="Times New Roman"/>
          <w:sz w:val="28"/>
          <w:szCs w:val="28"/>
        </w:rPr>
        <w:t>ms, kuru LIAA ir izmaksājusi Domei,</w:t>
      </w:r>
      <w:r w:rsidR="00382E07" w:rsidRPr="00F711ED">
        <w:t xml:space="preserve"> ir </w:t>
      </w:r>
      <w:r w:rsidR="00382E07" w:rsidRPr="00F711ED">
        <w:rPr>
          <w:rFonts w:eastAsia="EUAlbertina-Bold-Identity-H" w:cs="Times New Roman"/>
          <w:sz w:val="28"/>
          <w:szCs w:val="28"/>
        </w:rPr>
        <w:t>notikusi atbalsta finans</w:t>
      </w:r>
      <w:r w:rsidR="00AB6721">
        <w:rPr>
          <w:rFonts w:eastAsia="EUAlbertina-Bold-Identity-H" w:cs="Times New Roman"/>
          <w:sz w:val="28"/>
          <w:szCs w:val="28"/>
        </w:rPr>
        <w:t>ē</w:t>
      </w:r>
      <w:r w:rsidR="00382E07" w:rsidRPr="00F711ED">
        <w:rPr>
          <w:rFonts w:eastAsia="EUAlbertina-Bold-Identity-H" w:cs="Times New Roman"/>
          <w:sz w:val="28"/>
          <w:szCs w:val="28"/>
        </w:rPr>
        <w:t>juma p</w:t>
      </w:r>
      <w:r w:rsidR="00AB6721">
        <w:rPr>
          <w:rFonts w:eastAsia="EUAlbertina-Bold-Identity-H" w:cs="Times New Roman"/>
          <w:sz w:val="28"/>
          <w:szCs w:val="28"/>
        </w:rPr>
        <w:t>ā</w:t>
      </w:r>
      <w:r w:rsidR="00382E07" w:rsidRPr="00F711ED">
        <w:rPr>
          <w:rFonts w:eastAsia="EUAlbertina-Bold-Identity-H" w:cs="Times New Roman"/>
          <w:sz w:val="28"/>
          <w:szCs w:val="28"/>
        </w:rPr>
        <w:t>rmaksa</w:t>
      </w:r>
      <w:r w:rsidR="00D95F24" w:rsidRPr="00714B3E">
        <w:rPr>
          <w:rFonts w:eastAsia="EUAlbertina-Bold-Identity-H" w:cs="Times New Roman"/>
          <w:sz w:val="28"/>
          <w:szCs w:val="28"/>
        </w:rPr>
        <w:t xml:space="preserve"> un Domei būtu jāatmaksā pārmaksātais finansējums 10</w:t>
      </w:r>
      <w:r w:rsidR="001744A6">
        <w:rPr>
          <w:rFonts w:eastAsia="EUAlbertina-Bold-Identity-H" w:cs="Times New Roman"/>
          <w:sz w:val="28"/>
          <w:szCs w:val="28"/>
        </w:rPr>
        <w:t> </w:t>
      </w:r>
      <w:r w:rsidR="00D95F24" w:rsidRPr="00714B3E">
        <w:rPr>
          <w:rFonts w:eastAsia="EUAlbertina-Bold-Identity-H" w:cs="Times New Roman"/>
          <w:sz w:val="28"/>
          <w:szCs w:val="28"/>
        </w:rPr>
        <w:t>942,86</w:t>
      </w:r>
      <w:r w:rsidR="001744A6">
        <w:rPr>
          <w:rFonts w:eastAsia="EUAlbertina-Bold-Identity-H" w:cs="Times New Roman"/>
          <w:sz w:val="28"/>
          <w:szCs w:val="28"/>
        </w:rPr>
        <w:t> </w:t>
      </w:r>
      <w:r w:rsidR="00D95F24" w:rsidRPr="00714B3E">
        <w:rPr>
          <w:rFonts w:eastAsia="EUAlbertina-Bold-Identity-H" w:cs="Times New Roman"/>
          <w:i/>
          <w:sz w:val="28"/>
          <w:szCs w:val="28"/>
        </w:rPr>
        <w:t>euro</w:t>
      </w:r>
      <w:r w:rsidR="00D95F24" w:rsidRPr="00D95F24">
        <w:rPr>
          <w:rFonts w:eastAsia="EUAlbertina-Bold-Identity-H" w:cs="Times New Roman"/>
          <w:sz w:val="28"/>
          <w:szCs w:val="28"/>
        </w:rPr>
        <w:t xml:space="preserve"> apmērā (t.sk. ERAF 10</w:t>
      </w:r>
      <w:r w:rsidR="001744A6">
        <w:rPr>
          <w:rFonts w:eastAsia="EUAlbertina-Bold-Identity-H" w:cs="Times New Roman"/>
          <w:sz w:val="28"/>
          <w:szCs w:val="28"/>
        </w:rPr>
        <w:t> </w:t>
      </w:r>
      <w:r w:rsidR="00D95F24" w:rsidRPr="00D95F24">
        <w:rPr>
          <w:rFonts w:eastAsia="EUAlbertina-Bold-Identity-H" w:cs="Times New Roman"/>
          <w:sz w:val="28"/>
          <w:szCs w:val="28"/>
        </w:rPr>
        <w:t>568,96</w:t>
      </w:r>
      <w:r w:rsidR="001744A6">
        <w:rPr>
          <w:rFonts w:eastAsia="EUAlbertina-Bold-Identity-H" w:cs="Times New Roman"/>
          <w:sz w:val="28"/>
          <w:szCs w:val="28"/>
        </w:rPr>
        <w:t> </w:t>
      </w:r>
      <w:r w:rsidR="00D95F24" w:rsidRPr="00D95F24">
        <w:rPr>
          <w:rFonts w:eastAsia="EUAlbertina-Bold-Identity-H" w:cs="Times New Roman"/>
          <w:i/>
          <w:sz w:val="28"/>
          <w:szCs w:val="28"/>
        </w:rPr>
        <w:t>euro</w:t>
      </w:r>
      <w:r w:rsidR="00D95F24" w:rsidRPr="00D95F24">
        <w:rPr>
          <w:rFonts w:eastAsia="EUAlbertina-Bold-Identity-H" w:cs="Times New Roman"/>
          <w:sz w:val="28"/>
          <w:szCs w:val="28"/>
        </w:rPr>
        <w:t xml:space="preserve"> un valsts budžeta dotācija 373,90</w:t>
      </w:r>
      <w:r w:rsidR="001744A6">
        <w:rPr>
          <w:rFonts w:eastAsia="EUAlbertina-Bold-Identity-H" w:cs="Times New Roman"/>
          <w:sz w:val="28"/>
          <w:szCs w:val="28"/>
        </w:rPr>
        <w:t> </w:t>
      </w:r>
      <w:r w:rsidR="00D95F24" w:rsidRPr="00D95F24">
        <w:rPr>
          <w:rFonts w:eastAsia="EUAlbertina-Bold-Identity-H" w:cs="Times New Roman"/>
          <w:i/>
          <w:sz w:val="28"/>
          <w:szCs w:val="28"/>
        </w:rPr>
        <w:t>euro</w:t>
      </w:r>
      <w:r w:rsidR="00D95F24" w:rsidRPr="00D95F24">
        <w:rPr>
          <w:rFonts w:eastAsia="EUAlbertina-Bold-Identity-H" w:cs="Times New Roman"/>
          <w:sz w:val="28"/>
          <w:szCs w:val="28"/>
        </w:rPr>
        <w:t>)</w:t>
      </w:r>
      <w:r w:rsidR="00382E07" w:rsidRPr="00D95F24">
        <w:rPr>
          <w:rFonts w:eastAsia="EUAlbertina-Bold-Identity-H" w:cs="Times New Roman"/>
          <w:sz w:val="28"/>
          <w:szCs w:val="28"/>
        </w:rPr>
        <w:t>.</w:t>
      </w:r>
      <w:r w:rsidR="00D95F24" w:rsidRPr="00D95F24">
        <w:rPr>
          <w:rFonts w:eastAsia="EUAlbertina-Bold-Identity-H" w:cs="Times New Roman"/>
          <w:sz w:val="28"/>
          <w:szCs w:val="28"/>
        </w:rPr>
        <w:t xml:space="preserve"> Atmaksājamā finansējum</w:t>
      </w:r>
      <w:r w:rsidR="00AB6721">
        <w:rPr>
          <w:rFonts w:eastAsia="EUAlbertina-Bold-Identity-H" w:cs="Times New Roman"/>
          <w:sz w:val="28"/>
          <w:szCs w:val="28"/>
        </w:rPr>
        <w:t>a</w:t>
      </w:r>
      <w:r w:rsidR="00D95F24" w:rsidRPr="00D95F24">
        <w:rPr>
          <w:rFonts w:eastAsia="EUAlbertina-Bold-Identity-H" w:cs="Times New Roman"/>
          <w:sz w:val="28"/>
          <w:szCs w:val="28"/>
        </w:rPr>
        <w:t xml:space="preserve"> aprēķinā ir ņemti vērā </w:t>
      </w:r>
      <w:r w:rsidR="00D95F24" w:rsidRPr="0062255B">
        <w:rPr>
          <w:rFonts w:eastAsia="EUAlbertina-Bold-Identity-H" w:cs="Times New Roman"/>
          <w:sz w:val="28"/>
          <w:szCs w:val="28"/>
        </w:rPr>
        <w:t>Domei radītie zaudējumi līguma izpildes termiņa kavējuma dēļ.</w:t>
      </w:r>
      <w:r w:rsidR="00D95F24" w:rsidRPr="00D95F24">
        <w:t xml:space="preserve"> </w:t>
      </w:r>
      <w:r w:rsidR="00D95F24">
        <w:rPr>
          <w:rFonts w:eastAsia="EUAlbertina-Bold-Identity-H" w:cs="Times New Roman"/>
          <w:sz w:val="28"/>
          <w:szCs w:val="28"/>
        </w:rPr>
        <w:t>Dome nav atmaksājusi</w:t>
      </w:r>
      <w:r w:rsidR="00D95F24" w:rsidRPr="00D95F24">
        <w:rPr>
          <w:rFonts w:eastAsia="EUAlbertina-Bold-Identity-H" w:cs="Times New Roman"/>
          <w:sz w:val="28"/>
          <w:szCs w:val="28"/>
        </w:rPr>
        <w:t xml:space="preserve"> </w:t>
      </w:r>
      <w:r w:rsidR="00D95F24">
        <w:rPr>
          <w:rFonts w:eastAsia="EUAlbertina-Bold-Identity-H" w:cs="Times New Roman"/>
          <w:sz w:val="28"/>
          <w:szCs w:val="28"/>
        </w:rPr>
        <w:t xml:space="preserve">pārmaksāto finansējumu un ir lūgusi LIAA </w:t>
      </w:r>
      <w:r w:rsidR="00F711ED">
        <w:rPr>
          <w:rFonts w:eastAsia="EUAlbertina-Bold-Identity-H" w:cs="Times New Roman"/>
          <w:sz w:val="28"/>
          <w:szCs w:val="28"/>
        </w:rPr>
        <w:t>sniegt skaidrojumu par</w:t>
      </w:r>
      <w:r w:rsidR="00D95F24">
        <w:rPr>
          <w:rFonts w:eastAsia="EUAlbertina-Bold-Identity-H" w:cs="Times New Roman"/>
          <w:sz w:val="28"/>
          <w:szCs w:val="28"/>
        </w:rPr>
        <w:t xml:space="preserve"> </w:t>
      </w:r>
      <w:r w:rsidR="00D95F24" w:rsidRPr="00D95F24">
        <w:rPr>
          <w:rFonts w:eastAsia="EUAlbertina-Bold-Identity-H" w:cs="Times New Roman"/>
          <w:sz w:val="28"/>
          <w:szCs w:val="28"/>
        </w:rPr>
        <w:t>normatīv</w:t>
      </w:r>
      <w:r w:rsidR="00F711ED">
        <w:rPr>
          <w:rFonts w:eastAsia="EUAlbertina-Bold-Identity-H" w:cs="Times New Roman"/>
          <w:sz w:val="28"/>
          <w:szCs w:val="28"/>
        </w:rPr>
        <w:t>iem</w:t>
      </w:r>
      <w:r w:rsidR="00D95F24">
        <w:rPr>
          <w:rFonts w:eastAsia="EUAlbertina-Bold-Identity-H" w:cs="Times New Roman"/>
          <w:sz w:val="28"/>
          <w:szCs w:val="28"/>
        </w:rPr>
        <w:t xml:space="preserve"> akt</w:t>
      </w:r>
      <w:r w:rsidR="00F711ED">
        <w:rPr>
          <w:rFonts w:eastAsia="EUAlbertina-Bold-Identity-H" w:cs="Times New Roman"/>
          <w:sz w:val="28"/>
          <w:szCs w:val="28"/>
        </w:rPr>
        <w:t xml:space="preserve">iem, kas </w:t>
      </w:r>
      <w:r w:rsidR="00714B3E">
        <w:rPr>
          <w:rFonts w:eastAsia="EUAlbertina-Bold-Identity-H" w:cs="Times New Roman"/>
          <w:sz w:val="28"/>
          <w:szCs w:val="28"/>
        </w:rPr>
        <w:t>nosaka</w:t>
      </w:r>
      <w:r w:rsidR="00F711ED">
        <w:rPr>
          <w:rFonts w:eastAsia="EUAlbertina-Bold-Identity-H" w:cs="Times New Roman"/>
          <w:sz w:val="28"/>
          <w:szCs w:val="28"/>
        </w:rPr>
        <w:t xml:space="preserve"> </w:t>
      </w:r>
      <w:r w:rsidR="00714B3E">
        <w:rPr>
          <w:rFonts w:eastAsia="EUAlbertina-Bold-Identity-H" w:cs="Times New Roman"/>
          <w:sz w:val="28"/>
          <w:szCs w:val="28"/>
        </w:rPr>
        <w:t>atmaksas</w:t>
      </w:r>
      <w:r w:rsidR="00F711ED">
        <w:rPr>
          <w:rFonts w:eastAsia="EUAlbertina-Bold-Identity-H" w:cs="Times New Roman"/>
          <w:sz w:val="28"/>
          <w:szCs w:val="28"/>
        </w:rPr>
        <w:t xml:space="preserve"> nepiecie</w:t>
      </w:r>
      <w:r w:rsidR="00714B3E">
        <w:rPr>
          <w:rFonts w:eastAsia="EUAlbertina-Bold-Identity-H" w:cs="Times New Roman"/>
          <w:sz w:val="28"/>
          <w:szCs w:val="28"/>
        </w:rPr>
        <w:t>šamību konkr</w:t>
      </w:r>
      <w:r w:rsidR="00AB6721">
        <w:rPr>
          <w:rFonts w:eastAsia="EUAlbertina-Bold-Identity-H" w:cs="Times New Roman"/>
          <w:sz w:val="28"/>
          <w:szCs w:val="28"/>
        </w:rPr>
        <w:t>ē</w:t>
      </w:r>
      <w:r w:rsidR="00714B3E">
        <w:rPr>
          <w:rFonts w:eastAsia="EUAlbertina-Bold-Identity-H" w:cs="Times New Roman"/>
          <w:sz w:val="28"/>
          <w:szCs w:val="28"/>
        </w:rPr>
        <w:t>tajā gadījumā. LIAA un EK</w:t>
      </w:r>
      <w:r w:rsidR="00F17EB7">
        <w:rPr>
          <w:rFonts w:eastAsia="EUAlbertina-Bold-Identity-H" w:cs="Times New Roman"/>
          <w:sz w:val="28"/>
          <w:szCs w:val="28"/>
        </w:rPr>
        <w:t xml:space="preserve"> vairākās vēstulēs, kā arī starpinstitūciju sanāksmē (ar LIAA, EM, FM un Domes dalību)</w:t>
      </w:r>
      <w:r w:rsidR="00F17EB7" w:rsidRPr="00F17EB7">
        <w:rPr>
          <w:rFonts w:eastAsia="EUAlbertina-Bold-Identity-H" w:cs="Times New Roman"/>
          <w:sz w:val="28"/>
          <w:szCs w:val="28"/>
        </w:rPr>
        <w:t xml:space="preserve"> snieg</w:t>
      </w:r>
      <w:r w:rsidR="00F17EB7">
        <w:rPr>
          <w:rFonts w:eastAsia="EUAlbertina-Bold-Identity-H" w:cs="Times New Roman"/>
          <w:sz w:val="28"/>
          <w:szCs w:val="28"/>
        </w:rPr>
        <w:t>uši</w:t>
      </w:r>
      <w:r w:rsidR="00F17EB7" w:rsidRPr="00F17EB7">
        <w:rPr>
          <w:rFonts w:eastAsia="EUAlbertina-Bold-Identity-H" w:cs="Times New Roman"/>
          <w:sz w:val="28"/>
          <w:szCs w:val="28"/>
        </w:rPr>
        <w:t xml:space="preserve"> normatīvo aktu skaidrojum</w:t>
      </w:r>
      <w:r w:rsidR="00F17EB7">
        <w:rPr>
          <w:rFonts w:eastAsia="EUAlbertina-Bold-Identity-H" w:cs="Times New Roman"/>
          <w:sz w:val="28"/>
          <w:szCs w:val="28"/>
        </w:rPr>
        <w:t>us un pamatojumu p</w:t>
      </w:r>
      <w:r w:rsidR="00F17EB7" w:rsidRPr="00F17EB7">
        <w:rPr>
          <w:rFonts w:eastAsia="EUAlbertina-Bold-Identity-H" w:cs="Times New Roman"/>
          <w:sz w:val="28"/>
          <w:szCs w:val="28"/>
        </w:rPr>
        <w:t>rojektā nepamatoti izmaksātā atbalsta finansējuma atmaksa</w:t>
      </w:r>
      <w:r w:rsidR="00F17EB7">
        <w:rPr>
          <w:rFonts w:eastAsia="EUAlbertina-Bold-Identity-H" w:cs="Times New Roman"/>
          <w:sz w:val="28"/>
          <w:szCs w:val="28"/>
        </w:rPr>
        <w:t>i, tomēr Dome nav veikusi atmaksu.</w:t>
      </w:r>
      <w:r w:rsidR="00F17EB7" w:rsidRPr="00F17EB7">
        <w:rPr>
          <w:rFonts w:eastAsia="EUAlbertina-Bold-Identity-H" w:cs="Times New Roman"/>
          <w:sz w:val="28"/>
          <w:szCs w:val="28"/>
        </w:rPr>
        <w:t xml:space="preserve"> Ņemot vērā </w:t>
      </w:r>
      <w:r w:rsidR="00F17EB7">
        <w:rPr>
          <w:rFonts w:eastAsia="EUAlbertina-Bold-Identity-H" w:cs="Times New Roman"/>
          <w:sz w:val="28"/>
          <w:szCs w:val="28"/>
        </w:rPr>
        <w:t>minēto</w:t>
      </w:r>
      <w:r w:rsidR="00F17EB7" w:rsidRPr="00F17EB7">
        <w:rPr>
          <w:rFonts w:eastAsia="EUAlbertina-Bold-Identity-H" w:cs="Times New Roman"/>
          <w:sz w:val="28"/>
          <w:szCs w:val="28"/>
        </w:rPr>
        <w:t>, saskaņā ar MK noteikumiem</w:t>
      </w:r>
      <w:r w:rsidR="00F17EB7">
        <w:rPr>
          <w:rStyle w:val="FootnoteReference"/>
          <w:rFonts w:eastAsia="EUAlbertina-Bold-Identity-H" w:cs="Times New Roman"/>
          <w:sz w:val="28"/>
          <w:szCs w:val="28"/>
        </w:rPr>
        <w:footnoteReference w:id="100"/>
      </w:r>
      <w:r w:rsidR="00F17EB7" w:rsidRPr="00F17EB7">
        <w:rPr>
          <w:rFonts w:eastAsia="EUAlbertina-Bold-Identity-H" w:cs="Times New Roman"/>
          <w:sz w:val="28"/>
          <w:szCs w:val="28"/>
        </w:rPr>
        <w:t xml:space="preserve"> </w:t>
      </w:r>
      <w:r w:rsidR="00AE4A59">
        <w:rPr>
          <w:rFonts w:eastAsia="EUAlbertina-Bold-Identity-H" w:cs="Times New Roman"/>
          <w:sz w:val="28"/>
          <w:szCs w:val="28"/>
        </w:rPr>
        <w:t>tie</w:t>
      </w:r>
      <w:r w:rsidR="007D4001">
        <w:rPr>
          <w:rFonts w:eastAsia="EUAlbertina-Bold-Identity-H" w:cs="Times New Roman"/>
          <w:sz w:val="28"/>
          <w:szCs w:val="28"/>
        </w:rPr>
        <w:t>k</w:t>
      </w:r>
      <w:r w:rsidR="00AE4A59">
        <w:rPr>
          <w:rFonts w:eastAsia="EUAlbertina-Bold-Identity-H" w:cs="Times New Roman"/>
          <w:sz w:val="28"/>
          <w:szCs w:val="28"/>
        </w:rPr>
        <w:t xml:space="preserve"> rosināts Vals</w:t>
      </w:r>
      <w:r w:rsidR="007D4001">
        <w:rPr>
          <w:rFonts w:eastAsia="EUAlbertina-Bold-Identity-H" w:cs="Times New Roman"/>
          <w:sz w:val="28"/>
          <w:szCs w:val="28"/>
        </w:rPr>
        <w:t>t</w:t>
      </w:r>
      <w:r w:rsidR="00AE4A59">
        <w:rPr>
          <w:rFonts w:eastAsia="EUAlbertina-Bold-Identity-H" w:cs="Times New Roman"/>
          <w:sz w:val="28"/>
          <w:szCs w:val="28"/>
        </w:rPr>
        <w:t xml:space="preserve">s kancelejai aicināt </w:t>
      </w:r>
      <w:r w:rsidR="00F17EB7">
        <w:rPr>
          <w:rFonts w:eastAsia="EUAlbertina-Bold-Identity-H" w:cs="Times New Roman"/>
          <w:sz w:val="28"/>
          <w:szCs w:val="28"/>
        </w:rPr>
        <w:t>Domi</w:t>
      </w:r>
      <w:r w:rsidR="00F17EB7" w:rsidRPr="00F17EB7">
        <w:rPr>
          <w:rFonts w:eastAsia="EUAlbertina-Bold-Identity-H" w:cs="Times New Roman"/>
          <w:sz w:val="28"/>
          <w:szCs w:val="28"/>
        </w:rPr>
        <w:t xml:space="preserve"> atmaksāt valsts budžetā </w:t>
      </w:r>
      <w:r w:rsidR="00AE4A59">
        <w:rPr>
          <w:rFonts w:eastAsia="EUAlbertina-Bold-Identity-H" w:cs="Times New Roman"/>
          <w:sz w:val="28"/>
          <w:szCs w:val="28"/>
        </w:rPr>
        <w:t xml:space="preserve">LIAA </w:t>
      </w:r>
      <w:r w:rsidR="00F17EB7" w:rsidRPr="00F17EB7">
        <w:rPr>
          <w:rFonts w:eastAsia="EUAlbertina-Bold-Identity-H" w:cs="Times New Roman"/>
          <w:sz w:val="28"/>
          <w:szCs w:val="28"/>
        </w:rPr>
        <w:t>pārmaksāt</w:t>
      </w:r>
      <w:r w:rsidR="00F17EB7">
        <w:rPr>
          <w:rFonts w:eastAsia="EUAlbertina-Bold-Identity-H" w:cs="Times New Roman"/>
          <w:sz w:val="28"/>
          <w:szCs w:val="28"/>
        </w:rPr>
        <w:t>o</w:t>
      </w:r>
      <w:r w:rsidR="00F17EB7" w:rsidRPr="00F17EB7">
        <w:rPr>
          <w:rFonts w:eastAsia="EUAlbertina-Bold-Identity-H" w:cs="Times New Roman"/>
          <w:sz w:val="28"/>
          <w:szCs w:val="28"/>
        </w:rPr>
        <w:t xml:space="preserve"> finansējum</w:t>
      </w:r>
      <w:r w:rsidR="00F17EB7">
        <w:rPr>
          <w:rFonts w:eastAsia="EUAlbertina-Bold-Identity-H" w:cs="Times New Roman"/>
          <w:sz w:val="28"/>
          <w:szCs w:val="28"/>
        </w:rPr>
        <w:t>u</w:t>
      </w:r>
      <w:r w:rsidR="00F17EB7" w:rsidRPr="00F17EB7">
        <w:rPr>
          <w:rFonts w:eastAsia="EUAlbertina-Bold-Identity-H" w:cs="Times New Roman"/>
          <w:sz w:val="28"/>
          <w:szCs w:val="28"/>
        </w:rPr>
        <w:t xml:space="preserve"> 10</w:t>
      </w:r>
      <w:r w:rsidR="001744A6">
        <w:rPr>
          <w:rFonts w:eastAsia="EUAlbertina-Bold-Identity-H" w:cs="Times New Roman"/>
          <w:sz w:val="28"/>
          <w:szCs w:val="28"/>
        </w:rPr>
        <w:t> </w:t>
      </w:r>
      <w:r w:rsidR="00F17EB7" w:rsidRPr="00F17EB7">
        <w:rPr>
          <w:rFonts w:eastAsia="EUAlbertina-Bold-Identity-H" w:cs="Times New Roman"/>
          <w:sz w:val="28"/>
          <w:szCs w:val="28"/>
        </w:rPr>
        <w:t>942,86</w:t>
      </w:r>
      <w:r w:rsidR="001744A6">
        <w:rPr>
          <w:rFonts w:eastAsia="EUAlbertina-Bold-Identity-H" w:cs="Times New Roman"/>
          <w:sz w:val="28"/>
          <w:szCs w:val="28"/>
        </w:rPr>
        <w:t> </w:t>
      </w:r>
      <w:r w:rsidR="00F17EB7" w:rsidRPr="0062255B">
        <w:rPr>
          <w:rFonts w:eastAsia="EUAlbertina-Bold-Identity-H" w:cs="Times New Roman"/>
          <w:i/>
          <w:sz w:val="28"/>
          <w:szCs w:val="28"/>
        </w:rPr>
        <w:t>euro</w:t>
      </w:r>
      <w:r w:rsidR="00F17EB7">
        <w:rPr>
          <w:rFonts w:eastAsia="EUAlbertina-Bold-Identity-H" w:cs="Times New Roman"/>
          <w:sz w:val="28"/>
          <w:szCs w:val="28"/>
        </w:rPr>
        <w:t>.</w:t>
      </w:r>
    </w:p>
    <w:p w14:paraId="06DB813C" w14:textId="4680CFC3" w:rsidR="00B157FE" w:rsidRPr="00B157FE" w:rsidRDefault="00B157FE" w:rsidP="00C579E3">
      <w:pPr>
        <w:tabs>
          <w:tab w:val="left" w:pos="709"/>
        </w:tabs>
        <w:spacing w:before="120" w:after="120"/>
        <w:ind w:right="132"/>
        <w:jc w:val="both"/>
        <w:rPr>
          <w:sz w:val="28"/>
          <w:szCs w:val="28"/>
        </w:rPr>
      </w:pPr>
      <w:r>
        <w:rPr>
          <w:sz w:val="28"/>
          <w:szCs w:val="28"/>
        </w:rPr>
        <w:tab/>
      </w:r>
      <w:r w:rsidR="002D33C2">
        <w:rPr>
          <w:sz w:val="28"/>
          <w:szCs w:val="28"/>
        </w:rPr>
        <w:t>Ņemot vērā</w:t>
      </w:r>
      <w:r w:rsidRPr="00B157FE">
        <w:rPr>
          <w:sz w:val="28"/>
          <w:szCs w:val="28"/>
        </w:rPr>
        <w:t xml:space="preserve">, ka </w:t>
      </w:r>
      <w:r w:rsidRPr="00C579E3">
        <w:rPr>
          <w:sz w:val="28"/>
          <w:szCs w:val="28"/>
        </w:rPr>
        <w:t>EM veiktā finansējuma pārdale</w:t>
      </w:r>
      <w:r w:rsidRPr="00C579E3">
        <w:rPr>
          <w:rStyle w:val="FootnoteReference"/>
          <w:sz w:val="28"/>
          <w:szCs w:val="28"/>
        </w:rPr>
        <w:footnoteReference w:id="101"/>
      </w:r>
      <w:r w:rsidRPr="00C579E3">
        <w:rPr>
          <w:sz w:val="28"/>
          <w:szCs w:val="28"/>
        </w:rPr>
        <w:t xml:space="preserve"> 156</w:t>
      </w:r>
      <w:r w:rsidR="001744A6">
        <w:rPr>
          <w:sz w:val="28"/>
          <w:szCs w:val="28"/>
        </w:rPr>
        <w:t> </w:t>
      </w:r>
      <w:r w:rsidRPr="00C579E3">
        <w:rPr>
          <w:sz w:val="28"/>
          <w:szCs w:val="28"/>
        </w:rPr>
        <w:t>179</w:t>
      </w:r>
      <w:r w:rsidR="001744A6">
        <w:rPr>
          <w:sz w:val="28"/>
          <w:szCs w:val="28"/>
        </w:rPr>
        <w:t> </w:t>
      </w:r>
      <w:r w:rsidRPr="00C579E3">
        <w:rPr>
          <w:i/>
          <w:sz w:val="28"/>
          <w:szCs w:val="28"/>
        </w:rPr>
        <w:t>eur</w:t>
      </w:r>
      <w:r w:rsidR="001744A6">
        <w:rPr>
          <w:i/>
          <w:sz w:val="28"/>
          <w:szCs w:val="28"/>
        </w:rPr>
        <w:t>o</w:t>
      </w:r>
      <w:r w:rsidRPr="00C579E3">
        <w:rPr>
          <w:sz w:val="28"/>
          <w:szCs w:val="28"/>
        </w:rPr>
        <w:t xml:space="preserve"> apmērā </w:t>
      </w:r>
      <w:r w:rsidR="003A1ACB">
        <w:rPr>
          <w:sz w:val="28"/>
          <w:szCs w:val="28"/>
        </w:rPr>
        <w:t>FS</w:t>
      </w:r>
      <w:r w:rsidR="002D33C2">
        <w:rPr>
          <w:sz w:val="28"/>
          <w:szCs w:val="28"/>
        </w:rPr>
        <w:t xml:space="preserve"> – A</w:t>
      </w:r>
      <w:r w:rsidR="003A1ACB">
        <w:rPr>
          <w:sz w:val="28"/>
          <w:szCs w:val="28"/>
        </w:rPr>
        <w:t>LTUM</w:t>
      </w:r>
      <w:r w:rsidR="002D33C2" w:rsidRPr="002D33C2">
        <w:rPr>
          <w:sz w:val="28"/>
          <w:szCs w:val="28"/>
        </w:rPr>
        <w:t xml:space="preserve"> – īstenotajā</w:t>
      </w:r>
      <w:r w:rsidRPr="00C579E3">
        <w:rPr>
          <w:sz w:val="28"/>
          <w:szCs w:val="28"/>
        </w:rPr>
        <w:t xml:space="preserve"> 2.2.1.4.2</w:t>
      </w:r>
      <w:r w:rsidR="002D33C2">
        <w:rPr>
          <w:sz w:val="28"/>
          <w:szCs w:val="28"/>
        </w:rPr>
        <w:t>. </w:t>
      </w:r>
      <w:proofErr w:type="spellStart"/>
      <w:r w:rsidR="002D33C2" w:rsidRPr="00E725CC">
        <w:rPr>
          <w:sz w:val="28"/>
          <w:szCs w:val="28"/>
        </w:rPr>
        <w:t>apakšaktivitātē</w:t>
      </w:r>
      <w:proofErr w:type="spellEnd"/>
      <w:r w:rsidR="002D33C2" w:rsidRPr="002D33C2">
        <w:rPr>
          <w:sz w:val="28"/>
          <w:szCs w:val="28"/>
        </w:rPr>
        <w:t xml:space="preserve"> </w:t>
      </w:r>
      <w:r w:rsidRPr="00C579E3">
        <w:rPr>
          <w:sz w:val="28"/>
          <w:szCs w:val="28"/>
        </w:rPr>
        <w:t>“</w:t>
      </w:r>
      <w:proofErr w:type="spellStart"/>
      <w:r w:rsidRPr="00C579E3">
        <w:rPr>
          <w:sz w:val="28"/>
          <w:szCs w:val="28"/>
        </w:rPr>
        <w:t>Mezanīna</w:t>
      </w:r>
      <w:proofErr w:type="spellEnd"/>
      <w:r w:rsidRPr="00C579E3">
        <w:rPr>
          <w:sz w:val="28"/>
          <w:szCs w:val="28"/>
        </w:rPr>
        <w:t xml:space="preserve"> aizdevumi un nodrošinājuma garantijas saimnieciskās darbības veicēju konkurētspējas uzlabošanai” nevar tikt deklarēta </w:t>
      </w:r>
      <w:r w:rsidR="002D33C2">
        <w:rPr>
          <w:sz w:val="28"/>
          <w:szCs w:val="28"/>
        </w:rPr>
        <w:t>EK</w:t>
      </w:r>
      <w:r w:rsidRPr="00B157FE">
        <w:rPr>
          <w:sz w:val="28"/>
          <w:szCs w:val="28"/>
        </w:rPr>
        <w:t xml:space="preserve">, ņemot vērā, ka saskaņā ar EK Reģionālās </w:t>
      </w:r>
      <w:r w:rsidRPr="00B157FE">
        <w:rPr>
          <w:sz w:val="28"/>
          <w:szCs w:val="28"/>
        </w:rPr>
        <w:lastRenderedPageBreak/>
        <w:t xml:space="preserve">politikas un </w:t>
      </w:r>
      <w:proofErr w:type="spellStart"/>
      <w:r w:rsidRPr="00B157FE">
        <w:rPr>
          <w:sz w:val="28"/>
          <w:szCs w:val="28"/>
        </w:rPr>
        <w:t>pilsētpolitikas</w:t>
      </w:r>
      <w:proofErr w:type="spellEnd"/>
      <w:r w:rsidRPr="00B157FE">
        <w:rPr>
          <w:sz w:val="28"/>
          <w:szCs w:val="28"/>
        </w:rPr>
        <w:t xml:space="preserve"> ģenerāldirektorāta sniegto atbildi </w:t>
      </w:r>
      <w:r w:rsidR="002D33C2">
        <w:rPr>
          <w:sz w:val="28"/>
          <w:szCs w:val="28"/>
        </w:rPr>
        <w:t>FM</w:t>
      </w:r>
      <w:r w:rsidRPr="00B157FE">
        <w:rPr>
          <w:sz w:val="28"/>
          <w:szCs w:val="28"/>
        </w:rPr>
        <w:t xml:space="preserve"> un </w:t>
      </w:r>
      <w:r w:rsidRPr="00C579E3">
        <w:rPr>
          <w:sz w:val="28"/>
          <w:szCs w:val="28"/>
        </w:rPr>
        <w:t xml:space="preserve">atbilstīgie izdevumi </w:t>
      </w:r>
      <w:r w:rsidRPr="00B157FE">
        <w:rPr>
          <w:sz w:val="28"/>
          <w:szCs w:val="28"/>
        </w:rPr>
        <w:t>neatbilst izmaksu deklarēšanas nosacījumiem</w:t>
      </w:r>
      <w:r w:rsidRPr="00C579E3">
        <w:rPr>
          <w:sz w:val="28"/>
          <w:szCs w:val="28"/>
        </w:rPr>
        <w:t>, proti, tie izmaksāti pēc noteiktā termiņa (2015.</w:t>
      </w:r>
      <w:r w:rsidR="002D33C2">
        <w:rPr>
          <w:sz w:val="28"/>
          <w:szCs w:val="28"/>
        </w:rPr>
        <w:t> </w:t>
      </w:r>
      <w:r w:rsidRPr="00C579E3">
        <w:rPr>
          <w:sz w:val="28"/>
          <w:szCs w:val="28"/>
        </w:rPr>
        <w:t>gada 31.</w:t>
      </w:r>
      <w:r w:rsidR="002D33C2">
        <w:rPr>
          <w:sz w:val="28"/>
          <w:szCs w:val="28"/>
        </w:rPr>
        <w:t> </w:t>
      </w:r>
      <w:r w:rsidRPr="00C579E3">
        <w:rPr>
          <w:sz w:val="28"/>
          <w:szCs w:val="28"/>
        </w:rPr>
        <w:t xml:space="preserve">decembra). </w:t>
      </w:r>
      <w:r w:rsidRPr="00B157FE">
        <w:rPr>
          <w:sz w:val="28"/>
          <w:szCs w:val="28"/>
        </w:rPr>
        <w:t>Minētais termiņu kavējums saistāms ar atšķirīgo EM un EK izpratni par atbilstīgo izdevumu deklarēšanas termiņu.</w:t>
      </w:r>
    </w:p>
    <w:p w14:paraId="0663B147" w14:textId="46D9F201" w:rsidR="00B157FE" w:rsidRDefault="00B157FE" w:rsidP="00897CFF">
      <w:pPr>
        <w:spacing w:before="120" w:after="120"/>
        <w:ind w:firstLine="720"/>
        <w:jc w:val="both"/>
        <w:rPr>
          <w:sz w:val="28"/>
          <w:szCs w:val="28"/>
        </w:rPr>
      </w:pPr>
      <w:r w:rsidRPr="00B157FE">
        <w:rPr>
          <w:sz w:val="28"/>
          <w:szCs w:val="28"/>
        </w:rPr>
        <w:t xml:space="preserve">Minētie finanšu līdzekļi pēc būtības izlietoti </w:t>
      </w:r>
      <w:r w:rsidR="002D33C2">
        <w:rPr>
          <w:sz w:val="28"/>
          <w:szCs w:val="28"/>
        </w:rPr>
        <w:t>2.2.1.4.2. </w:t>
      </w:r>
      <w:proofErr w:type="spellStart"/>
      <w:r w:rsidR="002D33C2" w:rsidRPr="00B157FE">
        <w:rPr>
          <w:sz w:val="28"/>
          <w:szCs w:val="28"/>
        </w:rPr>
        <w:t>apakšaktivitātes</w:t>
      </w:r>
      <w:proofErr w:type="spellEnd"/>
      <w:r w:rsidR="002D33C2" w:rsidRPr="00B157FE">
        <w:rPr>
          <w:sz w:val="28"/>
          <w:szCs w:val="28"/>
        </w:rPr>
        <w:t xml:space="preserve"> </w:t>
      </w:r>
      <w:r w:rsidRPr="00B157FE">
        <w:rPr>
          <w:sz w:val="28"/>
          <w:szCs w:val="28"/>
        </w:rPr>
        <w:t>mērķu sasniegšanai, proti minētā summa ir izmantota lietderīgam un atbilstošam mērķim – sniegts atbalsts uzņēmumiem saskaņā ar visiem nosacījumiem un informāciju, kas bija A</w:t>
      </w:r>
      <w:r w:rsidR="003A1ACB">
        <w:rPr>
          <w:sz w:val="28"/>
          <w:szCs w:val="28"/>
        </w:rPr>
        <w:t>L</w:t>
      </w:r>
      <w:bookmarkStart w:id="19" w:name="_GoBack"/>
      <w:bookmarkEnd w:id="19"/>
      <w:r w:rsidR="003A1ACB">
        <w:rPr>
          <w:sz w:val="28"/>
          <w:szCs w:val="28"/>
        </w:rPr>
        <w:t>TUM</w:t>
      </w:r>
      <w:r w:rsidRPr="00B157FE">
        <w:rPr>
          <w:sz w:val="28"/>
          <w:szCs w:val="28"/>
        </w:rPr>
        <w:t xml:space="preserve"> rīcīb</w:t>
      </w:r>
      <w:r w:rsidRPr="002D33C2">
        <w:rPr>
          <w:sz w:val="28"/>
          <w:szCs w:val="28"/>
        </w:rPr>
        <w:t xml:space="preserve">ā atbalsta izsniegšanas brīdī. Tāpat nepieciešams </w:t>
      </w:r>
      <w:r w:rsidR="002D33C2">
        <w:rPr>
          <w:sz w:val="28"/>
          <w:szCs w:val="28"/>
        </w:rPr>
        <w:t>uzsvērt</w:t>
      </w:r>
      <w:r w:rsidRPr="002D33C2">
        <w:rPr>
          <w:sz w:val="28"/>
          <w:szCs w:val="28"/>
        </w:rPr>
        <w:t xml:space="preserve">, ka minētajam finansējumam nebija ietekmes uz kopējo deklarāciju EK, ņemot vērā, ka ERAF finansējums kopumā tika deklarēts 100% apmērā. </w:t>
      </w:r>
      <w:r w:rsidR="005B479E">
        <w:rPr>
          <w:sz w:val="28"/>
          <w:szCs w:val="28"/>
        </w:rPr>
        <w:t>S</w:t>
      </w:r>
      <w:r w:rsidRPr="002D33C2">
        <w:rPr>
          <w:sz w:val="28"/>
          <w:szCs w:val="28"/>
        </w:rPr>
        <w:t xml:space="preserve">askaņā ar </w:t>
      </w:r>
      <w:r w:rsidRPr="00C579E3">
        <w:rPr>
          <w:sz w:val="28"/>
          <w:szCs w:val="28"/>
        </w:rPr>
        <w:t>EM veiktās dienesta pārbaudes laikā gūtajiem secinājumiem, šobrīd nevar tikt konsta</w:t>
      </w:r>
      <w:r w:rsidR="005B479E">
        <w:rPr>
          <w:sz w:val="28"/>
          <w:szCs w:val="28"/>
        </w:rPr>
        <w:t>tēti zaudējumi valsts budžetam.</w:t>
      </w:r>
    </w:p>
    <w:p w14:paraId="2E29252C" w14:textId="77777777" w:rsidR="00866986" w:rsidRPr="00866986" w:rsidRDefault="00866986" w:rsidP="00897CFF">
      <w:pPr>
        <w:spacing w:before="120" w:after="120"/>
        <w:ind w:firstLine="720"/>
        <w:jc w:val="both"/>
        <w:rPr>
          <w:sz w:val="28"/>
          <w:szCs w:val="28"/>
        </w:rPr>
      </w:pPr>
    </w:p>
    <w:p w14:paraId="19D3E503" w14:textId="219F6D3E" w:rsidR="00BD5BEB" w:rsidRPr="008A2B1C" w:rsidRDefault="00BD5BEB" w:rsidP="00BD5BEB">
      <w:pPr>
        <w:ind w:firstLine="720"/>
        <w:jc w:val="both"/>
      </w:pPr>
      <w:bookmarkStart w:id="20" w:name="_Toc472690743"/>
      <w:bookmarkEnd w:id="18"/>
      <w:r w:rsidRPr="008A2B1C">
        <w:rPr>
          <w:b/>
          <w:i/>
          <w:sz w:val="28"/>
        </w:rPr>
        <w:t>ES fondu 2014.</w:t>
      </w:r>
      <w:r>
        <w:rPr>
          <w:b/>
          <w:i/>
          <w:sz w:val="28"/>
        </w:rPr>
        <w:t xml:space="preserve"> </w:t>
      </w:r>
      <w:r w:rsidRPr="005C31F0">
        <w:rPr>
          <w:b/>
          <w:sz w:val="28"/>
          <w:szCs w:val="28"/>
        </w:rPr>
        <w:t>–</w:t>
      </w:r>
      <w:r>
        <w:rPr>
          <w:b/>
          <w:i/>
          <w:sz w:val="28"/>
        </w:rPr>
        <w:t xml:space="preserve"> </w:t>
      </w:r>
      <w:r w:rsidRPr="008A2B1C">
        <w:rPr>
          <w:b/>
          <w:i/>
          <w:sz w:val="28"/>
        </w:rPr>
        <w:t>2020. gada plānošanas period</w:t>
      </w:r>
      <w:r>
        <w:rPr>
          <w:b/>
          <w:i/>
          <w:sz w:val="28"/>
        </w:rPr>
        <w:t>a</w:t>
      </w:r>
      <w:r w:rsidRPr="008A2B1C">
        <w:rPr>
          <w:b/>
          <w:i/>
          <w:sz w:val="28"/>
        </w:rPr>
        <w:t xml:space="preserve"> </w:t>
      </w:r>
      <w:r>
        <w:rPr>
          <w:b/>
          <w:i/>
          <w:sz w:val="28"/>
        </w:rPr>
        <w:t>n</w:t>
      </w:r>
      <w:r w:rsidRPr="008A2B1C">
        <w:rPr>
          <w:b/>
          <w:i/>
          <w:sz w:val="28"/>
        </w:rPr>
        <w:t>eatbilstības ar finansiālu ietekmi līdz 201</w:t>
      </w:r>
      <w:r>
        <w:rPr>
          <w:b/>
          <w:i/>
          <w:sz w:val="28"/>
        </w:rPr>
        <w:t>7</w:t>
      </w:r>
      <w:r w:rsidRPr="008A2B1C">
        <w:rPr>
          <w:b/>
          <w:i/>
          <w:sz w:val="28"/>
        </w:rPr>
        <w:t xml:space="preserve">. gada </w:t>
      </w:r>
      <w:r>
        <w:rPr>
          <w:b/>
          <w:i/>
          <w:sz w:val="28"/>
        </w:rPr>
        <w:t>31.</w:t>
      </w:r>
      <w:r w:rsidR="003E3524">
        <w:rPr>
          <w:b/>
          <w:i/>
          <w:sz w:val="28"/>
        </w:rPr>
        <w:t> </w:t>
      </w:r>
      <w:r>
        <w:rPr>
          <w:b/>
          <w:i/>
          <w:sz w:val="28"/>
        </w:rPr>
        <w:t>decembrim</w:t>
      </w:r>
    </w:p>
    <w:p w14:paraId="7464CE33" w14:textId="017FF82B" w:rsidR="00BD5BEB" w:rsidRDefault="005B479E" w:rsidP="00BD5BEB">
      <w:pPr>
        <w:spacing w:before="120" w:after="120"/>
        <w:ind w:firstLine="720"/>
        <w:jc w:val="both"/>
        <w:rPr>
          <w:rFonts w:eastAsia="Times New Roman" w:cs="Times New Roman"/>
          <w:sz w:val="28"/>
          <w:szCs w:val="20"/>
        </w:rPr>
      </w:pPr>
      <w:hyperlink r:id="rId18" w:history="1">
        <w:r w:rsidR="00BD5BEB" w:rsidRPr="00EC6092">
          <w:rPr>
            <w:rFonts w:eastAsia="Times New Roman" w:cs="Times New Roman"/>
            <w:sz w:val="28"/>
            <w:szCs w:val="20"/>
          </w:rPr>
          <w:t>ES fondu tīmekļa vietnē</w:t>
        </w:r>
      </w:hyperlink>
      <w:r w:rsidR="00BD5BEB" w:rsidRPr="00EC6092">
        <w:rPr>
          <w:rFonts w:eastAsia="Times New Roman" w:cs="Times New Roman"/>
          <w:sz w:val="28"/>
          <w:szCs w:val="20"/>
          <w:vertAlign w:val="superscript"/>
        </w:rPr>
        <w:footnoteReference w:id="102"/>
      </w:r>
      <w:r w:rsidR="00BD5BEB" w:rsidRPr="00EC6092">
        <w:rPr>
          <w:rFonts w:eastAsia="Times New Roman" w:cs="Times New Roman"/>
          <w:sz w:val="28"/>
          <w:szCs w:val="20"/>
        </w:rPr>
        <w:t xml:space="preserve"> pieejama </w:t>
      </w:r>
      <w:r w:rsidR="00BD5BEB">
        <w:rPr>
          <w:rFonts w:eastAsia="Times New Roman" w:cs="Times New Roman"/>
          <w:sz w:val="28"/>
          <w:szCs w:val="20"/>
        </w:rPr>
        <w:t xml:space="preserve">aktuālā </w:t>
      </w:r>
      <w:r w:rsidR="00BD5BEB" w:rsidRPr="00EC6092">
        <w:rPr>
          <w:rFonts w:eastAsia="Times New Roman" w:cs="Times New Roman"/>
          <w:sz w:val="28"/>
          <w:szCs w:val="20"/>
        </w:rPr>
        <w:t xml:space="preserve">informācija par </w:t>
      </w:r>
      <w:r w:rsidR="00BD5BEB" w:rsidRPr="00726198">
        <w:rPr>
          <w:sz w:val="28"/>
          <w:szCs w:val="28"/>
        </w:rPr>
        <w:t>2014.</w:t>
      </w:r>
      <w:r w:rsidR="003E3524">
        <w:rPr>
          <w:sz w:val="28"/>
          <w:szCs w:val="28"/>
        </w:rPr>
        <w:t> </w:t>
      </w:r>
      <w:r w:rsidR="00BD5BEB" w:rsidRPr="00726198">
        <w:rPr>
          <w:sz w:val="28"/>
          <w:szCs w:val="28"/>
        </w:rPr>
        <w:t>–</w:t>
      </w:r>
      <w:r w:rsidR="007C5923">
        <w:rPr>
          <w:sz w:val="28"/>
          <w:szCs w:val="28"/>
        </w:rPr>
        <w:t> </w:t>
      </w:r>
      <w:r w:rsidR="00BD5BEB" w:rsidRPr="00726198">
        <w:rPr>
          <w:sz w:val="28"/>
          <w:szCs w:val="28"/>
        </w:rPr>
        <w:t>2020.</w:t>
      </w:r>
      <w:r w:rsidR="007C5923">
        <w:rPr>
          <w:sz w:val="28"/>
          <w:szCs w:val="28"/>
        </w:rPr>
        <w:t> </w:t>
      </w:r>
      <w:r w:rsidR="00BD5BEB" w:rsidRPr="00726198">
        <w:rPr>
          <w:sz w:val="28"/>
          <w:szCs w:val="28"/>
        </w:rPr>
        <w:t>gada plānošanas periodā konstatētajām neatbilstībām</w:t>
      </w:r>
      <w:r w:rsidR="00BD5BEB">
        <w:rPr>
          <w:rFonts w:eastAsia="Times New Roman" w:cs="Times New Roman"/>
          <w:sz w:val="28"/>
          <w:szCs w:val="20"/>
        </w:rPr>
        <w:t>:</w:t>
      </w:r>
    </w:p>
    <w:p w14:paraId="5A476E97" w14:textId="77777777" w:rsidR="00BD5BEB" w:rsidRDefault="00BD5BEB" w:rsidP="002A2F29">
      <w:pPr>
        <w:pStyle w:val="ListParagraph"/>
        <w:numPr>
          <w:ilvl w:val="0"/>
          <w:numId w:val="9"/>
        </w:numPr>
        <w:spacing w:before="120" w:after="120"/>
        <w:ind w:left="0" w:firstLine="0"/>
        <w:jc w:val="both"/>
        <w:rPr>
          <w:rFonts w:eastAsia="Times New Roman" w:cs="Times New Roman"/>
          <w:sz w:val="28"/>
          <w:szCs w:val="20"/>
        </w:rPr>
      </w:pPr>
      <w:r w:rsidRPr="00726198">
        <w:rPr>
          <w:rFonts w:eastAsia="Times New Roman" w:cs="Times New Roman"/>
          <w:sz w:val="28"/>
          <w:szCs w:val="20"/>
        </w:rPr>
        <w:t>tabulā Nr. 1 – informācija par neatbilstoši veiktiem izdevumiem un atgūtiem neatbilstoši veiktiem izdevumiem pārskata periodā un kumula</w:t>
      </w:r>
      <w:r>
        <w:rPr>
          <w:rFonts w:eastAsia="Times New Roman" w:cs="Times New Roman"/>
          <w:sz w:val="28"/>
          <w:szCs w:val="20"/>
        </w:rPr>
        <w:t>tīvi uz pārskata perioda beigām;</w:t>
      </w:r>
      <w:r w:rsidRPr="00726198">
        <w:rPr>
          <w:rFonts w:eastAsia="Times New Roman" w:cs="Times New Roman"/>
          <w:sz w:val="28"/>
          <w:szCs w:val="20"/>
        </w:rPr>
        <w:t xml:space="preserve"> </w:t>
      </w:r>
    </w:p>
    <w:p w14:paraId="016A7EA3" w14:textId="46C0A554" w:rsidR="00BD5BEB" w:rsidRDefault="00BD5BEB" w:rsidP="002A2F29">
      <w:pPr>
        <w:pStyle w:val="ListParagraph"/>
        <w:numPr>
          <w:ilvl w:val="0"/>
          <w:numId w:val="9"/>
        </w:numPr>
        <w:spacing w:before="120" w:after="120"/>
        <w:ind w:left="0" w:firstLine="0"/>
        <w:jc w:val="both"/>
        <w:rPr>
          <w:rFonts w:eastAsia="Times New Roman" w:cs="Times New Roman"/>
          <w:sz w:val="28"/>
          <w:szCs w:val="20"/>
        </w:rPr>
      </w:pPr>
      <w:r w:rsidRPr="00726198">
        <w:rPr>
          <w:rFonts w:eastAsia="Times New Roman" w:cs="Times New Roman"/>
          <w:sz w:val="28"/>
          <w:szCs w:val="20"/>
        </w:rPr>
        <w:t>tabulā Nr. 2 – informācija par 2017.</w:t>
      </w:r>
      <w:r w:rsidR="003E3524">
        <w:rPr>
          <w:rFonts w:eastAsia="Times New Roman" w:cs="Times New Roman"/>
          <w:sz w:val="28"/>
          <w:szCs w:val="20"/>
        </w:rPr>
        <w:t> </w:t>
      </w:r>
      <w:r w:rsidRPr="00726198">
        <w:rPr>
          <w:rFonts w:eastAsia="Times New Roman" w:cs="Times New Roman"/>
          <w:sz w:val="28"/>
          <w:szCs w:val="20"/>
        </w:rPr>
        <w:t>gada I</w:t>
      </w:r>
      <w:r>
        <w:rPr>
          <w:rFonts w:eastAsia="Times New Roman" w:cs="Times New Roman"/>
          <w:sz w:val="28"/>
          <w:szCs w:val="20"/>
        </w:rPr>
        <w:t>I</w:t>
      </w:r>
      <w:r w:rsidR="003E3524">
        <w:rPr>
          <w:rFonts w:eastAsia="Times New Roman" w:cs="Times New Roman"/>
          <w:sz w:val="28"/>
          <w:szCs w:val="20"/>
        </w:rPr>
        <w:t> </w:t>
      </w:r>
      <w:r w:rsidRPr="00726198">
        <w:rPr>
          <w:rFonts w:eastAsia="Times New Roman" w:cs="Times New Roman"/>
          <w:sz w:val="28"/>
          <w:szCs w:val="20"/>
        </w:rPr>
        <w:t>pusgadā</w:t>
      </w:r>
      <w:r w:rsidRPr="00726198">
        <w:rPr>
          <w:rFonts w:eastAsia="Times New Roman" w:cs="Times New Roman"/>
          <w:color w:val="FF0000"/>
          <w:sz w:val="28"/>
          <w:szCs w:val="20"/>
        </w:rPr>
        <w:t xml:space="preserve"> </w:t>
      </w:r>
      <w:r w:rsidRPr="00726198">
        <w:rPr>
          <w:rFonts w:eastAsia="Times New Roman" w:cs="Times New Roman"/>
          <w:sz w:val="28"/>
          <w:szCs w:val="20"/>
        </w:rPr>
        <w:t>konstatētajām neatbilstībām tiešo vai pastarpināto valsts pārvaldes iestāžu, atvasināto publisko personu vai citu valsts iestāžu īstenotajos projektos</w:t>
      </w:r>
      <w:r>
        <w:rPr>
          <w:rFonts w:eastAsia="Times New Roman" w:cs="Times New Roman"/>
          <w:sz w:val="28"/>
          <w:szCs w:val="20"/>
        </w:rPr>
        <w:t>;</w:t>
      </w:r>
    </w:p>
    <w:p w14:paraId="6D88D647" w14:textId="77777777" w:rsidR="00BD5BEB" w:rsidRPr="00726198" w:rsidRDefault="00BD5BEB" w:rsidP="002A2F29">
      <w:pPr>
        <w:pStyle w:val="ListParagraph"/>
        <w:numPr>
          <w:ilvl w:val="0"/>
          <w:numId w:val="9"/>
        </w:numPr>
        <w:spacing w:before="120" w:after="120"/>
        <w:ind w:left="0" w:firstLine="0"/>
        <w:jc w:val="both"/>
        <w:rPr>
          <w:rFonts w:eastAsia="Times New Roman" w:cs="Times New Roman"/>
          <w:sz w:val="28"/>
          <w:szCs w:val="20"/>
        </w:rPr>
      </w:pPr>
      <w:r w:rsidRPr="00726198">
        <w:rPr>
          <w:rFonts w:eastAsia="Times New Roman" w:cs="Times New Roman"/>
          <w:sz w:val="28"/>
          <w:szCs w:val="20"/>
        </w:rPr>
        <w:t>tabulā Nr. 3 –</w:t>
      </w:r>
      <w:r>
        <w:rPr>
          <w:rFonts w:eastAsia="Times New Roman" w:cs="Times New Roman"/>
          <w:sz w:val="28"/>
          <w:szCs w:val="20"/>
        </w:rPr>
        <w:t xml:space="preserve"> </w:t>
      </w:r>
      <w:r w:rsidRPr="00726198">
        <w:rPr>
          <w:rFonts w:eastAsia="Times New Roman" w:cs="Times New Roman"/>
          <w:sz w:val="28"/>
          <w:szCs w:val="20"/>
        </w:rPr>
        <w:t xml:space="preserve">informācija par aktivitātēm, kurās konstatēto neatbilstību apjoms pret aktivitātēs pieprasīto finansējumu pārsniedz 2 % līmeni, norādot jomas, kurām </w:t>
      </w:r>
      <w:r>
        <w:rPr>
          <w:rFonts w:eastAsia="Times New Roman" w:cs="Times New Roman"/>
          <w:sz w:val="28"/>
          <w:szCs w:val="20"/>
        </w:rPr>
        <w:t>jāveic</w:t>
      </w:r>
      <w:r w:rsidRPr="00726198">
        <w:rPr>
          <w:rFonts w:eastAsia="Times New Roman" w:cs="Times New Roman"/>
          <w:sz w:val="28"/>
          <w:szCs w:val="20"/>
        </w:rPr>
        <w:t xml:space="preserve"> pastiprināta uzraudzība no VI, AI un SI puses.</w:t>
      </w:r>
    </w:p>
    <w:p w14:paraId="3591624C" w14:textId="21A0F908" w:rsidR="00BD5BEB" w:rsidRPr="00A243BE" w:rsidRDefault="00BD5BEB" w:rsidP="00BD5BEB">
      <w:pPr>
        <w:ind w:firstLine="709"/>
        <w:jc w:val="both"/>
        <w:rPr>
          <w:sz w:val="28"/>
          <w:szCs w:val="28"/>
        </w:rPr>
      </w:pPr>
      <w:r w:rsidRPr="00A243BE">
        <w:rPr>
          <w:sz w:val="28"/>
          <w:szCs w:val="28"/>
        </w:rPr>
        <w:t>Analizējot datus par 2014.</w:t>
      </w:r>
      <w:r w:rsidR="00531A0C">
        <w:rPr>
          <w:sz w:val="28"/>
          <w:szCs w:val="28"/>
        </w:rPr>
        <w:t> </w:t>
      </w:r>
      <w:r w:rsidRPr="00A243BE">
        <w:rPr>
          <w:sz w:val="28"/>
          <w:szCs w:val="28"/>
        </w:rPr>
        <w:t>–</w:t>
      </w:r>
      <w:r w:rsidR="00531A0C">
        <w:rPr>
          <w:sz w:val="28"/>
          <w:szCs w:val="28"/>
        </w:rPr>
        <w:t> </w:t>
      </w:r>
      <w:r w:rsidRPr="00A243BE">
        <w:rPr>
          <w:sz w:val="28"/>
          <w:szCs w:val="28"/>
        </w:rPr>
        <w:t>2020.</w:t>
      </w:r>
      <w:r w:rsidR="00531A0C">
        <w:rPr>
          <w:sz w:val="28"/>
          <w:szCs w:val="28"/>
        </w:rPr>
        <w:t> </w:t>
      </w:r>
      <w:r w:rsidRPr="00A243BE">
        <w:rPr>
          <w:sz w:val="28"/>
          <w:szCs w:val="28"/>
        </w:rPr>
        <w:t>gada plānošanas periodu, secināms, ka kopumā neatbilstību apjoms, salīdzinot ar datiem uz 2017.</w:t>
      </w:r>
      <w:r w:rsidR="00531A0C">
        <w:rPr>
          <w:sz w:val="28"/>
          <w:szCs w:val="28"/>
        </w:rPr>
        <w:t> </w:t>
      </w:r>
      <w:r w:rsidRPr="00A243BE">
        <w:rPr>
          <w:sz w:val="28"/>
          <w:szCs w:val="28"/>
        </w:rPr>
        <w:t xml:space="preserve">gada </w:t>
      </w:r>
      <w:r>
        <w:rPr>
          <w:sz w:val="28"/>
          <w:szCs w:val="28"/>
        </w:rPr>
        <w:t>I</w:t>
      </w:r>
      <w:r w:rsidR="00531A0C">
        <w:rPr>
          <w:sz w:val="28"/>
          <w:szCs w:val="28"/>
        </w:rPr>
        <w:t> </w:t>
      </w:r>
      <w:r>
        <w:rPr>
          <w:sz w:val="28"/>
          <w:szCs w:val="28"/>
        </w:rPr>
        <w:t>pusgada beigām</w:t>
      </w:r>
      <w:r w:rsidRPr="00A243BE">
        <w:rPr>
          <w:sz w:val="28"/>
          <w:szCs w:val="28"/>
        </w:rPr>
        <w:t>, ir palielinājies minimāli</w:t>
      </w:r>
      <w:r w:rsidR="003E3524">
        <w:rPr>
          <w:sz w:val="28"/>
          <w:szCs w:val="28"/>
        </w:rPr>
        <w:t xml:space="preserve"> </w:t>
      </w:r>
      <w:r w:rsidRPr="00A243BE">
        <w:rPr>
          <w:sz w:val="28"/>
          <w:szCs w:val="28"/>
        </w:rPr>
        <w:t>–</w:t>
      </w:r>
      <w:r w:rsidR="003E3524">
        <w:rPr>
          <w:sz w:val="28"/>
          <w:szCs w:val="28"/>
        </w:rPr>
        <w:t xml:space="preserve"> </w:t>
      </w:r>
      <w:r w:rsidRPr="00A243BE">
        <w:rPr>
          <w:sz w:val="28"/>
          <w:szCs w:val="28"/>
        </w:rPr>
        <w:t>par 0,3</w:t>
      </w:r>
      <w:r w:rsidR="00531A0C">
        <w:rPr>
          <w:sz w:val="28"/>
          <w:szCs w:val="28"/>
        </w:rPr>
        <w:t> </w:t>
      </w:r>
      <w:r w:rsidRPr="00A243BE">
        <w:rPr>
          <w:sz w:val="28"/>
          <w:szCs w:val="28"/>
        </w:rPr>
        <w:t>%, kas finansiālā izteiksmē</w:t>
      </w:r>
      <w:r>
        <w:rPr>
          <w:sz w:val="28"/>
          <w:szCs w:val="28"/>
        </w:rPr>
        <w:t xml:space="preserve"> ir 181,</w:t>
      </w:r>
      <w:r w:rsidRPr="00A243BE">
        <w:rPr>
          <w:sz w:val="28"/>
          <w:szCs w:val="28"/>
        </w:rPr>
        <w:t>5 </w:t>
      </w:r>
      <w:r w:rsidRPr="00A243BE">
        <w:rPr>
          <w:rFonts w:eastAsia="EUAlbertina-Bold-Identity-H" w:cs="Times New Roman"/>
          <w:sz w:val="28"/>
          <w:szCs w:val="24"/>
        </w:rPr>
        <w:t>tūkst.</w:t>
      </w:r>
      <w:r w:rsidR="00531A0C">
        <w:rPr>
          <w:rFonts w:eastAsia="EUAlbertina-Bold-Identity-H" w:cs="Times New Roman"/>
          <w:sz w:val="28"/>
          <w:szCs w:val="24"/>
        </w:rPr>
        <w:t> </w:t>
      </w:r>
      <w:r w:rsidRPr="00A243BE">
        <w:rPr>
          <w:rFonts w:eastAsia="EUAlbertina-Bold-Identity-H" w:cs="Times New Roman"/>
          <w:i/>
          <w:sz w:val="28"/>
          <w:szCs w:val="24"/>
        </w:rPr>
        <w:t>euro.</w:t>
      </w:r>
      <w:r w:rsidRPr="00A243BE">
        <w:rPr>
          <w:sz w:val="28"/>
          <w:szCs w:val="28"/>
        </w:rPr>
        <w:t xml:space="preserve"> </w:t>
      </w:r>
    </w:p>
    <w:p w14:paraId="151FC7CA" w14:textId="60D45E02" w:rsidR="00866986" w:rsidRDefault="00BD5BEB" w:rsidP="00A47C5F">
      <w:pPr>
        <w:spacing w:after="120"/>
        <w:ind w:firstLine="720"/>
        <w:jc w:val="both"/>
        <w:rPr>
          <w:sz w:val="28"/>
          <w:szCs w:val="28"/>
        </w:rPr>
      </w:pPr>
      <w:r>
        <w:rPr>
          <w:sz w:val="28"/>
          <w:szCs w:val="28"/>
        </w:rPr>
        <w:t>II</w:t>
      </w:r>
      <w:r w:rsidR="00531A0C">
        <w:rPr>
          <w:sz w:val="28"/>
          <w:szCs w:val="28"/>
        </w:rPr>
        <w:t> </w:t>
      </w:r>
      <w:r w:rsidRPr="00A243BE">
        <w:rPr>
          <w:sz w:val="28"/>
          <w:szCs w:val="28"/>
        </w:rPr>
        <w:t>pusgadā kopā konstatētas 52</w:t>
      </w:r>
      <w:r w:rsidR="007C5923">
        <w:rPr>
          <w:sz w:val="28"/>
          <w:szCs w:val="28"/>
        </w:rPr>
        <w:t> </w:t>
      </w:r>
      <w:r w:rsidRPr="00A243BE">
        <w:rPr>
          <w:sz w:val="28"/>
          <w:szCs w:val="28"/>
        </w:rPr>
        <w:t>jaunas neatbilstības,</w:t>
      </w:r>
      <w:r>
        <w:rPr>
          <w:sz w:val="28"/>
          <w:szCs w:val="28"/>
        </w:rPr>
        <w:t xml:space="preserve"> </w:t>
      </w:r>
      <w:r w:rsidRPr="00A243BE">
        <w:rPr>
          <w:sz w:val="28"/>
          <w:szCs w:val="28"/>
        </w:rPr>
        <w:t>kas veido neatbilstoši veikt</w:t>
      </w:r>
      <w:r>
        <w:rPr>
          <w:sz w:val="28"/>
          <w:szCs w:val="28"/>
        </w:rPr>
        <w:t xml:space="preserve">os </w:t>
      </w:r>
      <w:r w:rsidRPr="00B277C8">
        <w:rPr>
          <w:sz w:val="28"/>
          <w:szCs w:val="28"/>
        </w:rPr>
        <w:t>izdevumus 295,6</w:t>
      </w:r>
      <w:r w:rsidR="00531A0C">
        <w:rPr>
          <w:sz w:val="28"/>
          <w:szCs w:val="28"/>
        </w:rPr>
        <w:t> </w:t>
      </w:r>
      <w:r w:rsidRPr="00B277C8">
        <w:rPr>
          <w:rFonts w:eastAsia="EUAlbertina-Bold-Identity-H" w:cs="Times New Roman"/>
          <w:sz w:val="28"/>
          <w:szCs w:val="24"/>
        </w:rPr>
        <w:t>tūkst.</w:t>
      </w:r>
      <w:r w:rsidR="00531A0C">
        <w:rPr>
          <w:rFonts w:eastAsia="EUAlbertina-Bold-Identity-H" w:cs="Times New Roman"/>
          <w:sz w:val="28"/>
          <w:szCs w:val="24"/>
        </w:rPr>
        <w:t> </w:t>
      </w:r>
      <w:r w:rsidRPr="00994079">
        <w:rPr>
          <w:rFonts w:eastAsia="EUAlbertina-Bold-Identity-H" w:cs="Times New Roman"/>
          <w:i/>
          <w:sz w:val="28"/>
          <w:szCs w:val="24"/>
        </w:rPr>
        <w:t>euro</w:t>
      </w:r>
      <w:r w:rsidRPr="00994079">
        <w:rPr>
          <w:sz w:val="28"/>
          <w:szCs w:val="28"/>
        </w:rPr>
        <w:t xml:space="preserve"> apmērā (skatīt ilustrācijā Nr.</w:t>
      </w:r>
      <w:r w:rsidR="00866986">
        <w:rPr>
          <w:sz w:val="28"/>
          <w:szCs w:val="28"/>
        </w:rPr>
        <w:t>6</w:t>
      </w:r>
      <w:r w:rsidRPr="00994079">
        <w:rPr>
          <w:sz w:val="28"/>
          <w:szCs w:val="28"/>
        </w:rPr>
        <w:t xml:space="preserve">). </w:t>
      </w:r>
    </w:p>
    <w:p w14:paraId="13FFAC16" w14:textId="4DB19D0E" w:rsidR="006945ED" w:rsidRPr="00281281" w:rsidRDefault="00866986" w:rsidP="00866986">
      <w:pPr>
        <w:rPr>
          <w:sz w:val="28"/>
          <w:szCs w:val="28"/>
        </w:rPr>
      </w:pPr>
      <w:r>
        <w:rPr>
          <w:sz w:val="28"/>
          <w:szCs w:val="28"/>
        </w:rPr>
        <w:br w:type="page"/>
      </w:r>
    </w:p>
    <w:p w14:paraId="0D6BF49C" w14:textId="052CB716" w:rsidR="00BD5BEB" w:rsidRPr="00F02FD1" w:rsidRDefault="00BD5BEB" w:rsidP="0084654C">
      <w:pPr>
        <w:ind w:firstLine="720"/>
        <w:jc w:val="both"/>
        <w:rPr>
          <w:rFonts w:eastAsia="EUAlbertina-Bold-Identity-H" w:cs="Times New Roman"/>
          <w:i/>
          <w:szCs w:val="28"/>
        </w:rPr>
      </w:pPr>
      <w:r w:rsidRPr="00994079">
        <w:rPr>
          <w:rFonts w:eastAsia="EUAlbertina-Bold-Identity-H" w:cs="Times New Roman"/>
          <w:i/>
          <w:szCs w:val="28"/>
        </w:rPr>
        <w:lastRenderedPageBreak/>
        <w:t>Ilustrācija Nr.</w:t>
      </w:r>
      <w:r w:rsidR="00F4624E">
        <w:rPr>
          <w:rFonts w:eastAsia="EUAlbertina-Bold-Identity-H" w:cs="Times New Roman"/>
          <w:i/>
          <w:szCs w:val="28"/>
        </w:rPr>
        <w:t>6</w:t>
      </w:r>
      <w:r w:rsidRPr="00994079">
        <w:rPr>
          <w:rFonts w:eastAsia="EUAlbertina-Bold-Identity-H" w:cs="Times New Roman"/>
          <w:i/>
          <w:szCs w:val="28"/>
        </w:rPr>
        <w:t xml:space="preserve">. Neatbilstoši veiktie izdevumi </w:t>
      </w:r>
      <w:r w:rsidRPr="00994079">
        <w:rPr>
          <w:rFonts w:eastAsia="EUAlbertina-Bold-Identity-H" w:cs="Times New Roman"/>
          <w:bCs/>
          <w:i/>
          <w:szCs w:val="28"/>
        </w:rPr>
        <w:t>2017.</w:t>
      </w:r>
      <w:r w:rsidR="007C5923" w:rsidRPr="00994079">
        <w:rPr>
          <w:rFonts w:eastAsia="EUAlbertina-Bold-Identity-H" w:cs="Times New Roman"/>
          <w:bCs/>
          <w:i/>
          <w:szCs w:val="28"/>
        </w:rPr>
        <w:t> </w:t>
      </w:r>
      <w:r w:rsidRPr="00994079">
        <w:rPr>
          <w:rFonts w:eastAsia="EUAlbertina-Bold-Identity-H" w:cs="Times New Roman"/>
          <w:bCs/>
          <w:i/>
          <w:szCs w:val="28"/>
        </w:rPr>
        <w:t>gada II</w:t>
      </w:r>
      <w:r w:rsidR="007C5923" w:rsidRPr="00994079">
        <w:rPr>
          <w:rFonts w:eastAsia="EUAlbertina-Bold-Identity-H" w:cs="Times New Roman"/>
          <w:bCs/>
          <w:i/>
          <w:szCs w:val="28"/>
        </w:rPr>
        <w:t> </w:t>
      </w:r>
      <w:r w:rsidRPr="00994079">
        <w:rPr>
          <w:rFonts w:eastAsia="EUAlbertina-Bold-Identity-H" w:cs="Times New Roman"/>
          <w:bCs/>
          <w:i/>
          <w:szCs w:val="28"/>
        </w:rPr>
        <w:t>pusgadā</w:t>
      </w:r>
      <w:r w:rsidRPr="00994079">
        <w:rPr>
          <w:rFonts w:eastAsia="EUAlbertina-Bold-Identity-H" w:cs="Times New Roman"/>
          <w:bCs/>
          <w:szCs w:val="28"/>
        </w:rPr>
        <w:t xml:space="preserve"> </w:t>
      </w:r>
      <w:r w:rsidRPr="00994079">
        <w:rPr>
          <w:rFonts w:eastAsia="EUAlbertina-Bold-Identity-H" w:cs="Times New Roman"/>
          <w:bCs/>
          <w:i/>
          <w:iCs/>
          <w:szCs w:val="28"/>
        </w:rPr>
        <w:t>euro,</w:t>
      </w:r>
      <w:r w:rsidRPr="00994079">
        <w:rPr>
          <w:rFonts w:eastAsia="EUAlbertina-Bold-Identity-H" w:cs="Times New Roman"/>
          <w:b/>
          <w:bCs/>
          <w:i/>
          <w:iCs/>
          <w:szCs w:val="28"/>
        </w:rPr>
        <w:t xml:space="preserve"> </w:t>
      </w:r>
      <w:r w:rsidRPr="00994079">
        <w:rPr>
          <w:rFonts w:eastAsia="EUAlbertina-Bold-Identity-H" w:cs="Times New Roman"/>
          <w:i/>
          <w:szCs w:val="28"/>
        </w:rPr>
        <w:t>sadalījumā pa neatbilstību veidiem [neatbilstību skaits].</w:t>
      </w:r>
    </w:p>
    <w:p w14:paraId="0193BB73" w14:textId="77777777" w:rsidR="00BD5BEB" w:rsidRDefault="00BD5BEB" w:rsidP="00BD5BEB">
      <w:pPr>
        <w:spacing w:after="120" w:line="276" w:lineRule="auto"/>
        <w:ind w:hanging="142"/>
        <w:jc w:val="both"/>
        <w:rPr>
          <w:sz w:val="28"/>
          <w:szCs w:val="28"/>
        </w:rPr>
      </w:pPr>
      <w:r>
        <w:rPr>
          <w:noProof/>
          <w:lang w:eastAsia="lv-LV"/>
        </w:rPr>
        <w:drawing>
          <wp:inline distT="0" distB="0" distL="0" distR="0" wp14:anchorId="75A3680E" wp14:editId="18DBE8DC">
            <wp:extent cx="5760085" cy="2698870"/>
            <wp:effectExtent l="0" t="0" r="12065"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B8AD5CA" w14:textId="4193F3F9" w:rsidR="00BD5BEB" w:rsidRDefault="00BD5BEB" w:rsidP="00A47C5F">
      <w:pPr>
        <w:spacing w:before="120" w:after="120"/>
        <w:ind w:firstLine="720"/>
        <w:jc w:val="both"/>
        <w:rPr>
          <w:sz w:val="28"/>
          <w:szCs w:val="28"/>
        </w:rPr>
      </w:pPr>
      <w:r>
        <w:rPr>
          <w:sz w:val="28"/>
          <w:szCs w:val="28"/>
        </w:rPr>
        <w:t>96,18</w:t>
      </w:r>
      <w:r w:rsidR="00531A0C">
        <w:rPr>
          <w:sz w:val="28"/>
          <w:szCs w:val="28"/>
        </w:rPr>
        <w:t> </w:t>
      </w:r>
      <w:r>
        <w:rPr>
          <w:sz w:val="28"/>
          <w:szCs w:val="28"/>
        </w:rPr>
        <w:t xml:space="preserve">% no visiem neatbilstoši veiktajiem izdevumiem konstatēti </w:t>
      </w:r>
      <w:r w:rsidR="007C5923">
        <w:rPr>
          <w:sz w:val="28"/>
          <w:szCs w:val="28"/>
        </w:rPr>
        <w:t>FS</w:t>
      </w:r>
      <w:r>
        <w:rPr>
          <w:sz w:val="28"/>
          <w:szCs w:val="28"/>
        </w:rPr>
        <w:t xml:space="preserve"> iesniegto m</w:t>
      </w:r>
      <w:r w:rsidRPr="005D78BB">
        <w:rPr>
          <w:sz w:val="28"/>
          <w:szCs w:val="28"/>
        </w:rPr>
        <w:t>aksājuma pieprasījum</w:t>
      </w:r>
      <w:r>
        <w:rPr>
          <w:sz w:val="28"/>
          <w:szCs w:val="28"/>
        </w:rPr>
        <w:t>u un to pamatojošo dokumentu</w:t>
      </w:r>
      <w:r w:rsidRPr="005D78BB">
        <w:rPr>
          <w:sz w:val="28"/>
          <w:szCs w:val="28"/>
        </w:rPr>
        <w:t xml:space="preserve"> pārbaud</w:t>
      </w:r>
      <w:r>
        <w:rPr>
          <w:sz w:val="28"/>
          <w:szCs w:val="28"/>
        </w:rPr>
        <w:t>ēs.</w:t>
      </w:r>
    </w:p>
    <w:p w14:paraId="383863E7" w14:textId="77777777" w:rsidR="00BD5BEB" w:rsidRDefault="00BD5BEB" w:rsidP="00A47C5F">
      <w:pPr>
        <w:spacing w:before="120" w:after="120"/>
        <w:ind w:firstLine="720"/>
        <w:jc w:val="both"/>
        <w:rPr>
          <w:sz w:val="28"/>
          <w:szCs w:val="28"/>
        </w:rPr>
      </w:pPr>
      <w:r>
        <w:rPr>
          <w:sz w:val="28"/>
          <w:szCs w:val="28"/>
        </w:rPr>
        <w:t>Iepirkuma vai konkurences pārkāpumi galvenokārt konstatēti par:</w:t>
      </w:r>
    </w:p>
    <w:p w14:paraId="665D58C3" w14:textId="77777777" w:rsidR="00BD5BEB" w:rsidRDefault="00BD5BEB" w:rsidP="0062255B">
      <w:pPr>
        <w:pStyle w:val="ListParagraph"/>
        <w:numPr>
          <w:ilvl w:val="0"/>
          <w:numId w:val="10"/>
        </w:numPr>
        <w:spacing w:before="120" w:after="120"/>
        <w:contextualSpacing w:val="0"/>
        <w:jc w:val="both"/>
        <w:rPr>
          <w:sz w:val="28"/>
          <w:szCs w:val="28"/>
        </w:rPr>
      </w:pPr>
      <w:r w:rsidRPr="004939D4">
        <w:rPr>
          <w:sz w:val="28"/>
          <w:szCs w:val="28"/>
        </w:rPr>
        <w:t>Konkursa paziņojumā vai konkursa dokumentācijā izmantotiem nelikumīgiem un/vai diskriminējošiem atlases un/vai vērtēšanas kritērijiem;</w:t>
      </w:r>
    </w:p>
    <w:p w14:paraId="26233012" w14:textId="77777777" w:rsidR="00BD5BEB" w:rsidRPr="004939D4" w:rsidRDefault="00BD5BEB" w:rsidP="0062255B">
      <w:pPr>
        <w:pStyle w:val="ListParagraph"/>
        <w:numPr>
          <w:ilvl w:val="0"/>
          <w:numId w:val="10"/>
        </w:numPr>
        <w:spacing w:before="120" w:after="120"/>
        <w:contextualSpacing w:val="0"/>
        <w:jc w:val="both"/>
        <w:rPr>
          <w:sz w:val="28"/>
          <w:szCs w:val="28"/>
        </w:rPr>
      </w:pPr>
      <w:r w:rsidRPr="004939D4">
        <w:rPr>
          <w:sz w:val="28"/>
          <w:szCs w:val="28"/>
        </w:rPr>
        <w:t>Mākslīg</w:t>
      </w:r>
      <w:r>
        <w:rPr>
          <w:sz w:val="28"/>
          <w:szCs w:val="28"/>
        </w:rPr>
        <w:t>u</w:t>
      </w:r>
      <w:r w:rsidRPr="004939D4">
        <w:rPr>
          <w:sz w:val="28"/>
          <w:szCs w:val="28"/>
        </w:rPr>
        <w:t xml:space="preserve"> darbu, pakalpojuma, piegāžu līgum</w:t>
      </w:r>
      <w:r>
        <w:rPr>
          <w:sz w:val="28"/>
          <w:szCs w:val="28"/>
        </w:rPr>
        <w:t>u</w:t>
      </w:r>
      <w:r w:rsidRPr="004939D4">
        <w:rPr>
          <w:sz w:val="28"/>
          <w:szCs w:val="28"/>
        </w:rPr>
        <w:t xml:space="preserve"> sadalīšan</w:t>
      </w:r>
      <w:r>
        <w:rPr>
          <w:sz w:val="28"/>
          <w:szCs w:val="28"/>
        </w:rPr>
        <w:t>u.</w:t>
      </w:r>
    </w:p>
    <w:p w14:paraId="2EF7E65A" w14:textId="77777777" w:rsidR="00BD5BEB" w:rsidRDefault="00BD5BEB" w:rsidP="00A47C5F">
      <w:pPr>
        <w:spacing w:before="120" w:after="120"/>
        <w:ind w:firstLine="720"/>
        <w:jc w:val="both"/>
        <w:rPr>
          <w:sz w:val="28"/>
          <w:szCs w:val="28"/>
        </w:rPr>
      </w:pPr>
      <w:r>
        <w:rPr>
          <w:sz w:val="28"/>
          <w:szCs w:val="28"/>
        </w:rPr>
        <w:t xml:space="preserve">Citas neatbilstības pārsvarā </w:t>
      </w:r>
      <w:r w:rsidRPr="009720E1">
        <w:rPr>
          <w:sz w:val="28"/>
          <w:szCs w:val="28"/>
        </w:rPr>
        <w:t xml:space="preserve">saistītas ar maksājumu pieprasījumos iekļautiem neatbilstošiem izdevumiem un soda naudu neieturēšanu par iepirkumu līgumu ietvaros īstenoto darbu izpildes termiņa kavēšanu. </w:t>
      </w:r>
    </w:p>
    <w:p w14:paraId="6A0B6A33" w14:textId="3146C7FF" w:rsidR="00BD5BEB" w:rsidRDefault="00BD5BEB" w:rsidP="00A47C5F">
      <w:pPr>
        <w:spacing w:before="120" w:after="120"/>
        <w:ind w:firstLine="720"/>
        <w:jc w:val="both"/>
        <w:rPr>
          <w:sz w:val="28"/>
          <w:szCs w:val="28"/>
        </w:rPr>
      </w:pPr>
      <w:r>
        <w:rPr>
          <w:sz w:val="28"/>
          <w:szCs w:val="28"/>
        </w:rPr>
        <w:t>Uz pārskata perioda beigām praktiski a</w:t>
      </w:r>
      <w:r w:rsidRPr="00A243BE">
        <w:rPr>
          <w:sz w:val="28"/>
          <w:szCs w:val="28"/>
        </w:rPr>
        <w:t xml:space="preserve">tgūti visi neatbilstoši veiktie izdevumi </w:t>
      </w:r>
      <w:r>
        <w:rPr>
          <w:sz w:val="28"/>
          <w:szCs w:val="28"/>
        </w:rPr>
        <w:t xml:space="preserve">gan </w:t>
      </w:r>
      <w:r w:rsidRPr="00A243BE">
        <w:rPr>
          <w:sz w:val="28"/>
          <w:szCs w:val="28"/>
        </w:rPr>
        <w:t>par 2017.</w:t>
      </w:r>
      <w:r w:rsidR="00531A0C">
        <w:rPr>
          <w:sz w:val="28"/>
          <w:szCs w:val="28"/>
        </w:rPr>
        <w:t> </w:t>
      </w:r>
      <w:r w:rsidRPr="00A243BE">
        <w:rPr>
          <w:sz w:val="28"/>
          <w:szCs w:val="28"/>
        </w:rPr>
        <w:t xml:space="preserve">gada </w:t>
      </w:r>
      <w:r>
        <w:rPr>
          <w:sz w:val="28"/>
          <w:szCs w:val="28"/>
        </w:rPr>
        <w:t>II</w:t>
      </w:r>
      <w:r w:rsidR="00531A0C">
        <w:rPr>
          <w:sz w:val="28"/>
          <w:szCs w:val="28"/>
        </w:rPr>
        <w:t> </w:t>
      </w:r>
      <w:r w:rsidRPr="00A243BE">
        <w:rPr>
          <w:sz w:val="28"/>
          <w:szCs w:val="28"/>
        </w:rPr>
        <w:t>pusgadā</w:t>
      </w:r>
      <w:r>
        <w:rPr>
          <w:sz w:val="28"/>
          <w:szCs w:val="28"/>
        </w:rPr>
        <w:t>, gan par</w:t>
      </w:r>
      <w:r w:rsidRPr="00A243BE">
        <w:rPr>
          <w:sz w:val="28"/>
          <w:szCs w:val="28"/>
        </w:rPr>
        <w:t xml:space="preserve"> </w:t>
      </w:r>
      <w:r>
        <w:rPr>
          <w:sz w:val="28"/>
          <w:szCs w:val="28"/>
        </w:rPr>
        <w:t xml:space="preserve">iepriekšējos pārskata periodos </w:t>
      </w:r>
      <w:r w:rsidRPr="00A243BE">
        <w:rPr>
          <w:sz w:val="28"/>
          <w:szCs w:val="28"/>
        </w:rPr>
        <w:t>konstatētajām neatbilstībām</w:t>
      </w:r>
      <w:r>
        <w:rPr>
          <w:sz w:val="28"/>
          <w:szCs w:val="28"/>
        </w:rPr>
        <w:t xml:space="preserve">. </w:t>
      </w:r>
    </w:p>
    <w:p w14:paraId="61678A18" w14:textId="4CD0782A" w:rsidR="00866986" w:rsidRDefault="00BD5BEB" w:rsidP="00866986">
      <w:pPr>
        <w:spacing w:before="120" w:after="120"/>
        <w:ind w:firstLine="720"/>
        <w:jc w:val="both"/>
        <w:rPr>
          <w:sz w:val="28"/>
          <w:szCs w:val="28"/>
        </w:rPr>
      </w:pPr>
      <w:r w:rsidRPr="00002DD7">
        <w:rPr>
          <w:sz w:val="28"/>
          <w:szCs w:val="28"/>
        </w:rPr>
        <w:t xml:space="preserve">Pārskata periodā konstatēto neatbilstību sadalījums pa </w:t>
      </w:r>
      <w:r w:rsidR="00531A0C">
        <w:rPr>
          <w:sz w:val="28"/>
          <w:szCs w:val="28"/>
        </w:rPr>
        <w:t xml:space="preserve">FS </w:t>
      </w:r>
      <w:r w:rsidRPr="00002DD7">
        <w:rPr>
          <w:sz w:val="28"/>
          <w:szCs w:val="28"/>
        </w:rPr>
        <w:t xml:space="preserve">veidiem atspoguļots </w:t>
      </w:r>
      <w:r w:rsidRPr="00994079">
        <w:rPr>
          <w:sz w:val="28"/>
          <w:szCs w:val="28"/>
        </w:rPr>
        <w:t>ilustrācijā Nr.</w:t>
      </w:r>
      <w:r w:rsidR="00866986">
        <w:rPr>
          <w:sz w:val="28"/>
          <w:szCs w:val="28"/>
        </w:rPr>
        <w:t>7</w:t>
      </w:r>
      <w:r w:rsidRPr="00994079">
        <w:rPr>
          <w:sz w:val="28"/>
          <w:szCs w:val="28"/>
        </w:rPr>
        <w:t>.</w:t>
      </w:r>
    </w:p>
    <w:p w14:paraId="53E6610B" w14:textId="0AFCAE6E" w:rsidR="006945ED" w:rsidRPr="00866986" w:rsidRDefault="00866986" w:rsidP="00866986">
      <w:pPr>
        <w:rPr>
          <w:sz w:val="28"/>
          <w:szCs w:val="28"/>
        </w:rPr>
      </w:pPr>
      <w:r>
        <w:rPr>
          <w:sz w:val="28"/>
          <w:szCs w:val="28"/>
        </w:rPr>
        <w:br w:type="page"/>
      </w:r>
    </w:p>
    <w:p w14:paraId="474CF036" w14:textId="3E14818A" w:rsidR="00BD5BEB" w:rsidRPr="00F02FD1" w:rsidRDefault="00BD5BEB" w:rsidP="0084654C">
      <w:pPr>
        <w:spacing w:before="120"/>
        <w:ind w:firstLine="720"/>
        <w:jc w:val="both"/>
        <w:rPr>
          <w:i/>
          <w:szCs w:val="28"/>
        </w:rPr>
      </w:pPr>
      <w:r w:rsidRPr="00F02FD1">
        <w:rPr>
          <w:i/>
          <w:szCs w:val="28"/>
        </w:rPr>
        <w:lastRenderedPageBreak/>
        <w:t>Ilustrācija Nr</w:t>
      </w:r>
      <w:r w:rsidR="003B5107">
        <w:rPr>
          <w:i/>
          <w:szCs w:val="28"/>
        </w:rPr>
        <w:t>.</w:t>
      </w:r>
      <w:r w:rsidR="00F4624E">
        <w:rPr>
          <w:i/>
          <w:szCs w:val="28"/>
        </w:rPr>
        <w:t>7</w:t>
      </w:r>
      <w:r w:rsidRPr="00F02FD1">
        <w:rPr>
          <w:i/>
          <w:szCs w:val="28"/>
        </w:rPr>
        <w:t xml:space="preserve"> “2017.</w:t>
      </w:r>
      <w:r w:rsidR="007C5923">
        <w:rPr>
          <w:i/>
          <w:szCs w:val="28"/>
        </w:rPr>
        <w:t> </w:t>
      </w:r>
      <w:r w:rsidRPr="00F02FD1">
        <w:rPr>
          <w:i/>
          <w:szCs w:val="28"/>
        </w:rPr>
        <w:t>gada II</w:t>
      </w:r>
      <w:r w:rsidR="007C5923">
        <w:rPr>
          <w:i/>
          <w:szCs w:val="28"/>
        </w:rPr>
        <w:t> </w:t>
      </w:r>
      <w:r w:rsidRPr="00F02FD1">
        <w:rPr>
          <w:i/>
          <w:szCs w:val="28"/>
        </w:rPr>
        <w:t xml:space="preserve">pusgadā konstatētie neatbilstoši veiktie izdevumi sadalījumā pa </w:t>
      </w:r>
      <w:r w:rsidR="00321BDD">
        <w:rPr>
          <w:i/>
          <w:szCs w:val="28"/>
        </w:rPr>
        <w:t>FS</w:t>
      </w:r>
      <w:r w:rsidRPr="00F02FD1">
        <w:rPr>
          <w:i/>
          <w:szCs w:val="28"/>
        </w:rPr>
        <w:t xml:space="preserve"> veidiem, euro”</w:t>
      </w:r>
    </w:p>
    <w:p w14:paraId="6DA819A9" w14:textId="77777777" w:rsidR="00BD5BEB" w:rsidRDefault="00BD5BEB" w:rsidP="00BD5BEB">
      <w:pPr>
        <w:spacing w:line="276" w:lineRule="auto"/>
        <w:jc w:val="both"/>
        <w:rPr>
          <w:sz w:val="28"/>
          <w:szCs w:val="28"/>
          <w:highlight w:val="yellow"/>
        </w:rPr>
      </w:pPr>
      <w:r>
        <w:rPr>
          <w:noProof/>
          <w:lang w:eastAsia="lv-LV"/>
        </w:rPr>
        <w:drawing>
          <wp:inline distT="0" distB="0" distL="0" distR="0" wp14:anchorId="4780F87E" wp14:editId="572EF7DB">
            <wp:extent cx="5760085" cy="2860243"/>
            <wp:effectExtent l="0" t="0" r="12065"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23A2E43" w14:textId="1ABB13DF" w:rsidR="00BD5BEB" w:rsidRDefault="00BD5BEB" w:rsidP="00A47C5F">
      <w:pPr>
        <w:spacing w:before="120" w:after="120"/>
        <w:ind w:firstLine="720"/>
        <w:jc w:val="both"/>
        <w:rPr>
          <w:sz w:val="28"/>
          <w:szCs w:val="28"/>
        </w:rPr>
      </w:pPr>
      <w:r w:rsidRPr="00FA180D">
        <w:rPr>
          <w:sz w:val="28"/>
          <w:szCs w:val="28"/>
        </w:rPr>
        <w:t xml:space="preserve">Lielākā daļa </w:t>
      </w:r>
      <w:r>
        <w:rPr>
          <w:sz w:val="28"/>
          <w:szCs w:val="28"/>
        </w:rPr>
        <w:t xml:space="preserve">(t.i. 28) </w:t>
      </w:r>
      <w:r w:rsidRPr="00FA180D">
        <w:rPr>
          <w:sz w:val="28"/>
          <w:szCs w:val="28"/>
        </w:rPr>
        <w:t xml:space="preserve">no </w:t>
      </w:r>
      <w:r>
        <w:rPr>
          <w:sz w:val="28"/>
          <w:szCs w:val="28"/>
        </w:rPr>
        <w:t>II</w:t>
      </w:r>
      <w:r w:rsidR="00531A0C">
        <w:rPr>
          <w:sz w:val="28"/>
          <w:szCs w:val="28"/>
        </w:rPr>
        <w:t> </w:t>
      </w:r>
      <w:r w:rsidRPr="00FA180D">
        <w:rPr>
          <w:sz w:val="28"/>
          <w:szCs w:val="28"/>
        </w:rPr>
        <w:t>pusgad</w:t>
      </w:r>
      <w:r>
        <w:rPr>
          <w:sz w:val="28"/>
          <w:szCs w:val="28"/>
        </w:rPr>
        <w:t>ā konstatētajām 52</w:t>
      </w:r>
      <w:r w:rsidR="007C5923">
        <w:rPr>
          <w:sz w:val="28"/>
          <w:szCs w:val="28"/>
        </w:rPr>
        <w:t> </w:t>
      </w:r>
      <w:r w:rsidRPr="00FA180D">
        <w:rPr>
          <w:sz w:val="28"/>
          <w:szCs w:val="28"/>
        </w:rPr>
        <w:t xml:space="preserve">neatbilstībām </w:t>
      </w:r>
      <w:r>
        <w:rPr>
          <w:sz w:val="28"/>
          <w:szCs w:val="28"/>
        </w:rPr>
        <w:t>atklātas</w:t>
      </w:r>
      <w:r w:rsidRPr="00FA180D">
        <w:rPr>
          <w:sz w:val="28"/>
          <w:szCs w:val="28"/>
        </w:rPr>
        <w:t xml:space="preserve"> valsts iestā</w:t>
      </w:r>
      <w:r>
        <w:rPr>
          <w:sz w:val="28"/>
          <w:szCs w:val="28"/>
        </w:rPr>
        <w:t xml:space="preserve">žu īstenotajos projektos, no kurām </w:t>
      </w:r>
      <w:r w:rsidRPr="00FA180D">
        <w:rPr>
          <w:sz w:val="28"/>
          <w:szCs w:val="28"/>
        </w:rPr>
        <w:t>13 ir par personāla vai administratīvo izmaksu pārkāpumiem, taču tie veido tikai 8,5</w:t>
      </w:r>
      <w:r w:rsidR="00531A0C">
        <w:rPr>
          <w:sz w:val="28"/>
          <w:szCs w:val="28"/>
        </w:rPr>
        <w:t> </w:t>
      </w:r>
      <w:r w:rsidRPr="00FA180D">
        <w:rPr>
          <w:sz w:val="28"/>
          <w:szCs w:val="28"/>
        </w:rPr>
        <w:t>% no visas valsts iestāžu neatbilstoši veikto izmaksu summas pārskata periodā.</w:t>
      </w:r>
      <w:r>
        <w:rPr>
          <w:sz w:val="28"/>
          <w:szCs w:val="28"/>
        </w:rPr>
        <w:t xml:space="preserve"> </w:t>
      </w:r>
      <w:r w:rsidRPr="00FA180D">
        <w:rPr>
          <w:sz w:val="28"/>
          <w:szCs w:val="28"/>
        </w:rPr>
        <w:t xml:space="preserve">Finansiāli apjomīgākās neatbilstības valsts iestādēm veido iepirkuma vai konkurences normu pārkāpumi. </w:t>
      </w:r>
      <w:r w:rsidRPr="00BD5BEB">
        <w:rPr>
          <w:sz w:val="28"/>
          <w:szCs w:val="28"/>
        </w:rPr>
        <w:t>Pārskata perioda tika konstatēts arī viens aizdomu par krāpšanu gadījums, kas saistīt</w:t>
      </w:r>
      <w:r>
        <w:rPr>
          <w:sz w:val="28"/>
          <w:szCs w:val="28"/>
        </w:rPr>
        <w:t>s</w:t>
      </w:r>
      <w:r w:rsidRPr="00BD5BEB">
        <w:rPr>
          <w:sz w:val="28"/>
          <w:szCs w:val="28"/>
        </w:rPr>
        <w:t xml:space="preserve"> ar iespējamām konkurenci ierobežojošām darbībām. Par konkrēto gadījumu ir ierosināta lieta un lēmumu minētajā lietā K</w:t>
      </w:r>
      <w:r w:rsidR="003E3524">
        <w:rPr>
          <w:sz w:val="28"/>
          <w:szCs w:val="28"/>
        </w:rPr>
        <w:t>P</w:t>
      </w:r>
      <w:r w:rsidRPr="00BD5BEB">
        <w:rPr>
          <w:sz w:val="28"/>
          <w:szCs w:val="28"/>
        </w:rPr>
        <w:t xml:space="preserve"> pieņems viena līdz divu gadu laikā. S</w:t>
      </w:r>
      <w:r w:rsidR="003E3524">
        <w:rPr>
          <w:sz w:val="28"/>
          <w:szCs w:val="28"/>
        </w:rPr>
        <w:t>I</w:t>
      </w:r>
      <w:r w:rsidRPr="00BD5BEB">
        <w:rPr>
          <w:sz w:val="28"/>
          <w:szCs w:val="28"/>
        </w:rPr>
        <w:t xml:space="preserve"> pieņēmusi lēmumu par konstatēto piemērot finanšu korekciju 100</w:t>
      </w:r>
      <w:r w:rsidR="00531A0C">
        <w:rPr>
          <w:sz w:val="28"/>
          <w:szCs w:val="28"/>
        </w:rPr>
        <w:t> </w:t>
      </w:r>
      <w:r w:rsidRPr="00BD5BEB">
        <w:rPr>
          <w:sz w:val="28"/>
          <w:szCs w:val="28"/>
        </w:rPr>
        <w:t xml:space="preserve">% apmērā no iepirkuma rezultātā noslēgtā </w:t>
      </w:r>
      <w:r w:rsidR="003D5C2B">
        <w:rPr>
          <w:sz w:val="28"/>
          <w:szCs w:val="28"/>
        </w:rPr>
        <w:t>l</w:t>
      </w:r>
      <w:r w:rsidRPr="00BD5BEB">
        <w:rPr>
          <w:sz w:val="28"/>
          <w:szCs w:val="28"/>
        </w:rPr>
        <w:t>īguma vērtības (attiecināmās daļas), kas kopā veido neatbilstoši veiktos izdevumus 2799,94</w:t>
      </w:r>
      <w:r w:rsidR="00531A0C">
        <w:rPr>
          <w:sz w:val="28"/>
          <w:szCs w:val="28"/>
        </w:rPr>
        <w:t> </w:t>
      </w:r>
      <w:r w:rsidRPr="00BD5BEB">
        <w:rPr>
          <w:i/>
          <w:sz w:val="28"/>
          <w:szCs w:val="28"/>
        </w:rPr>
        <w:t>euro</w:t>
      </w:r>
      <w:r w:rsidRPr="00BD5BEB">
        <w:rPr>
          <w:sz w:val="28"/>
          <w:szCs w:val="28"/>
        </w:rPr>
        <w:t xml:space="preserve"> apmērā.</w:t>
      </w:r>
    </w:p>
    <w:p w14:paraId="0D0D758B" w14:textId="1B9FFBE5" w:rsidR="00BD5BEB" w:rsidRPr="00FA180D" w:rsidRDefault="00BD5BEB" w:rsidP="00A47C5F">
      <w:pPr>
        <w:spacing w:before="120" w:after="120"/>
        <w:ind w:firstLine="720"/>
        <w:jc w:val="both"/>
        <w:rPr>
          <w:sz w:val="28"/>
          <w:szCs w:val="28"/>
          <w:highlight w:val="yellow"/>
        </w:rPr>
      </w:pPr>
      <w:r w:rsidRPr="00CA3DE4">
        <w:rPr>
          <w:sz w:val="28"/>
          <w:szCs w:val="28"/>
        </w:rPr>
        <w:t>Pašvaldībām, vairāk kā pusē gadījumu, neatbilstības konstatētas par iepirkuma vai konkurences normu pārkāpumiem, kas kopā veido ap 40</w:t>
      </w:r>
      <w:r w:rsidR="00531A0C">
        <w:rPr>
          <w:sz w:val="28"/>
          <w:szCs w:val="28"/>
        </w:rPr>
        <w:t> </w:t>
      </w:r>
      <w:r w:rsidRPr="00CA3DE4">
        <w:rPr>
          <w:sz w:val="28"/>
          <w:szCs w:val="28"/>
        </w:rPr>
        <w:t>% no visām neatbilstoši veiktajām izmaksām 2</w:t>
      </w:r>
      <w:r>
        <w:rPr>
          <w:sz w:val="28"/>
          <w:szCs w:val="28"/>
        </w:rPr>
        <w:t>017.</w:t>
      </w:r>
      <w:r w:rsidR="00531A0C">
        <w:rPr>
          <w:sz w:val="28"/>
          <w:szCs w:val="28"/>
        </w:rPr>
        <w:t> </w:t>
      </w:r>
      <w:r>
        <w:rPr>
          <w:sz w:val="28"/>
          <w:szCs w:val="28"/>
        </w:rPr>
        <w:t>gada II</w:t>
      </w:r>
      <w:r w:rsidR="00531A0C">
        <w:rPr>
          <w:sz w:val="28"/>
          <w:szCs w:val="28"/>
        </w:rPr>
        <w:t> </w:t>
      </w:r>
      <w:r w:rsidRPr="00CA3DE4">
        <w:rPr>
          <w:sz w:val="28"/>
          <w:szCs w:val="28"/>
        </w:rPr>
        <w:t>pusgadā.</w:t>
      </w:r>
    </w:p>
    <w:p w14:paraId="586307A0" w14:textId="421B81F5" w:rsidR="00BD5BEB" w:rsidRDefault="00BD5BEB" w:rsidP="00A47C5F">
      <w:pPr>
        <w:spacing w:before="120" w:after="120"/>
        <w:ind w:firstLine="720"/>
        <w:jc w:val="both"/>
        <w:rPr>
          <w:sz w:val="28"/>
          <w:szCs w:val="28"/>
        </w:rPr>
      </w:pPr>
      <w:r w:rsidRPr="00CA3DE4">
        <w:rPr>
          <w:sz w:val="28"/>
          <w:szCs w:val="28"/>
        </w:rPr>
        <w:t>Attiecībā uz komersantiem visbiežāk sastopamā neatbilstība saistīta ar nespēju izpildīt noteiktos ieviešanas nosacījumus, savukārt finansiāli lielākās neatbilstības piemērotas par iepirkuma vai konkurences normu pārkāpumiem, kas komersantu grupā veido nepilnus 73</w:t>
      </w:r>
      <w:r w:rsidR="00531A0C">
        <w:rPr>
          <w:sz w:val="28"/>
          <w:szCs w:val="28"/>
        </w:rPr>
        <w:t> </w:t>
      </w:r>
      <w:r w:rsidRPr="00CA3DE4">
        <w:rPr>
          <w:sz w:val="28"/>
          <w:szCs w:val="28"/>
        </w:rPr>
        <w:t>% no neatbilstoši veiktām izmaksām.</w:t>
      </w:r>
    </w:p>
    <w:p w14:paraId="6A286373" w14:textId="09B20D8C" w:rsidR="00BD5BEB" w:rsidRDefault="00BD5BEB" w:rsidP="00A47C5F">
      <w:pPr>
        <w:spacing w:before="120" w:after="120"/>
        <w:ind w:firstLine="720"/>
        <w:jc w:val="both"/>
        <w:rPr>
          <w:sz w:val="28"/>
          <w:szCs w:val="28"/>
        </w:rPr>
      </w:pPr>
      <w:r>
        <w:rPr>
          <w:sz w:val="28"/>
          <w:szCs w:val="28"/>
        </w:rPr>
        <w:t xml:space="preserve">Pārskata periodā NVO </w:t>
      </w:r>
      <w:r w:rsidR="007C5923">
        <w:rPr>
          <w:sz w:val="28"/>
          <w:szCs w:val="28"/>
        </w:rPr>
        <w:t>FS</w:t>
      </w:r>
      <w:r>
        <w:rPr>
          <w:sz w:val="28"/>
          <w:szCs w:val="28"/>
        </w:rPr>
        <w:t xml:space="preserve"> grupā tika konstatēta tikai viena neatbilstība, kas bija saistīta ar </w:t>
      </w:r>
      <w:r w:rsidRPr="00CA3DE4">
        <w:rPr>
          <w:sz w:val="28"/>
          <w:szCs w:val="28"/>
        </w:rPr>
        <w:t>noslēg</w:t>
      </w:r>
      <w:r>
        <w:rPr>
          <w:sz w:val="28"/>
          <w:szCs w:val="28"/>
        </w:rPr>
        <w:t>ta</w:t>
      </w:r>
      <w:r w:rsidRPr="00CA3DE4">
        <w:rPr>
          <w:sz w:val="28"/>
          <w:szCs w:val="28"/>
        </w:rPr>
        <w:t xml:space="preserve"> apmācību kurs</w:t>
      </w:r>
      <w:r>
        <w:rPr>
          <w:sz w:val="28"/>
          <w:szCs w:val="28"/>
        </w:rPr>
        <w:t>u</w:t>
      </w:r>
      <w:r w:rsidRPr="00CA3DE4">
        <w:rPr>
          <w:sz w:val="28"/>
          <w:szCs w:val="28"/>
        </w:rPr>
        <w:t xml:space="preserve"> iepirkuma līgum</w:t>
      </w:r>
      <w:r>
        <w:rPr>
          <w:sz w:val="28"/>
          <w:szCs w:val="28"/>
        </w:rPr>
        <w:t>a</w:t>
      </w:r>
      <w:r w:rsidRPr="00CA3DE4">
        <w:rPr>
          <w:sz w:val="28"/>
          <w:szCs w:val="28"/>
        </w:rPr>
        <w:t xml:space="preserve"> </w:t>
      </w:r>
      <w:r>
        <w:rPr>
          <w:sz w:val="28"/>
          <w:szCs w:val="28"/>
        </w:rPr>
        <w:t xml:space="preserve">īstenošanu, izvēloties atsevišķus </w:t>
      </w:r>
      <w:r w:rsidRPr="00CA3DE4">
        <w:rPr>
          <w:sz w:val="28"/>
          <w:szCs w:val="28"/>
        </w:rPr>
        <w:t>pasniedzēju</w:t>
      </w:r>
      <w:r>
        <w:rPr>
          <w:sz w:val="28"/>
          <w:szCs w:val="28"/>
        </w:rPr>
        <w:t>s,</w:t>
      </w:r>
      <w:r w:rsidRPr="00CA3DE4">
        <w:rPr>
          <w:sz w:val="28"/>
          <w:szCs w:val="28"/>
        </w:rPr>
        <w:t xml:space="preserve"> </w:t>
      </w:r>
      <w:r>
        <w:rPr>
          <w:sz w:val="28"/>
          <w:szCs w:val="28"/>
        </w:rPr>
        <w:t xml:space="preserve">kuri neatbilst </w:t>
      </w:r>
      <w:r w:rsidRPr="00CA3DE4">
        <w:rPr>
          <w:sz w:val="28"/>
          <w:szCs w:val="28"/>
        </w:rPr>
        <w:t>iepirkumā izvirzītajām pasniedzēju kvalifikācijas prasībām</w:t>
      </w:r>
      <w:r>
        <w:rPr>
          <w:sz w:val="28"/>
          <w:szCs w:val="28"/>
        </w:rPr>
        <w:t>.</w:t>
      </w:r>
    </w:p>
    <w:p w14:paraId="20815CDE" w14:textId="77777777" w:rsidR="009759AB" w:rsidRDefault="00BD5BEB" w:rsidP="00942973">
      <w:pPr>
        <w:ind w:firstLine="720"/>
        <w:rPr>
          <w:rFonts w:cs="Times New Roman"/>
          <w:sz w:val="28"/>
          <w:szCs w:val="28"/>
        </w:rPr>
      </w:pPr>
      <w:r w:rsidRPr="00E224B0">
        <w:rPr>
          <w:sz w:val="28"/>
          <w:szCs w:val="28"/>
        </w:rPr>
        <w:t>Līvānu novada domes īstenotajā projektā “Līvānu 1.</w:t>
      </w:r>
      <w:r w:rsidR="00531A0C">
        <w:rPr>
          <w:sz w:val="28"/>
          <w:szCs w:val="28"/>
        </w:rPr>
        <w:t> </w:t>
      </w:r>
      <w:r w:rsidRPr="00E224B0">
        <w:rPr>
          <w:sz w:val="28"/>
          <w:szCs w:val="28"/>
        </w:rPr>
        <w:t>vidusskolas mācību vides uzlabošana” tika konstatēta 2017.</w:t>
      </w:r>
      <w:r w:rsidR="00531A0C">
        <w:rPr>
          <w:sz w:val="28"/>
          <w:szCs w:val="28"/>
        </w:rPr>
        <w:t> </w:t>
      </w:r>
      <w:r w:rsidRPr="00E224B0">
        <w:rPr>
          <w:sz w:val="28"/>
          <w:szCs w:val="28"/>
        </w:rPr>
        <w:t>gada II</w:t>
      </w:r>
      <w:r w:rsidR="00531A0C">
        <w:rPr>
          <w:sz w:val="28"/>
          <w:szCs w:val="28"/>
        </w:rPr>
        <w:t> </w:t>
      </w:r>
      <w:r w:rsidRPr="00E224B0">
        <w:rPr>
          <w:sz w:val="28"/>
          <w:szCs w:val="28"/>
        </w:rPr>
        <w:t>pusgada finansiāli apjomīgākā neatbilstība 82,3</w:t>
      </w:r>
      <w:r w:rsidR="00531A0C">
        <w:rPr>
          <w:sz w:val="28"/>
          <w:szCs w:val="28"/>
        </w:rPr>
        <w:t> </w:t>
      </w:r>
      <w:r w:rsidRPr="00E224B0">
        <w:rPr>
          <w:sz w:val="28"/>
          <w:szCs w:val="28"/>
        </w:rPr>
        <w:t>tūkst. </w:t>
      </w:r>
      <w:r w:rsidRPr="00E224B0">
        <w:rPr>
          <w:i/>
          <w:sz w:val="28"/>
          <w:szCs w:val="28"/>
        </w:rPr>
        <w:t>euro</w:t>
      </w:r>
      <w:r w:rsidRPr="00E224B0">
        <w:rPr>
          <w:sz w:val="28"/>
          <w:szCs w:val="28"/>
        </w:rPr>
        <w:t xml:space="preserve"> apmērā</w:t>
      </w:r>
      <w:r w:rsidR="007C5923">
        <w:rPr>
          <w:sz w:val="28"/>
          <w:szCs w:val="28"/>
        </w:rPr>
        <w:t> </w:t>
      </w:r>
      <w:r w:rsidRPr="00E224B0">
        <w:rPr>
          <w:sz w:val="28"/>
          <w:szCs w:val="28"/>
        </w:rPr>
        <w:t>–</w:t>
      </w:r>
      <w:r w:rsidR="007C5923">
        <w:rPr>
          <w:sz w:val="28"/>
          <w:szCs w:val="28"/>
        </w:rPr>
        <w:t> </w:t>
      </w:r>
      <w:r w:rsidRPr="00E224B0">
        <w:rPr>
          <w:sz w:val="28"/>
          <w:szCs w:val="28"/>
        </w:rPr>
        <w:t xml:space="preserve">par skolas ēku vienkāršotu atjaunošanu </w:t>
      </w:r>
      <w:r w:rsidRPr="00E224B0">
        <w:rPr>
          <w:sz w:val="28"/>
          <w:szCs w:val="28"/>
        </w:rPr>
        <w:lastRenderedPageBreak/>
        <w:t>konstatēts i</w:t>
      </w:r>
      <w:r w:rsidRPr="00E6454A">
        <w:rPr>
          <w:sz w:val="28"/>
          <w:szCs w:val="28"/>
        </w:rPr>
        <w:t>epirkuma</w:t>
      </w:r>
      <w:r w:rsidRPr="00E224B0">
        <w:rPr>
          <w:sz w:val="28"/>
          <w:szCs w:val="28"/>
        </w:rPr>
        <w:t>/</w:t>
      </w:r>
      <w:r w:rsidRPr="00E6454A">
        <w:rPr>
          <w:sz w:val="28"/>
          <w:szCs w:val="28"/>
        </w:rPr>
        <w:t>konkurences normu pārkāpum</w:t>
      </w:r>
      <w:r w:rsidRPr="00E224B0">
        <w:rPr>
          <w:sz w:val="28"/>
          <w:szCs w:val="28"/>
        </w:rPr>
        <w:t>s (a</w:t>
      </w:r>
      <w:r w:rsidRPr="00E6454A">
        <w:rPr>
          <w:sz w:val="28"/>
          <w:szCs w:val="28"/>
        </w:rPr>
        <w:t>tlases kritēriji</w:t>
      </w:r>
      <w:r w:rsidRPr="00E224B0">
        <w:rPr>
          <w:sz w:val="28"/>
          <w:szCs w:val="28"/>
        </w:rPr>
        <w:t xml:space="preserve"> </w:t>
      </w:r>
      <w:r w:rsidRPr="00E6454A">
        <w:rPr>
          <w:sz w:val="28"/>
          <w:szCs w:val="28"/>
        </w:rPr>
        <w:t>nav saistīti un samērīgi ar līguma priekšmetu</w:t>
      </w:r>
      <w:r w:rsidRPr="00E224B0">
        <w:rPr>
          <w:sz w:val="28"/>
          <w:szCs w:val="28"/>
        </w:rPr>
        <w:t>).</w:t>
      </w:r>
      <w:r w:rsidR="00130FCD" w:rsidRPr="00E94DEB">
        <w:rPr>
          <w:rFonts w:cs="Times New Roman"/>
          <w:sz w:val="28"/>
          <w:szCs w:val="28"/>
          <w:highlight w:val="yellow"/>
        </w:rPr>
        <w:t xml:space="preserve"> </w:t>
      </w:r>
    </w:p>
    <w:p w14:paraId="05CA428A" w14:textId="0C51283D" w:rsidR="00D872AE" w:rsidRPr="00F02FD1" w:rsidRDefault="006E090E" w:rsidP="009759AB">
      <w:pPr>
        <w:spacing w:before="120"/>
        <w:ind w:firstLine="720"/>
        <w:rPr>
          <w:rFonts w:cs="Times New Roman"/>
          <w:sz w:val="28"/>
          <w:szCs w:val="28"/>
        </w:rPr>
      </w:pPr>
      <w:r w:rsidRPr="00F02FD1">
        <w:rPr>
          <w:rFonts w:cs="Times New Roman"/>
          <w:b/>
          <w:i/>
          <w:sz w:val="28"/>
          <w:szCs w:val="28"/>
        </w:rPr>
        <w:t>Neatbilstības EEZ/Norvēģijas finanšu instrumentos un Šveices programmā</w:t>
      </w:r>
      <w:bookmarkEnd w:id="20"/>
    </w:p>
    <w:p w14:paraId="0BC4F7E3" w14:textId="39253141" w:rsidR="00E07DB1" w:rsidRDefault="001E7385" w:rsidP="00866986">
      <w:pPr>
        <w:spacing w:before="120" w:after="120"/>
        <w:ind w:firstLine="720"/>
        <w:jc w:val="both"/>
        <w:rPr>
          <w:rFonts w:eastAsia="Times New Roman" w:cs="Times New Roman"/>
          <w:b/>
          <w:color w:val="000000"/>
          <w:sz w:val="28"/>
          <w:szCs w:val="28"/>
        </w:rPr>
      </w:pPr>
      <w:r w:rsidRPr="001E7385">
        <w:rPr>
          <w:rFonts w:eastAsia="Calibri" w:cs="Times New Roman"/>
          <w:iCs/>
          <w:sz w:val="28"/>
          <w:szCs w:val="28"/>
        </w:rPr>
        <w:t>Līdz pārskata perioda beigām EEZ/Norvēģijas finanšu instrumentos par neattiecināmiem izdevumiem ir atzīti 2,1</w:t>
      </w:r>
      <w:r w:rsidR="00AA1A78">
        <w:rPr>
          <w:rFonts w:eastAsia="Calibri" w:cs="Times New Roman"/>
          <w:iCs/>
          <w:sz w:val="28"/>
          <w:szCs w:val="28"/>
        </w:rPr>
        <w:t> </w:t>
      </w:r>
      <w:r w:rsidRPr="001E7385">
        <w:rPr>
          <w:rFonts w:eastAsia="Calibri" w:cs="Times New Roman"/>
          <w:iCs/>
          <w:sz w:val="28"/>
          <w:szCs w:val="28"/>
        </w:rPr>
        <w:t>milj. </w:t>
      </w:r>
      <w:r w:rsidRPr="001E7385">
        <w:rPr>
          <w:rFonts w:eastAsia="Calibri" w:cs="Times New Roman"/>
          <w:i/>
          <w:iCs/>
          <w:sz w:val="28"/>
          <w:szCs w:val="28"/>
        </w:rPr>
        <w:t>euro</w:t>
      </w:r>
      <w:r w:rsidRPr="001E7385">
        <w:rPr>
          <w:rFonts w:eastAsia="Calibri" w:cs="Times New Roman"/>
          <w:iCs/>
          <w:sz w:val="28"/>
          <w:szCs w:val="28"/>
        </w:rPr>
        <w:t xml:space="preserve"> jeb 3 % no pieejamā finanšu instrumentu finansējuma, </w:t>
      </w:r>
      <w:r w:rsidR="00472EEB">
        <w:rPr>
          <w:rFonts w:eastAsia="Calibri" w:cs="Times New Roman"/>
          <w:iCs/>
          <w:sz w:val="28"/>
          <w:szCs w:val="28"/>
        </w:rPr>
        <w:t>savukārt Šveices programmā – 209,9</w:t>
      </w:r>
      <w:r w:rsidRPr="001E7385">
        <w:rPr>
          <w:rFonts w:eastAsia="Calibri" w:cs="Times New Roman"/>
          <w:iCs/>
          <w:sz w:val="28"/>
          <w:szCs w:val="28"/>
        </w:rPr>
        <w:t> tūkst. </w:t>
      </w:r>
      <w:r w:rsidRPr="001E7385">
        <w:rPr>
          <w:rFonts w:eastAsia="Calibri" w:cs="Times New Roman"/>
          <w:i/>
          <w:iCs/>
          <w:sz w:val="28"/>
          <w:szCs w:val="28"/>
        </w:rPr>
        <w:t>euro</w:t>
      </w:r>
      <w:r w:rsidRPr="001E7385">
        <w:rPr>
          <w:rFonts w:eastAsia="Calibri" w:cs="Times New Roman"/>
          <w:iCs/>
          <w:sz w:val="28"/>
          <w:szCs w:val="28"/>
        </w:rPr>
        <w:t xml:space="preserve"> jeb 0,4</w:t>
      </w:r>
      <w:r w:rsidR="00AA1A78">
        <w:rPr>
          <w:rFonts w:eastAsia="Calibri" w:cs="Times New Roman"/>
          <w:iCs/>
          <w:sz w:val="28"/>
          <w:szCs w:val="28"/>
        </w:rPr>
        <w:t> </w:t>
      </w:r>
      <w:r w:rsidRPr="001E7385">
        <w:rPr>
          <w:rFonts w:eastAsia="Calibri" w:cs="Times New Roman"/>
          <w:iCs/>
          <w:sz w:val="28"/>
          <w:szCs w:val="28"/>
        </w:rPr>
        <w:t>% no pieejamā Šveices finansējuma. 2017. gada II pusgadā</w:t>
      </w:r>
      <w:r w:rsidR="001744A6">
        <w:rPr>
          <w:rFonts w:eastAsia="Calibri" w:cs="Times New Roman"/>
          <w:iCs/>
          <w:sz w:val="28"/>
          <w:szCs w:val="28"/>
        </w:rPr>
        <w:t xml:space="preserve"> </w:t>
      </w:r>
      <w:r w:rsidR="001C21E1" w:rsidRPr="001C21E1">
        <w:rPr>
          <w:rFonts w:eastAsia="Calibri" w:cs="Times New Roman"/>
          <w:iCs/>
          <w:sz w:val="28"/>
          <w:szCs w:val="28"/>
        </w:rPr>
        <w:t xml:space="preserve">ir konstatēti neatbilstoši veiktie izdevumi Šveices programmā “Atbalsts jaunatnes iniciatīvu attīstībai attālos vai mazattīstītos reģionos” 1,3 tūkst. </w:t>
      </w:r>
      <w:r w:rsidR="001C21E1" w:rsidRPr="002E3940">
        <w:rPr>
          <w:rFonts w:eastAsia="Calibri" w:cs="Times New Roman"/>
          <w:i/>
          <w:iCs/>
          <w:sz w:val="28"/>
          <w:szCs w:val="28"/>
        </w:rPr>
        <w:t>euro</w:t>
      </w:r>
      <w:r w:rsidR="001C21E1" w:rsidRPr="001C21E1">
        <w:rPr>
          <w:rFonts w:eastAsia="Calibri" w:cs="Times New Roman"/>
          <w:iCs/>
          <w:sz w:val="28"/>
          <w:szCs w:val="28"/>
        </w:rPr>
        <w:t xml:space="preserve"> apmērā </w:t>
      </w:r>
      <w:r w:rsidR="002E6AA4">
        <w:rPr>
          <w:rFonts w:eastAsia="Calibri" w:cs="Times New Roman"/>
          <w:iCs/>
          <w:sz w:val="28"/>
          <w:szCs w:val="28"/>
        </w:rPr>
        <w:t>piecos</w:t>
      </w:r>
      <w:r w:rsidR="001C21E1">
        <w:rPr>
          <w:rFonts w:eastAsia="Calibri" w:cs="Times New Roman"/>
          <w:iCs/>
          <w:sz w:val="28"/>
          <w:szCs w:val="28"/>
        </w:rPr>
        <w:t xml:space="preserve"> pašvaldību apakšprojektos un </w:t>
      </w:r>
      <w:r w:rsidRPr="001E7385">
        <w:rPr>
          <w:rFonts w:eastAsia="Calibri" w:cs="Times New Roman"/>
          <w:iCs/>
          <w:sz w:val="28"/>
          <w:szCs w:val="28"/>
        </w:rPr>
        <w:t>EEZ/Norvēģijas finanšu instrumentos dažāda veida projektu īstenotāju izmaksās (trūkstoši attaisnojuma dokumenti, programmas mērķu un rezultātu nesasniegšana un izdevumi, kas saistīti ar darbību vai bezdarbību, kura rada aizdomas par noziedzīgu nodarījumu) 1,8 milj. </w:t>
      </w:r>
      <w:r w:rsidRPr="001E7385">
        <w:rPr>
          <w:rFonts w:eastAsia="Calibri" w:cs="Times New Roman"/>
          <w:i/>
          <w:iCs/>
          <w:sz w:val="28"/>
          <w:szCs w:val="28"/>
        </w:rPr>
        <w:t>euro</w:t>
      </w:r>
      <w:r w:rsidR="00281281">
        <w:rPr>
          <w:rFonts w:eastAsia="Calibri" w:cs="Times New Roman"/>
          <w:iCs/>
          <w:sz w:val="28"/>
          <w:szCs w:val="28"/>
        </w:rPr>
        <w:t xml:space="preserve"> apmērā.</w:t>
      </w:r>
      <w:bookmarkStart w:id="21" w:name="_Toc504564220"/>
    </w:p>
    <w:p w14:paraId="45CA5FDF" w14:textId="0B886CDC" w:rsidR="009C0862" w:rsidRPr="0084654C" w:rsidRDefault="00D76642" w:rsidP="00942973">
      <w:pPr>
        <w:pStyle w:val="1lmenis"/>
        <w:spacing w:line="240" w:lineRule="auto"/>
      </w:pPr>
      <w:r w:rsidRPr="0084654C">
        <w:t xml:space="preserve">8. </w:t>
      </w:r>
      <w:r w:rsidR="009C0862" w:rsidRPr="0084654C">
        <w:t>ES fondu vadības</w:t>
      </w:r>
      <w:r w:rsidRPr="0084654C">
        <w:t xml:space="preserve"> un </w:t>
      </w:r>
      <w:r w:rsidR="009C0862" w:rsidRPr="0084654C">
        <w:t>kontroles sistēmas darbība</w:t>
      </w:r>
      <w:r w:rsidR="00787823" w:rsidRPr="0084654C">
        <w:t xml:space="preserve"> un komunikācijas pasākumi</w:t>
      </w:r>
      <w:bookmarkEnd w:id="21"/>
      <w:r w:rsidR="009C0862" w:rsidRPr="0084654C">
        <w:t xml:space="preserve"> </w:t>
      </w:r>
    </w:p>
    <w:p w14:paraId="2BA25872" w14:textId="12A783B5" w:rsidR="00060A20" w:rsidRPr="00863BF5" w:rsidRDefault="009C0862" w:rsidP="00942973">
      <w:pPr>
        <w:autoSpaceDE w:val="0"/>
        <w:autoSpaceDN w:val="0"/>
        <w:adjustRightInd w:val="0"/>
        <w:spacing w:before="120" w:after="120"/>
        <w:ind w:firstLine="720"/>
        <w:jc w:val="both"/>
        <w:rPr>
          <w:rFonts w:cs="Times New Roman"/>
          <w:b/>
          <w:bCs/>
          <w:i/>
          <w:sz w:val="28"/>
          <w:szCs w:val="28"/>
        </w:rPr>
      </w:pPr>
      <w:r w:rsidRPr="00863BF5">
        <w:rPr>
          <w:rFonts w:cs="Times New Roman"/>
          <w:b/>
          <w:bCs/>
          <w:i/>
          <w:sz w:val="28"/>
          <w:szCs w:val="28"/>
        </w:rPr>
        <w:t>Attiecībā uz ES fondu 2</w:t>
      </w:r>
      <w:r w:rsidR="00350726" w:rsidRPr="00863BF5">
        <w:rPr>
          <w:rFonts w:cs="Times New Roman"/>
          <w:b/>
          <w:bCs/>
          <w:i/>
          <w:sz w:val="28"/>
          <w:szCs w:val="28"/>
        </w:rPr>
        <w:t>007.</w:t>
      </w:r>
      <w:r w:rsidR="006E73E8" w:rsidRPr="00863BF5">
        <w:rPr>
          <w:rFonts w:cs="Times New Roman"/>
          <w:b/>
          <w:bCs/>
          <w:i/>
          <w:sz w:val="28"/>
          <w:szCs w:val="28"/>
        </w:rPr>
        <w:t> </w:t>
      </w:r>
      <w:r w:rsidR="00AA1A78">
        <w:rPr>
          <w:rFonts w:cs="Times New Roman"/>
          <w:b/>
          <w:bCs/>
          <w:i/>
          <w:sz w:val="28"/>
          <w:szCs w:val="28"/>
        </w:rPr>
        <w:t>–</w:t>
      </w:r>
      <w:r w:rsidR="006E73E8" w:rsidRPr="00863BF5">
        <w:rPr>
          <w:rFonts w:cs="Times New Roman"/>
          <w:b/>
          <w:bCs/>
          <w:i/>
          <w:sz w:val="28"/>
          <w:szCs w:val="28"/>
        </w:rPr>
        <w:t> </w:t>
      </w:r>
      <w:r w:rsidR="00350726" w:rsidRPr="00863BF5">
        <w:rPr>
          <w:rFonts w:cs="Times New Roman"/>
          <w:b/>
          <w:bCs/>
          <w:i/>
          <w:sz w:val="28"/>
          <w:szCs w:val="28"/>
        </w:rPr>
        <w:t>2013</w:t>
      </w:r>
      <w:r w:rsidR="000870FE" w:rsidRPr="00863BF5">
        <w:rPr>
          <w:rFonts w:cs="Times New Roman"/>
          <w:b/>
          <w:bCs/>
          <w:i/>
          <w:sz w:val="28"/>
          <w:szCs w:val="28"/>
        </w:rPr>
        <w:t>. gad</w:t>
      </w:r>
      <w:r w:rsidR="00350726" w:rsidRPr="00863BF5">
        <w:rPr>
          <w:rFonts w:cs="Times New Roman"/>
          <w:b/>
          <w:bCs/>
          <w:i/>
          <w:sz w:val="28"/>
          <w:szCs w:val="28"/>
        </w:rPr>
        <w:t>a plānošanas periodu</w:t>
      </w:r>
      <w:r w:rsidR="00AB1865" w:rsidRPr="00863BF5">
        <w:rPr>
          <w:rFonts w:cs="Times New Roman"/>
          <w:b/>
          <w:bCs/>
          <w:i/>
          <w:sz w:val="28"/>
          <w:szCs w:val="28"/>
        </w:rPr>
        <w:t xml:space="preserve"> veiktie pasākumi ES fondu vadības un kontroles sistēmas pilnveidošanai</w:t>
      </w:r>
      <w:r w:rsidRPr="00863BF5">
        <w:rPr>
          <w:rFonts w:cs="Times New Roman"/>
          <w:b/>
          <w:bCs/>
          <w:i/>
          <w:sz w:val="28"/>
          <w:szCs w:val="28"/>
        </w:rPr>
        <w:t>:</w:t>
      </w:r>
    </w:p>
    <w:p w14:paraId="6C29D684" w14:textId="525DE6CD" w:rsidR="009C0862" w:rsidRPr="00E94DEB" w:rsidRDefault="009C0862" w:rsidP="00942973">
      <w:pPr>
        <w:autoSpaceDE w:val="0"/>
        <w:autoSpaceDN w:val="0"/>
        <w:adjustRightInd w:val="0"/>
        <w:spacing w:before="120" w:after="120"/>
        <w:ind w:firstLine="720"/>
        <w:jc w:val="both"/>
        <w:rPr>
          <w:rFonts w:cs="Times New Roman"/>
          <w:b/>
          <w:bCs/>
          <w:i/>
          <w:sz w:val="28"/>
          <w:szCs w:val="28"/>
          <w:highlight w:val="yellow"/>
        </w:rPr>
      </w:pPr>
      <w:r w:rsidRPr="00863BF5">
        <w:rPr>
          <w:rFonts w:cs="Times New Roman"/>
          <w:b/>
          <w:bCs/>
          <w:i/>
          <w:sz w:val="28"/>
          <w:szCs w:val="28"/>
        </w:rPr>
        <w:t>VI kontroļu un virsuzraudzības stiprināšana</w:t>
      </w:r>
    </w:p>
    <w:p w14:paraId="7A5C6CFC" w14:textId="7B5EAC57" w:rsidR="00114D66" w:rsidRPr="00E94DEB" w:rsidRDefault="008D559A" w:rsidP="00942973">
      <w:pPr>
        <w:spacing w:before="120" w:after="120"/>
        <w:ind w:firstLine="720"/>
        <w:jc w:val="both"/>
        <w:rPr>
          <w:rFonts w:eastAsia="Times New Roman" w:cs="Times New Roman"/>
          <w:color w:val="000000"/>
          <w:sz w:val="28"/>
          <w:szCs w:val="28"/>
          <w:highlight w:val="yellow"/>
        </w:rPr>
      </w:pPr>
      <w:r w:rsidRPr="008D559A">
        <w:rPr>
          <w:rFonts w:eastAsia="Times New Roman" w:cs="Times New Roman"/>
          <w:color w:val="000000"/>
          <w:sz w:val="28"/>
          <w:szCs w:val="28"/>
        </w:rPr>
        <w:t>Ziņojuma pārskata periodā 2007.</w:t>
      </w:r>
      <w:r w:rsidR="00AA1A78">
        <w:rPr>
          <w:rFonts w:eastAsia="Times New Roman" w:cs="Times New Roman"/>
          <w:color w:val="000000"/>
          <w:sz w:val="28"/>
          <w:szCs w:val="28"/>
        </w:rPr>
        <w:t> </w:t>
      </w:r>
      <w:r w:rsidRPr="008D559A">
        <w:rPr>
          <w:rFonts w:eastAsia="Times New Roman" w:cs="Times New Roman"/>
          <w:color w:val="000000"/>
          <w:sz w:val="28"/>
          <w:szCs w:val="28"/>
        </w:rPr>
        <w:t>-</w:t>
      </w:r>
      <w:r w:rsidR="00AA1A78">
        <w:rPr>
          <w:rFonts w:eastAsia="Times New Roman" w:cs="Times New Roman"/>
          <w:color w:val="000000"/>
          <w:sz w:val="28"/>
          <w:szCs w:val="28"/>
        </w:rPr>
        <w:t> </w:t>
      </w:r>
      <w:r w:rsidRPr="008D559A">
        <w:rPr>
          <w:rFonts w:eastAsia="Times New Roman" w:cs="Times New Roman"/>
          <w:color w:val="000000"/>
          <w:sz w:val="28"/>
          <w:szCs w:val="28"/>
        </w:rPr>
        <w:t>2013.</w:t>
      </w:r>
      <w:r w:rsidR="00AA1A78">
        <w:rPr>
          <w:rFonts w:eastAsia="Times New Roman" w:cs="Times New Roman"/>
          <w:color w:val="000000"/>
          <w:sz w:val="28"/>
          <w:szCs w:val="28"/>
        </w:rPr>
        <w:t> </w:t>
      </w:r>
      <w:r w:rsidRPr="008D559A">
        <w:rPr>
          <w:rFonts w:eastAsia="Times New Roman" w:cs="Times New Roman"/>
          <w:color w:val="000000"/>
          <w:sz w:val="28"/>
          <w:szCs w:val="28"/>
        </w:rPr>
        <w:t>gada plānošanas perioda deleģēto funkciju pārbaudes netika veiktas, ņemot vērā, ka netika saņemta informācija no trešajā pusēm par nepieciešamību veikt kādu konkrētu aspektu pārbaudes, kas balstīti uz konstatētiem riskiem. Arī turpmāk jaunas deleģēto funkciju pārbaudes minētajā plānošanas periodā netiek plānotas, izņemot gadījumus, kad tiks saņemta informācija no trešajām pusēm un tiks pieņemts lēmums veikt pārbaudes par konkrētiem aspektiem.</w:t>
      </w:r>
    </w:p>
    <w:p w14:paraId="73C44693" w14:textId="6CC44427" w:rsidR="00AF71B0" w:rsidRPr="0084654C" w:rsidRDefault="009C0862" w:rsidP="00942973">
      <w:pPr>
        <w:autoSpaceDE w:val="0"/>
        <w:autoSpaceDN w:val="0"/>
        <w:adjustRightInd w:val="0"/>
        <w:spacing w:before="120" w:after="120"/>
        <w:ind w:firstLine="720"/>
        <w:jc w:val="both"/>
        <w:rPr>
          <w:rFonts w:cs="Times New Roman"/>
          <w:b/>
          <w:bCs/>
          <w:i/>
          <w:sz w:val="28"/>
          <w:szCs w:val="28"/>
        </w:rPr>
      </w:pPr>
      <w:r w:rsidRPr="0084654C">
        <w:rPr>
          <w:rFonts w:cs="Times New Roman"/>
          <w:b/>
          <w:bCs/>
          <w:i/>
          <w:sz w:val="28"/>
          <w:szCs w:val="28"/>
        </w:rPr>
        <w:t>ES fondu 2014.</w:t>
      </w:r>
      <w:r w:rsidR="006E73E8" w:rsidRPr="0084654C">
        <w:rPr>
          <w:rFonts w:cs="Times New Roman"/>
          <w:b/>
          <w:bCs/>
          <w:i/>
          <w:sz w:val="28"/>
          <w:szCs w:val="28"/>
        </w:rPr>
        <w:t> </w:t>
      </w:r>
      <w:r w:rsidR="00AA1A78" w:rsidRPr="0084654C">
        <w:rPr>
          <w:rFonts w:cs="Times New Roman"/>
          <w:b/>
          <w:bCs/>
          <w:i/>
          <w:sz w:val="28"/>
          <w:szCs w:val="28"/>
        </w:rPr>
        <w:t>–</w:t>
      </w:r>
      <w:r w:rsidR="006E73E8" w:rsidRPr="0084654C">
        <w:rPr>
          <w:rFonts w:cs="Times New Roman"/>
          <w:b/>
          <w:bCs/>
          <w:i/>
          <w:sz w:val="28"/>
          <w:szCs w:val="28"/>
        </w:rPr>
        <w:t> </w:t>
      </w:r>
      <w:r w:rsidRPr="0084654C">
        <w:rPr>
          <w:rFonts w:cs="Times New Roman"/>
          <w:b/>
          <w:bCs/>
          <w:i/>
          <w:sz w:val="28"/>
          <w:szCs w:val="28"/>
        </w:rPr>
        <w:t>2020</w:t>
      </w:r>
      <w:r w:rsidR="000870FE" w:rsidRPr="0084654C">
        <w:rPr>
          <w:rFonts w:cs="Times New Roman"/>
          <w:b/>
          <w:bCs/>
          <w:i/>
          <w:sz w:val="28"/>
          <w:szCs w:val="28"/>
        </w:rPr>
        <w:t>. gad</w:t>
      </w:r>
      <w:r w:rsidRPr="0084654C">
        <w:rPr>
          <w:rFonts w:cs="Times New Roman"/>
          <w:b/>
          <w:bCs/>
          <w:i/>
          <w:sz w:val="28"/>
          <w:szCs w:val="28"/>
        </w:rPr>
        <w:t xml:space="preserve">a plānošanas perioda vadības un kontroles sistēmas </w:t>
      </w:r>
      <w:r w:rsidR="008D559A" w:rsidRPr="0084654C">
        <w:rPr>
          <w:rFonts w:cs="Times New Roman"/>
          <w:b/>
          <w:bCs/>
          <w:i/>
          <w:sz w:val="28"/>
          <w:szCs w:val="28"/>
        </w:rPr>
        <w:t>pilnveidošana</w:t>
      </w:r>
      <w:r w:rsidRPr="0084654C">
        <w:rPr>
          <w:rFonts w:cs="Times New Roman"/>
          <w:b/>
          <w:bCs/>
          <w:i/>
          <w:sz w:val="28"/>
          <w:szCs w:val="28"/>
        </w:rPr>
        <w:t>:</w:t>
      </w:r>
    </w:p>
    <w:p w14:paraId="0D70AF39" w14:textId="5896A956" w:rsidR="008D559A" w:rsidRPr="00863BF5" w:rsidRDefault="008D559A" w:rsidP="00942973">
      <w:pPr>
        <w:autoSpaceDE w:val="0"/>
        <w:autoSpaceDN w:val="0"/>
        <w:adjustRightInd w:val="0"/>
        <w:spacing w:before="120" w:after="120"/>
        <w:ind w:firstLine="720"/>
        <w:jc w:val="both"/>
        <w:rPr>
          <w:rFonts w:cs="Times New Roman"/>
          <w:b/>
          <w:bCs/>
          <w:i/>
          <w:sz w:val="28"/>
          <w:szCs w:val="28"/>
        </w:rPr>
      </w:pPr>
      <w:r w:rsidRPr="008D559A">
        <w:rPr>
          <w:rFonts w:cs="Times New Roman"/>
          <w:b/>
          <w:bCs/>
          <w:i/>
          <w:sz w:val="28"/>
          <w:szCs w:val="28"/>
        </w:rPr>
        <w:t>VI kontroļu un virsuzraudzības stiprināšana</w:t>
      </w:r>
    </w:p>
    <w:p w14:paraId="6E8E48BE" w14:textId="1A122869" w:rsidR="008D559A" w:rsidRDefault="00AF2CE7" w:rsidP="00942973">
      <w:pPr>
        <w:tabs>
          <w:tab w:val="left" w:pos="851"/>
        </w:tabs>
        <w:spacing w:before="120" w:after="120"/>
        <w:ind w:firstLine="720"/>
        <w:jc w:val="both"/>
        <w:rPr>
          <w:rStyle w:val="Hyperlink"/>
          <w:rFonts w:cs="Times New Roman"/>
          <w:color w:val="auto"/>
          <w:sz w:val="28"/>
          <w:szCs w:val="28"/>
          <w:u w:val="none"/>
        </w:rPr>
      </w:pPr>
      <w:r w:rsidRPr="00863BF5">
        <w:rPr>
          <w:rStyle w:val="Hyperlink"/>
          <w:rFonts w:cs="Times New Roman"/>
          <w:color w:val="auto"/>
          <w:sz w:val="28"/>
          <w:szCs w:val="28"/>
          <w:u w:val="none"/>
        </w:rPr>
        <w:tab/>
      </w:r>
      <w:r w:rsidR="008D559A" w:rsidRPr="008D559A">
        <w:rPr>
          <w:rStyle w:val="Hyperlink"/>
          <w:rFonts w:cs="Times New Roman"/>
          <w:color w:val="auto"/>
          <w:sz w:val="28"/>
          <w:szCs w:val="28"/>
          <w:u w:val="none"/>
        </w:rPr>
        <w:t>Ziņojuma</w:t>
      </w:r>
      <w:r w:rsidR="008D559A" w:rsidRPr="00644EB0">
        <w:rPr>
          <w:rStyle w:val="Hyperlink"/>
          <w:rFonts w:cs="Times New Roman"/>
          <w:color w:val="auto"/>
          <w:sz w:val="28"/>
          <w:szCs w:val="28"/>
          <w:u w:val="none"/>
        </w:rPr>
        <w:t xml:space="preserve"> pārskata periodā 2014.</w:t>
      </w:r>
      <w:r w:rsidR="00AA1A78">
        <w:rPr>
          <w:rStyle w:val="Hyperlink"/>
          <w:rFonts w:cs="Times New Roman"/>
          <w:color w:val="auto"/>
          <w:sz w:val="28"/>
          <w:szCs w:val="28"/>
          <w:u w:val="none"/>
        </w:rPr>
        <w:t> – </w:t>
      </w:r>
      <w:r w:rsidR="008D559A" w:rsidRPr="00644EB0">
        <w:rPr>
          <w:rStyle w:val="Hyperlink"/>
          <w:rFonts w:cs="Times New Roman"/>
          <w:color w:val="auto"/>
          <w:sz w:val="28"/>
          <w:szCs w:val="28"/>
          <w:u w:val="none"/>
        </w:rPr>
        <w:t xml:space="preserve">2020. gada plānošanas perioda ietvaros VI ir veikusi </w:t>
      </w:r>
      <w:r w:rsidR="008D559A">
        <w:rPr>
          <w:rStyle w:val="Hyperlink"/>
          <w:rFonts w:cs="Times New Roman"/>
          <w:color w:val="auto"/>
          <w:sz w:val="28"/>
          <w:szCs w:val="28"/>
          <w:u w:val="none"/>
        </w:rPr>
        <w:t>129</w:t>
      </w:r>
      <w:r w:rsidR="00A506B5">
        <w:rPr>
          <w:rStyle w:val="Hyperlink"/>
          <w:rFonts w:cs="Times New Roman"/>
          <w:color w:val="auto"/>
          <w:sz w:val="28"/>
          <w:szCs w:val="28"/>
          <w:u w:val="none"/>
        </w:rPr>
        <w:t> </w:t>
      </w:r>
      <w:r w:rsidR="008D559A" w:rsidRPr="00644EB0">
        <w:rPr>
          <w:rStyle w:val="Hyperlink"/>
          <w:rFonts w:cs="Times New Roman"/>
          <w:color w:val="auto"/>
          <w:sz w:val="28"/>
          <w:szCs w:val="28"/>
          <w:u w:val="none"/>
        </w:rPr>
        <w:t xml:space="preserve">deleģēto funkciju pārbaudes, </w:t>
      </w:r>
      <w:r w:rsidR="008D559A" w:rsidRPr="00502343">
        <w:rPr>
          <w:rStyle w:val="Hyperlink"/>
          <w:rFonts w:cs="Times New Roman"/>
          <w:color w:val="auto"/>
          <w:sz w:val="28"/>
          <w:szCs w:val="28"/>
          <w:u w:val="none"/>
        </w:rPr>
        <w:t xml:space="preserve">izmantojot uz risku balstītu pieeju, </w:t>
      </w:r>
      <w:r w:rsidR="008D559A" w:rsidRPr="00644EB0">
        <w:rPr>
          <w:rStyle w:val="Hyperlink"/>
          <w:rFonts w:cs="Times New Roman"/>
          <w:color w:val="auto"/>
          <w:sz w:val="28"/>
          <w:szCs w:val="28"/>
          <w:u w:val="none"/>
        </w:rPr>
        <w:t>lai gūtu pārliecību</w:t>
      </w:r>
      <w:r w:rsidR="008D559A">
        <w:rPr>
          <w:rStyle w:val="Hyperlink"/>
          <w:rFonts w:cs="Times New Roman"/>
          <w:color w:val="auto"/>
          <w:sz w:val="28"/>
          <w:szCs w:val="28"/>
          <w:u w:val="none"/>
        </w:rPr>
        <w:t xml:space="preserve"> par starpniekinstitūcijām deleģēto funkciju atbilstošu nodrošināšanu, tai skaitā starpniekinstitūciju izstrādāto iekšējo procedūru</w:t>
      </w:r>
      <w:r w:rsidR="008D559A" w:rsidRPr="00CD0AE2">
        <w:rPr>
          <w:rStyle w:val="Hyperlink"/>
          <w:rFonts w:cs="Times New Roman"/>
          <w:color w:val="auto"/>
          <w:sz w:val="28"/>
          <w:szCs w:val="28"/>
          <w:u w:val="none"/>
        </w:rPr>
        <w:t xml:space="preserve"> </w:t>
      </w:r>
      <w:r w:rsidR="008D559A">
        <w:rPr>
          <w:rStyle w:val="Hyperlink"/>
          <w:rFonts w:cs="Times New Roman"/>
          <w:color w:val="auto"/>
          <w:sz w:val="28"/>
          <w:szCs w:val="28"/>
          <w:u w:val="none"/>
        </w:rPr>
        <w:t xml:space="preserve">atbilstošu piemērošanu praksē un to atbilstību ārējiem normatīvajiem aktiem. </w:t>
      </w:r>
    </w:p>
    <w:p w14:paraId="63898D4B" w14:textId="2324013F" w:rsidR="008D559A" w:rsidRDefault="008D559A" w:rsidP="00942973">
      <w:pPr>
        <w:tabs>
          <w:tab w:val="left" w:pos="851"/>
        </w:tabs>
        <w:spacing w:before="120" w:after="120"/>
        <w:ind w:firstLine="720"/>
        <w:jc w:val="both"/>
        <w:rPr>
          <w:rStyle w:val="Hyperlink"/>
          <w:rFonts w:cs="Times New Roman"/>
          <w:color w:val="auto"/>
          <w:sz w:val="28"/>
          <w:szCs w:val="28"/>
          <w:u w:val="none"/>
        </w:rPr>
      </w:pPr>
      <w:r>
        <w:rPr>
          <w:rStyle w:val="Hyperlink"/>
          <w:rFonts w:cs="Times New Roman"/>
          <w:color w:val="auto"/>
          <w:sz w:val="28"/>
          <w:szCs w:val="28"/>
          <w:u w:val="none"/>
        </w:rPr>
        <w:t xml:space="preserve">Ņemot vērā gan pārbaudēs konstatētos trūkumus, gan starpniekinstitūciju jautājumus vai neskaidrības par atsevišķu procesu nodrošināšanu vai konkrētu gadījumu risinājumiem, VI pēc pieprasījuma sniedz metodisko un skaidrojošo informāciju ES fondu vadībā iesaistītajām iestādēm, tai skaitā pēc </w:t>
      </w:r>
      <w:r>
        <w:rPr>
          <w:rStyle w:val="Hyperlink"/>
          <w:rFonts w:cs="Times New Roman"/>
          <w:color w:val="auto"/>
          <w:sz w:val="28"/>
          <w:szCs w:val="28"/>
          <w:u w:val="none"/>
        </w:rPr>
        <w:lastRenderedPageBreak/>
        <w:t>nepieciešamības tiek precizētas un papildinātas jau izstrādātās vadlīnijas/metodiskie materiāli, ar mērķi veicināt arvien labāku izpratni par procesiem un mazināt neatbilstoši veikto izdevumu rašanās risku.</w:t>
      </w:r>
    </w:p>
    <w:p w14:paraId="1FE98203" w14:textId="7884BED8" w:rsidR="00355C93" w:rsidRPr="00E94DEB" w:rsidRDefault="008D559A" w:rsidP="00942973">
      <w:pPr>
        <w:tabs>
          <w:tab w:val="left" w:pos="851"/>
        </w:tabs>
        <w:spacing w:before="120" w:after="120"/>
        <w:ind w:firstLine="720"/>
        <w:jc w:val="both"/>
        <w:rPr>
          <w:rStyle w:val="Hyperlink"/>
          <w:rFonts w:cs="Times New Roman"/>
          <w:color w:val="auto"/>
          <w:sz w:val="28"/>
          <w:szCs w:val="28"/>
          <w:highlight w:val="yellow"/>
          <w:u w:val="none"/>
        </w:rPr>
      </w:pPr>
      <w:r w:rsidRPr="00644EB0">
        <w:rPr>
          <w:rStyle w:val="Hyperlink"/>
          <w:rFonts w:cs="Times New Roman"/>
          <w:color w:val="auto"/>
          <w:sz w:val="28"/>
          <w:szCs w:val="28"/>
          <w:u w:val="none"/>
        </w:rPr>
        <w:t xml:space="preserve">Ievērojot pārskata periodā pabeigto pārbaužu rezultātus, VI ir guvusi pārliecību, ka kopumā </w:t>
      </w:r>
      <w:r>
        <w:rPr>
          <w:rStyle w:val="Hyperlink"/>
          <w:rFonts w:cs="Times New Roman"/>
          <w:color w:val="auto"/>
          <w:sz w:val="28"/>
          <w:szCs w:val="28"/>
          <w:u w:val="none"/>
        </w:rPr>
        <w:t>starpniekinstitūcijas</w:t>
      </w:r>
      <w:r w:rsidRPr="00644EB0">
        <w:rPr>
          <w:rStyle w:val="Hyperlink"/>
          <w:rFonts w:cs="Times New Roman"/>
          <w:color w:val="auto"/>
          <w:sz w:val="28"/>
          <w:szCs w:val="28"/>
          <w:u w:val="none"/>
        </w:rPr>
        <w:t xml:space="preserve"> deleģētās funkcijas pilda atbilstošā kvalitātē, t.sk. vadības un kontroles sistēma kopumā darbojas atbilstoši. Atsevišķos gadījumos konstatēti trūkumi, kuriem nav būtiskas ietekmes uz deleģēto funkciju izpildes kopējo kvalitāti. Par konstatēto trūkumu novēršanu </w:t>
      </w:r>
      <w:r>
        <w:rPr>
          <w:rStyle w:val="Hyperlink"/>
          <w:rFonts w:cs="Times New Roman"/>
          <w:color w:val="auto"/>
          <w:sz w:val="28"/>
          <w:szCs w:val="28"/>
          <w:u w:val="none"/>
        </w:rPr>
        <w:t>starpniekinstitūcijām</w:t>
      </w:r>
      <w:r w:rsidRPr="00644EB0">
        <w:rPr>
          <w:rStyle w:val="Hyperlink"/>
          <w:rFonts w:cs="Times New Roman"/>
          <w:color w:val="auto"/>
          <w:sz w:val="28"/>
          <w:szCs w:val="28"/>
          <w:u w:val="none"/>
        </w:rPr>
        <w:t xml:space="preserve"> ir sagatavoti rīcības plāni, kas tiek pildīti, ievērojot saskaņotos termiņus. Veikto pārbaužu ietvaros nav konstatēti būtiski trūkumi ar sistēmiskām pazīmēm, kas varētu ietekmēt atbilstošu vadības un kontroles sistēmas darbību.</w:t>
      </w:r>
    </w:p>
    <w:p w14:paraId="3E66A922" w14:textId="5CA75F55" w:rsidR="00781C6C" w:rsidRPr="00781C6C" w:rsidRDefault="00425FFE" w:rsidP="00781C6C">
      <w:pPr>
        <w:spacing w:before="120" w:after="120"/>
        <w:ind w:firstLine="720"/>
        <w:jc w:val="both"/>
        <w:rPr>
          <w:rFonts w:eastAsia="Calibri" w:cs="Times New Roman"/>
          <w:sz w:val="28"/>
          <w:szCs w:val="24"/>
        </w:rPr>
      </w:pPr>
      <w:r w:rsidRPr="003C6937">
        <w:rPr>
          <w:rFonts w:eastAsia="Calibri" w:cs="Times New Roman"/>
          <w:sz w:val="28"/>
          <w:szCs w:val="24"/>
        </w:rPr>
        <w:t xml:space="preserve">Izvērtējot TP </w:t>
      </w:r>
      <w:r w:rsidR="00A506B5">
        <w:rPr>
          <w:rFonts w:eastAsia="Calibri" w:cs="Times New Roman"/>
          <w:sz w:val="28"/>
          <w:szCs w:val="24"/>
        </w:rPr>
        <w:t>FS</w:t>
      </w:r>
      <w:r w:rsidRPr="003C6937">
        <w:rPr>
          <w:rFonts w:eastAsia="Calibri" w:cs="Times New Roman"/>
          <w:sz w:val="28"/>
          <w:szCs w:val="24"/>
        </w:rPr>
        <w:t xml:space="preserve"> sniegto informāciju par TP projektu statusu, tika secināts, ka vairākiem TP projektiem pieejamais finansējums ir nepietiekams projekta pabeigšanai līdz 2018. gada 31. </w:t>
      </w:r>
      <w:r w:rsidR="003C6937" w:rsidRPr="003C6937">
        <w:rPr>
          <w:rFonts w:eastAsia="Calibri" w:cs="Times New Roman"/>
          <w:sz w:val="28"/>
          <w:szCs w:val="24"/>
        </w:rPr>
        <w:t>decembrim.</w:t>
      </w:r>
      <w:r w:rsidRPr="003C6937">
        <w:rPr>
          <w:rFonts w:eastAsia="Calibri" w:cs="Times New Roman"/>
          <w:sz w:val="28"/>
          <w:szCs w:val="24"/>
        </w:rPr>
        <w:t xml:space="preserve"> </w:t>
      </w:r>
      <w:r w:rsidR="003C6937" w:rsidRPr="003C6937">
        <w:rPr>
          <w:rFonts w:eastAsia="Calibri" w:cs="Times New Roman"/>
          <w:sz w:val="28"/>
          <w:szCs w:val="24"/>
        </w:rPr>
        <w:t>T</w:t>
      </w:r>
      <w:r w:rsidRPr="003C6937">
        <w:rPr>
          <w:rFonts w:eastAsia="Calibri" w:cs="Times New Roman"/>
          <w:sz w:val="28"/>
          <w:szCs w:val="24"/>
        </w:rPr>
        <w:t xml:space="preserve">āpēc, lai nodrošinātu uzsākto projektu pēctecīgu ieviešanu un to mērķu sasniegšanu, </w:t>
      </w:r>
      <w:r w:rsidR="003C6937" w:rsidRPr="003C6937">
        <w:rPr>
          <w:rFonts w:eastAsia="Calibri" w:cs="Times New Roman"/>
          <w:sz w:val="28"/>
          <w:szCs w:val="24"/>
        </w:rPr>
        <w:t>tika veikta</w:t>
      </w:r>
      <w:r w:rsidRPr="003C6937">
        <w:rPr>
          <w:rFonts w:eastAsia="Calibri" w:cs="Times New Roman"/>
          <w:sz w:val="28"/>
          <w:szCs w:val="24"/>
        </w:rPr>
        <w:t xml:space="preserve"> TP līdzekļu pārdale no </w:t>
      </w:r>
      <w:r w:rsidR="003C6937" w:rsidRPr="003C6937">
        <w:rPr>
          <w:rFonts w:eastAsia="Calibri" w:cs="Times New Roman"/>
          <w:sz w:val="28"/>
          <w:szCs w:val="24"/>
        </w:rPr>
        <w:t>pieejamā brīvā finansējuma</w:t>
      </w:r>
      <w:r w:rsidRPr="003C6937">
        <w:rPr>
          <w:rFonts w:eastAsia="Calibri" w:cs="Times New Roman"/>
          <w:sz w:val="28"/>
          <w:szCs w:val="24"/>
        </w:rPr>
        <w:t xml:space="preserve"> attiecībā uz TP </w:t>
      </w:r>
      <w:r w:rsidR="00A506B5">
        <w:rPr>
          <w:rFonts w:eastAsia="Calibri" w:cs="Times New Roman"/>
          <w:sz w:val="28"/>
          <w:szCs w:val="24"/>
        </w:rPr>
        <w:t>pirma</w:t>
      </w:r>
      <w:r w:rsidR="00877404">
        <w:rPr>
          <w:rFonts w:eastAsia="Calibri" w:cs="Times New Roman"/>
          <w:sz w:val="28"/>
          <w:szCs w:val="24"/>
        </w:rPr>
        <w:t>ja</w:t>
      </w:r>
      <w:r w:rsidR="00A506B5">
        <w:rPr>
          <w:rFonts w:eastAsia="Calibri" w:cs="Times New Roman"/>
          <w:sz w:val="28"/>
          <w:szCs w:val="24"/>
        </w:rPr>
        <w:t xml:space="preserve">i </w:t>
      </w:r>
      <w:r w:rsidRPr="003C6937">
        <w:rPr>
          <w:rFonts w:eastAsia="Calibri" w:cs="Times New Roman"/>
          <w:sz w:val="28"/>
          <w:szCs w:val="24"/>
        </w:rPr>
        <w:t>kārtai pieejamo finansējumu laika posmam no 2016.</w:t>
      </w:r>
      <w:r w:rsidR="00A506B5">
        <w:rPr>
          <w:rFonts w:eastAsia="Calibri" w:cs="Times New Roman"/>
          <w:sz w:val="28"/>
          <w:szCs w:val="24"/>
        </w:rPr>
        <w:t> </w:t>
      </w:r>
      <w:r w:rsidRPr="003C6937">
        <w:rPr>
          <w:rFonts w:eastAsia="Calibri" w:cs="Times New Roman"/>
          <w:sz w:val="28"/>
          <w:szCs w:val="24"/>
        </w:rPr>
        <w:t>gada 1.</w:t>
      </w:r>
      <w:r w:rsidR="00A506B5">
        <w:rPr>
          <w:rFonts w:eastAsia="Calibri" w:cs="Times New Roman"/>
          <w:sz w:val="28"/>
          <w:szCs w:val="24"/>
        </w:rPr>
        <w:t> </w:t>
      </w:r>
      <w:r w:rsidRPr="003C6937">
        <w:rPr>
          <w:rFonts w:eastAsia="Calibri" w:cs="Times New Roman"/>
          <w:sz w:val="28"/>
          <w:szCs w:val="24"/>
        </w:rPr>
        <w:t>janvāra līdz 2018</w:t>
      </w:r>
      <w:r w:rsidR="003C6937" w:rsidRPr="003C6937">
        <w:rPr>
          <w:rFonts w:eastAsia="Calibri" w:cs="Times New Roman"/>
          <w:sz w:val="28"/>
          <w:szCs w:val="24"/>
        </w:rPr>
        <w:t>.</w:t>
      </w:r>
      <w:r w:rsidR="00A506B5">
        <w:rPr>
          <w:rFonts w:eastAsia="Calibri" w:cs="Times New Roman"/>
          <w:sz w:val="28"/>
          <w:szCs w:val="24"/>
        </w:rPr>
        <w:t> </w:t>
      </w:r>
      <w:r w:rsidR="003C6937" w:rsidRPr="003C6937">
        <w:rPr>
          <w:rFonts w:eastAsia="Calibri" w:cs="Times New Roman"/>
          <w:sz w:val="28"/>
          <w:szCs w:val="24"/>
        </w:rPr>
        <w:t>gada 31.</w:t>
      </w:r>
      <w:r w:rsidR="00A506B5">
        <w:rPr>
          <w:rFonts w:eastAsia="Calibri" w:cs="Times New Roman"/>
          <w:sz w:val="28"/>
          <w:szCs w:val="24"/>
        </w:rPr>
        <w:t> </w:t>
      </w:r>
      <w:r w:rsidR="003C6937" w:rsidRPr="003C6937">
        <w:rPr>
          <w:rFonts w:eastAsia="Calibri" w:cs="Times New Roman"/>
          <w:sz w:val="28"/>
          <w:szCs w:val="24"/>
        </w:rPr>
        <w:t>decembrim.</w:t>
      </w:r>
      <w:r w:rsidR="003C6937" w:rsidRPr="003C6937">
        <w:rPr>
          <w:rFonts w:eastAsia="Calibri" w:cs="Times New Roman"/>
          <w:bCs/>
          <w:sz w:val="28"/>
          <w:szCs w:val="24"/>
        </w:rPr>
        <w:t xml:space="preserve"> Lai nodrošinātu vienlīdzīgu un pamatotu pieeju finansējuma pārdalē starp TP </w:t>
      </w:r>
      <w:r w:rsidR="00A506B5">
        <w:rPr>
          <w:rFonts w:eastAsia="Calibri" w:cs="Times New Roman"/>
          <w:bCs/>
          <w:sz w:val="28"/>
          <w:szCs w:val="24"/>
        </w:rPr>
        <w:t>FS</w:t>
      </w:r>
      <w:r w:rsidR="003C6937" w:rsidRPr="003C6937">
        <w:rPr>
          <w:rFonts w:eastAsia="Calibri" w:cs="Times New Roman"/>
          <w:bCs/>
          <w:sz w:val="28"/>
          <w:szCs w:val="24"/>
        </w:rPr>
        <w:t>, tika analizēti un izvērtēti visi aspekti un argumenti (t.sk. vērtēts TP izmantotais finansējums projektu līmenī, valsts budžeta plāna izpilde, institūcijas administrēto ES fondu līdzekļu apjoms, apkopoti un veikti aritmētiski aprēķini).</w:t>
      </w:r>
      <w:r w:rsidR="003C6937" w:rsidRPr="003C6937">
        <w:rPr>
          <w:rFonts w:eastAsia="Calibri" w:cs="Times New Roman"/>
          <w:sz w:val="28"/>
          <w:szCs w:val="24"/>
        </w:rPr>
        <w:t xml:space="preserve"> G</w:t>
      </w:r>
      <w:r w:rsidRPr="003C6937">
        <w:rPr>
          <w:sz w:val="28"/>
        </w:rPr>
        <w:t>rozījumi M</w:t>
      </w:r>
      <w:r w:rsidR="00A506B5">
        <w:rPr>
          <w:sz w:val="28"/>
        </w:rPr>
        <w:t>K</w:t>
      </w:r>
      <w:r w:rsidRPr="003C6937">
        <w:rPr>
          <w:sz w:val="28"/>
        </w:rPr>
        <w:t xml:space="preserve"> 2015.</w:t>
      </w:r>
      <w:r w:rsidR="00A506B5">
        <w:rPr>
          <w:sz w:val="28"/>
        </w:rPr>
        <w:t> </w:t>
      </w:r>
      <w:r w:rsidRPr="003C6937">
        <w:rPr>
          <w:sz w:val="28"/>
        </w:rPr>
        <w:t>gada 25.</w:t>
      </w:r>
      <w:r w:rsidR="00A506B5">
        <w:rPr>
          <w:sz w:val="28"/>
        </w:rPr>
        <w:t> </w:t>
      </w:r>
      <w:r w:rsidRPr="003C6937">
        <w:rPr>
          <w:sz w:val="28"/>
        </w:rPr>
        <w:t>augusta noteikumos Nr.</w:t>
      </w:r>
      <w:r w:rsidR="00A506B5">
        <w:rPr>
          <w:sz w:val="28"/>
        </w:rPr>
        <w:t> </w:t>
      </w:r>
      <w:r w:rsidRPr="003C6937">
        <w:rPr>
          <w:sz w:val="28"/>
        </w:rPr>
        <w:t>485 “Noteikumi par darbības programmas “Izaugsme un nodarbinātība” 2.10.prioritārā virziena “Tehniskā palīdzība “Eiropas Reģionālās attīstības fonda atbalsts Kohēzijas politikas fondu ieviešanai un vadībai”” un 2.12.prioritārā virziena “Tehniskā palīdzība “Kohēzijas fonda atbalsts Kohēzijas politikas fondu ieviešanai un vadībai”” projektu atlases pirmo kārtu“”</w:t>
      </w:r>
      <w:r w:rsidR="003C6937" w:rsidRPr="003C6937">
        <w:rPr>
          <w:sz w:val="28"/>
        </w:rPr>
        <w:t xml:space="preserve"> ir stājušies spēkā 2017.</w:t>
      </w:r>
      <w:r w:rsidR="00A506B5">
        <w:rPr>
          <w:sz w:val="28"/>
        </w:rPr>
        <w:t> </w:t>
      </w:r>
      <w:r w:rsidR="003C6937" w:rsidRPr="003C6937">
        <w:rPr>
          <w:sz w:val="28"/>
        </w:rPr>
        <w:t>gada 10.</w:t>
      </w:r>
      <w:r w:rsidR="00A506B5">
        <w:rPr>
          <w:sz w:val="28"/>
        </w:rPr>
        <w:t> </w:t>
      </w:r>
      <w:r w:rsidR="003C6937" w:rsidRPr="003C6937">
        <w:rPr>
          <w:sz w:val="28"/>
        </w:rPr>
        <w:t>novembrī</w:t>
      </w:r>
      <w:r w:rsidRPr="003C6937">
        <w:rPr>
          <w:sz w:val="28"/>
        </w:rPr>
        <w:t>.</w:t>
      </w:r>
    </w:p>
    <w:p w14:paraId="636A0AE3" w14:textId="09247F99" w:rsidR="009C0862" w:rsidRPr="0084654C" w:rsidRDefault="00E7475B" w:rsidP="00863BF5">
      <w:pPr>
        <w:rPr>
          <w:rFonts w:cs="Times New Roman"/>
          <w:b/>
          <w:i/>
          <w:sz w:val="28"/>
          <w:szCs w:val="28"/>
        </w:rPr>
      </w:pPr>
      <w:r w:rsidRPr="0084654C">
        <w:rPr>
          <w:rFonts w:cs="Times New Roman"/>
          <w:b/>
          <w:i/>
          <w:sz w:val="28"/>
          <w:szCs w:val="28"/>
        </w:rPr>
        <w:tab/>
      </w:r>
      <w:r w:rsidR="009C0862" w:rsidRPr="0084654C">
        <w:rPr>
          <w:rFonts w:cs="Times New Roman"/>
          <w:b/>
          <w:i/>
          <w:sz w:val="28"/>
          <w:szCs w:val="28"/>
        </w:rPr>
        <w:t xml:space="preserve">Pārskata periodā </w:t>
      </w:r>
      <w:r w:rsidR="00CF7E85" w:rsidRPr="0084654C">
        <w:rPr>
          <w:rFonts w:cs="Times New Roman"/>
          <w:b/>
          <w:i/>
          <w:sz w:val="28"/>
          <w:szCs w:val="28"/>
        </w:rPr>
        <w:t>stiprināta normatīvā bāze ES fondu ieviešanā</w:t>
      </w:r>
      <w:r w:rsidR="009C0862" w:rsidRPr="0084654C">
        <w:rPr>
          <w:rFonts w:cs="Times New Roman"/>
          <w:b/>
          <w:i/>
          <w:sz w:val="28"/>
          <w:szCs w:val="28"/>
        </w:rPr>
        <w:t>:</w:t>
      </w:r>
    </w:p>
    <w:p w14:paraId="22E85CFC" w14:textId="643200DC" w:rsidR="00D05CDA" w:rsidRPr="00E94DEB" w:rsidRDefault="00D05CDA" w:rsidP="00942973">
      <w:pPr>
        <w:tabs>
          <w:tab w:val="left" w:pos="851"/>
        </w:tabs>
        <w:spacing w:before="120" w:after="120"/>
        <w:ind w:firstLine="720"/>
        <w:jc w:val="both"/>
        <w:rPr>
          <w:rFonts w:cs="Times New Roman"/>
          <w:i/>
          <w:sz w:val="28"/>
          <w:szCs w:val="28"/>
        </w:rPr>
      </w:pPr>
      <w:r w:rsidRPr="00E94DEB">
        <w:rPr>
          <w:rFonts w:cs="Times New Roman"/>
          <w:i/>
          <w:sz w:val="28"/>
          <w:szCs w:val="28"/>
        </w:rPr>
        <w:t>Grozījumi M</w:t>
      </w:r>
      <w:r w:rsidR="00397CB0">
        <w:rPr>
          <w:rFonts w:cs="Times New Roman"/>
          <w:i/>
          <w:sz w:val="28"/>
          <w:szCs w:val="28"/>
        </w:rPr>
        <w:t>K</w:t>
      </w:r>
      <w:r w:rsidRPr="00E94DEB">
        <w:rPr>
          <w:rFonts w:cs="Times New Roman"/>
          <w:i/>
          <w:sz w:val="28"/>
          <w:szCs w:val="28"/>
        </w:rPr>
        <w:t xml:space="preserve"> 2015.</w:t>
      </w:r>
      <w:r w:rsidR="00AA1A78">
        <w:rPr>
          <w:rFonts w:cs="Times New Roman"/>
          <w:i/>
          <w:sz w:val="28"/>
          <w:szCs w:val="28"/>
        </w:rPr>
        <w:t> </w:t>
      </w:r>
      <w:r w:rsidRPr="00E94DEB">
        <w:rPr>
          <w:rFonts w:cs="Times New Roman"/>
          <w:i/>
          <w:sz w:val="28"/>
          <w:szCs w:val="28"/>
        </w:rPr>
        <w:t>gada 24.</w:t>
      </w:r>
      <w:r w:rsidR="00AA1A78">
        <w:rPr>
          <w:rFonts w:cs="Times New Roman"/>
          <w:i/>
          <w:sz w:val="28"/>
          <w:szCs w:val="28"/>
        </w:rPr>
        <w:t> </w:t>
      </w:r>
      <w:r w:rsidRPr="00E94DEB">
        <w:rPr>
          <w:rFonts w:cs="Times New Roman"/>
          <w:i/>
          <w:sz w:val="28"/>
          <w:szCs w:val="28"/>
        </w:rPr>
        <w:t>februāra noteikumos Nr.</w:t>
      </w:r>
      <w:r w:rsidR="00AA1A78">
        <w:rPr>
          <w:rFonts w:cs="Times New Roman"/>
          <w:i/>
          <w:sz w:val="28"/>
          <w:szCs w:val="28"/>
        </w:rPr>
        <w:t> </w:t>
      </w:r>
      <w:r w:rsidRPr="00E94DEB">
        <w:rPr>
          <w:rFonts w:cs="Times New Roman"/>
          <w:i/>
          <w:sz w:val="28"/>
          <w:szCs w:val="28"/>
        </w:rPr>
        <w:t>108 "Kārtība, kādā uzrauga un izvērtē Eiropas Savienības struktūrfondu un Kohēzijas fonda ieviešanu, kā arī izveido un izmanto Kohēzijas politikas fondu vadības informācijas sistēmu 2014.</w:t>
      </w:r>
      <w:r w:rsidR="00AA1A78">
        <w:rPr>
          <w:rFonts w:cs="Times New Roman"/>
          <w:i/>
          <w:sz w:val="28"/>
          <w:szCs w:val="28"/>
        </w:rPr>
        <w:t> – </w:t>
      </w:r>
      <w:r w:rsidRPr="00E94DEB">
        <w:rPr>
          <w:rFonts w:cs="Times New Roman"/>
          <w:i/>
          <w:sz w:val="28"/>
          <w:szCs w:val="28"/>
        </w:rPr>
        <w:t>2020.</w:t>
      </w:r>
      <w:r w:rsidR="00AA1A78">
        <w:rPr>
          <w:rFonts w:cs="Times New Roman"/>
          <w:i/>
          <w:sz w:val="28"/>
          <w:szCs w:val="28"/>
        </w:rPr>
        <w:t> </w:t>
      </w:r>
      <w:r w:rsidRPr="00E94DEB">
        <w:rPr>
          <w:rFonts w:cs="Times New Roman"/>
          <w:i/>
          <w:sz w:val="28"/>
          <w:szCs w:val="28"/>
        </w:rPr>
        <w:t>gadam".</w:t>
      </w:r>
    </w:p>
    <w:p w14:paraId="4743FAA0" w14:textId="69DA38C3" w:rsidR="00D05CDA" w:rsidRPr="00E94DEB" w:rsidRDefault="00D05CDA" w:rsidP="00942973">
      <w:pPr>
        <w:tabs>
          <w:tab w:val="left" w:pos="851"/>
        </w:tabs>
        <w:spacing w:before="120" w:after="120"/>
        <w:ind w:firstLine="720"/>
        <w:jc w:val="both"/>
        <w:rPr>
          <w:rFonts w:cs="Times New Roman"/>
          <w:sz w:val="28"/>
          <w:szCs w:val="28"/>
        </w:rPr>
      </w:pPr>
      <w:r w:rsidRPr="00E94DEB">
        <w:rPr>
          <w:rFonts w:cs="Times New Roman"/>
          <w:sz w:val="28"/>
          <w:szCs w:val="28"/>
        </w:rPr>
        <w:t>Ar grozījumiem MK noteikumos Nr. 108</w:t>
      </w:r>
      <w:r w:rsidRPr="00E94DEB">
        <w:rPr>
          <w:rStyle w:val="FootnoteReference"/>
          <w:rFonts w:cs="Times New Roman"/>
          <w:sz w:val="28"/>
          <w:szCs w:val="28"/>
        </w:rPr>
        <w:footnoteReference w:id="103"/>
      </w:r>
      <w:r w:rsidRPr="00E94DEB">
        <w:rPr>
          <w:rFonts w:cs="Times New Roman"/>
          <w:sz w:val="28"/>
          <w:szCs w:val="28"/>
        </w:rPr>
        <w:t xml:space="preserve"> svītrota norma, kas </w:t>
      </w:r>
      <w:r w:rsidR="004231BA" w:rsidRPr="00E94DEB">
        <w:rPr>
          <w:rFonts w:cs="Times New Roman"/>
          <w:sz w:val="28"/>
          <w:szCs w:val="28"/>
        </w:rPr>
        <w:t xml:space="preserve">paredz </w:t>
      </w:r>
      <w:r w:rsidR="00F02FD1">
        <w:rPr>
          <w:rFonts w:cs="Times New Roman"/>
          <w:sz w:val="28"/>
          <w:szCs w:val="28"/>
        </w:rPr>
        <w:t xml:space="preserve">DP papildinājuma </w:t>
      </w:r>
      <w:r w:rsidRPr="00E94DEB">
        <w:rPr>
          <w:rFonts w:cs="Times New Roman"/>
          <w:sz w:val="28"/>
          <w:szCs w:val="28"/>
        </w:rPr>
        <w:t xml:space="preserve">izstrādi, jo </w:t>
      </w:r>
      <w:r w:rsidR="00F02FD1">
        <w:rPr>
          <w:rFonts w:cs="Times New Roman"/>
          <w:sz w:val="28"/>
          <w:szCs w:val="28"/>
        </w:rPr>
        <w:t xml:space="preserve">DP papildinājums </w:t>
      </w:r>
      <w:r w:rsidRPr="00E94DEB">
        <w:rPr>
          <w:rFonts w:cs="Times New Roman"/>
          <w:sz w:val="28"/>
          <w:szCs w:val="28"/>
        </w:rPr>
        <w:t xml:space="preserve">nav izstrādāts kā viens vienots dokuments. Tā vietā </w:t>
      </w:r>
      <w:r w:rsidR="00F02FD1">
        <w:rPr>
          <w:rFonts w:cs="Times New Roman"/>
          <w:sz w:val="28"/>
          <w:szCs w:val="28"/>
        </w:rPr>
        <w:t>DP papildinājumā</w:t>
      </w:r>
      <w:r w:rsidRPr="00E94DEB">
        <w:rPr>
          <w:rFonts w:cs="Times New Roman"/>
          <w:sz w:val="28"/>
          <w:szCs w:val="28"/>
        </w:rPr>
        <w:t xml:space="preserve"> minētā informācija tiek iekļauta gan MK noteikumos par </w:t>
      </w:r>
      <w:r w:rsidR="00397CB0">
        <w:rPr>
          <w:rFonts w:cs="Times New Roman"/>
          <w:sz w:val="28"/>
          <w:szCs w:val="28"/>
        </w:rPr>
        <w:t>SAM</w:t>
      </w:r>
      <w:r w:rsidRPr="00E94DEB">
        <w:rPr>
          <w:rFonts w:cs="Times New Roman"/>
          <w:sz w:val="28"/>
          <w:szCs w:val="28"/>
        </w:rPr>
        <w:t xml:space="preserve"> īstenošanu, gan KP</w:t>
      </w:r>
      <w:r w:rsidR="00397CB0">
        <w:rPr>
          <w:rFonts w:cs="Times New Roman"/>
          <w:sz w:val="28"/>
          <w:szCs w:val="28"/>
        </w:rPr>
        <w:t> </w:t>
      </w:r>
      <w:r w:rsidRPr="00E94DEB">
        <w:rPr>
          <w:rFonts w:cs="Times New Roman"/>
          <w:sz w:val="28"/>
          <w:szCs w:val="28"/>
        </w:rPr>
        <w:t>VIS, gan FM sagatavotajos regulārajos informatīvajos ziņojumos. Papildus MK noteikumi Nr. 108 papildināti ar normu,</w:t>
      </w:r>
      <w:r w:rsidRPr="00E94DEB">
        <w:t xml:space="preserve"> </w:t>
      </w:r>
      <w:r w:rsidRPr="00E94DEB">
        <w:rPr>
          <w:rFonts w:cs="Times New Roman"/>
          <w:sz w:val="28"/>
          <w:szCs w:val="28"/>
        </w:rPr>
        <w:lastRenderedPageBreak/>
        <w:t>kas ļauj CFLA elastīgāk rīkoties pie KP</w:t>
      </w:r>
      <w:r w:rsidR="00397CB0">
        <w:rPr>
          <w:rFonts w:cs="Times New Roman"/>
          <w:sz w:val="28"/>
          <w:szCs w:val="28"/>
        </w:rPr>
        <w:t> </w:t>
      </w:r>
      <w:r w:rsidRPr="00E94DEB">
        <w:rPr>
          <w:rFonts w:cs="Times New Roman"/>
          <w:sz w:val="28"/>
          <w:szCs w:val="28"/>
        </w:rPr>
        <w:t xml:space="preserve">VIS izstrādes tā, lai apstiprinātās veidlapas varētu papildināt ar laukiem, kas nepieciešami efektīvākai projektu administrēšanai, taču nebūs obligāti aizpildāmi </w:t>
      </w:r>
      <w:r w:rsidR="00177745">
        <w:rPr>
          <w:rFonts w:cs="Times New Roman"/>
          <w:sz w:val="28"/>
          <w:szCs w:val="28"/>
        </w:rPr>
        <w:t>FS</w:t>
      </w:r>
      <w:r w:rsidRPr="00E94DEB">
        <w:rPr>
          <w:rFonts w:cs="Times New Roman"/>
          <w:sz w:val="28"/>
          <w:szCs w:val="28"/>
        </w:rPr>
        <w:t>.</w:t>
      </w:r>
      <w:r w:rsidRPr="00E94DEB">
        <w:t xml:space="preserve"> </w:t>
      </w:r>
      <w:r w:rsidRPr="00E94DEB">
        <w:rPr>
          <w:rFonts w:cs="Times New Roman"/>
          <w:sz w:val="28"/>
          <w:szCs w:val="28"/>
        </w:rPr>
        <w:t>Attiecīgie grozījumi stājās spēkā 2017.</w:t>
      </w:r>
      <w:r w:rsidR="00397CB0">
        <w:rPr>
          <w:rFonts w:cs="Times New Roman"/>
          <w:sz w:val="28"/>
          <w:szCs w:val="28"/>
        </w:rPr>
        <w:t> </w:t>
      </w:r>
      <w:r w:rsidRPr="00E94DEB">
        <w:rPr>
          <w:rFonts w:cs="Times New Roman"/>
          <w:sz w:val="28"/>
          <w:szCs w:val="28"/>
        </w:rPr>
        <w:t>gada 11.</w:t>
      </w:r>
      <w:r w:rsidR="00397CB0">
        <w:rPr>
          <w:rFonts w:cs="Times New Roman"/>
          <w:sz w:val="28"/>
          <w:szCs w:val="28"/>
        </w:rPr>
        <w:t> </w:t>
      </w:r>
      <w:r w:rsidRPr="00E94DEB">
        <w:rPr>
          <w:rFonts w:cs="Times New Roman"/>
          <w:sz w:val="28"/>
          <w:szCs w:val="28"/>
        </w:rPr>
        <w:t>augustā.</w:t>
      </w:r>
    </w:p>
    <w:p w14:paraId="67F537EC" w14:textId="35E3EED9" w:rsidR="00D05CDA" w:rsidRPr="00E94DEB" w:rsidRDefault="00D05CDA" w:rsidP="00942973">
      <w:pPr>
        <w:tabs>
          <w:tab w:val="left" w:pos="851"/>
        </w:tabs>
        <w:spacing w:before="120" w:after="120"/>
        <w:ind w:firstLine="720"/>
        <w:jc w:val="both"/>
        <w:rPr>
          <w:rFonts w:cs="Times New Roman"/>
          <w:i/>
          <w:sz w:val="28"/>
          <w:szCs w:val="28"/>
        </w:rPr>
      </w:pPr>
      <w:r w:rsidRPr="00E94DEB">
        <w:rPr>
          <w:rFonts w:cs="Times New Roman"/>
          <w:i/>
          <w:sz w:val="28"/>
          <w:szCs w:val="28"/>
        </w:rPr>
        <w:t>Grozījumi M</w:t>
      </w:r>
      <w:r w:rsidR="00397CB0">
        <w:rPr>
          <w:rFonts w:cs="Times New Roman"/>
          <w:i/>
          <w:sz w:val="28"/>
          <w:szCs w:val="28"/>
        </w:rPr>
        <w:t>K</w:t>
      </w:r>
      <w:r w:rsidRPr="00E94DEB">
        <w:rPr>
          <w:rFonts w:cs="Times New Roman"/>
          <w:i/>
          <w:sz w:val="28"/>
          <w:szCs w:val="28"/>
        </w:rPr>
        <w:t xml:space="preserve"> 2014.</w:t>
      </w:r>
      <w:r w:rsidR="00397CB0">
        <w:rPr>
          <w:rFonts w:cs="Times New Roman"/>
          <w:i/>
          <w:sz w:val="28"/>
          <w:szCs w:val="28"/>
        </w:rPr>
        <w:t> </w:t>
      </w:r>
      <w:r w:rsidRPr="00E94DEB">
        <w:rPr>
          <w:rFonts w:cs="Times New Roman"/>
          <w:i/>
          <w:sz w:val="28"/>
          <w:szCs w:val="28"/>
        </w:rPr>
        <w:t>gada 7.</w:t>
      </w:r>
      <w:r w:rsidR="00397CB0">
        <w:rPr>
          <w:rFonts w:cs="Times New Roman"/>
          <w:i/>
          <w:sz w:val="28"/>
          <w:szCs w:val="28"/>
        </w:rPr>
        <w:t> </w:t>
      </w:r>
      <w:r w:rsidRPr="00E94DEB">
        <w:rPr>
          <w:rFonts w:cs="Times New Roman"/>
          <w:i/>
          <w:sz w:val="28"/>
          <w:szCs w:val="28"/>
        </w:rPr>
        <w:t>oktobra noteikumos Nr.</w:t>
      </w:r>
      <w:r w:rsidR="00397CB0">
        <w:rPr>
          <w:rFonts w:cs="Times New Roman"/>
          <w:i/>
          <w:sz w:val="28"/>
          <w:szCs w:val="28"/>
        </w:rPr>
        <w:t> </w:t>
      </w:r>
      <w:r w:rsidRPr="00E94DEB">
        <w:rPr>
          <w:rFonts w:cs="Times New Roman"/>
          <w:i/>
          <w:sz w:val="28"/>
          <w:szCs w:val="28"/>
        </w:rPr>
        <w:t>611 "Prasības Eiropas Savienības struktūrfondu un Kohēzijas fonda 2014.</w:t>
      </w:r>
      <w:r w:rsidR="00397CB0">
        <w:rPr>
          <w:rFonts w:cs="Times New Roman"/>
          <w:i/>
          <w:sz w:val="28"/>
          <w:szCs w:val="28"/>
        </w:rPr>
        <w:t> – </w:t>
      </w:r>
      <w:r w:rsidRPr="00E94DEB">
        <w:rPr>
          <w:rFonts w:cs="Times New Roman"/>
          <w:i/>
          <w:sz w:val="28"/>
          <w:szCs w:val="28"/>
        </w:rPr>
        <w:t>2020.</w:t>
      </w:r>
      <w:r w:rsidR="00397CB0">
        <w:rPr>
          <w:rFonts w:cs="Times New Roman"/>
          <w:i/>
          <w:sz w:val="28"/>
          <w:szCs w:val="28"/>
        </w:rPr>
        <w:t> </w:t>
      </w:r>
      <w:r w:rsidRPr="00E94DEB">
        <w:rPr>
          <w:rFonts w:cs="Times New Roman"/>
          <w:i/>
          <w:sz w:val="28"/>
          <w:szCs w:val="28"/>
        </w:rPr>
        <w:t>gada plānošanas perioda vadības un kontroles sistēmas izveidošanai"</w:t>
      </w:r>
    </w:p>
    <w:p w14:paraId="6B97A371" w14:textId="0C6F154C" w:rsidR="00D05CDA" w:rsidRPr="00E94DEB" w:rsidRDefault="00D05CDA" w:rsidP="00942973">
      <w:pPr>
        <w:tabs>
          <w:tab w:val="left" w:pos="851"/>
        </w:tabs>
        <w:spacing w:before="120" w:after="120"/>
        <w:ind w:firstLine="720"/>
        <w:jc w:val="both"/>
        <w:rPr>
          <w:rFonts w:cs="Times New Roman"/>
          <w:sz w:val="28"/>
          <w:szCs w:val="28"/>
        </w:rPr>
      </w:pPr>
      <w:r w:rsidRPr="00E94DEB">
        <w:rPr>
          <w:rFonts w:cs="Times New Roman"/>
          <w:sz w:val="28"/>
          <w:szCs w:val="28"/>
        </w:rPr>
        <w:t>Ar grozījumiem MK noteikumos Nr. 611</w:t>
      </w:r>
      <w:r w:rsidRPr="00E94DEB">
        <w:rPr>
          <w:rStyle w:val="FootnoteReference"/>
          <w:rFonts w:cs="Times New Roman"/>
          <w:sz w:val="28"/>
          <w:szCs w:val="28"/>
        </w:rPr>
        <w:footnoteReference w:id="104"/>
      </w:r>
      <w:r w:rsidR="002214B0">
        <w:rPr>
          <w:rFonts w:cs="Times New Roman"/>
          <w:sz w:val="28"/>
          <w:szCs w:val="28"/>
        </w:rPr>
        <w:t xml:space="preserve"> </w:t>
      </w:r>
      <w:r w:rsidR="004231BA" w:rsidRPr="00E94DEB">
        <w:rPr>
          <w:rFonts w:cs="Times New Roman"/>
          <w:sz w:val="28"/>
          <w:szCs w:val="28"/>
        </w:rPr>
        <w:t>svītrota norma, kas nosaka</w:t>
      </w:r>
      <w:r w:rsidRPr="00E94DEB">
        <w:rPr>
          <w:rFonts w:cs="Times New Roman"/>
          <w:sz w:val="28"/>
          <w:szCs w:val="28"/>
        </w:rPr>
        <w:t xml:space="preserve"> </w:t>
      </w:r>
      <w:r w:rsidR="004231BA" w:rsidRPr="00E94DEB">
        <w:rPr>
          <w:rFonts w:cs="Times New Roman"/>
          <w:sz w:val="28"/>
          <w:szCs w:val="28"/>
        </w:rPr>
        <w:t xml:space="preserve">VI pienākumu izstrādāt kārību, kādā tā izstrādā </w:t>
      </w:r>
      <w:r w:rsidR="00F02FD1">
        <w:rPr>
          <w:rFonts w:cs="Times New Roman"/>
          <w:sz w:val="28"/>
          <w:szCs w:val="28"/>
        </w:rPr>
        <w:t>DP papildinā</w:t>
      </w:r>
      <w:r w:rsidR="00827939">
        <w:rPr>
          <w:rFonts w:cs="Times New Roman"/>
          <w:sz w:val="28"/>
          <w:szCs w:val="28"/>
        </w:rPr>
        <w:t>jumu</w:t>
      </w:r>
      <w:r w:rsidR="004231BA" w:rsidRPr="00E94DEB">
        <w:rPr>
          <w:rFonts w:cs="Times New Roman"/>
          <w:sz w:val="28"/>
          <w:szCs w:val="28"/>
        </w:rPr>
        <w:t xml:space="preserve">. Papildus svītrota norma, kas nosaka VI pienākumu izstrādāt kārtību, kādā tā slēdz deleģēšanas līgumu ar republikas pilsētas pašvaldību par </w:t>
      </w:r>
      <w:r w:rsidR="00434FA2" w:rsidRPr="00E94DEB">
        <w:rPr>
          <w:rFonts w:cs="Times New Roman"/>
          <w:sz w:val="28"/>
          <w:szCs w:val="28"/>
        </w:rPr>
        <w:t xml:space="preserve">ITI </w:t>
      </w:r>
      <w:r w:rsidR="004231BA" w:rsidRPr="00E94DEB">
        <w:rPr>
          <w:rFonts w:cs="Times New Roman"/>
          <w:sz w:val="28"/>
          <w:szCs w:val="28"/>
        </w:rPr>
        <w:t xml:space="preserve">īstenošanu, jo attiecīgajā gadījumā tiek piemēroti FM iekšējie noteikumi, kā arī svītrota norma, kas noteica AI pienākumu izstrādāt iekšējo procedūru aprakstu, nosakot kārtību, kādā tās piedalās plānošanas dokumentu un </w:t>
      </w:r>
      <w:r w:rsidR="00827939">
        <w:rPr>
          <w:rFonts w:cs="Times New Roman"/>
          <w:sz w:val="28"/>
          <w:szCs w:val="28"/>
        </w:rPr>
        <w:t xml:space="preserve">DP papildinājuma </w:t>
      </w:r>
      <w:r w:rsidR="004231BA" w:rsidRPr="00E94DEB">
        <w:rPr>
          <w:rFonts w:cs="Times New Roman"/>
          <w:sz w:val="28"/>
          <w:szCs w:val="28"/>
        </w:rPr>
        <w:t>un to grozījumu izstrādē, jo tas ir process kuru</w:t>
      </w:r>
      <w:r w:rsidR="004231BA" w:rsidRPr="00E94DEB">
        <w:t xml:space="preserve"> </w:t>
      </w:r>
      <w:r w:rsidR="004231BA" w:rsidRPr="00E94DEB">
        <w:rPr>
          <w:rFonts w:cs="Times New Roman"/>
          <w:sz w:val="28"/>
          <w:szCs w:val="28"/>
        </w:rPr>
        <w:t>nav nepieciešams kontrolēt ES fondu vadības un kontroles sistēmas ietvaros.</w:t>
      </w:r>
      <w:r w:rsidR="004231BA" w:rsidRPr="00E94DEB">
        <w:t xml:space="preserve"> </w:t>
      </w:r>
      <w:r w:rsidR="004231BA" w:rsidRPr="00E94DEB">
        <w:rPr>
          <w:rFonts w:cs="Times New Roman"/>
          <w:sz w:val="28"/>
          <w:szCs w:val="28"/>
        </w:rPr>
        <w:t>Attiecīgie grozījumi stājās spēkā 2017.</w:t>
      </w:r>
      <w:r w:rsidR="00397CB0">
        <w:rPr>
          <w:rFonts w:cs="Times New Roman"/>
          <w:sz w:val="28"/>
          <w:szCs w:val="28"/>
        </w:rPr>
        <w:t> </w:t>
      </w:r>
      <w:r w:rsidR="004231BA" w:rsidRPr="00E94DEB">
        <w:rPr>
          <w:rFonts w:cs="Times New Roman"/>
          <w:sz w:val="28"/>
          <w:szCs w:val="28"/>
        </w:rPr>
        <w:t>gada 11.</w:t>
      </w:r>
      <w:r w:rsidR="00397CB0">
        <w:rPr>
          <w:rFonts w:cs="Times New Roman"/>
          <w:sz w:val="28"/>
          <w:szCs w:val="28"/>
        </w:rPr>
        <w:t> </w:t>
      </w:r>
      <w:r w:rsidR="004231BA" w:rsidRPr="00E94DEB">
        <w:rPr>
          <w:rFonts w:cs="Times New Roman"/>
          <w:sz w:val="28"/>
          <w:szCs w:val="28"/>
        </w:rPr>
        <w:t>augustā.</w:t>
      </w:r>
    </w:p>
    <w:p w14:paraId="2DB1F453" w14:textId="264A19D1" w:rsidR="00ED7515" w:rsidRPr="00E94DEB" w:rsidRDefault="004F7125" w:rsidP="00942973">
      <w:pPr>
        <w:tabs>
          <w:tab w:val="left" w:pos="851"/>
        </w:tabs>
        <w:spacing w:before="120" w:after="120"/>
        <w:ind w:firstLine="720"/>
        <w:jc w:val="both"/>
        <w:rPr>
          <w:rFonts w:cs="Times New Roman"/>
          <w:i/>
          <w:sz w:val="28"/>
          <w:szCs w:val="28"/>
          <w:highlight w:val="yellow"/>
        </w:rPr>
      </w:pPr>
      <w:r w:rsidRPr="00E94DEB">
        <w:rPr>
          <w:rFonts w:cs="Times New Roman"/>
          <w:i/>
          <w:sz w:val="28"/>
          <w:szCs w:val="28"/>
        </w:rPr>
        <w:t>Grozījumi M</w:t>
      </w:r>
      <w:r w:rsidR="00397CB0">
        <w:rPr>
          <w:rFonts w:cs="Times New Roman"/>
          <w:i/>
          <w:sz w:val="28"/>
          <w:szCs w:val="28"/>
        </w:rPr>
        <w:t>K</w:t>
      </w:r>
      <w:r w:rsidRPr="00E94DEB">
        <w:rPr>
          <w:rFonts w:cs="Times New Roman"/>
          <w:i/>
          <w:sz w:val="28"/>
          <w:szCs w:val="28"/>
        </w:rPr>
        <w:t xml:space="preserve"> 2015.</w:t>
      </w:r>
      <w:r w:rsidR="00397CB0">
        <w:rPr>
          <w:rFonts w:cs="Times New Roman"/>
          <w:i/>
          <w:sz w:val="28"/>
          <w:szCs w:val="28"/>
        </w:rPr>
        <w:t> </w:t>
      </w:r>
      <w:r w:rsidRPr="00E94DEB">
        <w:rPr>
          <w:rFonts w:cs="Times New Roman"/>
          <w:i/>
          <w:sz w:val="28"/>
          <w:szCs w:val="28"/>
        </w:rPr>
        <w:t>gada 10.</w:t>
      </w:r>
      <w:r w:rsidR="00397CB0">
        <w:rPr>
          <w:rFonts w:cs="Times New Roman"/>
          <w:i/>
          <w:sz w:val="28"/>
          <w:szCs w:val="28"/>
        </w:rPr>
        <w:t> </w:t>
      </w:r>
      <w:r w:rsidRPr="00E94DEB">
        <w:rPr>
          <w:rFonts w:cs="Times New Roman"/>
          <w:i/>
          <w:sz w:val="28"/>
          <w:szCs w:val="28"/>
        </w:rPr>
        <w:t>februāra noteikumos Nr.</w:t>
      </w:r>
      <w:r w:rsidR="00397CB0">
        <w:rPr>
          <w:rFonts w:cs="Times New Roman"/>
          <w:i/>
          <w:sz w:val="28"/>
          <w:szCs w:val="28"/>
        </w:rPr>
        <w:t> </w:t>
      </w:r>
      <w:r w:rsidRPr="00E94DEB">
        <w:rPr>
          <w:rFonts w:cs="Times New Roman"/>
          <w:i/>
          <w:sz w:val="28"/>
          <w:szCs w:val="28"/>
        </w:rPr>
        <w:t>77 "Eiropas Savienības struktūrfondu un Kohēzijas fonda projektu pārbaužu veikšanas kārtība 2014.</w:t>
      </w:r>
      <w:r w:rsidR="00397CB0">
        <w:rPr>
          <w:rFonts w:cs="Times New Roman"/>
          <w:i/>
          <w:sz w:val="28"/>
          <w:szCs w:val="28"/>
        </w:rPr>
        <w:t> – </w:t>
      </w:r>
      <w:r w:rsidRPr="00E94DEB">
        <w:rPr>
          <w:rFonts w:cs="Times New Roman"/>
          <w:i/>
          <w:sz w:val="28"/>
          <w:szCs w:val="28"/>
        </w:rPr>
        <w:t>2020.</w:t>
      </w:r>
      <w:r w:rsidR="00397CB0">
        <w:rPr>
          <w:rFonts w:cs="Times New Roman"/>
          <w:i/>
          <w:sz w:val="28"/>
          <w:szCs w:val="28"/>
        </w:rPr>
        <w:t> </w:t>
      </w:r>
      <w:r w:rsidRPr="00E94DEB">
        <w:rPr>
          <w:rFonts w:cs="Times New Roman"/>
          <w:i/>
          <w:sz w:val="28"/>
          <w:szCs w:val="28"/>
        </w:rPr>
        <w:t>gada plānošanas periodā"</w:t>
      </w:r>
      <w:r w:rsidR="00ED7515" w:rsidRPr="00E94DEB">
        <w:rPr>
          <w:rFonts w:cs="Times New Roman"/>
          <w:i/>
          <w:sz w:val="28"/>
          <w:szCs w:val="28"/>
        </w:rPr>
        <w:t>.</w:t>
      </w:r>
    </w:p>
    <w:p w14:paraId="5685FBFA" w14:textId="20567CE7" w:rsidR="00DC177F" w:rsidRPr="00E94DEB" w:rsidRDefault="00ED7515" w:rsidP="00942973">
      <w:pPr>
        <w:tabs>
          <w:tab w:val="left" w:pos="851"/>
        </w:tabs>
        <w:spacing w:before="120" w:after="120"/>
        <w:ind w:firstLine="720"/>
        <w:jc w:val="both"/>
        <w:rPr>
          <w:rFonts w:cs="Times New Roman"/>
          <w:sz w:val="28"/>
          <w:szCs w:val="28"/>
        </w:rPr>
      </w:pPr>
      <w:r w:rsidRPr="00E94DEB">
        <w:rPr>
          <w:rFonts w:cs="Times New Roman"/>
          <w:sz w:val="28"/>
          <w:szCs w:val="28"/>
        </w:rPr>
        <w:t xml:space="preserve">Ar grozījumiem </w:t>
      </w:r>
      <w:r w:rsidR="00EF7594" w:rsidRPr="00E94DEB">
        <w:rPr>
          <w:rFonts w:cs="Times New Roman"/>
          <w:sz w:val="28"/>
          <w:szCs w:val="28"/>
        </w:rPr>
        <w:t>MK noteikumos</w:t>
      </w:r>
      <w:r w:rsidR="00162833" w:rsidRPr="00E94DEB">
        <w:rPr>
          <w:rFonts w:cs="Times New Roman"/>
          <w:sz w:val="28"/>
          <w:szCs w:val="28"/>
        </w:rPr>
        <w:t xml:space="preserve"> Nr.</w:t>
      </w:r>
      <w:r w:rsidR="001027D7" w:rsidRPr="00E94DEB">
        <w:rPr>
          <w:rFonts w:cs="Times New Roman"/>
          <w:sz w:val="28"/>
          <w:szCs w:val="28"/>
        </w:rPr>
        <w:t> </w:t>
      </w:r>
      <w:r w:rsidR="004F7125" w:rsidRPr="00E94DEB">
        <w:rPr>
          <w:rFonts w:cs="Times New Roman"/>
          <w:sz w:val="28"/>
          <w:szCs w:val="28"/>
        </w:rPr>
        <w:t>77</w:t>
      </w:r>
      <w:r w:rsidR="00162833" w:rsidRPr="00E94DEB">
        <w:rPr>
          <w:rStyle w:val="FootnoteReference"/>
          <w:rFonts w:cs="Times New Roman"/>
          <w:sz w:val="28"/>
          <w:szCs w:val="28"/>
        </w:rPr>
        <w:footnoteReference w:id="105"/>
      </w:r>
      <w:r w:rsidR="00EF7594" w:rsidRPr="00E94DEB">
        <w:rPr>
          <w:rFonts w:cs="Times New Roman"/>
          <w:sz w:val="28"/>
          <w:szCs w:val="28"/>
        </w:rPr>
        <w:t xml:space="preserve"> </w:t>
      </w:r>
      <w:r w:rsidR="004F7125" w:rsidRPr="00E94DEB">
        <w:rPr>
          <w:rFonts w:cs="Times New Roman"/>
          <w:sz w:val="28"/>
          <w:szCs w:val="28"/>
        </w:rPr>
        <w:t xml:space="preserve">apvienota veidlapa “Valsts ieņēmu dienesta atzinuma paraugs” ar veidlapu “Pārskats par pievienotās vērtības nodokļa summām, kuras </w:t>
      </w:r>
      <w:r w:rsidR="003A1ACB">
        <w:rPr>
          <w:rFonts w:cs="Times New Roman"/>
          <w:sz w:val="28"/>
          <w:szCs w:val="28"/>
        </w:rPr>
        <w:t>FS</w:t>
      </w:r>
      <w:r w:rsidR="004F7125" w:rsidRPr="00E94DEB">
        <w:rPr>
          <w:rFonts w:cs="Times New Roman"/>
          <w:sz w:val="28"/>
          <w:szCs w:val="28"/>
        </w:rPr>
        <w:t xml:space="preserve"> 2014.</w:t>
      </w:r>
      <w:r w:rsidR="00397CB0">
        <w:rPr>
          <w:rFonts w:cs="Times New Roman"/>
          <w:sz w:val="28"/>
          <w:szCs w:val="28"/>
        </w:rPr>
        <w:t> </w:t>
      </w:r>
      <w:r w:rsidR="004F7125" w:rsidRPr="00E94DEB">
        <w:rPr>
          <w:rFonts w:cs="Times New Roman"/>
          <w:sz w:val="28"/>
          <w:szCs w:val="28"/>
        </w:rPr>
        <w:t>–</w:t>
      </w:r>
      <w:r w:rsidR="00397CB0">
        <w:rPr>
          <w:rFonts w:cs="Times New Roman"/>
          <w:sz w:val="28"/>
          <w:szCs w:val="28"/>
        </w:rPr>
        <w:t> </w:t>
      </w:r>
      <w:r w:rsidR="004F7125" w:rsidRPr="00E94DEB">
        <w:rPr>
          <w:rFonts w:cs="Times New Roman"/>
          <w:sz w:val="28"/>
          <w:szCs w:val="28"/>
        </w:rPr>
        <w:t>2020.</w:t>
      </w:r>
      <w:r w:rsidR="00397CB0">
        <w:rPr>
          <w:rFonts w:cs="Times New Roman"/>
          <w:sz w:val="28"/>
          <w:szCs w:val="28"/>
        </w:rPr>
        <w:t> </w:t>
      </w:r>
      <w:r w:rsidR="004F7125" w:rsidRPr="00E94DEB">
        <w:rPr>
          <w:rFonts w:cs="Times New Roman"/>
          <w:sz w:val="28"/>
          <w:szCs w:val="28"/>
        </w:rPr>
        <w:t>gada plānošanas perioda pārskata periodā paredz iekļaut projekta attiecināmajās izmaksās” (PVN pārskats). Minēto veidlapu apvienošana nodrošina ērtāku lietošanu un iestrādi KP VIS, kā arī samazina CFLA un VID darbiniekiem administratīvo slogu. Papildus veikti tehniski precizējumi, t.i., noteikts, ka PVN pārskatu CFLA iesniedz VID un savukārt VID sniedz atzinumu tā adresātiem ne tikai elektroniskā dokumenta formā, nosūtot uz elektroniskā pasta adresi, bet arī KP</w:t>
      </w:r>
      <w:r w:rsidR="00397CB0">
        <w:rPr>
          <w:rFonts w:cs="Times New Roman"/>
          <w:sz w:val="28"/>
          <w:szCs w:val="28"/>
        </w:rPr>
        <w:t> </w:t>
      </w:r>
      <w:r w:rsidR="004F7125" w:rsidRPr="00E94DEB">
        <w:rPr>
          <w:rFonts w:cs="Times New Roman"/>
          <w:sz w:val="28"/>
          <w:szCs w:val="28"/>
        </w:rPr>
        <w:t>VIS, precizēti maksājuma pieprasījuma veidlapā termini atbilstoši Patvēruma likumā un Repatriācijas likumā noteiktajai terminoloģijai, kā arī, ņemot vērā grozījumus iepirkumu jomu regulējošos normatīvajos aktos, precizētas atsauces uz attiecīgo normatīvo aktu pantiem.</w:t>
      </w:r>
      <w:r w:rsidR="00DC177F" w:rsidRPr="00E94DEB">
        <w:rPr>
          <w:rFonts w:cs="Times New Roman"/>
          <w:sz w:val="28"/>
          <w:szCs w:val="28"/>
        </w:rPr>
        <w:t xml:space="preserve"> Attiecīgie grozījumi stājās spēkā 2017. gada </w:t>
      </w:r>
      <w:r w:rsidR="004F7125" w:rsidRPr="00E94DEB">
        <w:rPr>
          <w:rFonts w:cs="Times New Roman"/>
          <w:sz w:val="28"/>
          <w:szCs w:val="28"/>
        </w:rPr>
        <w:t>21</w:t>
      </w:r>
      <w:r w:rsidR="00DC177F" w:rsidRPr="00E94DEB">
        <w:rPr>
          <w:rFonts w:cs="Times New Roman"/>
          <w:sz w:val="28"/>
          <w:szCs w:val="28"/>
        </w:rPr>
        <w:t>. </w:t>
      </w:r>
      <w:r w:rsidR="004F7125" w:rsidRPr="00E94DEB">
        <w:rPr>
          <w:rFonts w:cs="Times New Roman"/>
          <w:sz w:val="28"/>
          <w:szCs w:val="28"/>
        </w:rPr>
        <w:t>septembrī</w:t>
      </w:r>
      <w:r w:rsidR="00DC177F" w:rsidRPr="00E94DEB">
        <w:rPr>
          <w:rFonts w:cs="Times New Roman"/>
          <w:sz w:val="28"/>
          <w:szCs w:val="28"/>
        </w:rPr>
        <w:t>.</w:t>
      </w:r>
    </w:p>
    <w:p w14:paraId="5D2FAD10" w14:textId="32821726" w:rsidR="004C23FC" w:rsidRPr="00E94DEB" w:rsidRDefault="00241D60" w:rsidP="00942973">
      <w:pPr>
        <w:tabs>
          <w:tab w:val="left" w:pos="851"/>
        </w:tabs>
        <w:spacing w:before="120" w:after="120"/>
        <w:ind w:firstLine="720"/>
        <w:jc w:val="both"/>
        <w:rPr>
          <w:rFonts w:cs="Times New Roman"/>
          <w:i/>
          <w:sz w:val="28"/>
          <w:szCs w:val="28"/>
        </w:rPr>
      </w:pPr>
      <w:r w:rsidRPr="00E94DEB">
        <w:rPr>
          <w:rFonts w:cs="Times New Roman"/>
          <w:i/>
          <w:sz w:val="28"/>
          <w:szCs w:val="28"/>
        </w:rPr>
        <w:t>Grozījumi M</w:t>
      </w:r>
      <w:r w:rsidR="00397CB0">
        <w:rPr>
          <w:rFonts w:cs="Times New Roman"/>
          <w:i/>
          <w:sz w:val="28"/>
          <w:szCs w:val="28"/>
        </w:rPr>
        <w:t>K</w:t>
      </w:r>
      <w:r w:rsidRPr="00E94DEB">
        <w:rPr>
          <w:rFonts w:cs="Times New Roman"/>
          <w:i/>
          <w:sz w:val="28"/>
          <w:szCs w:val="28"/>
        </w:rPr>
        <w:t xml:space="preserve"> 2014.</w:t>
      </w:r>
      <w:r w:rsidR="00397CB0">
        <w:rPr>
          <w:rFonts w:cs="Times New Roman"/>
          <w:i/>
          <w:sz w:val="28"/>
          <w:szCs w:val="28"/>
        </w:rPr>
        <w:t> </w:t>
      </w:r>
      <w:r w:rsidRPr="00E94DEB">
        <w:rPr>
          <w:rFonts w:cs="Times New Roman"/>
          <w:i/>
          <w:sz w:val="28"/>
          <w:szCs w:val="28"/>
        </w:rPr>
        <w:t>gada 16.</w:t>
      </w:r>
      <w:r w:rsidR="00397CB0">
        <w:rPr>
          <w:rFonts w:cs="Times New Roman"/>
          <w:i/>
          <w:sz w:val="28"/>
          <w:szCs w:val="28"/>
        </w:rPr>
        <w:t> </w:t>
      </w:r>
      <w:r w:rsidRPr="00E94DEB">
        <w:rPr>
          <w:rFonts w:cs="Times New Roman"/>
          <w:i/>
          <w:sz w:val="28"/>
          <w:szCs w:val="28"/>
        </w:rPr>
        <w:t>decembra noteikumos Nr.</w:t>
      </w:r>
      <w:r w:rsidR="00397CB0">
        <w:rPr>
          <w:rFonts w:cs="Times New Roman"/>
          <w:i/>
          <w:sz w:val="28"/>
          <w:szCs w:val="28"/>
        </w:rPr>
        <w:t> </w:t>
      </w:r>
      <w:r w:rsidRPr="00E94DEB">
        <w:rPr>
          <w:rFonts w:cs="Times New Roman"/>
          <w:i/>
          <w:sz w:val="28"/>
          <w:szCs w:val="28"/>
        </w:rPr>
        <w:t>784 "Kārtība, kādā Eiropas Savienības struktūrfondu un Kohēzijas fonda vadībā iesaistītās institūcijas nodrošina plānošanas dokumentu sagatavošanu un šo fondu ieviešanu 2014.</w:t>
      </w:r>
      <w:r w:rsidR="00397CB0">
        <w:rPr>
          <w:rFonts w:cs="Times New Roman"/>
          <w:i/>
          <w:sz w:val="28"/>
          <w:szCs w:val="28"/>
        </w:rPr>
        <w:t> – </w:t>
      </w:r>
      <w:r w:rsidRPr="00E94DEB">
        <w:rPr>
          <w:rFonts w:cs="Times New Roman"/>
          <w:i/>
          <w:sz w:val="28"/>
          <w:szCs w:val="28"/>
        </w:rPr>
        <w:t>2020.</w:t>
      </w:r>
      <w:r w:rsidR="00397CB0">
        <w:rPr>
          <w:rFonts w:cs="Times New Roman"/>
          <w:i/>
          <w:sz w:val="28"/>
          <w:szCs w:val="28"/>
        </w:rPr>
        <w:t> </w:t>
      </w:r>
      <w:r w:rsidRPr="00E94DEB">
        <w:rPr>
          <w:rFonts w:cs="Times New Roman"/>
          <w:i/>
          <w:sz w:val="28"/>
          <w:szCs w:val="28"/>
        </w:rPr>
        <w:t>gada plānošanas periodā".</w:t>
      </w:r>
    </w:p>
    <w:p w14:paraId="5CE8EAE4" w14:textId="57612A9E" w:rsidR="00241D60" w:rsidRPr="00E94DEB" w:rsidRDefault="00EE6971" w:rsidP="00942973">
      <w:pPr>
        <w:tabs>
          <w:tab w:val="left" w:pos="851"/>
        </w:tabs>
        <w:spacing w:before="120" w:after="120"/>
        <w:ind w:firstLine="720"/>
        <w:jc w:val="both"/>
        <w:rPr>
          <w:rFonts w:cs="Times New Roman"/>
          <w:i/>
          <w:sz w:val="28"/>
          <w:szCs w:val="28"/>
        </w:rPr>
      </w:pPr>
      <w:r w:rsidRPr="00E94DEB">
        <w:rPr>
          <w:rFonts w:cs="Times New Roman"/>
          <w:sz w:val="28"/>
          <w:szCs w:val="28"/>
        </w:rPr>
        <w:lastRenderedPageBreak/>
        <w:t>Ar grozījumiem MK noteikumos Nr. 784</w:t>
      </w:r>
      <w:r w:rsidRPr="00E94DEB">
        <w:rPr>
          <w:rStyle w:val="FootnoteReference"/>
          <w:rFonts w:cs="Times New Roman"/>
          <w:sz w:val="28"/>
          <w:szCs w:val="28"/>
        </w:rPr>
        <w:footnoteReference w:id="106"/>
      </w:r>
      <w:r w:rsidRPr="00E94DEB">
        <w:rPr>
          <w:rFonts w:cs="Times New Roman"/>
          <w:sz w:val="28"/>
          <w:szCs w:val="28"/>
        </w:rPr>
        <w:t xml:space="preserve"> precizēti sadarbības partneru atbilstības nosacījumi, </w:t>
      </w:r>
      <w:r w:rsidR="002214B0">
        <w:rPr>
          <w:rFonts w:cs="Times New Roman"/>
          <w:sz w:val="28"/>
          <w:szCs w:val="28"/>
        </w:rPr>
        <w:t>termiņš,</w:t>
      </w:r>
      <w:r w:rsidRPr="00E94DEB">
        <w:rPr>
          <w:rFonts w:cs="Times New Roman"/>
          <w:sz w:val="28"/>
          <w:szCs w:val="28"/>
        </w:rPr>
        <w:t xml:space="preserve"> kādā </w:t>
      </w:r>
      <w:r w:rsidR="002214B0">
        <w:rPr>
          <w:rFonts w:cs="Times New Roman"/>
          <w:sz w:val="28"/>
          <w:szCs w:val="28"/>
        </w:rPr>
        <w:t xml:space="preserve">var </w:t>
      </w:r>
      <w:r w:rsidRPr="00E94DEB">
        <w:rPr>
          <w:rFonts w:cs="Times New Roman"/>
          <w:sz w:val="28"/>
          <w:szCs w:val="28"/>
        </w:rPr>
        <w:t>uzsāk</w:t>
      </w:r>
      <w:r w:rsidR="002214B0">
        <w:rPr>
          <w:rFonts w:cs="Times New Roman"/>
          <w:sz w:val="28"/>
          <w:szCs w:val="28"/>
        </w:rPr>
        <w:t>t</w:t>
      </w:r>
      <w:r w:rsidRPr="00E94DEB">
        <w:rPr>
          <w:rFonts w:cs="Times New Roman"/>
          <w:sz w:val="28"/>
          <w:szCs w:val="28"/>
        </w:rPr>
        <w:t xml:space="preserve"> projekta iesniegumu vērtēšanu</w:t>
      </w:r>
      <w:r w:rsidRPr="00E94DEB">
        <w:t xml:space="preserve"> </w:t>
      </w:r>
      <w:r w:rsidR="00177745">
        <w:rPr>
          <w:rFonts w:cs="Times New Roman"/>
          <w:sz w:val="28"/>
          <w:szCs w:val="28"/>
        </w:rPr>
        <w:t>IPIA</w:t>
      </w:r>
      <w:r w:rsidRPr="00E94DEB">
        <w:rPr>
          <w:rFonts w:cs="Times New Roman"/>
          <w:sz w:val="28"/>
          <w:szCs w:val="28"/>
        </w:rPr>
        <w:t xml:space="preserve">, t.i., projektu iesniegumu vērtēšanu </w:t>
      </w:r>
      <w:r w:rsidR="002214B0">
        <w:rPr>
          <w:rFonts w:cs="Times New Roman"/>
          <w:sz w:val="28"/>
          <w:szCs w:val="28"/>
        </w:rPr>
        <w:t xml:space="preserve">var </w:t>
      </w:r>
      <w:r w:rsidRPr="00E94DEB">
        <w:rPr>
          <w:rFonts w:cs="Times New Roman"/>
          <w:sz w:val="28"/>
          <w:szCs w:val="28"/>
        </w:rPr>
        <w:t>uzsāk</w:t>
      </w:r>
      <w:r w:rsidR="002214B0">
        <w:rPr>
          <w:rFonts w:cs="Times New Roman"/>
          <w:sz w:val="28"/>
          <w:szCs w:val="28"/>
        </w:rPr>
        <w:t>t,</w:t>
      </w:r>
      <w:r w:rsidRPr="00E94DEB">
        <w:rPr>
          <w:rFonts w:cs="Times New Roman"/>
          <w:sz w:val="28"/>
          <w:szCs w:val="28"/>
        </w:rPr>
        <w:t xml:space="preserve"> tiklīdz projekta iesniedzējs</w:t>
      </w:r>
      <w:r w:rsidRPr="00E94DEB">
        <w:t xml:space="preserve"> </w:t>
      </w:r>
      <w:r w:rsidRPr="00E94DEB">
        <w:rPr>
          <w:rFonts w:cs="Times New Roman"/>
          <w:sz w:val="28"/>
          <w:szCs w:val="28"/>
        </w:rPr>
        <w:t xml:space="preserve">ir iesniedzis savu projektu, </w:t>
      </w:r>
      <w:r w:rsidR="004C23FC" w:rsidRPr="00E94DEB">
        <w:rPr>
          <w:rFonts w:cs="Times New Roman"/>
          <w:sz w:val="28"/>
          <w:szCs w:val="28"/>
        </w:rPr>
        <w:t xml:space="preserve">kā arī </w:t>
      </w:r>
      <w:r w:rsidRPr="00E94DEB">
        <w:rPr>
          <w:rFonts w:cs="Times New Roman"/>
          <w:sz w:val="28"/>
          <w:szCs w:val="28"/>
        </w:rPr>
        <w:t xml:space="preserve">veikti tehniska rakstura precizējumi </w:t>
      </w:r>
      <w:r w:rsidR="004C23FC" w:rsidRPr="00E94DEB">
        <w:rPr>
          <w:rFonts w:cs="Times New Roman"/>
          <w:sz w:val="28"/>
          <w:szCs w:val="28"/>
        </w:rPr>
        <w:t xml:space="preserve">minētajos noteikumos un tā </w:t>
      </w:r>
      <w:r w:rsidRPr="00E94DEB">
        <w:rPr>
          <w:rFonts w:cs="Times New Roman"/>
          <w:sz w:val="28"/>
          <w:szCs w:val="28"/>
        </w:rPr>
        <w:t>pielikumos, ņemot vērā praksē konstatētās nepilnības.</w:t>
      </w:r>
      <w:r w:rsidR="004C23FC" w:rsidRPr="00E94DEB">
        <w:rPr>
          <w:rFonts w:cs="Times New Roman"/>
          <w:sz w:val="28"/>
          <w:szCs w:val="28"/>
        </w:rPr>
        <w:t xml:space="preserve"> Attiecīgie grozījumi stājās spēkā 2017.</w:t>
      </w:r>
      <w:r w:rsidR="00397CB0">
        <w:rPr>
          <w:rFonts w:cs="Times New Roman"/>
          <w:sz w:val="28"/>
          <w:szCs w:val="28"/>
        </w:rPr>
        <w:t> </w:t>
      </w:r>
      <w:r w:rsidR="004C23FC" w:rsidRPr="00E94DEB">
        <w:rPr>
          <w:rFonts w:cs="Times New Roman"/>
          <w:sz w:val="28"/>
          <w:szCs w:val="28"/>
        </w:rPr>
        <w:t>gada 7. oktobrī.</w:t>
      </w:r>
    </w:p>
    <w:p w14:paraId="272581BF" w14:textId="15B139DE" w:rsidR="00C532D9" w:rsidRPr="00E94DEB" w:rsidRDefault="00CA2CC6" w:rsidP="00942973">
      <w:pPr>
        <w:tabs>
          <w:tab w:val="left" w:pos="851"/>
        </w:tabs>
        <w:spacing w:before="120" w:after="120"/>
        <w:jc w:val="both"/>
        <w:rPr>
          <w:rFonts w:cs="Times New Roman"/>
          <w:b/>
          <w:i/>
          <w:sz w:val="28"/>
          <w:szCs w:val="28"/>
        </w:rPr>
      </w:pPr>
      <w:r w:rsidRPr="00E94DEB">
        <w:rPr>
          <w:rFonts w:cs="Times New Roman"/>
          <w:b/>
          <w:i/>
          <w:sz w:val="28"/>
          <w:szCs w:val="28"/>
        </w:rPr>
        <w:tab/>
      </w:r>
      <w:r w:rsidR="00011355" w:rsidRPr="00E94DEB">
        <w:rPr>
          <w:rFonts w:cs="Times New Roman"/>
          <w:b/>
          <w:i/>
          <w:sz w:val="28"/>
          <w:szCs w:val="28"/>
        </w:rPr>
        <w:t>Pārskata periodā vienkāršot</w:t>
      </w:r>
      <w:r w:rsidR="00C532D9" w:rsidRPr="00E94DEB">
        <w:rPr>
          <w:rFonts w:cs="Times New Roman"/>
          <w:b/>
          <w:i/>
          <w:sz w:val="28"/>
          <w:szCs w:val="28"/>
        </w:rPr>
        <w:t xml:space="preserve">s </w:t>
      </w:r>
      <w:r w:rsidR="00C532D9" w:rsidRPr="00E94DEB">
        <w:rPr>
          <w:b/>
          <w:i/>
          <w:sz w:val="28"/>
        </w:rPr>
        <w:t>ITI projektu iesniegumu atlases process</w:t>
      </w:r>
    </w:p>
    <w:p w14:paraId="01433566" w14:textId="01935D59" w:rsidR="00866986" w:rsidRPr="00866986" w:rsidRDefault="00C532D9" w:rsidP="00942973">
      <w:pPr>
        <w:tabs>
          <w:tab w:val="left" w:pos="851"/>
        </w:tabs>
        <w:spacing w:before="120" w:after="120"/>
        <w:jc w:val="both"/>
        <w:rPr>
          <w:rFonts w:cs="Times New Roman"/>
          <w:sz w:val="28"/>
          <w:szCs w:val="28"/>
        </w:rPr>
      </w:pPr>
      <w:r w:rsidRPr="00E94DEB">
        <w:rPr>
          <w:rFonts w:cs="Times New Roman"/>
          <w:sz w:val="28"/>
          <w:szCs w:val="28"/>
        </w:rPr>
        <w:tab/>
      </w:r>
      <w:r w:rsidR="00D42654" w:rsidRPr="00E94DEB">
        <w:rPr>
          <w:rFonts w:cs="Times New Roman"/>
          <w:sz w:val="28"/>
          <w:szCs w:val="28"/>
        </w:rPr>
        <w:t>Izstrādāti</w:t>
      </w:r>
      <w:r w:rsidR="009531D7" w:rsidRPr="00E94DEB">
        <w:rPr>
          <w:rFonts w:cs="Times New Roman"/>
          <w:sz w:val="28"/>
          <w:szCs w:val="28"/>
        </w:rPr>
        <w:t xml:space="preserve"> </w:t>
      </w:r>
      <w:r w:rsidR="00C15A9B" w:rsidRPr="00E94DEB">
        <w:rPr>
          <w:rFonts w:cs="Times New Roman"/>
          <w:sz w:val="28"/>
          <w:szCs w:val="28"/>
        </w:rPr>
        <w:t>g</w:t>
      </w:r>
      <w:r w:rsidRPr="00E94DEB">
        <w:rPr>
          <w:rFonts w:cs="Times New Roman"/>
          <w:sz w:val="28"/>
          <w:szCs w:val="28"/>
        </w:rPr>
        <w:t>rozījumi</w:t>
      </w:r>
      <w:r w:rsidR="009531D7" w:rsidRPr="00E94DEB">
        <w:rPr>
          <w:rFonts w:cs="Times New Roman"/>
          <w:sz w:val="28"/>
          <w:szCs w:val="28"/>
        </w:rPr>
        <w:t xml:space="preserve"> </w:t>
      </w:r>
      <w:r w:rsidRPr="00E94DEB">
        <w:rPr>
          <w:rFonts w:cs="Times New Roman"/>
          <w:sz w:val="28"/>
          <w:szCs w:val="28"/>
        </w:rPr>
        <w:t>Nr.</w:t>
      </w:r>
      <w:r w:rsidR="00397CB0">
        <w:rPr>
          <w:rFonts w:cs="Times New Roman"/>
          <w:sz w:val="28"/>
          <w:szCs w:val="28"/>
        </w:rPr>
        <w:t> </w:t>
      </w:r>
      <w:r w:rsidRPr="00E94DEB">
        <w:rPr>
          <w:rFonts w:cs="Times New Roman"/>
          <w:sz w:val="28"/>
          <w:szCs w:val="28"/>
        </w:rPr>
        <w:t xml:space="preserve">2 </w:t>
      </w:r>
      <w:r w:rsidRPr="00E94DEB">
        <w:rPr>
          <w:sz w:val="28"/>
          <w:szCs w:val="28"/>
        </w:rPr>
        <w:t>deleģēšanas līgumā par</w:t>
      </w:r>
      <w:r w:rsidR="00434FA2" w:rsidRPr="00E94DEB">
        <w:rPr>
          <w:sz w:val="28"/>
          <w:szCs w:val="28"/>
        </w:rPr>
        <w:t xml:space="preserve"> ITI</w:t>
      </w:r>
      <w:r w:rsidRPr="00E94DEB">
        <w:rPr>
          <w:sz w:val="28"/>
          <w:szCs w:val="28"/>
        </w:rPr>
        <w:t xml:space="preserve"> projektu iesniegumu atlases nodrošināšanu</w:t>
      </w:r>
      <w:r w:rsidR="008A271A" w:rsidRPr="00E94DEB">
        <w:rPr>
          <w:sz w:val="28"/>
          <w:szCs w:val="28"/>
        </w:rPr>
        <w:t xml:space="preserve"> </w:t>
      </w:r>
      <w:r w:rsidR="001E615A" w:rsidRPr="00E94DEB">
        <w:rPr>
          <w:sz w:val="28"/>
          <w:szCs w:val="28"/>
        </w:rPr>
        <w:t>(</w:t>
      </w:r>
      <w:r w:rsidR="00CF6245" w:rsidRPr="00E94DEB">
        <w:rPr>
          <w:sz w:val="28"/>
          <w:szCs w:val="28"/>
        </w:rPr>
        <w:t xml:space="preserve">grozījumi </w:t>
      </w:r>
      <w:r w:rsidR="008A271A" w:rsidRPr="00E94DEB">
        <w:rPr>
          <w:sz w:val="28"/>
          <w:szCs w:val="28"/>
        </w:rPr>
        <w:t>apstiprināti 2017.</w:t>
      </w:r>
      <w:r w:rsidR="00177745">
        <w:rPr>
          <w:sz w:val="28"/>
          <w:szCs w:val="28"/>
        </w:rPr>
        <w:t> </w:t>
      </w:r>
      <w:r w:rsidR="008A271A" w:rsidRPr="00E94DEB">
        <w:rPr>
          <w:sz w:val="28"/>
          <w:szCs w:val="28"/>
        </w:rPr>
        <w:t>gada decembr</w:t>
      </w:r>
      <w:r w:rsidR="001E615A" w:rsidRPr="00E94DEB">
        <w:rPr>
          <w:sz w:val="28"/>
          <w:szCs w:val="28"/>
        </w:rPr>
        <w:t>ī</w:t>
      </w:r>
      <w:r w:rsidR="008A271A" w:rsidRPr="00E94DEB">
        <w:rPr>
          <w:sz w:val="28"/>
          <w:szCs w:val="28"/>
        </w:rPr>
        <w:t>). Ar minētajiem grozījumiem</w:t>
      </w:r>
      <w:r w:rsidR="006763CD" w:rsidRPr="00E94DEB">
        <w:rPr>
          <w:sz w:val="28"/>
          <w:szCs w:val="28"/>
        </w:rPr>
        <w:t xml:space="preserve"> </w:t>
      </w:r>
      <w:r w:rsidR="009531D7" w:rsidRPr="00E94DEB">
        <w:rPr>
          <w:sz w:val="28"/>
          <w:szCs w:val="28"/>
        </w:rPr>
        <w:t>ti</w:t>
      </w:r>
      <w:r w:rsidR="008A271A" w:rsidRPr="00E94DEB">
        <w:rPr>
          <w:sz w:val="28"/>
          <w:szCs w:val="28"/>
        </w:rPr>
        <w:t>ek</w:t>
      </w:r>
      <w:r w:rsidR="009531D7" w:rsidRPr="00E94DEB">
        <w:rPr>
          <w:sz w:val="28"/>
          <w:szCs w:val="28"/>
        </w:rPr>
        <w:t xml:space="preserve"> noteikts</w:t>
      </w:r>
      <w:r w:rsidR="006763CD" w:rsidRPr="00E94DEB">
        <w:rPr>
          <w:sz w:val="28"/>
          <w:szCs w:val="28"/>
        </w:rPr>
        <w:t xml:space="preserve">, ka </w:t>
      </w:r>
      <w:r w:rsidR="00792124" w:rsidRPr="00E94DEB">
        <w:rPr>
          <w:sz w:val="28"/>
          <w:szCs w:val="28"/>
        </w:rPr>
        <w:t>projektu iesniegumu vērtēšanas komisijā</w:t>
      </w:r>
      <w:r w:rsidR="001E615A" w:rsidRPr="00E94DEB">
        <w:rPr>
          <w:sz w:val="28"/>
          <w:szCs w:val="28"/>
        </w:rPr>
        <w:t xml:space="preserve"> tiek</w:t>
      </w:r>
      <w:r w:rsidR="00792124" w:rsidRPr="00E94DEB">
        <w:rPr>
          <w:sz w:val="28"/>
          <w:szCs w:val="28"/>
        </w:rPr>
        <w:t xml:space="preserve"> iekļauts</w:t>
      </w:r>
      <w:r w:rsidR="009531D7" w:rsidRPr="00E94DEB">
        <w:rPr>
          <w:sz w:val="28"/>
          <w:szCs w:val="28"/>
        </w:rPr>
        <w:t xml:space="preserve"> vismaz viens</w:t>
      </w:r>
      <w:r w:rsidR="00792124" w:rsidRPr="00E94DEB">
        <w:rPr>
          <w:sz w:val="28"/>
          <w:szCs w:val="28"/>
        </w:rPr>
        <w:t xml:space="preserve"> CFLA </w:t>
      </w:r>
      <w:r w:rsidR="001E247D" w:rsidRPr="00E94DEB">
        <w:rPr>
          <w:sz w:val="28"/>
          <w:szCs w:val="28"/>
        </w:rPr>
        <w:t>pārstāvis ar bals</w:t>
      </w:r>
      <w:r w:rsidR="00CF6245" w:rsidRPr="00E94DEB">
        <w:rPr>
          <w:sz w:val="28"/>
          <w:szCs w:val="28"/>
        </w:rPr>
        <w:t>s</w:t>
      </w:r>
      <w:r w:rsidR="001E247D" w:rsidRPr="00E94DEB">
        <w:rPr>
          <w:sz w:val="28"/>
          <w:szCs w:val="28"/>
        </w:rPr>
        <w:t>tiesīb</w:t>
      </w:r>
      <w:r w:rsidR="009531D7" w:rsidRPr="00E94DEB">
        <w:rPr>
          <w:sz w:val="28"/>
          <w:szCs w:val="28"/>
        </w:rPr>
        <w:t>ām</w:t>
      </w:r>
      <w:r w:rsidR="002214B0">
        <w:rPr>
          <w:sz w:val="28"/>
          <w:szCs w:val="28"/>
        </w:rPr>
        <w:t>.</w:t>
      </w:r>
      <w:r w:rsidR="001E247D" w:rsidRPr="00E94DEB">
        <w:rPr>
          <w:sz w:val="28"/>
          <w:szCs w:val="28"/>
        </w:rPr>
        <w:t xml:space="preserve"> </w:t>
      </w:r>
      <w:r w:rsidR="002214B0">
        <w:rPr>
          <w:sz w:val="28"/>
          <w:szCs w:val="28"/>
        </w:rPr>
        <w:t>Tādējādi turpmāk</w:t>
      </w:r>
      <w:r w:rsidR="001E247D" w:rsidRPr="00E94DEB">
        <w:rPr>
          <w:sz w:val="28"/>
          <w:szCs w:val="28"/>
        </w:rPr>
        <w:t xml:space="preserve"> </w:t>
      </w:r>
      <w:r w:rsidR="008A271A" w:rsidRPr="00E94DEB">
        <w:rPr>
          <w:sz w:val="28"/>
          <w:szCs w:val="28"/>
        </w:rPr>
        <w:t>netiks veiktas</w:t>
      </w:r>
      <w:r w:rsidR="001E247D" w:rsidRPr="00E94DEB">
        <w:rPr>
          <w:sz w:val="28"/>
          <w:szCs w:val="28"/>
        </w:rPr>
        <w:t xml:space="preserve"> galīgās pārbaudes, kas paātrin</w:t>
      </w:r>
      <w:r w:rsidR="008A271A" w:rsidRPr="00E94DEB">
        <w:rPr>
          <w:sz w:val="28"/>
          <w:szCs w:val="28"/>
        </w:rPr>
        <w:t>ās</w:t>
      </w:r>
      <w:r w:rsidR="001E247D" w:rsidRPr="00E94DEB">
        <w:rPr>
          <w:sz w:val="28"/>
          <w:szCs w:val="28"/>
        </w:rPr>
        <w:t xml:space="preserve"> vērtēšanas komisijas darbu </w:t>
      </w:r>
      <w:r w:rsidR="009531D7" w:rsidRPr="00E94DEB">
        <w:rPr>
          <w:sz w:val="28"/>
          <w:szCs w:val="28"/>
        </w:rPr>
        <w:t xml:space="preserve">un </w:t>
      </w:r>
      <w:r w:rsidR="00897F8E" w:rsidRPr="00E94DEB">
        <w:rPr>
          <w:sz w:val="28"/>
          <w:szCs w:val="28"/>
        </w:rPr>
        <w:t xml:space="preserve">vienkāršos </w:t>
      </w:r>
      <w:r w:rsidR="009531D7" w:rsidRPr="00E94DEB">
        <w:rPr>
          <w:sz w:val="28"/>
          <w:szCs w:val="28"/>
        </w:rPr>
        <w:t xml:space="preserve">ITI </w:t>
      </w:r>
      <w:r w:rsidR="009531D7" w:rsidRPr="00863BF5">
        <w:rPr>
          <w:sz w:val="28"/>
        </w:rPr>
        <w:t>projektu iesniegumu atlases procesu.</w:t>
      </w:r>
      <w:r w:rsidR="009531D7" w:rsidRPr="00E94DEB">
        <w:rPr>
          <w:rFonts w:cs="Times New Roman"/>
          <w:sz w:val="28"/>
          <w:szCs w:val="28"/>
        </w:rPr>
        <w:t xml:space="preserve"> </w:t>
      </w:r>
    </w:p>
    <w:p w14:paraId="4B939A83" w14:textId="6AF9D755" w:rsidR="00B303A0" w:rsidRPr="0084654C" w:rsidRDefault="00727F91" w:rsidP="00942973">
      <w:pPr>
        <w:tabs>
          <w:tab w:val="left" w:pos="851"/>
        </w:tabs>
        <w:spacing w:before="120" w:after="120"/>
        <w:jc w:val="both"/>
        <w:rPr>
          <w:rFonts w:cs="Times New Roman"/>
          <w:b/>
          <w:i/>
          <w:sz w:val="28"/>
          <w:szCs w:val="28"/>
        </w:rPr>
      </w:pPr>
      <w:r w:rsidRPr="0084654C">
        <w:rPr>
          <w:rFonts w:cs="Times New Roman"/>
          <w:b/>
          <w:i/>
          <w:sz w:val="28"/>
          <w:szCs w:val="28"/>
        </w:rPr>
        <w:t>V</w:t>
      </w:r>
      <w:r w:rsidR="00000174" w:rsidRPr="0084654C">
        <w:rPr>
          <w:rFonts w:cs="Times New Roman"/>
          <w:b/>
          <w:i/>
          <w:sz w:val="28"/>
          <w:szCs w:val="28"/>
        </w:rPr>
        <w:t>eikti pasākumi</w:t>
      </w:r>
      <w:r w:rsidR="009C0862" w:rsidRPr="0084654C">
        <w:rPr>
          <w:rFonts w:cs="Times New Roman"/>
          <w:b/>
          <w:i/>
          <w:sz w:val="28"/>
          <w:szCs w:val="28"/>
        </w:rPr>
        <w:t xml:space="preserve"> plānošanas perioda metodoloģiskā atbalsta sniegšanai</w:t>
      </w:r>
    </w:p>
    <w:p w14:paraId="7E4F94C2" w14:textId="7F8BA65B" w:rsidR="009D6886" w:rsidRPr="00E94DEB" w:rsidRDefault="009D6886" w:rsidP="00942973">
      <w:pPr>
        <w:tabs>
          <w:tab w:val="left" w:pos="851"/>
        </w:tabs>
        <w:spacing w:before="120" w:after="120"/>
        <w:ind w:firstLine="720"/>
        <w:jc w:val="both"/>
        <w:rPr>
          <w:rFonts w:cs="Times New Roman"/>
          <w:sz w:val="28"/>
          <w:szCs w:val="28"/>
          <w:highlight w:val="yellow"/>
        </w:rPr>
      </w:pPr>
      <w:r w:rsidRPr="00863BF5">
        <w:rPr>
          <w:rFonts w:cs="Times New Roman"/>
          <w:sz w:val="28"/>
          <w:szCs w:val="28"/>
        </w:rPr>
        <w:t>Pārskata periodā aktualizēta Metodika par vienības izmaksas standarta likmes piemērošanu 2014.</w:t>
      </w:r>
      <w:r w:rsidR="001027D7" w:rsidRPr="00863BF5">
        <w:rPr>
          <w:rFonts w:cs="Times New Roman"/>
          <w:sz w:val="28"/>
          <w:szCs w:val="28"/>
        </w:rPr>
        <w:t> </w:t>
      </w:r>
      <w:r w:rsidR="00397CB0">
        <w:rPr>
          <w:rFonts w:cs="Times New Roman"/>
          <w:sz w:val="28"/>
          <w:szCs w:val="28"/>
        </w:rPr>
        <w:t>–</w:t>
      </w:r>
      <w:r w:rsidR="001027D7" w:rsidRPr="00863BF5">
        <w:rPr>
          <w:rFonts w:cs="Times New Roman"/>
          <w:sz w:val="28"/>
          <w:szCs w:val="28"/>
        </w:rPr>
        <w:t> </w:t>
      </w:r>
      <w:r w:rsidRPr="00863BF5">
        <w:rPr>
          <w:rFonts w:cs="Times New Roman"/>
          <w:sz w:val="28"/>
          <w:szCs w:val="28"/>
        </w:rPr>
        <w:t>2020.</w:t>
      </w:r>
      <w:r w:rsidR="00E013CB" w:rsidRPr="00863BF5">
        <w:rPr>
          <w:rFonts w:cs="Times New Roman"/>
          <w:sz w:val="28"/>
          <w:szCs w:val="28"/>
        </w:rPr>
        <w:t> </w:t>
      </w:r>
      <w:r w:rsidRPr="00863BF5">
        <w:rPr>
          <w:rFonts w:cs="Times New Roman"/>
          <w:sz w:val="28"/>
          <w:szCs w:val="28"/>
        </w:rPr>
        <w:t>gada plānošanas periodā (2017.</w:t>
      </w:r>
      <w:r w:rsidR="00E013CB" w:rsidRPr="00863BF5">
        <w:rPr>
          <w:rFonts w:cs="Times New Roman"/>
          <w:sz w:val="28"/>
          <w:szCs w:val="28"/>
        </w:rPr>
        <w:t> </w:t>
      </w:r>
      <w:r w:rsidRPr="00863BF5">
        <w:rPr>
          <w:rFonts w:cs="Times New Roman"/>
          <w:sz w:val="28"/>
          <w:szCs w:val="28"/>
        </w:rPr>
        <w:t xml:space="preserve">gada </w:t>
      </w:r>
      <w:r w:rsidR="00BE3925" w:rsidRPr="00863BF5">
        <w:rPr>
          <w:rFonts w:cs="Times New Roman"/>
          <w:sz w:val="28"/>
          <w:szCs w:val="28"/>
        </w:rPr>
        <w:t>5</w:t>
      </w:r>
      <w:r w:rsidRPr="00863BF5">
        <w:rPr>
          <w:rFonts w:cs="Times New Roman"/>
          <w:sz w:val="28"/>
          <w:szCs w:val="28"/>
        </w:rPr>
        <w:t>.</w:t>
      </w:r>
      <w:r w:rsidR="00E013CB" w:rsidRPr="00863BF5">
        <w:rPr>
          <w:rFonts w:cs="Times New Roman"/>
          <w:sz w:val="28"/>
          <w:szCs w:val="28"/>
        </w:rPr>
        <w:t> </w:t>
      </w:r>
      <w:r w:rsidR="00BE3925" w:rsidRPr="00863BF5">
        <w:rPr>
          <w:rFonts w:cs="Times New Roman"/>
          <w:sz w:val="28"/>
          <w:szCs w:val="28"/>
        </w:rPr>
        <w:t>decembris</w:t>
      </w:r>
      <w:r w:rsidRPr="00863BF5">
        <w:rPr>
          <w:rFonts w:cs="Times New Roman"/>
          <w:sz w:val="28"/>
          <w:szCs w:val="28"/>
        </w:rPr>
        <w:t>) un</w:t>
      </w:r>
      <w:r w:rsidR="00BE3925" w:rsidRPr="00863BF5">
        <w:rPr>
          <w:rFonts w:cs="Times New Roman"/>
          <w:sz w:val="28"/>
          <w:szCs w:val="28"/>
        </w:rPr>
        <w:t xml:space="preserve"> </w:t>
      </w:r>
      <w:r w:rsidR="00BE3925" w:rsidRPr="00BE3925">
        <w:rPr>
          <w:rFonts w:cs="Times New Roman"/>
          <w:sz w:val="28"/>
          <w:szCs w:val="28"/>
        </w:rPr>
        <w:t>Metodika par netiešo izmaksu vienotās likmes piemērošanu projekta izmaksu atzīšanā 2014.</w:t>
      </w:r>
      <w:r w:rsidR="00397CB0">
        <w:rPr>
          <w:rFonts w:cs="Times New Roman"/>
          <w:sz w:val="28"/>
          <w:szCs w:val="28"/>
        </w:rPr>
        <w:t> – </w:t>
      </w:r>
      <w:r w:rsidR="00BE3925" w:rsidRPr="00BE3925">
        <w:rPr>
          <w:rFonts w:cs="Times New Roman"/>
          <w:sz w:val="28"/>
          <w:szCs w:val="28"/>
        </w:rPr>
        <w:t>2020.</w:t>
      </w:r>
      <w:r w:rsidR="00397CB0">
        <w:rPr>
          <w:rFonts w:cs="Times New Roman"/>
          <w:sz w:val="28"/>
          <w:szCs w:val="28"/>
        </w:rPr>
        <w:t> </w:t>
      </w:r>
      <w:r w:rsidR="00BE3925" w:rsidRPr="00BE3925">
        <w:rPr>
          <w:rFonts w:cs="Times New Roman"/>
          <w:sz w:val="28"/>
          <w:szCs w:val="28"/>
        </w:rPr>
        <w:t>gada plānošanas periodā</w:t>
      </w:r>
      <w:r w:rsidR="0084654C">
        <w:rPr>
          <w:rFonts w:cs="Times New Roman"/>
          <w:sz w:val="28"/>
          <w:szCs w:val="28"/>
        </w:rPr>
        <w:t xml:space="preserve"> </w:t>
      </w:r>
      <w:r w:rsidR="00BE3925" w:rsidRPr="00863BF5">
        <w:rPr>
          <w:rFonts w:cs="Times New Roman"/>
          <w:sz w:val="28"/>
          <w:szCs w:val="28"/>
        </w:rPr>
        <w:t>(2017.</w:t>
      </w:r>
      <w:r w:rsidR="00177745">
        <w:rPr>
          <w:rFonts w:cs="Times New Roman"/>
          <w:sz w:val="28"/>
          <w:szCs w:val="28"/>
        </w:rPr>
        <w:t> </w:t>
      </w:r>
      <w:r w:rsidR="00BE3925" w:rsidRPr="00863BF5">
        <w:rPr>
          <w:rFonts w:cs="Times New Roman"/>
          <w:sz w:val="28"/>
          <w:szCs w:val="28"/>
        </w:rPr>
        <w:t>gada 5.</w:t>
      </w:r>
      <w:r w:rsidR="00177745">
        <w:rPr>
          <w:rFonts w:cs="Times New Roman"/>
          <w:sz w:val="28"/>
          <w:szCs w:val="28"/>
        </w:rPr>
        <w:t> </w:t>
      </w:r>
      <w:r w:rsidR="00BE3925" w:rsidRPr="00863BF5">
        <w:rPr>
          <w:rFonts w:cs="Times New Roman"/>
          <w:sz w:val="28"/>
          <w:szCs w:val="28"/>
        </w:rPr>
        <w:t>decembris)</w:t>
      </w:r>
      <w:r w:rsidR="00BE3925">
        <w:rPr>
          <w:rFonts w:cs="Times New Roman"/>
          <w:sz w:val="28"/>
          <w:szCs w:val="28"/>
        </w:rPr>
        <w:t>.</w:t>
      </w:r>
      <w:r w:rsidR="00BE3925" w:rsidRPr="00863BF5">
        <w:rPr>
          <w:rFonts w:cs="Times New Roman"/>
          <w:sz w:val="28"/>
          <w:szCs w:val="28"/>
        </w:rPr>
        <w:t xml:space="preserve"> </w:t>
      </w:r>
      <w:r w:rsidR="00BE3925">
        <w:rPr>
          <w:rFonts w:cs="Times New Roman"/>
          <w:sz w:val="28"/>
          <w:szCs w:val="28"/>
        </w:rPr>
        <w:t>M</w:t>
      </w:r>
      <w:r w:rsidR="00BE3925" w:rsidRPr="00863BF5">
        <w:rPr>
          <w:rFonts w:cs="Times New Roman"/>
          <w:sz w:val="28"/>
          <w:szCs w:val="28"/>
        </w:rPr>
        <w:t>etodika</w:t>
      </w:r>
      <w:r w:rsidR="003F3C0A">
        <w:rPr>
          <w:rFonts w:cs="Times New Roman"/>
          <w:sz w:val="28"/>
          <w:szCs w:val="28"/>
        </w:rPr>
        <w:t>s</w:t>
      </w:r>
      <w:r w:rsidR="00BE3925" w:rsidRPr="00863BF5">
        <w:rPr>
          <w:rFonts w:cs="Times New Roman"/>
          <w:sz w:val="28"/>
          <w:szCs w:val="28"/>
        </w:rPr>
        <w:t xml:space="preserve"> </w:t>
      </w:r>
      <w:r w:rsidR="006339D5" w:rsidRPr="00863BF5">
        <w:rPr>
          <w:rFonts w:cs="Times New Roman"/>
          <w:sz w:val="28"/>
          <w:szCs w:val="28"/>
        </w:rPr>
        <w:t>pieejamas ES fondu tīmekļa vietnē</w:t>
      </w:r>
      <w:r w:rsidR="006339D5" w:rsidRPr="00863BF5">
        <w:rPr>
          <w:rStyle w:val="FootnoteReference"/>
          <w:rFonts w:cs="Times New Roman"/>
          <w:sz w:val="28"/>
          <w:szCs w:val="28"/>
        </w:rPr>
        <w:footnoteReference w:id="107"/>
      </w:r>
      <w:r w:rsidR="006339D5" w:rsidRPr="00863BF5">
        <w:rPr>
          <w:rFonts w:cs="Times New Roman"/>
          <w:sz w:val="28"/>
          <w:szCs w:val="28"/>
        </w:rPr>
        <w:t>.</w:t>
      </w:r>
    </w:p>
    <w:p w14:paraId="00F3E931" w14:textId="77777777" w:rsidR="00E031E1" w:rsidRPr="004109BC" w:rsidRDefault="00E031E1" w:rsidP="00E031E1">
      <w:pPr>
        <w:spacing w:before="120" w:after="120"/>
        <w:ind w:firstLine="720"/>
        <w:jc w:val="both"/>
        <w:rPr>
          <w:rFonts w:cs="Times New Roman"/>
          <w:sz w:val="28"/>
          <w:szCs w:val="24"/>
        </w:rPr>
      </w:pPr>
      <w:r w:rsidRPr="004109BC">
        <w:rPr>
          <w:rFonts w:cs="Times New Roman"/>
          <w:sz w:val="28"/>
          <w:szCs w:val="24"/>
        </w:rPr>
        <w:t>2017.</w:t>
      </w:r>
      <w:r>
        <w:rPr>
          <w:rFonts w:cs="Times New Roman"/>
          <w:sz w:val="28"/>
          <w:szCs w:val="24"/>
        </w:rPr>
        <w:t> </w:t>
      </w:r>
      <w:r w:rsidRPr="004109BC">
        <w:rPr>
          <w:rFonts w:cs="Times New Roman"/>
          <w:sz w:val="28"/>
          <w:szCs w:val="24"/>
        </w:rPr>
        <w:t xml:space="preserve">gadā CFLA turpināja </w:t>
      </w:r>
      <w:r>
        <w:rPr>
          <w:rFonts w:cs="Times New Roman"/>
          <w:sz w:val="28"/>
          <w:szCs w:val="24"/>
        </w:rPr>
        <w:t>KP VIS</w:t>
      </w:r>
      <w:r w:rsidRPr="004109BC">
        <w:rPr>
          <w:rFonts w:cs="Times New Roman"/>
          <w:sz w:val="28"/>
          <w:szCs w:val="24"/>
        </w:rPr>
        <w:t xml:space="preserve"> funkcionalitātes attīstīšanu un veicināja elektronisko datu apmaiņu ar </w:t>
      </w:r>
      <w:r>
        <w:rPr>
          <w:rFonts w:cs="Times New Roman"/>
          <w:sz w:val="28"/>
          <w:szCs w:val="24"/>
        </w:rPr>
        <w:t>FS</w:t>
      </w:r>
      <w:r w:rsidRPr="004109BC">
        <w:rPr>
          <w:rFonts w:cs="Times New Roman"/>
          <w:sz w:val="28"/>
          <w:szCs w:val="24"/>
        </w:rPr>
        <w:t xml:space="preserve"> un citām ES fondu ieviešanā iesaistītajām iestādēm.</w:t>
      </w:r>
    </w:p>
    <w:p w14:paraId="2845A317" w14:textId="77777777" w:rsidR="00E031E1" w:rsidRPr="004109BC" w:rsidRDefault="00E031E1" w:rsidP="00E031E1">
      <w:pPr>
        <w:spacing w:before="120" w:after="120"/>
        <w:ind w:firstLine="720"/>
        <w:jc w:val="both"/>
        <w:rPr>
          <w:rFonts w:cs="Times New Roman"/>
          <w:sz w:val="28"/>
          <w:szCs w:val="24"/>
        </w:rPr>
      </w:pPr>
      <w:r w:rsidRPr="004109BC">
        <w:rPr>
          <w:rFonts w:cs="Times New Roman"/>
          <w:sz w:val="28"/>
          <w:szCs w:val="24"/>
        </w:rPr>
        <w:t>E-vides priekšrocības izmantojuši arvien jauni ES fondu projektu īstenotāji</w:t>
      </w:r>
      <w:r>
        <w:rPr>
          <w:rFonts w:cs="Times New Roman"/>
          <w:sz w:val="28"/>
          <w:szCs w:val="24"/>
        </w:rPr>
        <w:t> – </w:t>
      </w:r>
      <w:r w:rsidRPr="004109BC">
        <w:rPr>
          <w:rFonts w:cs="Times New Roman"/>
          <w:sz w:val="28"/>
          <w:szCs w:val="24"/>
        </w:rPr>
        <w:t>lietotāju skaits uz 2017.</w:t>
      </w:r>
      <w:r>
        <w:rPr>
          <w:rFonts w:cs="Times New Roman"/>
          <w:sz w:val="28"/>
          <w:szCs w:val="24"/>
        </w:rPr>
        <w:t> </w:t>
      </w:r>
      <w:r w:rsidRPr="004109BC">
        <w:rPr>
          <w:rFonts w:cs="Times New Roman"/>
          <w:sz w:val="28"/>
          <w:szCs w:val="24"/>
        </w:rPr>
        <w:t>gada beigām pieaudzis līdz 3</w:t>
      </w:r>
      <w:r>
        <w:rPr>
          <w:rFonts w:cs="Times New Roman"/>
          <w:sz w:val="28"/>
          <w:szCs w:val="24"/>
        </w:rPr>
        <w:t> </w:t>
      </w:r>
      <w:r w:rsidRPr="004109BC">
        <w:rPr>
          <w:rFonts w:cs="Times New Roman"/>
          <w:sz w:val="28"/>
          <w:szCs w:val="24"/>
        </w:rPr>
        <w:t>270 (2016.</w:t>
      </w:r>
      <w:r>
        <w:rPr>
          <w:rFonts w:cs="Times New Roman"/>
          <w:sz w:val="28"/>
          <w:szCs w:val="24"/>
        </w:rPr>
        <w:t> </w:t>
      </w:r>
      <w:r w:rsidRPr="004109BC">
        <w:rPr>
          <w:rFonts w:cs="Times New Roman"/>
          <w:sz w:val="28"/>
          <w:szCs w:val="24"/>
        </w:rPr>
        <w:t>gadā</w:t>
      </w:r>
      <w:r>
        <w:rPr>
          <w:rFonts w:cs="Times New Roman"/>
          <w:sz w:val="28"/>
          <w:szCs w:val="24"/>
        </w:rPr>
        <w:t> </w:t>
      </w:r>
      <w:r w:rsidRPr="004109BC">
        <w:rPr>
          <w:rFonts w:cs="Times New Roman"/>
          <w:sz w:val="28"/>
          <w:szCs w:val="24"/>
        </w:rPr>
        <w:t>–</w:t>
      </w:r>
      <w:r>
        <w:rPr>
          <w:rFonts w:cs="Times New Roman"/>
          <w:sz w:val="28"/>
          <w:szCs w:val="24"/>
        </w:rPr>
        <w:t> </w:t>
      </w:r>
      <w:r w:rsidRPr="004109BC">
        <w:rPr>
          <w:rFonts w:cs="Times New Roman"/>
          <w:sz w:val="28"/>
          <w:szCs w:val="24"/>
        </w:rPr>
        <w:t>2</w:t>
      </w:r>
      <w:r>
        <w:rPr>
          <w:rFonts w:cs="Times New Roman"/>
          <w:sz w:val="28"/>
          <w:szCs w:val="24"/>
        </w:rPr>
        <w:t> </w:t>
      </w:r>
      <w:r w:rsidRPr="004109BC">
        <w:rPr>
          <w:rFonts w:cs="Times New Roman"/>
          <w:sz w:val="28"/>
          <w:szCs w:val="24"/>
        </w:rPr>
        <w:t>100). Aktuālais KP</w:t>
      </w:r>
      <w:r>
        <w:rPr>
          <w:rFonts w:cs="Times New Roman"/>
          <w:sz w:val="28"/>
          <w:szCs w:val="24"/>
        </w:rPr>
        <w:t> </w:t>
      </w:r>
      <w:r w:rsidRPr="004109BC">
        <w:rPr>
          <w:rFonts w:cs="Times New Roman"/>
          <w:sz w:val="28"/>
          <w:szCs w:val="24"/>
        </w:rPr>
        <w:t>VIS lietotāju skaits pret visiem ES fondu 2014.</w:t>
      </w:r>
      <w:r>
        <w:rPr>
          <w:rFonts w:cs="Times New Roman"/>
          <w:sz w:val="28"/>
          <w:szCs w:val="24"/>
        </w:rPr>
        <w:t> </w:t>
      </w:r>
      <w:r w:rsidRPr="004109BC">
        <w:rPr>
          <w:rFonts w:cs="Times New Roman"/>
          <w:sz w:val="28"/>
          <w:szCs w:val="24"/>
        </w:rPr>
        <w:t>–</w:t>
      </w:r>
      <w:r>
        <w:rPr>
          <w:rFonts w:cs="Times New Roman"/>
          <w:sz w:val="28"/>
          <w:szCs w:val="24"/>
        </w:rPr>
        <w:t> </w:t>
      </w:r>
      <w:r w:rsidRPr="004109BC">
        <w:rPr>
          <w:rFonts w:cs="Times New Roman"/>
          <w:sz w:val="28"/>
          <w:szCs w:val="24"/>
        </w:rPr>
        <w:t>2020.</w:t>
      </w:r>
      <w:r>
        <w:rPr>
          <w:rFonts w:cs="Times New Roman"/>
          <w:sz w:val="28"/>
          <w:szCs w:val="24"/>
        </w:rPr>
        <w:t> </w:t>
      </w:r>
      <w:r w:rsidRPr="004109BC">
        <w:rPr>
          <w:rFonts w:cs="Times New Roman"/>
          <w:sz w:val="28"/>
          <w:szCs w:val="24"/>
        </w:rPr>
        <w:t xml:space="preserve">gada plānošanas perioda </w:t>
      </w:r>
      <w:r>
        <w:rPr>
          <w:rFonts w:cs="Times New Roman"/>
          <w:sz w:val="28"/>
          <w:szCs w:val="24"/>
        </w:rPr>
        <w:t>FS</w:t>
      </w:r>
      <w:r w:rsidRPr="004109BC">
        <w:rPr>
          <w:rFonts w:cs="Times New Roman"/>
          <w:sz w:val="28"/>
          <w:szCs w:val="24"/>
        </w:rPr>
        <w:t xml:space="preserve"> ir 99</w:t>
      </w:r>
      <w:r>
        <w:rPr>
          <w:rFonts w:cs="Times New Roman"/>
          <w:sz w:val="28"/>
          <w:szCs w:val="24"/>
        </w:rPr>
        <w:t> </w:t>
      </w:r>
      <w:r w:rsidRPr="004109BC">
        <w:rPr>
          <w:rFonts w:cs="Times New Roman"/>
          <w:sz w:val="28"/>
          <w:szCs w:val="24"/>
        </w:rPr>
        <w:t>%.</w:t>
      </w:r>
    </w:p>
    <w:p w14:paraId="128E7C3B" w14:textId="77777777" w:rsidR="00E031E1" w:rsidRPr="004109BC" w:rsidRDefault="00E031E1" w:rsidP="00E031E1">
      <w:pPr>
        <w:spacing w:before="120" w:after="120"/>
        <w:ind w:firstLine="720"/>
        <w:jc w:val="both"/>
        <w:rPr>
          <w:rFonts w:cs="Times New Roman"/>
          <w:sz w:val="28"/>
          <w:szCs w:val="24"/>
        </w:rPr>
      </w:pPr>
      <w:r w:rsidRPr="004109BC">
        <w:rPr>
          <w:rFonts w:cs="Times New Roman"/>
          <w:sz w:val="28"/>
          <w:szCs w:val="24"/>
        </w:rPr>
        <w:t>Saskaņā ar 2017.</w:t>
      </w:r>
      <w:r>
        <w:rPr>
          <w:rFonts w:cs="Times New Roman"/>
          <w:sz w:val="28"/>
          <w:szCs w:val="24"/>
        </w:rPr>
        <w:t> </w:t>
      </w:r>
      <w:r w:rsidRPr="004109BC">
        <w:rPr>
          <w:rFonts w:cs="Times New Roman"/>
          <w:sz w:val="28"/>
          <w:szCs w:val="24"/>
        </w:rPr>
        <w:t>gada klientu apmierinātības aptaujas rezultātiem 87</w:t>
      </w:r>
      <w:r>
        <w:rPr>
          <w:rFonts w:cs="Times New Roman"/>
          <w:sz w:val="28"/>
          <w:szCs w:val="24"/>
        </w:rPr>
        <w:t> </w:t>
      </w:r>
      <w:r w:rsidRPr="004109BC">
        <w:rPr>
          <w:rFonts w:cs="Times New Roman"/>
          <w:sz w:val="28"/>
          <w:szCs w:val="24"/>
        </w:rPr>
        <w:t>% projektu vadībā iesaistīto lieto KP</w:t>
      </w:r>
      <w:r>
        <w:rPr>
          <w:rFonts w:cs="Times New Roman"/>
          <w:sz w:val="28"/>
          <w:szCs w:val="24"/>
        </w:rPr>
        <w:t> </w:t>
      </w:r>
      <w:r w:rsidRPr="004109BC">
        <w:rPr>
          <w:rFonts w:cs="Times New Roman"/>
          <w:sz w:val="28"/>
          <w:szCs w:val="24"/>
        </w:rPr>
        <w:t>VIS e-vidi. Kopumā 98</w:t>
      </w:r>
      <w:r>
        <w:rPr>
          <w:rFonts w:cs="Times New Roman"/>
          <w:sz w:val="28"/>
          <w:szCs w:val="24"/>
        </w:rPr>
        <w:t> </w:t>
      </w:r>
      <w:r w:rsidRPr="004109BC">
        <w:rPr>
          <w:rFonts w:cs="Times New Roman"/>
          <w:sz w:val="28"/>
          <w:szCs w:val="24"/>
        </w:rPr>
        <w:t>% respondentu ir apmierināti vai pārsvarā apmierināti ar e-vides tehnisko atbalstu.</w:t>
      </w:r>
    </w:p>
    <w:p w14:paraId="7F409E5C" w14:textId="77777777" w:rsidR="00E031E1" w:rsidRPr="004109BC" w:rsidRDefault="00E031E1" w:rsidP="00E031E1">
      <w:pPr>
        <w:spacing w:before="120" w:after="120"/>
        <w:ind w:firstLine="720"/>
        <w:jc w:val="both"/>
        <w:rPr>
          <w:rFonts w:cs="Times New Roman"/>
          <w:sz w:val="28"/>
          <w:szCs w:val="24"/>
        </w:rPr>
      </w:pPr>
      <w:r w:rsidRPr="004109BC">
        <w:rPr>
          <w:rFonts w:cs="Times New Roman"/>
          <w:sz w:val="28"/>
          <w:szCs w:val="24"/>
        </w:rPr>
        <w:t xml:space="preserve">Nodrošinot CFLA klientiem atbalsta, skaidrojoša un izglītojoša rakstura pasākumus par ES fondu atbalsta saņemšanas iespējām, projektu ieviešanas nosacījumiem, </w:t>
      </w:r>
      <w:r w:rsidRPr="004109BC">
        <w:rPr>
          <w:rFonts w:eastAsia="Times New Roman" w:cs="Times New Roman"/>
          <w:sz w:val="28"/>
          <w:szCs w:val="24"/>
          <w:lang w:eastAsia="lv-LV"/>
        </w:rPr>
        <w:t>2017.</w:t>
      </w:r>
      <w:r>
        <w:rPr>
          <w:rFonts w:eastAsia="Times New Roman" w:cs="Times New Roman"/>
          <w:sz w:val="28"/>
          <w:szCs w:val="24"/>
          <w:lang w:eastAsia="lv-LV"/>
        </w:rPr>
        <w:t> </w:t>
      </w:r>
      <w:r w:rsidRPr="004109BC">
        <w:rPr>
          <w:rFonts w:eastAsia="Times New Roman" w:cs="Times New Roman"/>
          <w:sz w:val="28"/>
          <w:szCs w:val="24"/>
          <w:lang w:eastAsia="lv-LV"/>
        </w:rPr>
        <w:t>gadā CFLA kopumā organizēja aptuveni 150</w:t>
      </w:r>
      <w:r>
        <w:rPr>
          <w:rFonts w:eastAsia="Times New Roman" w:cs="Times New Roman"/>
          <w:sz w:val="28"/>
          <w:szCs w:val="24"/>
          <w:lang w:eastAsia="lv-LV"/>
        </w:rPr>
        <w:t> </w:t>
      </w:r>
      <w:r w:rsidRPr="004109BC">
        <w:rPr>
          <w:rFonts w:eastAsia="Times New Roman" w:cs="Times New Roman"/>
          <w:sz w:val="28"/>
          <w:szCs w:val="24"/>
          <w:lang w:eastAsia="lv-LV"/>
        </w:rPr>
        <w:t>dažāda veida pasākumus. Lai nodrošinātu, ka informatīvajos pasākumos sniegtā informācija sasniedz ievērojami plašāku interesentu loku, CFLA lielā daļā nodrošināja arī pasākumu tiešraides un ierakstu pieejamību internetā.</w:t>
      </w:r>
    </w:p>
    <w:p w14:paraId="6D083D72" w14:textId="77777777" w:rsidR="00E031E1" w:rsidRPr="004109BC" w:rsidRDefault="00E031E1" w:rsidP="00E031E1">
      <w:pPr>
        <w:spacing w:before="120" w:after="120"/>
        <w:ind w:firstLine="720"/>
        <w:jc w:val="both"/>
        <w:rPr>
          <w:rFonts w:eastAsia="Times New Roman" w:cs="Times New Roman"/>
          <w:sz w:val="28"/>
          <w:szCs w:val="24"/>
          <w:lang w:eastAsia="lv-LV"/>
        </w:rPr>
      </w:pPr>
      <w:r w:rsidRPr="004109BC">
        <w:rPr>
          <w:rFonts w:cs="Times New Roman"/>
          <w:sz w:val="28"/>
          <w:szCs w:val="24"/>
        </w:rPr>
        <w:t xml:space="preserve">Tika organizēti divi semināru cikli (pavasarī un rudenī) gan Rīgā, gan Cēsīs, Rēzeknē, Kuldīgā un Jelgavā “Labā prakse ES fondu projektu īstenošanā”. </w:t>
      </w:r>
      <w:r w:rsidRPr="004109BC">
        <w:rPr>
          <w:rFonts w:cs="Times New Roman"/>
          <w:sz w:val="28"/>
          <w:szCs w:val="24"/>
        </w:rPr>
        <w:lastRenderedPageBreak/>
        <w:t xml:space="preserve">Semināru ietvaros tika apskatītas un izskaidrotas vairākas ES fondu atbalsta saņēmējiem saistošas tēmas: progress ES fondu projektu ieviešanā, projektu iesniegumu un projekta dokumentācijas sagatavošanā vērā ņemamie aspekti un ieteikumi, padziļināti skaidroti iepirkuma un konkurences tiesību jautājumi, būvniecības procesa organizēšanas gaita u.c. Šie semināri tika plaši apmeklēti un skatītas to tiešraides, </w:t>
      </w:r>
      <w:r w:rsidRPr="004109BC">
        <w:rPr>
          <w:rFonts w:eastAsia="Times New Roman" w:cs="Times New Roman"/>
          <w:sz w:val="28"/>
          <w:szCs w:val="24"/>
          <w:lang w:eastAsia="lv-LV"/>
        </w:rPr>
        <w:t>dalībnieku aptuvenais skaits 1</w:t>
      </w:r>
      <w:r>
        <w:rPr>
          <w:rFonts w:eastAsia="Times New Roman" w:cs="Times New Roman"/>
          <w:sz w:val="28"/>
          <w:szCs w:val="24"/>
          <w:lang w:eastAsia="lv-LV"/>
        </w:rPr>
        <w:t> </w:t>
      </w:r>
      <w:r w:rsidRPr="004109BC">
        <w:rPr>
          <w:rFonts w:eastAsia="Times New Roman" w:cs="Times New Roman"/>
          <w:sz w:val="28"/>
          <w:szCs w:val="24"/>
          <w:lang w:eastAsia="lv-LV"/>
        </w:rPr>
        <w:t>500 (t.sk. tiešsaistes skatītāji).</w:t>
      </w:r>
    </w:p>
    <w:p w14:paraId="2EAF5D53" w14:textId="0DF3CF8C" w:rsidR="00E07DB1" w:rsidRDefault="00E031E1" w:rsidP="00866986">
      <w:pPr>
        <w:spacing w:before="120" w:after="120"/>
        <w:ind w:firstLine="720"/>
        <w:jc w:val="both"/>
        <w:rPr>
          <w:rFonts w:cs="Times New Roman"/>
          <w:sz w:val="28"/>
          <w:szCs w:val="28"/>
        </w:rPr>
      </w:pPr>
      <w:r w:rsidRPr="004109BC">
        <w:rPr>
          <w:rFonts w:cs="Times New Roman"/>
          <w:sz w:val="28"/>
          <w:szCs w:val="24"/>
        </w:rPr>
        <w:t>2017.</w:t>
      </w:r>
      <w:r>
        <w:rPr>
          <w:rFonts w:cs="Times New Roman"/>
          <w:sz w:val="28"/>
          <w:szCs w:val="24"/>
        </w:rPr>
        <w:t> </w:t>
      </w:r>
      <w:r w:rsidRPr="004109BC">
        <w:rPr>
          <w:rFonts w:cs="Times New Roman"/>
          <w:sz w:val="28"/>
          <w:szCs w:val="24"/>
        </w:rPr>
        <w:t>gadā CFLA veica klientu apmierinātības aptauju. Klientu apmierinātības līmenis ar CFLA sniegtajiem pakalpojumiem arī šajā gadā bija ļoti augstā līmenī, proti, 97</w:t>
      </w:r>
      <w:r>
        <w:rPr>
          <w:rFonts w:cs="Times New Roman"/>
          <w:sz w:val="28"/>
          <w:szCs w:val="24"/>
        </w:rPr>
        <w:t> </w:t>
      </w:r>
      <w:r w:rsidRPr="004109BC">
        <w:rPr>
          <w:rFonts w:cs="Times New Roman"/>
          <w:sz w:val="28"/>
          <w:szCs w:val="24"/>
        </w:rPr>
        <w:t xml:space="preserve">% aptaujāto norādīja, ka tie ir apmierināti vai pārsvarā apmierināti ar sadarbību ar CFLA darbiniekiem, ļoti augsti klienti novērtēja CFLA darbinieku ieinteresētību palīdzēt risināt </w:t>
      </w:r>
      <w:r>
        <w:rPr>
          <w:rFonts w:cs="Times New Roman"/>
          <w:sz w:val="28"/>
          <w:szCs w:val="24"/>
        </w:rPr>
        <w:t>FS</w:t>
      </w:r>
      <w:r w:rsidRPr="004109BC">
        <w:rPr>
          <w:rFonts w:cs="Times New Roman"/>
          <w:sz w:val="28"/>
          <w:szCs w:val="24"/>
        </w:rPr>
        <w:t xml:space="preserve"> jautājumus vai problēmas, ar kuriem tie sastopas projektu ieviešanā</w:t>
      </w:r>
      <w:r>
        <w:rPr>
          <w:rFonts w:cs="Times New Roman"/>
          <w:sz w:val="28"/>
          <w:szCs w:val="24"/>
        </w:rPr>
        <w:t>, atbilžu sniegšanas termiņiem.</w:t>
      </w:r>
    </w:p>
    <w:p w14:paraId="5D6DF5A4" w14:textId="77777777" w:rsidR="00866986" w:rsidRPr="00866986" w:rsidRDefault="00866986" w:rsidP="00866986">
      <w:pPr>
        <w:spacing w:before="120" w:after="120"/>
        <w:ind w:firstLine="720"/>
        <w:jc w:val="both"/>
        <w:rPr>
          <w:rFonts w:cs="Times New Roman"/>
          <w:sz w:val="28"/>
          <w:szCs w:val="28"/>
        </w:rPr>
      </w:pPr>
    </w:p>
    <w:p w14:paraId="7791E818" w14:textId="6F15B436" w:rsidR="00787823" w:rsidRPr="00E05683" w:rsidRDefault="00787823" w:rsidP="00942973">
      <w:pPr>
        <w:spacing w:after="120"/>
        <w:ind w:firstLine="720"/>
        <w:jc w:val="both"/>
        <w:rPr>
          <w:rFonts w:eastAsia="Times New Roman" w:cs="Times New Roman"/>
          <w:b/>
          <w:i/>
          <w:sz w:val="28"/>
          <w:szCs w:val="28"/>
        </w:rPr>
      </w:pPr>
      <w:r w:rsidRPr="00E05683">
        <w:rPr>
          <w:rFonts w:eastAsia="Times New Roman" w:cs="Times New Roman"/>
          <w:b/>
          <w:i/>
          <w:sz w:val="28"/>
          <w:szCs w:val="28"/>
        </w:rPr>
        <w:t>Komunikācijas aktivitātes (2014</w:t>
      </w:r>
      <w:r w:rsidR="004660E9" w:rsidRPr="00E05683">
        <w:rPr>
          <w:rFonts w:eastAsia="Times New Roman" w:cs="Times New Roman"/>
          <w:b/>
          <w:i/>
          <w:sz w:val="28"/>
          <w:szCs w:val="28"/>
        </w:rPr>
        <w:t>.</w:t>
      </w:r>
      <w:r w:rsidR="00873840">
        <w:rPr>
          <w:rFonts w:eastAsia="Times New Roman" w:cs="Times New Roman"/>
          <w:b/>
          <w:i/>
          <w:sz w:val="28"/>
          <w:szCs w:val="28"/>
        </w:rPr>
        <w:t> – </w:t>
      </w:r>
      <w:r w:rsidRPr="00E05683">
        <w:rPr>
          <w:rFonts w:eastAsia="Times New Roman" w:cs="Times New Roman"/>
          <w:b/>
          <w:i/>
          <w:sz w:val="28"/>
          <w:szCs w:val="28"/>
        </w:rPr>
        <w:t>2020. gada plānošanas periodam)</w:t>
      </w:r>
    </w:p>
    <w:p w14:paraId="2F46C560" w14:textId="77777777" w:rsidR="00E05683" w:rsidRPr="00E05683" w:rsidRDefault="00E05683" w:rsidP="001D6218">
      <w:pPr>
        <w:spacing w:before="120" w:after="120"/>
        <w:ind w:firstLine="720"/>
        <w:jc w:val="both"/>
        <w:rPr>
          <w:rFonts w:cs="Times New Roman"/>
          <w:sz w:val="28"/>
          <w:szCs w:val="28"/>
        </w:rPr>
      </w:pPr>
      <w:r w:rsidRPr="00E05683">
        <w:rPr>
          <w:rFonts w:cs="Times New Roman"/>
          <w:sz w:val="28"/>
          <w:szCs w:val="28"/>
        </w:rPr>
        <w:t>2017. gada II pusgadā īstenota ES fondu Komunikācijas stratēģija 2015. – 2023. gadam</w:t>
      </w:r>
      <w:r w:rsidRPr="00E05683">
        <w:rPr>
          <w:rFonts w:cs="Times New Roman"/>
          <w:sz w:val="28"/>
          <w:szCs w:val="28"/>
          <w:vertAlign w:val="superscript"/>
        </w:rPr>
        <w:footnoteReference w:id="108"/>
      </w:r>
      <w:r w:rsidRPr="00E05683">
        <w:rPr>
          <w:rFonts w:cs="Times New Roman"/>
          <w:sz w:val="28"/>
          <w:szCs w:val="28"/>
        </w:rPr>
        <w:t xml:space="preserve"> nodrošinot gan ES fondu ieguldījuma un pieejamo iespēju komunikāciju sociālajos tīklos, gan tīmekļa vietnē </w:t>
      </w:r>
      <w:hyperlink r:id="rId21" w:history="1">
        <w:r w:rsidRPr="00E05683">
          <w:rPr>
            <w:rStyle w:val="Hyperlink"/>
            <w:rFonts w:cs="Times New Roman"/>
            <w:sz w:val="28"/>
            <w:szCs w:val="28"/>
          </w:rPr>
          <w:t>www.esfondi.lv</w:t>
        </w:r>
      </w:hyperlink>
      <w:r w:rsidRPr="00E05683">
        <w:rPr>
          <w:rFonts w:cs="Times New Roman"/>
          <w:sz w:val="28"/>
          <w:szCs w:val="28"/>
        </w:rPr>
        <w:t>, saziņā ar iedzīvotājiem un medijiem.</w:t>
      </w:r>
    </w:p>
    <w:p w14:paraId="490EBF2D" w14:textId="3ECB0DF0" w:rsidR="00E05683" w:rsidRPr="00E05683" w:rsidRDefault="00E05683" w:rsidP="001D6218">
      <w:pPr>
        <w:pStyle w:val="BodyText"/>
        <w:spacing w:line="240" w:lineRule="auto"/>
        <w:ind w:firstLine="720"/>
        <w:jc w:val="both"/>
        <w:rPr>
          <w:b w:val="0"/>
          <w:sz w:val="28"/>
          <w:szCs w:val="28"/>
        </w:rPr>
      </w:pPr>
      <w:r w:rsidRPr="001D6218">
        <w:rPr>
          <w:b w:val="0"/>
          <w:sz w:val="28"/>
          <w:szCs w:val="28"/>
          <w:lang w:val="lv-LV"/>
        </w:rPr>
        <w:t>ES fondu komunikācijas mērķis šajā plānošanas periodā ir veicināt sabiedrības izpratni par ES fondu īstenoto projektu ieguldījuma nozīmi Latvijas tautsaimniecībā, ekonomiskajā attīstībā un katra Latvijas iedzīvotāja labklājības līmeņa celšanā, kā arī sekmēt sabiedrības atbalstu un uzticēšanos ES fondu ieguldījumam un Latvijā īstenoto projektu realizācijai. Lai veicinātu sabiedrības izpratni par ES fondu ieguldījumiem Latvijā FM sadarbībā ar CFLA realizēja komunikācijas kampaņu ESF</w:t>
      </w:r>
      <w:r w:rsidR="00921D77">
        <w:rPr>
          <w:b w:val="0"/>
          <w:sz w:val="28"/>
          <w:szCs w:val="28"/>
          <w:lang w:val="lv-LV"/>
        </w:rPr>
        <w:t> </w:t>
      </w:r>
      <w:r w:rsidRPr="001D6218">
        <w:rPr>
          <w:b w:val="0"/>
          <w:sz w:val="28"/>
          <w:szCs w:val="28"/>
          <w:lang w:val="lv-LV"/>
        </w:rPr>
        <w:t>60.</w:t>
      </w:r>
      <w:r w:rsidRPr="001D6218">
        <w:rPr>
          <w:b w:val="0"/>
          <w:lang w:val="lv-LV" w:eastAsia="lv-LV"/>
        </w:rPr>
        <w:t xml:space="preserve"> </w:t>
      </w:r>
      <w:r w:rsidRPr="001D6218">
        <w:rPr>
          <w:b w:val="0"/>
          <w:sz w:val="28"/>
          <w:szCs w:val="28"/>
          <w:lang w:val="lv-LV"/>
        </w:rPr>
        <w:t xml:space="preserve">Kampaņas aktivitātes veidoja </w:t>
      </w:r>
      <w:proofErr w:type="spellStart"/>
      <w:r w:rsidRPr="001D6218">
        <w:rPr>
          <w:b w:val="0"/>
          <w:sz w:val="28"/>
          <w:szCs w:val="28"/>
          <w:lang w:val="lv-LV"/>
        </w:rPr>
        <w:t>divvirzienu</w:t>
      </w:r>
      <w:proofErr w:type="spellEnd"/>
      <w:r w:rsidRPr="001D6218">
        <w:rPr>
          <w:b w:val="0"/>
          <w:sz w:val="28"/>
          <w:szCs w:val="28"/>
          <w:lang w:val="lv-LV"/>
        </w:rPr>
        <w:t xml:space="preserve"> komunikāciju ar sabiedrību un mērķa grupām, un to rezultātā tika gūta pēc iespējas lielāka mērķauditorijas iesaiste un veidota izpratne par kopīgo Kohēzijas politikas un ESF ieguldījumiem un to nozīmīgumu. Kampaņas centrā tika izvirzīti cilvēki un ESF 60 gadu jubilejas tematika. Tika organizēts ESF</w:t>
      </w:r>
      <w:r w:rsidR="00921D77">
        <w:rPr>
          <w:b w:val="0"/>
          <w:sz w:val="28"/>
          <w:szCs w:val="28"/>
          <w:lang w:val="lv-LV"/>
        </w:rPr>
        <w:t> </w:t>
      </w:r>
      <w:r w:rsidRPr="001D6218">
        <w:rPr>
          <w:b w:val="0"/>
          <w:sz w:val="28"/>
          <w:szCs w:val="28"/>
          <w:lang w:val="lv-LV"/>
        </w:rPr>
        <w:t xml:space="preserve">60 kampaņas atklāšanas pasākums, kurā piedalījās viedokļu līderi, pasākums tika translēts sociālajos medijos. Kampaņas ietvaros tika radīts emocionāli spēcīgs video klips par ESF ieguldījumu un klātbūtni katra cilvēka dzīvē, radio reklāmas klips, digitālajās platformās tika izvietoti interneta </w:t>
      </w:r>
      <w:proofErr w:type="spellStart"/>
      <w:r w:rsidRPr="001D6218">
        <w:rPr>
          <w:b w:val="0"/>
          <w:sz w:val="28"/>
          <w:szCs w:val="28"/>
          <w:lang w:val="lv-LV"/>
        </w:rPr>
        <w:t>baneri</w:t>
      </w:r>
      <w:proofErr w:type="spellEnd"/>
      <w:r w:rsidRPr="001D6218">
        <w:rPr>
          <w:b w:val="0"/>
          <w:sz w:val="28"/>
          <w:szCs w:val="28"/>
          <w:lang w:val="lv-LV"/>
        </w:rPr>
        <w:t xml:space="preserve">, veidoti kampaņas vides plakāti, kas tika izvietoti Rīgā un Latvijas lielajās pilsētās. </w:t>
      </w:r>
      <w:proofErr w:type="spellStart"/>
      <w:r w:rsidRPr="00E05683">
        <w:rPr>
          <w:b w:val="0"/>
          <w:sz w:val="28"/>
          <w:szCs w:val="28"/>
        </w:rPr>
        <w:t>Gan</w:t>
      </w:r>
      <w:proofErr w:type="spellEnd"/>
      <w:r w:rsidRPr="00E05683">
        <w:rPr>
          <w:b w:val="0"/>
          <w:sz w:val="28"/>
          <w:szCs w:val="28"/>
        </w:rPr>
        <w:t xml:space="preserve"> </w:t>
      </w:r>
      <w:proofErr w:type="spellStart"/>
      <w:r w:rsidRPr="00E05683">
        <w:rPr>
          <w:b w:val="0"/>
          <w:sz w:val="28"/>
          <w:szCs w:val="28"/>
        </w:rPr>
        <w:t>kampaņas</w:t>
      </w:r>
      <w:proofErr w:type="spellEnd"/>
      <w:r w:rsidRPr="00E05683">
        <w:rPr>
          <w:b w:val="0"/>
          <w:sz w:val="28"/>
          <w:szCs w:val="28"/>
        </w:rPr>
        <w:t xml:space="preserve"> video, </w:t>
      </w:r>
      <w:proofErr w:type="spellStart"/>
      <w:r w:rsidRPr="00E05683">
        <w:rPr>
          <w:b w:val="0"/>
          <w:sz w:val="28"/>
          <w:szCs w:val="28"/>
        </w:rPr>
        <w:t>gan</w:t>
      </w:r>
      <w:proofErr w:type="spellEnd"/>
      <w:r w:rsidRPr="00E05683">
        <w:rPr>
          <w:b w:val="0"/>
          <w:sz w:val="28"/>
          <w:szCs w:val="28"/>
        </w:rPr>
        <w:t xml:space="preserve"> radio </w:t>
      </w:r>
      <w:proofErr w:type="spellStart"/>
      <w:r w:rsidRPr="00E05683">
        <w:rPr>
          <w:b w:val="0"/>
          <w:sz w:val="28"/>
          <w:szCs w:val="28"/>
        </w:rPr>
        <w:t>reklāmas</w:t>
      </w:r>
      <w:proofErr w:type="spellEnd"/>
      <w:r w:rsidRPr="00E05683">
        <w:rPr>
          <w:b w:val="0"/>
          <w:sz w:val="28"/>
          <w:szCs w:val="28"/>
        </w:rPr>
        <w:t xml:space="preserve"> </w:t>
      </w:r>
      <w:proofErr w:type="spellStart"/>
      <w:r w:rsidRPr="00E05683">
        <w:rPr>
          <w:b w:val="0"/>
          <w:sz w:val="28"/>
          <w:szCs w:val="28"/>
        </w:rPr>
        <w:t>pārraide</w:t>
      </w:r>
      <w:proofErr w:type="spellEnd"/>
      <w:r w:rsidRPr="00E05683">
        <w:rPr>
          <w:b w:val="0"/>
          <w:sz w:val="28"/>
          <w:szCs w:val="28"/>
        </w:rPr>
        <w:t xml:space="preserve"> </w:t>
      </w:r>
      <w:proofErr w:type="spellStart"/>
      <w:r w:rsidRPr="00E05683">
        <w:rPr>
          <w:b w:val="0"/>
          <w:sz w:val="28"/>
          <w:szCs w:val="28"/>
        </w:rPr>
        <w:t>tika</w:t>
      </w:r>
      <w:proofErr w:type="spellEnd"/>
      <w:r w:rsidRPr="00E05683">
        <w:rPr>
          <w:b w:val="0"/>
          <w:sz w:val="28"/>
          <w:szCs w:val="28"/>
        </w:rPr>
        <w:t xml:space="preserve"> </w:t>
      </w:r>
      <w:proofErr w:type="spellStart"/>
      <w:r w:rsidRPr="00E05683">
        <w:rPr>
          <w:b w:val="0"/>
          <w:sz w:val="28"/>
          <w:szCs w:val="28"/>
        </w:rPr>
        <w:t>nodrošināta</w:t>
      </w:r>
      <w:proofErr w:type="spellEnd"/>
      <w:r w:rsidRPr="00E05683">
        <w:rPr>
          <w:b w:val="0"/>
          <w:sz w:val="28"/>
          <w:szCs w:val="28"/>
        </w:rPr>
        <w:t xml:space="preserve"> </w:t>
      </w:r>
      <w:proofErr w:type="spellStart"/>
      <w:r w:rsidRPr="00E05683">
        <w:rPr>
          <w:b w:val="0"/>
          <w:sz w:val="28"/>
          <w:szCs w:val="28"/>
        </w:rPr>
        <w:t>visos</w:t>
      </w:r>
      <w:proofErr w:type="spellEnd"/>
      <w:r w:rsidRPr="00E05683">
        <w:rPr>
          <w:b w:val="0"/>
          <w:sz w:val="28"/>
          <w:szCs w:val="28"/>
        </w:rPr>
        <w:t xml:space="preserve"> </w:t>
      </w:r>
      <w:proofErr w:type="spellStart"/>
      <w:r w:rsidRPr="00E05683">
        <w:rPr>
          <w:b w:val="0"/>
          <w:sz w:val="28"/>
          <w:szCs w:val="28"/>
        </w:rPr>
        <w:t>lielākajos</w:t>
      </w:r>
      <w:proofErr w:type="spellEnd"/>
      <w:r w:rsidRPr="00E05683">
        <w:rPr>
          <w:b w:val="0"/>
          <w:sz w:val="28"/>
          <w:szCs w:val="28"/>
        </w:rPr>
        <w:t xml:space="preserve"> </w:t>
      </w:r>
      <w:proofErr w:type="spellStart"/>
      <w:r w:rsidRPr="00E05683">
        <w:rPr>
          <w:b w:val="0"/>
          <w:sz w:val="28"/>
          <w:szCs w:val="28"/>
        </w:rPr>
        <w:t>Latvijas</w:t>
      </w:r>
      <w:proofErr w:type="spellEnd"/>
      <w:r w:rsidRPr="00E05683">
        <w:rPr>
          <w:b w:val="0"/>
          <w:sz w:val="28"/>
          <w:szCs w:val="28"/>
        </w:rPr>
        <w:t xml:space="preserve"> </w:t>
      </w:r>
      <w:proofErr w:type="spellStart"/>
      <w:r w:rsidRPr="00E05683">
        <w:rPr>
          <w:b w:val="0"/>
          <w:sz w:val="28"/>
          <w:szCs w:val="28"/>
        </w:rPr>
        <w:t>medijos</w:t>
      </w:r>
      <w:proofErr w:type="spellEnd"/>
      <w:r w:rsidRPr="00E05683">
        <w:rPr>
          <w:b w:val="0"/>
          <w:sz w:val="28"/>
          <w:szCs w:val="28"/>
        </w:rPr>
        <w:t xml:space="preserve">. </w:t>
      </w:r>
      <w:proofErr w:type="spellStart"/>
      <w:r w:rsidRPr="00E05683">
        <w:rPr>
          <w:b w:val="0"/>
          <w:sz w:val="28"/>
          <w:szCs w:val="28"/>
        </w:rPr>
        <w:t>Papildus</w:t>
      </w:r>
      <w:proofErr w:type="spellEnd"/>
      <w:r w:rsidRPr="00E05683">
        <w:rPr>
          <w:b w:val="0"/>
          <w:sz w:val="28"/>
          <w:szCs w:val="28"/>
        </w:rPr>
        <w:t xml:space="preserve"> </w:t>
      </w:r>
      <w:proofErr w:type="spellStart"/>
      <w:r w:rsidRPr="00E05683">
        <w:rPr>
          <w:b w:val="0"/>
          <w:sz w:val="28"/>
          <w:szCs w:val="28"/>
        </w:rPr>
        <w:t>tika</w:t>
      </w:r>
      <w:proofErr w:type="spellEnd"/>
      <w:r w:rsidRPr="00E05683">
        <w:rPr>
          <w:b w:val="0"/>
          <w:sz w:val="28"/>
          <w:szCs w:val="28"/>
        </w:rPr>
        <w:t xml:space="preserve"> </w:t>
      </w:r>
      <w:proofErr w:type="spellStart"/>
      <w:r w:rsidRPr="00E05683">
        <w:rPr>
          <w:b w:val="0"/>
          <w:sz w:val="28"/>
          <w:szCs w:val="28"/>
        </w:rPr>
        <w:t>radīti</w:t>
      </w:r>
      <w:proofErr w:type="spellEnd"/>
      <w:r w:rsidRPr="00E05683">
        <w:rPr>
          <w:b w:val="0"/>
          <w:sz w:val="28"/>
          <w:szCs w:val="28"/>
        </w:rPr>
        <w:t xml:space="preserve"> 10 ESF </w:t>
      </w:r>
      <w:proofErr w:type="spellStart"/>
      <w:r w:rsidRPr="00E05683">
        <w:rPr>
          <w:b w:val="0"/>
          <w:sz w:val="28"/>
          <w:szCs w:val="28"/>
        </w:rPr>
        <w:t>pieredzes</w:t>
      </w:r>
      <w:proofErr w:type="spellEnd"/>
      <w:r w:rsidRPr="00E05683">
        <w:rPr>
          <w:b w:val="0"/>
          <w:sz w:val="28"/>
          <w:szCs w:val="28"/>
        </w:rPr>
        <w:t xml:space="preserve"> </w:t>
      </w:r>
      <w:proofErr w:type="spellStart"/>
      <w:r w:rsidRPr="00E05683">
        <w:rPr>
          <w:b w:val="0"/>
          <w:sz w:val="28"/>
          <w:szCs w:val="28"/>
        </w:rPr>
        <w:t>stāstu</w:t>
      </w:r>
      <w:proofErr w:type="spellEnd"/>
      <w:r w:rsidRPr="00E05683">
        <w:rPr>
          <w:b w:val="0"/>
          <w:sz w:val="28"/>
          <w:szCs w:val="28"/>
        </w:rPr>
        <w:t xml:space="preserve"> video, </w:t>
      </w:r>
      <w:proofErr w:type="spellStart"/>
      <w:r w:rsidRPr="00E05683">
        <w:rPr>
          <w:b w:val="0"/>
          <w:sz w:val="28"/>
          <w:szCs w:val="28"/>
        </w:rPr>
        <w:t>kuros</w:t>
      </w:r>
      <w:proofErr w:type="spellEnd"/>
      <w:r w:rsidRPr="00E05683">
        <w:rPr>
          <w:b w:val="0"/>
          <w:sz w:val="28"/>
          <w:szCs w:val="28"/>
        </w:rPr>
        <w:t xml:space="preserve"> </w:t>
      </w:r>
      <w:proofErr w:type="spellStart"/>
      <w:r w:rsidRPr="00E05683">
        <w:rPr>
          <w:b w:val="0"/>
          <w:sz w:val="28"/>
          <w:szCs w:val="28"/>
        </w:rPr>
        <w:t>cilvēki</w:t>
      </w:r>
      <w:proofErr w:type="spellEnd"/>
      <w:r w:rsidRPr="00E05683">
        <w:rPr>
          <w:b w:val="0"/>
          <w:sz w:val="28"/>
          <w:szCs w:val="28"/>
        </w:rPr>
        <w:t xml:space="preserve"> </w:t>
      </w:r>
      <w:proofErr w:type="spellStart"/>
      <w:r w:rsidRPr="00E05683">
        <w:rPr>
          <w:b w:val="0"/>
          <w:sz w:val="28"/>
          <w:szCs w:val="28"/>
        </w:rPr>
        <w:t>vēstīja</w:t>
      </w:r>
      <w:proofErr w:type="spellEnd"/>
      <w:r w:rsidRPr="00E05683">
        <w:rPr>
          <w:b w:val="0"/>
          <w:sz w:val="28"/>
          <w:szCs w:val="28"/>
        </w:rPr>
        <w:t xml:space="preserve"> par </w:t>
      </w:r>
      <w:proofErr w:type="spellStart"/>
      <w:proofErr w:type="gramStart"/>
      <w:r w:rsidRPr="00E05683">
        <w:rPr>
          <w:b w:val="0"/>
          <w:sz w:val="28"/>
          <w:szCs w:val="28"/>
        </w:rPr>
        <w:t>fonda</w:t>
      </w:r>
      <w:proofErr w:type="spellEnd"/>
      <w:proofErr w:type="gramEnd"/>
      <w:r w:rsidRPr="00E05683">
        <w:rPr>
          <w:b w:val="0"/>
          <w:sz w:val="28"/>
          <w:szCs w:val="28"/>
        </w:rPr>
        <w:t xml:space="preserve"> </w:t>
      </w:r>
      <w:proofErr w:type="spellStart"/>
      <w:r w:rsidRPr="00E05683">
        <w:rPr>
          <w:b w:val="0"/>
          <w:sz w:val="28"/>
          <w:szCs w:val="28"/>
        </w:rPr>
        <w:t>sniegto</w:t>
      </w:r>
      <w:proofErr w:type="spellEnd"/>
      <w:r w:rsidRPr="00E05683">
        <w:rPr>
          <w:b w:val="0"/>
          <w:sz w:val="28"/>
          <w:szCs w:val="28"/>
        </w:rPr>
        <w:t xml:space="preserve"> </w:t>
      </w:r>
      <w:proofErr w:type="spellStart"/>
      <w:r w:rsidRPr="00E05683">
        <w:rPr>
          <w:b w:val="0"/>
          <w:sz w:val="28"/>
          <w:szCs w:val="28"/>
        </w:rPr>
        <w:t>atbalstu</w:t>
      </w:r>
      <w:proofErr w:type="spellEnd"/>
      <w:r w:rsidRPr="00E05683">
        <w:rPr>
          <w:b w:val="0"/>
          <w:sz w:val="28"/>
          <w:szCs w:val="28"/>
        </w:rPr>
        <w:t xml:space="preserve"> </w:t>
      </w:r>
      <w:proofErr w:type="spellStart"/>
      <w:r w:rsidRPr="00E05683">
        <w:rPr>
          <w:b w:val="0"/>
          <w:sz w:val="28"/>
          <w:szCs w:val="28"/>
        </w:rPr>
        <w:t>viņu</w:t>
      </w:r>
      <w:proofErr w:type="spellEnd"/>
      <w:r w:rsidRPr="00E05683">
        <w:rPr>
          <w:b w:val="0"/>
          <w:sz w:val="28"/>
          <w:szCs w:val="28"/>
        </w:rPr>
        <w:t xml:space="preserve"> </w:t>
      </w:r>
      <w:proofErr w:type="spellStart"/>
      <w:r w:rsidRPr="00E05683">
        <w:rPr>
          <w:b w:val="0"/>
          <w:sz w:val="28"/>
          <w:szCs w:val="28"/>
        </w:rPr>
        <w:t>dzīvēs</w:t>
      </w:r>
      <w:proofErr w:type="spellEnd"/>
      <w:r w:rsidRPr="00E05683">
        <w:rPr>
          <w:b w:val="0"/>
          <w:sz w:val="28"/>
          <w:szCs w:val="28"/>
        </w:rPr>
        <w:t xml:space="preserve">. </w:t>
      </w:r>
      <w:proofErr w:type="spellStart"/>
      <w:r w:rsidRPr="00E05683">
        <w:rPr>
          <w:b w:val="0"/>
          <w:sz w:val="28"/>
          <w:szCs w:val="28"/>
        </w:rPr>
        <w:t>Kampaņas</w:t>
      </w:r>
      <w:proofErr w:type="spellEnd"/>
      <w:r w:rsidRPr="00E05683">
        <w:rPr>
          <w:b w:val="0"/>
          <w:sz w:val="28"/>
          <w:szCs w:val="28"/>
        </w:rPr>
        <w:t xml:space="preserve"> </w:t>
      </w:r>
      <w:proofErr w:type="spellStart"/>
      <w:r w:rsidRPr="00E05683">
        <w:rPr>
          <w:b w:val="0"/>
          <w:sz w:val="28"/>
          <w:szCs w:val="28"/>
        </w:rPr>
        <w:t>ietvaros</w:t>
      </w:r>
      <w:proofErr w:type="spellEnd"/>
      <w:r w:rsidRPr="00E05683">
        <w:rPr>
          <w:b w:val="0"/>
          <w:sz w:val="28"/>
          <w:szCs w:val="28"/>
        </w:rPr>
        <w:t xml:space="preserve"> </w:t>
      </w:r>
      <w:proofErr w:type="spellStart"/>
      <w:r w:rsidRPr="00E05683">
        <w:rPr>
          <w:b w:val="0"/>
          <w:sz w:val="28"/>
          <w:szCs w:val="28"/>
        </w:rPr>
        <w:t>notika</w:t>
      </w:r>
      <w:proofErr w:type="spellEnd"/>
      <w:r w:rsidRPr="00E05683">
        <w:rPr>
          <w:b w:val="0"/>
          <w:sz w:val="28"/>
          <w:szCs w:val="28"/>
        </w:rPr>
        <w:t xml:space="preserve"> </w:t>
      </w:r>
      <w:proofErr w:type="spellStart"/>
      <w:r w:rsidRPr="00E05683">
        <w:rPr>
          <w:b w:val="0"/>
          <w:sz w:val="28"/>
          <w:szCs w:val="28"/>
        </w:rPr>
        <w:t>regulāra</w:t>
      </w:r>
      <w:proofErr w:type="spellEnd"/>
      <w:r w:rsidRPr="00E05683">
        <w:rPr>
          <w:b w:val="0"/>
          <w:sz w:val="28"/>
          <w:szCs w:val="28"/>
        </w:rPr>
        <w:t xml:space="preserve"> </w:t>
      </w:r>
      <w:proofErr w:type="spellStart"/>
      <w:r w:rsidRPr="00E05683">
        <w:rPr>
          <w:b w:val="0"/>
          <w:sz w:val="28"/>
          <w:szCs w:val="28"/>
        </w:rPr>
        <w:t>komunikācija</w:t>
      </w:r>
      <w:proofErr w:type="spellEnd"/>
      <w:r w:rsidRPr="00E05683">
        <w:rPr>
          <w:b w:val="0"/>
          <w:sz w:val="28"/>
          <w:szCs w:val="28"/>
        </w:rPr>
        <w:t xml:space="preserve"> </w:t>
      </w:r>
      <w:proofErr w:type="spellStart"/>
      <w:r w:rsidRPr="00E05683">
        <w:rPr>
          <w:b w:val="0"/>
          <w:sz w:val="28"/>
          <w:szCs w:val="28"/>
        </w:rPr>
        <w:t>sociālajos</w:t>
      </w:r>
      <w:proofErr w:type="spellEnd"/>
      <w:r w:rsidRPr="00E05683">
        <w:rPr>
          <w:b w:val="0"/>
          <w:sz w:val="28"/>
          <w:szCs w:val="28"/>
        </w:rPr>
        <w:t xml:space="preserve"> </w:t>
      </w:r>
      <w:proofErr w:type="spellStart"/>
      <w:r w:rsidRPr="00E05683">
        <w:rPr>
          <w:b w:val="0"/>
          <w:sz w:val="28"/>
          <w:szCs w:val="28"/>
        </w:rPr>
        <w:t>medi</w:t>
      </w:r>
      <w:r>
        <w:rPr>
          <w:b w:val="0"/>
          <w:sz w:val="28"/>
          <w:szCs w:val="28"/>
        </w:rPr>
        <w:t>jos</w:t>
      </w:r>
      <w:proofErr w:type="spellEnd"/>
      <w:r>
        <w:rPr>
          <w:b w:val="0"/>
          <w:sz w:val="28"/>
          <w:szCs w:val="28"/>
        </w:rPr>
        <w:t xml:space="preserve">. EK </w:t>
      </w:r>
      <w:proofErr w:type="spellStart"/>
      <w:r>
        <w:rPr>
          <w:b w:val="0"/>
          <w:sz w:val="28"/>
          <w:szCs w:val="28"/>
        </w:rPr>
        <w:t>vadīta</w:t>
      </w:r>
      <w:r w:rsidRPr="00E05683">
        <w:rPr>
          <w:b w:val="0"/>
          <w:sz w:val="28"/>
          <w:szCs w:val="28"/>
        </w:rPr>
        <w:t>jā</w:t>
      </w:r>
      <w:proofErr w:type="spellEnd"/>
      <w:r w:rsidRPr="00E05683">
        <w:rPr>
          <w:b w:val="0"/>
          <w:sz w:val="28"/>
          <w:szCs w:val="28"/>
        </w:rPr>
        <w:t xml:space="preserve"> </w:t>
      </w:r>
      <w:proofErr w:type="spellStart"/>
      <w:r w:rsidRPr="00E05683">
        <w:rPr>
          <w:b w:val="0"/>
          <w:sz w:val="28"/>
          <w:szCs w:val="28"/>
        </w:rPr>
        <w:t>komunikatoru</w:t>
      </w:r>
      <w:proofErr w:type="spellEnd"/>
      <w:r w:rsidRPr="00E05683">
        <w:rPr>
          <w:b w:val="0"/>
          <w:sz w:val="28"/>
          <w:szCs w:val="28"/>
        </w:rPr>
        <w:t xml:space="preserve"> </w:t>
      </w:r>
      <w:proofErr w:type="spellStart"/>
      <w:r w:rsidRPr="00E05683">
        <w:rPr>
          <w:b w:val="0"/>
          <w:sz w:val="28"/>
          <w:szCs w:val="28"/>
        </w:rPr>
        <w:t>darba</w:t>
      </w:r>
      <w:proofErr w:type="spellEnd"/>
      <w:r w:rsidRPr="00E05683">
        <w:rPr>
          <w:b w:val="0"/>
          <w:sz w:val="28"/>
          <w:szCs w:val="28"/>
        </w:rPr>
        <w:t xml:space="preserve"> </w:t>
      </w:r>
      <w:proofErr w:type="spellStart"/>
      <w:r w:rsidRPr="00E05683">
        <w:rPr>
          <w:b w:val="0"/>
          <w:sz w:val="28"/>
          <w:szCs w:val="28"/>
        </w:rPr>
        <w:t>grupā</w:t>
      </w:r>
      <w:proofErr w:type="spellEnd"/>
      <w:r w:rsidRPr="00E05683">
        <w:rPr>
          <w:b w:val="0"/>
          <w:sz w:val="28"/>
          <w:szCs w:val="28"/>
        </w:rPr>
        <w:t xml:space="preserve">, </w:t>
      </w:r>
      <w:proofErr w:type="spellStart"/>
      <w:r w:rsidRPr="00E05683">
        <w:rPr>
          <w:b w:val="0"/>
          <w:sz w:val="28"/>
          <w:szCs w:val="28"/>
        </w:rPr>
        <w:t>Latvijas</w:t>
      </w:r>
      <w:proofErr w:type="spellEnd"/>
      <w:r w:rsidRPr="00E05683">
        <w:rPr>
          <w:b w:val="0"/>
          <w:sz w:val="28"/>
          <w:szCs w:val="28"/>
        </w:rPr>
        <w:t xml:space="preserve"> </w:t>
      </w:r>
      <w:proofErr w:type="spellStart"/>
      <w:r w:rsidRPr="00E05683">
        <w:rPr>
          <w:b w:val="0"/>
          <w:sz w:val="28"/>
          <w:szCs w:val="28"/>
        </w:rPr>
        <w:t>realizētā</w:t>
      </w:r>
      <w:proofErr w:type="spellEnd"/>
      <w:r w:rsidRPr="00E05683">
        <w:rPr>
          <w:b w:val="0"/>
          <w:sz w:val="28"/>
          <w:szCs w:val="28"/>
        </w:rPr>
        <w:t xml:space="preserve"> ESF</w:t>
      </w:r>
      <w:r w:rsidR="00921D77">
        <w:rPr>
          <w:b w:val="0"/>
          <w:sz w:val="28"/>
          <w:szCs w:val="28"/>
        </w:rPr>
        <w:t> </w:t>
      </w:r>
      <w:r w:rsidRPr="00E05683">
        <w:rPr>
          <w:b w:val="0"/>
          <w:sz w:val="28"/>
          <w:szCs w:val="28"/>
        </w:rPr>
        <w:t xml:space="preserve">60 </w:t>
      </w:r>
      <w:proofErr w:type="spellStart"/>
      <w:r w:rsidRPr="00E05683">
        <w:rPr>
          <w:b w:val="0"/>
          <w:sz w:val="28"/>
          <w:szCs w:val="28"/>
        </w:rPr>
        <w:t>kampaņa</w:t>
      </w:r>
      <w:proofErr w:type="spellEnd"/>
      <w:r w:rsidRPr="00E05683">
        <w:rPr>
          <w:b w:val="0"/>
          <w:sz w:val="28"/>
          <w:szCs w:val="28"/>
        </w:rPr>
        <w:t xml:space="preserve"> </w:t>
      </w:r>
      <w:proofErr w:type="spellStart"/>
      <w:r w:rsidRPr="00E05683">
        <w:rPr>
          <w:b w:val="0"/>
          <w:sz w:val="28"/>
          <w:szCs w:val="28"/>
        </w:rPr>
        <w:t>tika</w:t>
      </w:r>
      <w:proofErr w:type="spellEnd"/>
      <w:r w:rsidRPr="00E05683">
        <w:rPr>
          <w:b w:val="0"/>
          <w:sz w:val="28"/>
          <w:szCs w:val="28"/>
        </w:rPr>
        <w:t xml:space="preserve"> </w:t>
      </w:r>
      <w:proofErr w:type="spellStart"/>
      <w:r w:rsidRPr="00E05683">
        <w:rPr>
          <w:b w:val="0"/>
          <w:sz w:val="28"/>
          <w:szCs w:val="28"/>
        </w:rPr>
        <w:t>ļoti</w:t>
      </w:r>
      <w:proofErr w:type="spellEnd"/>
      <w:r w:rsidRPr="00E05683">
        <w:rPr>
          <w:b w:val="0"/>
          <w:sz w:val="28"/>
          <w:szCs w:val="28"/>
        </w:rPr>
        <w:t xml:space="preserve"> </w:t>
      </w:r>
      <w:proofErr w:type="spellStart"/>
      <w:r w:rsidRPr="00E05683">
        <w:rPr>
          <w:b w:val="0"/>
          <w:sz w:val="28"/>
          <w:szCs w:val="28"/>
        </w:rPr>
        <w:t>atzinīgi</w:t>
      </w:r>
      <w:proofErr w:type="spellEnd"/>
      <w:r w:rsidRPr="00E05683">
        <w:rPr>
          <w:b w:val="0"/>
          <w:sz w:val="28"/>
          <w:szCs w:val="28"/>
        </w:rPr>
        <w:t xml:space="preserve"> </w:t>
      </w:r>
      <w:proofErr w:type="spellStart"/>
      <w:r w:rsidRPr="00E05683">
        <w:rPr>
          <w:b w:val="0"/>
          <w:sz w:val="28"/>
          <w:szCs w:val="28"/>
        </w:rPr>
        <w:t>novērtēta</w:t>
      </w:r>
      <w:proofErr w:type="spellEnd"/>
      <w:r w:rsidRPr="00E05683">
        <w:rPr>
          <w:b w:val="0"/>
          <w:sz w:val="28"/>
          <w:szCs w:val="28"/>
        </w:rPr>
        <w:t xml:space="preserve">. </w:t>
      </w:r>
    </w:p>
    <w:p w14:paraId="2CFE41DE" w14:textId="2B5E0ED9" w:rsidR="00781C6C" w:rsidRPr="0020221E" w:rsidRDefault="00E05683" w:rsidP="0020221E">
      <w:pPr>
        <w:pStyle w:val="BodyText"/>
        <w:spacing w:line="240" w:lineRule="auto"/>
        <w:ind w:firstLine="720"/>
        <w:jc w:val="both"/>
        <w:rPr>
          <w:b w:val="0"/>
          <w:sz w:val="28"/>
          <w:szCs w:val="28"/>
        </w:rPr>
      </w:pPr>
      <w:r>
        <w:rPr>
          <w:b w:val="0"/>
          <w:sz w:val="28"/>
          <w:szCs w:val="28"/>
        </w:rPr>
        <w:lastRenderedPageBreak/>
        <w:t>2017. </w:t>
      </w:r>
      <w:proofErr w:type="spellStart"/>
      <w:proofErr w:type="gramStart"/>
      <w:r>
        <w:rPr>
          <w:b w:val="0"/>
          <w:sz w:val="28"/>
          <w:szCs w:val="28"/>
        </w:rPr>
        <w:t>gadā</w:t>
      </w:r>
      <w:proofErr w:type="spellEnd"/>
      <w:proofErr w:type="gramEnd"/>
      <w:r>
        <w:rPr>
          <w:b w:val="0"/>
          <w:sz w:val="28"/>
          <w:szCs w:val="28"/>
        </w:rPr>
        <w:t xml:space="preserve"> FM</w:t>
      </w:r>
      <w:r w:rsidRPr="00E05683">
        <w:rPr>
          <w:b w:val="0"/>
          <w:sz w:val="28"/>
          <w:szCs w:val="28"/>
        </w:rPr>
        <w:t xml:space="preserve"> </w:t>
      </w:r>
      <w:proofErr w:type="spellStart"/>
      <w:r w:rsidRPr="00E05683">
        <w:rPr>
          <w:b w:val="0"/>
          <w:sz w:val="28"/>
          <w:szCs w:val="28"/>
        </w:rPr>
        <w:t>sadarbībā</w:t>
      </w:r>
      <w:proofErr w:type="spellEnd"/>
      <w:r w:rsidRPr="00E05683">
        <w:rPr>
          <w:b w:val="0"/>
          <w:sz w:val="28"/>
          <w:szCs w:val="28"/>
        </w:rPr>
        <w:t xml:space="preserve"> </w:t>
      </w:r>
      <w:proofErr w:type="spellStart"/>
      <w:r w:rsidRPr="00E05683">
        <w:rPr>
          <w:b w:val="0"/>
          <w:sz w:val="28"/>
          <w:szCs w:val="28"/>
        </w:rPr>
        <w:t>ar</w:t>
      </w:r>
      <w:proofErr w:type="spellEnd"/>
      <w:r w:rsidRPr="00E05683">
        <w:rPr>
          <w:b w:val="0"/>
          <w:sz w:val="28"/>
          <w:szCs w:val="28"/>
        </w:rPr>
        <w:t xml:space="preserve"> </w:t>
      </w:r>
      <w:proofErr w:type="spellStart"/>
      <w:r w:rsidRPr="00E05683">
        <w:rPr>
          <w:b w:val="0"/>
          <w:sz w:val="28"/>
          <w:szCs w:val="28"/>
        </w:rPr>
        <w:t>Programmu</w:t>
      </w:r>
      <w:proofErr w:type="spellEnd"/>
      <w:r w:rsidRPr="00E05683">
        <w:rPr>
          <w:b w:val="0"/>
          <w:sz w:val="28"/>
          <w:szCs w:val="28"/>
        </w:rPr>
        <w:t xml:space="preserve"> </w:t>
      </w:r>
      <w:proofErr w:type="spellStart"/>
      <w:r w:rsidRPr="00E05683">
        <w:rPr>
          <w:b w:val="0"/>
          <w:sz w:val="28"/>
          <w:szCs w:val="28"/>
        </w:rPr>
        <w:t>apsaimniekotājiem</w:t>
      </w:r>
      <w:proofErr w:type="spellEnd"/>
      <w:r w:rsidRPr="00E05683">
        <w:rPr>
          <w:b w:val="0"/>
          <w:sz w:val="28"/>
          <w:szCs w:val="28"/>
        </w:rPr>
        <w:t xml:space="preserve"> </w:t>
      </w:r>
      <w:proofErr w:type="spellStart"/>
      <w:r w:rsidRPr="00E05683">
        <w:rPr>
          <w:b w:val="0"/>
          <w:sz w:val="28"/>
          <w:szCs w:val="28"/>
        </w:rPr>
        <w:t>organizēja</w:t>
      </w:r>
      <w:proofErr w:type="spellEnd"/>
      <w:r w:rsidRPr="00E05683">
        <w:rPr>
          <w:b w:val="0"/>
          <w:sz w:val="28"/>
          <w:szCs w:val="28"/>
        </w:rPr>
        <w:t xml:space="preserve"> EEZ/</w:t>
      </w:r>
      <w:proofErr w:type="spellStart"/>
      <w:r w:rsidRPr="00E05683">
        <w:rPr>
          <w:b w:val="0"/>
          <w:sz w:val="28"/>
          <w:szCs w:val="28"/>
        </w:rPr>
        <w:t>No</w:t>
      </w:r>
      <w:r>
        <w:rPr>
          <w:b w:val="0"/>
          <w:sz w:val="28"/>
          <w:szCs w:val="28"/>
        </w:rPr>
        <w:t>rvēģijas</w:t>
      </w:r>
      <w:proofErr w:type="spellEnd"/>
      <w:r>
        <w:rPr>
          <w:b w:val="0"/>
          <w:sz w:val="28"/>
          <w:szCs w:val="28"/>
        </w:rPr>
        <w:t xml:space="preserve"> </w:t>
      </w:r>
      <w:proofErr w:type="spellStart"/>
      <w:r>
        <w:rPr>
          <w:b w:val="0"/>
          <w:sz w:val="28"/>
          <w:szCs w:val="28"/>
        </w:rPr>
        <w:t>finanšu</w:t>
      </w:r>
      <w:proofErr w:type="spellEnd"/>
      <w:r>
        <w:rPr>
          <w:b w:val="0"/>
          <w:sz w:val="28"/>
          <w:szCs w:val="28"/>
        </w:rPr>
        <w:t xml:space="preserve"> </w:t>
      </w:r>
      <w:proofErr w:type="spellStart"/>
      <w:r>
        <w:rPr>
          <w:b w:val="0"/>
          <w:sz w:val="28"/>
          <w:szCs w:val="28"/>
        </w:rPr>
        <w:t>instrumentu</w:t>
      </w:r>
      <w:proofErr w:type="spellEnd"/>
      <w:r>
        <w:rPr>
          <w:b w:val="0"/>
          <w:sz w:val="28"/>
          <w:szCs w:val="28"/>
        </w:rPr>
        <w:t xml:space="preserve"> 200</w:t>
      </w:r>
      <w:r w:rsidRPr="00E05683">
        <w:rPr>
          <w:b w:val="0"/>
          <w:sz w:val="28"/>
          <w:szCs w:val="28"/>
        </w:rPr>
        <w:t>9.</w:t>
      </w:r>
      <w:r>
        <w:rPr>
          <w:b w:val="0"/>
          <w:sz w:val="28"/>
          <w:szCs w:val="28"/>
        </w:rPr>
        <w:t> – </w:t>
      </w:r>
      <w:r w:rsidRPr="00E05683">
        <w:rPr>
          <w:b w:val="0"/>
          <w:sz w:val="28"/>
          <w:szCs w:val="28"/>
        </w:rPr>
        <w:t>2014.</w:t>
      </w:r>
      <w:r>
        <w:rPr>
          <w:b w:val="0"/>
          <w:sz w:val="28"/>
          <w:szCs w:val="28"/>
        </w:rPr>
        <w:t> </w:t>
      </w:r>
      <w:proofErr w:type="spellStart"/>
      <w:proofErr w:type="gramStart"/>
      <w:r w:rsidRPr="00E05683">
        <w:rPr>
          <w:b w:val="0"/>
          <w:sz w:val="28"/>
          <w:szCs w:val="28"/>
        </w:rPr>
        <w:t>gada</w:t>
      </w:r>
      <w:proofErr w:type="spellEnd"/>
      <w:proofErr w:type="gramEnd"/>
      <w:r w:rsidRPr="00E05683">
        <w:rPr>
          <w:b w:val="0"/>
          <w:sz w:val="28"/>
          <w:szCs w:val="28"/>
        </w:rPr>
        <w:t xml:space="preserve"> </w:t>
      </w:r>
      <w:proofErr w:type="spellStart"/>
      <w:r w:rsidRPr="00E05683">
        <w:rPr>
          <w:b w:val="0"/>
          <w:sz w:val="28"/>
          <w:szCs w:val="28"/>
        </w:rPr>
        <w:t>perioda</w:t>
      </w:r>
      <w:proofErr w:type="spellEnd"/>
      <w:r w:rsidRPr="00E05683">
        <w:rPr>
          <w:b w:val="0"/>
          <w:sz w:val="28"/>
          <w:szCs w:val="28"/>
        </w:rPr>
        <w:t xml:space="preserve"> </w:t>
      </w:r>
      <w:proofErr w:type="spellStart"/>
      <w:r w:rsidRPr="00E05683">
        <w:rPr>
          <w:b w:val="0"/>
          <w:sz w:val="28"/>
          <w:szCs w:val="28"/>
        </w:rPr>
        <w:t>noslēguma</w:t>
      </w:r>
      <w:proofErr w:type="spellEnd"/>
      <w:r w:rsidRPr="00E05683">
        <w:rPr>
          <w:b w:val="0"/>
          <w:sz w:val="28"/>
          <w:szCs w:val="28"/>
        </w:rPr>
        <w:t xml:space="preserve"> </w:t>
      </w:r>
      <w:proofErr w:type="spellStart"/>
      <w:r w:rsidRPr="00E05683">
        <w:rPr>
          <w:b w:val="0"/>
          <w:sz w:val="28"/>
          <w:szCs w:val="28"/>
        </w:rPr>
        <w:t>divu</w:t>
      </w:r>
      <w:proofErr w:type="spellEnd"/>
      <w:r w:rsidRPr="00E05683">
        <w:rPr>
          <w:b w:val="0"/>
          <w:sz w:val="28"/>
          <w:szCs w:val="28"/>
        </w:rPr>
        <w:t xml:space="preserve"> </w:t>
      </w:r>
      <w:proofErr w:type="spellStart"/>
      <w:r w:rsidRPr="00E05683">
        <w:rPr>
          <w:b w:val="0"/>
          <w:sz w:val="28"/>
          <w:szCs w:val="28"/>
        </w:rPr>
        <w:t>dienu</w:t>
      </w:r>
      <w:proofErr w:type="spellEnd"/>
      <w:r w:rsidRPr="00E05683">
        <w:rPr>
          <w:b w:val="0"/>
          <w:sz w:val="28"/>
          <w:szCs w:val="28"/>
        </w:rPr>
        <w:t xml:space="preserve"> </w:t>
      </w:r>
      <w:proofErr w:type="spellStart"/>
      <w:r w:rsidRPr="00E05683">
        <w:rPr>
          <w:b w:val="0"/>
          <w:sz w:val="28"/>
          <w:szCs w:val="28"/>
        </w:rPr>
        <w:t>pasākumu</w:t>
      </w:r>
      <w:proofErr w:type="spellEnd"/>
      <w:r w:rsidRPr="00E05683">
        <w:rPr>
          <w:b w:val="0"/>
          <w:sz w:val="28"/>
          <w:szCs w:val="28"/>
        </w:rPr>
        <w:t xml:space="preserve"> </w:t>
      </w:r>
      <w:proofErr w:type="spellStart"/>
      <w:r w:rsidRPr="00E05683">
        <w:rPr>
          <w:b w:val="0"/>
          <w:sz w:val="28"/>
          <w:szCs w:val="28"/>
        </w:rPr>
        <w:t>Cēsīs</w:t>
      </w:r>
      <w:proofErr w:type="spellEnd"/>
      <w:r w:rsidRPr="00E05683">
        <w:rPr>
          <w:b w:val="0"/>
          <w:sz w:val="28"/>
          <w:szCs w:val="28"/>
        </w:rPr>
        <w:t xml:space="preserve"> </w:t>
      </w:r>
      <w:proofErr w:type="spellStart"/>
      <w:r w:rsidRPr="00E05683">
        <w:rPr>
          <w:b w:val="0"/>
          <w:sz w:val="28"/>
          <w:szCs w:val="28"/>
        </w:rPr>
        <w:t>sarunu</w:t>
      </w:r>
      <w:proofErr w:type="spellEnd"/>
      <w:r w:rsidRPr="00E05683">
        <w:rPr>
          <w:b w:val="0"/>
          <w:sz w:val="28"/>
          <w:szCs w:val="28"/>
        </w:rPr>
        <w:t xml:space="preserve"> </w:t>
      </w:r>
      <w:proofErr w:type="spellStart"/>
      <w:r w:rsidRPr="00E05683">
        <w:rPr>
          <w:b w:val="0"/>
          <w:sz w:val="28"/>
          <w:szCs w:val="28"/>
        </w:rPr>
        <w:t>festivāla</w:t>
      </w:r>
      <w:proofErr w:type="spellEnd"/>
      <w:r w:rsidRPr="00E05683">
        <w:rPr>
          <w:b w:val="0"/>
          <w:sz w:val="28"/>
          <w:szCs w:val="28"/>
        </w:rPr>
        <w:t xml:space="preserve"> “LAMPA” </w:t>
      </w:r>
      <w:proofErr w:type="spellStart"/>
      <w:r w:rsidRPr="00E05683">
        <w:rPr>
          <w:b w:val="0"/>
          <w:sz w:val="28"/>
          <w:szCs w:val="28"/>
        </w:rPr>
        <w:t>ietvaros</w:t>
      </w:r>
      <w:proofErr w:type="spellEnd"/>
      <w:r w:rsidRPr="00E05683">
        <w:rPr>
          <w:b w:val="0"/>
          <w:sz w:val="28"/>
          <w:szCs w:val="28"/>
        </w:rPr>
        <w:t xml:space="preserve"> (</w:t>
      </w:r>
      <w:proofErr w:type="spellStart"/>
      <w:r w:rsidRPr="00E05683">
        <w:rPr>
          <w:b w:val="0"/>
          <w:sz w:val="28"/>
          <w:szCs w:val="28"/>
        </w:rPr>
        <w:t>veidojot</w:t>
      </w:r>
      <w:proofErr w:type="spellEnd"/>
      <w:r w:rsidRPr="00E05683">
        <w:rPr>
          <w:b w:val="0"/>
          <w:sz w:val="28"/>
          <w:szCs w:val="28"/>
        </w:rPr>
        <w:t xml:space="preserve"> </w:t>
      </w:r>
      <w:proofErr w:type="spellStart"/>
      <w:r w:rsidRPr="00E05683">
        <w:rPr>
          <w:b w:val="0"/>
          <w:sz w:val="28"/>
          <w:szCs w:val="28"/>
        </w:rPr>
        <w:t>savu</w:t>
      </w:r>
      <w:proofErr w:type="spellEnd"/>
      <w:r w:rsidRPr="00E05683">
        <w:rPr>
          <w:b w:val="0"/>
          <w:sz w:val="28"/>
          <w:szCs w:val="28"/>
        </w:rPr>
        <w:t xml:space="preserve"> </w:t>
      </w:r>
      <w:proofErr w:type="spellStart"/>
      <w:r w:rsidRPr="00E05683">
        <w:rPr>
          <w:b w:val="0"/>
          <w:sz w:val="28"/>
          <w:szCs w:val="28"/>
        </w:rPr>
        <w:t>sarunu</w:t>
      </w:r>
      <w:proofErr w:type="spellEnd"/>
      <w:r w:rsidRPr="00E05683">
        <w:rPr>
          <w:b w:val="0"/>
          <w:sz w:val="28"/>
          <w:szCs w:val="28"/>
        </w:rPr>
        <w:t xml:space="preserve"> </w:t>
      </w:r>
      <w:proofErr w:type="spellStart"/>
      <w:r w:rsidRPr="00E05683">
        <w:rPr>
          <w:b w:val="0"/>
          <w:sz w:val="28"/>
          <w:szCs w:val="28"/>
        </w:rPr>
        <w:t>telti</w:t>
      </w:r>
      <w:proofErr w:type="spellEnd"/>
      <w:r w:rsidRPr="00E05683">
        <w:rPr>
          <w:b w:val="0"/>
          <w:sz w:val="28"/>
          <w:szCs w:val="28"/>
        </w:rPr>
        <w:t xml:space="preserve">). </w:t>
      </w:r>
      <w:proofErr w:type="spellStart"/>
      <w:r w:rsidRPr="00E05683">
        <w:rPr>
          <w:b w:val="0"/>
          <w:sz w:val="28"/>
          <w:szCs w:val="28"/>
        </w:rPr>
        <w:t>Pasākumā</w:t>
      </w:r>
      <w:proofErr w:type="spellEnd"/>
      <w:r w:rsidRPr="00E05683">
        <w:rPr>
          <w:b w:val="0"/>
          <w:sz w:val="28"/>
          <w:szCs w:val="28"/>
        </w:rPr>
        <w:t xml:space="preserve"> </w:t>
      </w:r>
      <w:proofErr w:type="spellStart"/>
      <w:r w:rsidRPr="00E05683">
        <w:rPr>
          <w:b w:val="0"/>
          <w:sz w:val="28"/>
          <w:szCs w:val="28"/>
        </w:rPr>
        <w:t>tika</w:t>
      </w:r>
      <w:proofErr w:type="spellEnd"/>
      <w:r w:rsidRPr="00E05683">
        <w:rPr>
          <w:b w:val="0"/>
          <w:sz w:val="28"/>
          <w:szCs w:val="28"/>
        </w:rPr>
        <w:t xml:space="preserve"> </w:t>
      </w:r>
      <w:proofErr w:type="spellStart"/>
      <w:r w:rsidRPr="00E05683">
        <w:rPr>
          <w:b w:val="0"/>
          <w:sz w:val="28"/>
          <w:szCs w:val="28"/>
        </w:rPr>
        <w:t>uzsvērts</w:t>
      </w:r>
      <w:proofErr w:type="spellEnd"/>
      <w:r w:rsidRPr="00E05683">
        <w:rPr>
          <w:b w:val="0"/>
          <w:sz w:val="28"/>
          <w:szCs w:val="28"/>
        </w:rPr>
        <w:t xml:space="preserve">, </w:t>
      </w:r>
      <w:proofErr w:type="spellStart"/>
      <w:r w:rsidRPr="00E05683">
        <w:rPr>
          <w:b w:val="0"/>
          <w:sz w:val="28"/>
          <w:szCs w:val="28"/>
        </w:rPr>
        <w:t>ka</w:t>
      </w:r>
      <w:proofErr w:type="spellEnd"/>
      <w:r w:rsidRPr="00E05683">
        <w:rPr>
          <w:b w:val="0"/>
          <w:sz w:val="28"/>
          <w:szCs w:val="28"/>
        </w:rPr>
        <w:t xml:space="preserve"> </w:t>
      </w:r>
      <w:proofErr w:type="spellStart"/>
      <w:r w:rsidRPr="00E05683">
        <w:rPr>
          <w:b w:val="0"/>
          <w:sz w:val="28"/>
          <w:szCs w:val="28"/>
        </w:rPr>
        <w:t>šis</w:t>
      </w:r>
      <w:proofErr w:type="spellEnd"/>
      <w:r w:rsidRPr="00E05683">
        <w:rPr>
          <w:b w:val="0"/>
          <w:sz w:val="28"/>
          <w:szCs w:val="28"/>
        </w:rPr>
        <w:t xml:space="preserve"> </w:t>
      </w:r>
      <w:proofErr w:type="spellStart"/>
      <w:r w:rsidRPr="00E05683">
        <w:rPr>
          <w:b w:val="0"/>
          <w:sz w:val="28"/>
          <w:szCs w:val="28"/>
        </w:rPr>
        <w:t>atbalsts</w:t>
      </w:r>
      <w:proofErr w:type="spellEnd"/>
      <w:r w:rsidRPr="00E05683">
        <w:rPr>
          <w:b w:val="0"/>
          <w:sz w:val="28"/>
          <w:szCs w:val="28"/>
        </w:rPr>
        <w:t xml:space="preserve"> </w:t>
      </w:r>
      <w:proofErr w:type="spellStart"/>
      <w:r w:rsidRPr="00E05683">
        <w:rPr>
          <w:b w:val="0"/>
          <w:sz w:val="28"/>
          <w:szCs w:val="28"/>
        </w:rPr>
        <w:t>Latvijā</w:t>
      </w:r>
      <w:proofErr w:type="spellEnd"/>
      <w:r w:rsidRPr="00E05683">
        <w:rPr>
          <w:b w:val="0"/>
          <w:sz w:val="28"/>
          <w:szCs w:val="28"/>
        </w:rPr>
        <w:t xml:space="preserve"> ne </w:t>
      </w:r>
      <w:proofErr w:type="spellStart"/>
      <w:r w:rsidRPr="00E05683">
        <w:rPr>
          <w:b w:val="0"/>
          <w:sz w:val="28"/>
          <w:szCs w:val="28"/>
        </w:rPr>
        <w:t>tikai</w:t>
      </w:r>
      <w:proofErr w:type="spellEnd"/>
      <w:r w:rsidRPr="00E05683">
        <w:rPr>
          <w:b w:val="0"/>
          <w:sz w:val="28"/>
          <w:szCs w:val="28"/>
        </w:rPr>
        <w:t xml:space="preserve"> </w:t>
      </w:r>
      <w:proofErr w:type="spellStart"/>
      <w:r w:rsidRPr="00E05683">
        <w:rPr>
          <w:b w:val="0"/>
          <w:sz w:val="28"/>
          <w:szCs w:val="28"/>
        </w:rPr>
        <w:t>sniedzis</w:t>
      </w:r>
      <w:proofErr w:type="spellEnd"/>
      <w:r w:rsidRPr="00E05683">
        <w:rPr>
          <w:b w:val="0"/>
          <w:sz w:val="28"/>
          <w:szCs w:val="28"/>
        </w:rPr>
        <w:t xml:space="preserve"> </w:t>
      </w:r>
      <w:proofErr w:type="spellStart"/>
      <w:r w:rsidRPr="00E05683">
        <w:rPr>
          <w:b w:val="0"/>
          <w:sz w:val="28"/>
          <w:szCs w:val="28"/>
        </w:rPr>
        <w:t>nozīmīgu</w:t>
      </w:r>
      <w:proofErr w:type="spellEnd"/>
      <w:r w:rsidRPr="00E05683">
        <w:rPr>
          <w:b w:val="0"/>
          <w:sz w:val="28"/>
          <w:szCs w:val="28"/>
        </w:rPr>
        <w:t xml:space="preserve"> </w:t>
      </w:r>
      <w:proofErr w:type="spellStart"/>
      <w:r w:rsidRPr="00E05683">
        <w:rPr>
          <w:b w:val="0"/>
          <w:sz w:val="28"/>
          <w:szCs w:val="28"/>
        </w:rPr>
        <w:t>ieguldījumu</w:t>
      </w:r>
      <w:proofErr w:type="spellEnd"/>
      <w:r w:rsidRPr="00E05683">
        <w:rPr>
          <w:b w:val="0"/>
          <w:sz w:val="28"/>
          <w:szCs w:val="28"/>
        </w:rPr>
        <w:t xml:space="preserve"> </w:t>
      </w:r>
      <w:proofErr w:type="spellStart"/>
      <w:r w:rsidRPr="00E05683">
        <w:rPr>
          <w:b w:val="0"/>
          <w:sz w:val="28"/>
          <w:szCs w:val="28"/>
        </w:rPr>
        <w:t>attīstībā</w:t>
      </w:r>
      <w:proofErr w:type="spellEnd"/>
      <w:r w:rsidRPr="00E05683">
        <w:rPr>
          <w:b w:val="0"/>
          <w:sz w:val="28"/>
          <w:szCs w:val="28"/>
        </w:rPr>
        <w:t xml:space="preserve">, bet </w:t>
      </w:r>
      <w:proofErr w:type="spellStart"/>
      <w:r w:rsidRPr="00E05683">
        <w:rPr>
          <w:b w:val="0"/>
          <w:sz w:val="28"/>
          <w:szCs w:val="28"/>
        </w:rPr>
        <w:t>arī</w:t>
      </w:r>
      <w:proofErr w:type="spellEnd"/>
      <w:r w:rsidRPr="00E05683">
        <w:rPr>
          <w:b w:val="0"/>
          <w:sz w:val="28"/>
          <w:szCs w:val="28"/>
        </w:rPr>
        <w:t xml:space="preserve"> </w:t>
      </w:r>
      <w:proofErr w:type="spellStart"/>
      <w:r w:rsidRPr="00E05683">
        <w:rPr>
          <w:b w:val="0"/>
          <w:sz w:val="28"/>
          <w:szCs w:val="28"/>
        </w:rPr>
        <w:t>licis</w:t>
      </w:r>
      <w:proofErr w:type="spellEnd"/>
      <w:r w:rsidRPr="00E05683">
        <w:rPr>
          <w:b w:val="0"/>
          <w:sz w:val="28"/>
          <w:szCs w:val="28"/>
        </w:rPr>
        <w:t xml:space="preserve"> mums </w:t>
      </w:r>
      <w:proofErr w:type="spellStart"/>
      <w:r w:rsidRPr="00E05683">
        <w:rPr>
          <w:b w:val="0"/>
          <w:sz w:val="28"/>
          <w:szCs w:val="28"/>
        </w:rPr>
        <w:t>mainīt</w:t>
      </w:r>
      <w:proofErr w:type="spellEnd"/>
      <w:r w:rsidRPr="00E05683">
        <w:rPr>
          <w:b w:val="0"/>
          <w:sz w:val="28"/>
          <w:szCs w:val="28"/>
        </w:rPr>
        <w:t xml:space="preserve"> </w:t>
      </w:r>
      <w:proofErr w:type="spellStart"/>
      <w:r w:rsidRPr="00E05683">
        <w:rPr>
          <w:b w:val="0"/>
          <w:sz w:val="28"/>
          <w:szCs w:val="28"/>
        </w:rPr>
        <w:t>vairākus</w:t>
      </w:r>
      <w:proofErr w:type="spellEnd"/>
      <w:r w:rsidRPr="00E05683">
        <w:rPr>
          <w:b w:val="0"/>
          <w:sz w:val="28"/>
          <w:szCs w:val="28"/>
        </w:rPr>
        <w:t xml:space="preserve"> </w:t>
      </w:r>
      <w:proofErr w:type="spellStart"/>
      <w:r w:rsidRPr="00E05683">
        <w:rPr>
          <w:b w:val="0"/>
          <w:sz w:val="28"/>
          <w:szCs w:val="28"/>
        </w:rPr>
        <w:t>iesīkstējušu</w:t>
      </w:r>
      <w:r w:rsidR="00376C9E">
        <w:rPr>
          <w:b w:val="0"/>
          <w:sz w:val="28"/>
          <w:szCs w:val="28"/>
        </w:rPr>
        <w:t>s</w:t>
      </w:r>
      <w:proofErr w:type="spellEnd"/>
      <w:r w:rsidRPr="00E05683">
        <w:rPr>
          <w:b w:val="0"/>
          <w:sz w:val="28"/>
          <w:szCs w:val="28"/>
        </w:rPr>
        <w:t xml:space="preserve"> </w:t>
      </w:r>
      <w:proofErr w:type="spellStart"/>
      <w:r w:rsidRPr="00E05683">
        <w:rPr>
          <w:b w:val="0"/>
          <w:sz w:val="28"/>
          <w:szCs w:val="28"/>
        </w:rPr>
        <w:t>priekštatus</w:t>
      </w:r>
      <w:proofErr w:type="spellEnd"/>
      <w:r w:rsidRPr="00E05683">
        <w:rPr>
          <w:b w:val="0"/>
          <w:sz w:val="28"/>
          <w:szCs w:val="28"/>
        </w:rPr>
        <w:t xml:space="preserve">. </w:t>
      </w:r>
      <w:proofErr w:type="spellStart"/>
      <w:r w:rsidRPr="00E05683">
        <w:rPr>
          <w:b w:val="0"/>
          <w:sz w:val="28"/>
          <w:szCs w:val="28"/>
        </w:rPr>
        <w:t>F</w:t>
      </w:r>
      <w:r>
        <w:rPr>
          <w:b w:val="0"/>
          <w:sz w:val="28"/>
          <w:szCs w:val="28"/>
        </w:rPr>
        <w:t>estivālu</w:t>
      </w:r>
      <w:proofErr w:type="spellEnd"/>
      <w:r>
        <w:rPr>
          <w:b w:val="0"/>
          <w:sz w:val="28"/>
          <w:szCs w:val="28"/>
        </w:rPr>
        <w:t xml:space="preserve"> </w:t>
      </w:r>
      <w:proofErr w:type="spellStart"/>
      <w:r>
        <w:rPr>
          <w:b w:val="0"/>
          <w:sz w:val="28"/>
          <w:szCs w:val="28"/>
        </w:rPr>
        <w:t>apmeklēja</w:t>
      </w:r>
      <w:proofErr w:type="spellEnd"/>
      <w:r>
        <w:rPr>
          <w:b w:val="0"/>
          <w:sz w:val="28"/>
          <w:szCs w:val="28"/>
        </w:rPr>
        <w:t xml:space="preserve"> </w:t>
      </w:r>
      <w:proofErr w:type="spellStart"/>
      <w:r>
        <w:rPr>
          <w:b w:val="0"/>
          <w:sz w:val="28"/>
          <w:szCs w:val="28"/>
        </w:rPr>
        <w:t>vairāk</w:t>
      </w:r>
      <w:proofErr w:type="spellEnd"/>
      <w:r>
        <w:rPr>
          <w:b w:val="0"/>
          <w:sz w:val="28"/>
          <w:szCs w:val="28"/>
        </w:rPr>
        <w:t xml:space="preserve"> </w:t>
      </w:r>
      <w:proofErr w:type="spellStart"/>
      <w:r>
        <w:rPr>
          <w:b w:val="0"/>
          <w:sz w:val="28"/>
          <w:szCs w:val="28"/>
        </w:rPr>
        <w:t>kā</w:t>
      </w:r>
      <w:proofErr w:type="spellEnd"/>
      <w:r>
        <w:rPr>
          <w:b w:val="0"/>
          <w:sz w:val="28"/>
          <w:szCs w:val="28"/>
        </w:rPr>
        <w:t xml:space="preserve"> 10 </w:t>
      </w:r>
      <w:r w:rsidRPr="00E05683">
        <w:rPr>
          <w:b w:val="0"/>
          <w:sz w:val="28"/>
          <w:szCs w:val="28"/>
        </w:rPr>
        <w:t xml:space="preserve">000 </w:t>
      </w:r>
      <w:proofErr w:type="spellStart"/>
      <w:r w:rsidRPr="00E05683">
        <w:rPr>
          <w:b w:val="0"/>
          <w:sz w:val="28"/>
          <w:szCs w:val="28"/>
        </w:rPr>
        <w:t>dalībnieku</w:t>
      </w:r>
      <w:proofErr w:type="spellEnd"/>
      <w:r w:rsidRPr="00E05683">
        <w:rPr>
          <w:b w:val="0"/>
          <w:sz w:val="28"/>
          <w:szCs w:val="28"/>
        </w:rPr>
        <w:t xml:space="preserve">, </w:t>
      </w:r>
      <w:proofErr w:type="spellStart"/>
      <w:r w:rsidRPr="00E05683">
        <w:rPr>
          <w:b w:val="0"/>
          <w:sz w:val="28"/>
          <w:szCs w:val="28"/>
        </w:rPr>
        <w:t>kas</w:t>
      </w:r>
      <w:proofErr w:type="spellEnd"/>
      <w:r w:rsidRPr="00E05683">
        <w:rPr>
          <w:b w:val="0"/>
          <w:sz w:val="28"/>
          <w:szCs w:val="28"/>
        </w:rPr>
        <w:t xml:space="preserve"> </w:t>
      </w:r>
      <w:proofErr w:type="spellStart"/>
      <w:r w:rsidRPr="00E05683">
        <w:rPr>
          <w:b w:val="0"/>
          <w:sz w:val="28"/>
          <w:szCs w:val="28"/>
        </w:rPr>
        <w:t>sniedza</w:t>
      </w:r>
      <w:proofErr w:type="spellEnd"/>
      <w:r w:rsidRPr="00E05683">
        <w:rPr>
          <w:b w:val="0"/>
          <w:sz w:val="28"/>
          <w:szCs w:val="28"/>
        </w:rPr>
        <w:t xml:space="preserve"> </w:t>
      </w:r>
      <w:proofErr w:type="spellStart"/>
      <w:r w:rsidRPr="00E05683">
        <w:rPr>
          <w:b w:val="0"/>
          <w:sz w:val="28"/>
          <w:szCs w:val="28"/>
        </w:rPr>
        <w:t>lielisku</w:t>
      </w:r>
      <w:proofErr w:type="spellEnd"/>
      <w:r w:rsidRPr="00E05683">
        <w:rPr>
          <w:b w:val="0"/>
          <w:sz w:val="28"/>
          <w:szCs w:val="28"/>
        </w:rPr>
        <w:t xml:space="preserve"> </w:t>
      </w:r>
      <w:proofErr w:type="spellStart"/>
      <w:r w:rsidRPr="00E05683">
        <w:rPr>
          <w:b w:val="0"/>
          <w:sz w:val="28"/>
          <w:szCs w:val="28"/>
        </w:rPr>
        <w:t>iespēju</w:t>
      </w:r>
      <w:proofErr w:type="spellEnd"/>
      <w:r w:rsidRPr="00E05683">
        <w:rPr>
          <w:b w:val="0"/>
          <w:sz w:val="28"/>
          <w:szCs w:val="28"/>
        </w:rPr>
        <w:t xml:space="preserve"> </w:t>
      </w:r>
      <w:proofErr w:type="spellStart"/>
      <w:r w:rsidRPr="00E05683">
        <w:rPr>
          <w:b w:val="0"/>
          <w:sz w:val="28"/>
          <w:szCs w:val="28"/>
        </w:rPr>
        <w:t>rezultātus</w:t>
      </w:r>
      <w:proofErr w:type="spellEnd"/>
      <w:r w:rsidRPr="00E05683">
        <w:rPr>
          <w:b w:val="0"/>
          <w:sz w:val="28"/>
          <w:szCs w:val="28"/>
        </w:rPr>
        <w:t xml:space="preserve"> </w:t>
      </w:r>
      <w:proofErr w:type="spellStart"/>
      <w:r w:rsidRPr="00E05683">
        <w:rPr>
          <w:b w:val="0"/>
          <w:sz w:val="28"/>
          <w:szCs w:val="28"/>
        </w:rPr>
        <w:t>prezentēt</w:t>
      </w:r>
      <w:proofErr w:type="spellEnd"/>
      <w:r w:rsidRPr="00E05683">
        <w:rPr>
          <w:b w:val="0"/>
          <w:sz w:val="28"/>
          <w:szCs w:val="28"/>
        </w:rPr>
        <w:t xml:space="preserve"> </w:t>
      </w:r>
      <w:proofErr w:type="spellStart"/>
      <w:r w:rsidRPr="00E05683">
        <w:rPr>
          <w:b w:val="0"/>
          <w:sz w:val="28"/>
          <w:szCs w:val="28"/>
        </w:rPr>
        <w:t>interaktīvā</w:t>
      </w:r>
      <w:proofErr w:type="spellEnd"/>
      <w:r w:rsidRPr="00E05683">
        <w:rPr>
          <w:b w:val="0"/>
          <w:sz w:val="28"/>
          <w:szCs w:val="28"/>
        </w:rPr>
        <w:t xml:space="preserve"> </w:t>
      </w:r>
      <w:proofErr w:type="spellStart"/>
      <w:r w:rsidRPr="00E05683">
        <w:rPr>
          <w:b w:val="0"/>
          <w:sz w:val="28"/>
          <w:szCs w:val="28"/>
        </w:rPr>
        <w:t>veidā</w:t>
      </w:r>
      <w:proofErr w:type="spellEnd"/>
      <w:r w:rsidRPr="00E05683">
        <w:rPr>
          <w:b w:val="0"/>
          <w:sz w:val="28"/>
          <w:szCs w:val="28"/>
        </w:rPr>
        <w:t xml:space="preserve"> </w:t>
      </w:r>
      <w:proofErr w:type="spellStart"/>
      <w:r w:rsidRPr="00E05683">
        <w:rPr>
          <w:b w:val="0"/>
          <w:sz w:val="28"/>
          <w:szCs w:val="28"/>
        </w:rPr>
        <w:t>plašākai</w:t>
      </w:r>
      <w:proofErr w:type="spellEnd"/>
      <w:r w:rsidRPr="00E05683">
        <w:rPr>
          <w:b w:val="0"/>
          <w:sz w:val="28"/>
          <w:szCs w:val="28"/>
        </w:rPr>
        <w:t xml:space="preserve"> </w:t>
      </w:r>
      <w:proofErr w:type="spellStart"/>
      <w:r w:rsidRPr="00E05683">
        <w:rPr>
          <w:b w:val="0"/>
          <w:sz w:val="28"/>
          <w:szCs w:val="28"/>
        </w:rPr>
        <w:t>sabiedrībai</w:t>
      </w:r>
      <w:proofErr w:type="spellEnd"/>
      <w:r w:rsidRPr="00E05683">
        <w:rPr>
          <w:b w:val="0"/>
          <w:sz w:val="28"/>
          <w:szCs w:val="28"/>
        </w:rPr>
        <w:t xml:space="preserve"> </w:t>
      </w:r>
      <w:proofErr w:type="gramStart"/>
      <w:r w:rsidRPr="00E05683">
        <w:rPr>
          <w:b w:val="0"/>
          <w:sz w:val="28"/>
          <w:szCs w:val="28"/>
        </w:rPr>
        <w:t>un</w:t>
      </w:r>
      <w:proofErr w:type="gramEnd"/>
      <w:r w:rsidRPr="00E05683">
        <w:rPr>
          <w:b w:val="0"/>
          <w:sz w:val="28"/>
          <w:szCs w:val="28"/>
        </w:rPr>
        <w:t xml:space="preserve"> </w:t>
      </w:r>
      <w:proofErr w:type="spellStart"/>
      <w:r w:rsidRPr="00E05683">
        <w:rPr>
          <w:b w:val="0"/>
          <w:sz w:val="28"/>
          <w:szCs w:val="28"/>
        </w:rPr>
        <w:t>uzrunāt</w:t>
      </w:r>
      <w:proofErr w:type="spellEnd"/>
      <w:r w:rsidRPr="00E05683">
        <w:rPr>
          <w:b w:val="0"/>
          <w:sz w:val="28"/>
          <w:szCs w:val="28"/>
        </w:rPr>
        <w:t xml:space="preserve"> </w:t>
      </w:r>
      <w:proofErr w:type="spellStart"/>
      <w:r w:rsidRPr="00E05683">
        <w:rPr>
          <w:b w:val="0"/>
          <w:sz w:val="28"/>
          <w:szCs w:val="28"/>
        </w:rPr>
        <w:t>tieši</w:t>
      </w:r>
      <w:proofErr w:type="spellEnd"/>
      <w:r w:rsidRPr="00E05683">
        <w:rPr>
          <w:b w:val="0"/>
          <w:sz w:val="28"/>
          <w:szCs w:val="28"/>
        </w:rPr>
        <w:t xml:space="preserve"> </w:t>
      </w:r>
      <w:proofErr w:type="spellStart"/>
      <w:r w:rsidRPr="00E05683">
        <w:rPr>
          <w:b w:val="0"/>
          <w:sz w:val="28"/>
          <w:szCs w:val="28"/>
        </w:rPr>
        <w:t>tās</w:t>
      </w:r>
      <w:proofErr w:type="spellEnd"/>
      <w:r w:rsidRPr="00E05683">
        <w:rPr>
          <w:b w:val="0"/>
          <w:sz w:val="28"/>
          <w:szCs w:val="28"/>
        </w:rPr>
        <w:t xml:space="preserve"> </w:t>
      </w:r>
      <w:proofErr w:type="spellStart"/>
      <w:r w:rsidRPr="00E05683">
        <w:rPr>
          <w:b w:val="0"/>
          <w:sz w:val="28"/>
          <w:szCs w:val="28"/>
        </w:rPr>
        <w:t>mērķa</w:t>
      </w:r>
      <w:proofErr w:type="spellEnd"/>
      <w:r w:rsidRPr="00E05683">
        <w:rPr>
          <w:b w:val="0"/>
          <w:sz w:val="28"/>
          <w:szCs w:val="28"/>
        </w:rPr>
        <w:t xml:space="preserve"> </w:t>
      </w:r>
      <w:proofErr w:type="spellStart"/>
      <w:r w:rsidRPr="00E05683">
        <w:rPr>
          <w:b w:val="0"/>
          <w:sz w:val="28"/>
          <w:szCs w:val="28"/>
        </w:rPr>
        <w:t>grupas</w:t>
      </w:r>
      <w:proofErr w:type="spellEnd"/>
      <w:r w:rsidRPr="00E05683">
        <w:rPr>
          <w:b w:val="0"/>
          <w:sz w:val="28"/>
          <w:szCs w:val="28"/>
        </w:rPr>
        <w:t xml:space="preserve">, </w:t>
      </w:r>
      <w:proofErr w:type="spellStart"/>
      <w:r w:rsidRPr="00E05683">
        <w:rPr>
          <w:b w:val="0"/>
          <w:sz w:val="28"/>
          <w:szCs w:val="28"/>
        </w:rPr>
        <w:t>kuras</w:t>
      </w:r>
      <w:proofErr w:type="spellEnd"/>
      <w:r w:rsidRPr="00E05683">
        <w:rPr>
          <w:b w:val="0"/>
          <w:sz w:val="28"/>
          <w:szCs w:val="28"/>
        </w:rPr>
        <w:t xml:space="preserve"> </w:t>
      </w:r>
      <w:proofErr w:type="spellStart"/>
      <w:r w:rsidRPr="00E05683">
        <w:rPr>
          <w:b w:val="0"/>
          <w:sz w:val="28"/>
          <w:szCs w:val="28"/>
        </w:rPr>
        <w:t>ir</w:t>
      </w:r>
      <w:proofErr w:type="spellEnd"/>
      <w:r w:rsidRPr="00E05683">
        <w:rPr>
          <w:b w:val="0"/>
          <w:sz w:val="28"/>
          <w:szCs w:val="28"/>
        </w:rPr>
        <w:t xml:space="preserve"> </w:t>
      </w:r>
      <w:proofErr w:type="spellStart"/>
      <w:r w:rsidRPr="00E05683">
        <w:rPr>
          <w:b w:val="0"/>
          <w:sz w:val="28"/>
          <w:szCs w:val="28"/>
        </w:rPr>
        <w:t>ieinteresētas</w:t>
      </w:r>
      <w:proofErr w:type="spellEnd"/>
      <w:r w:rsidRPr="00E05683">
        <w:rPr>
          <w:b w:val="0"/>
          <w:sz w:val="28"/>
          <w:szCs w:val="28"/>
        </w:rPr>
        <w:t xml:space="preserve"> </w:t>
      </w:r>
      <w:proofErr w:type="spellStart"/>
      <w:r w:rsidRPr="00E05683">
        <w:rPr>
          <w:b w:val="0"/>
          <w:sz w:val="28"/>
          <w:szCs w:val="28"/>
        </w:rPr>
        <w:t>konkrētajos</w:t>
      </w:r>
      <w:proofErr w:type="spellEnd"/>
      <w:r w:rsidRPr="00E05683">
        <w:rPr>
          <w:b w:val="0"/>
          <w:sz w:val="28"/>
          <w:szCs w:val="28"/>
        </w:rPr>
        <w:t xml:space="preserve"> </w:t>
      </w:r>
      <w:proofErr w:type="spellStart"/>
      <w:r w:rsidRPr="00E05683">
        <w:rPr>
          <w:b w:val="0"/>
          <w:sz w:val="28"/>
          <w:szCs w:val="28"/>
        </w:rPr>
        <w:t>jautājumos</w:t>
      </w:r>
      <w:proofErr w:type="spellEnd"/>
      <w:r w:rsidRPr="00E05683">
        <w:rPr>
          <w:b w:val="0"/>
          <w:sz w:val="28"/>
          <w:szCs w:val="28"/>
        </w:rPr>
        <w:t xml:space="preserve"> un </w:t>
      </w:r>
      <w:proofErr w:type="spellStart"/>
      <w:r w:rsidRPr="00E05683">
        <w:rPr>
          <w:b w:val="0"/>
          <w:sz w:val="28"/>
          <w:szCs w:val="28"/>
        </w:rPr>
        <w:t>tēmās</w:t>
      </w:r>
      <w:proofErr w:type="spellEnd"/>
      <w:r w:rsidRPr="00E05683">
        <w:rPr>
          <w:b w:val="0"/>
          <w:sz w:val="28"/>
          <w:szCs w:val="28"/>
        </w:rPr>
        <w:t xml:space="preserve">. </w:t>
      </w:r>
      <w:proofErr w:type="spellStart"/>
      <w:r w:rsidRPr="00E05683">
        <w:rPr>
          <w:b w:val="0"/>
          <w:sz w:val="28"/>
          <w:szCs w:val="28"/>
        </w:rPr>
        <w:t>Atsevišķas</w:t>
      </w:r>
      <w:proofErr w:type="spellEnd"/>
      <w:r w:rsidRPr="00E05683">
        <w:rPr>
          <w:b w:val="0"/>
          <w:sz w:val="28"/>
          <w:szCs w:val="28"/>
        </w:rPr>
        <w:t xml:space="preserve"> </w:t>
      </w:r>
      <w:proofErr w:type="spellStart"/>
      <w:r w:rsidRPr="00E05683">
        <w:rPr>
          <w:b w:val="0"/>
          <w:sz w:val="28"/>
          <w:szCs w:val="28"/>
        </w:rPr>
        <w:t>diskusijas</w:t>
      </w:r>
      <w:proofErr w:type="spellEnd"/>
      <w:r w:rsidRPr="00E05683">
        <w:rPr>
          <w:b w:val="0"/>
          <w:sz w:val="28"/>
          <w:szCs w:val="28"/>
        </w:rPr>
        <w:t xml:space="preserve"> </w:t>
      </w:r>
      <w:proofErr w:type="spellStart"/>
      <w:r w:rsidRPr="00E05683">
        <w:rPr>
          <w:b w:val="0"/>
          <w:sz w:val="28"/>
          <w:szCs w:val="28"/>
        </w:rPr>
        <w:t>tika</w:t>
      </w:r>
      <w:proofErr w:type="spellEnd"/>
      <w:r w:rsidRPr="00E05683">
        <w:rPr>
          <w:b w:val="0"/>
          <w:sz w:val="28"/>
          <w:szCs w:val="28"/>
        </w:rPr>
        <w:t xml:space="preserve"> </w:t>
      </w:r>
      <w:proofErr w:type="spellStart"/>
      <w:r w:rsidRPr="00E05683">
        <w:rPr>
          <w:b w:val="0"/>
          <w:sz w:val="28"/>
          <w:szCs w:val="28"/>
        </w:rPr>
        <w:t>ierakstītas</w:t>
      </w:r>
      <w:proofErr w:type="spellEnd"/>
      <w:r w:rsidRPr="00E05683">
        <w:rPr>
          <w:b w:val="0"/>
          <w:sz w:val="28"/>
          <w:szCs w:val="28"/>
        </w:rPr>
        <w:t xml:space="preserve"> </w:t>
      </w:r>
      <w:proofErr w:type="spellStart"/>
      <w:r w:rsidRPr="00E05683">
        <w:rPr>
          <w:b w:val="0"/>
          <w:sz w:val="28"/>
          <w:szCs w:val="28"/>
        </w:rPr>
        <w:t>arī</w:t>
      </w:r>
      <w:proofErr w:type="spellEnd"/>
      <w:r w:rsidRPr="00E05683">
        <w:rPr>
          <w:b w:val="0"/>
          <w:sz w:val="28"/>
          <w:szCs w:val="28"/>
        </w:rPr>
        <w:t xml:space="preserve"> video </w:t>
      </w:r>
      <w:proofErr w:type="spellStart"/>
      <w:r w:rsidRPr="00E05683">
        <w:rPr>
          <w:b w:val="0"/>
          <w:sz w:val="28"/>
          <w:szCs w:val="28"/>
        </w:rPr>
        <w:t>materiālā</w:t>
      </w:r>
      <w:proofErr w:type="spellEnd"/>
      <w:r w:rsidRPr="00E05683">
        <w:rPr>
          <w:b w:val="0"/>
          <w:sz w:val="28"/>
          <w:szCs w:val="28"/>
        </w:rPr>
        <w:t xml:space="preserve">, </w:t>
      </w:r>
      <w:proofErr w:type="spellStart"/>
      <w:r w:rsidRPr="00E05683">
        <w:rPr>
          <w:b w:val="0"/>
          <w:sz w:val="28"/>
          <w:szCs w:val="28"/>
        </w:rPr>
        <w:t>kuras</w:t>
      </w:r>
      <w:proofErr w:type="spellEnd"/>
      <w:r w:rsidRPr="00E05683">
        <w:rPr>
          <w:b w:val="0"/>
          <w:sz w:val="28"/>
          <w:szCs w:val="28"/>
        </w:rPr>
        <w:t xml:space="preserve"> </w:t>
      </w:r>
      <w:proofErr w:type="spellStart"/>
      <w:r w:rsidRPr="00E05683">
        <w:rPr>
          <w:b w:val="0"/>
          <w:sz w:val="28"/>
          <w:szCs w:val="28"/>
        </w:rPr>
        <w:t>tādejādi</w:t>
      </w:r>
      <w:proofErr w:type="spellEnd"/>
      <w:r w:rsidRPr="00E05683">
        <w:rPr>
          <w:b w:val="0"/>
          <w:sz w:val="28"/>
          <w:szCs w:val="28"/>
        </w:rPr>
        <w:t xml:space="preserve"> </w:t>
      </w:r>
      <w:proofErr w:type="spellStart"/>
      <w:r w:rsidRPr="00E05683">
        <w:rPr>
          <w:b w:val="0"/>
          <w:sz w:val="28"/>
          <w:szCs w:val="28"/>
        </w:rPr>
        <w:t>iespējams</w:t>
      </w:r>
      <w:proofErr w:type="spellEnd"/>
      <w:r w:rsidRPr="00E05683">
        <w:rPr>
          <w:b w:val="0"/>
          <w:sz w:val="28"/>
          <w:szCs w:val="28"/>
        </w:rPr>
        <w:t xml:space="preserve"> </w:t>
      </w:r>
      <w:proofErr w:type="spellStart"/>
      <w:r w:rsidRPr="00E05683">
        <w:rPr>
          <w:b w:val="0"/>
          <w:sz w:val="28"/>
          <w:szCs w:val="28"/>
        </w:rPr>
        <w:t>noklausīties</w:t>
      </w:r>
      <w:proofErr w:type="spellEnd"/>
      <w:r w:rsidRPr="00E05683">
        <w:rPr>
          <w:b w:val="0"/>
          <w:sz w:val="28"/>
          <w:szCs w:val="28"/>
        </w:rPr>
        <w:t xml:space="preserve"> </w:t>
      </w:r>
      <w:proofErr w:type="spellStart"/>
      <w:r w:rsidRPr="00E05683">
        <w:rPr>
          <w:b w:val="0"/>
          <w:sz w:val="28"/>
          <w:szCs w:val="28"/>
        </w:rPr>
        <w:t>arī</w:t>
      </w:r>
      <w:proofErr w:type="spellEnd"/>
      <w:r w:rsidRPr="00E05683">
        <w:rPr>
          <w:b w:val="0"/>
          <w:sz w:val="28"/>
          <w:szCs w:val="28"/>
        </w:rPr>
        <w:t xml:space="preserve"> </w:t>
      </w:r>
      <w:proofErr w:type="spellStart"/>
      <w:r w:rsidRPr="00E05683">
        <w:rPr>
          <w:b w:val="0"/>
          <w:sz w:val="28"/>
          <w:szCs w:val="28"/>
        </w:rPr>
        <w:t>interesentiem</w:t>
      </w:r>
      <w:proofErr w:type="spellEnd"/>
      <w:r w:rsidRPr="00E05683">
        <w:rPr>
          <w:b w:val="0"/>
          <w:sz w:val="28"/>
          <w:szCs w:val="28"/>
        </w:rPr>
        <w:t xml:space="preserve">, </w:t>
      </w:r>
      <w:proofErr w:type="spellStart"/>
      <w:r w:rsidRPr="00E05683">
        <w:rPr>
          <w:b w:val="0"/>
          <w:sz w:val="28"/>
          <w:szCs w:val="28"/>
        </w:rPr>
        <w:t>kuri</w:t>
      </w:r>
      <w:proofErr w:type="spellEnd"/>
      <w:r w:rsidRPr="00E05683">
        <w:rPr>
          <w:b w:val="0"/>
          <w:sz w:val="28"/>
          <w:szCs w:val="28"/>
        </w:rPr>
        <w:t xml:space="preserve"> </w:t>
      </w:r>
      <w:proofErr w:type="spellStart"/>
      <w:r w:rsidRPr="00E05683">
        <w:rPr>
          <w:b w:val="0"/>
          <w:sz w:val="28"/>
          <w:szCs w:val="28"/>
        </w:rPr>
        <w:t>pasākumu</w:t>
      </w:r>
      <w:proofErr w:type="spellEnd"/>
      <w:r w:rsidRPr="00E05683">
        <w:rPr>
          <w:b w:val="0"/>
          <w:sz w:val="28"/>
          <w:szCs w:val="28"/>
        </w:rPr>
        <w:t xml:space="preserve"> </w:t>
      </w:r>
      <w:proofErr w:type="spellStart"/>
      <w:r w:rsidRPr="00E05683">
        <w:rPr>
          <w:b w:val="0"/>
          <w:sz w:val="28"/>
          <w:szCs w:val="28"/>
        </w:rPr>
        <w:t>neapmeklēja</w:t>
      </w:r>
      <w:proofErr w:type="spellEnd"/>
      <w:r w:rsidRPr="00E05683">
        <w:rPr>
          <w:b w:val="0"/>
          <w:sz w:val="28"/>
          <w:szCs w:val="28"/>
        </w:rPr>
        <w:t xml:space="preserve">, </w:t>
      </w:r>
      <w:proofErr w:type="spellStart"/>
      <w:r w:rsidRPr="00E05683">
        <w:rPr>
          <w:b w:val="0"/>
          <w:sz w:val="28"/>
          <w:szCs w:val="28"/>
        </w:rPr>
        <w:t>vienlaicīgi</w:t>
      </w:r>
      <w:proofErr w:type="spellEnd"/>
      <w:r w:rsidRPr="00E05683">
        <w:rPr>
          <w:b w:val="0"/>
          <w:sz w:val="28"/>
          <w:szCs w:val="28"/>
        </w:rPr>
        <w:t xml:space="preserve"> </w:t>
      </w:r>
      <w:proofErr w:type="spellStart"/>
      <w:r w:rsidRPr="00E05683">
        <w:rPr>
          <w:b w:val="0"/>
          <w:sz w:val="28"/>
          <w:szCs w:val="28"/>
        </w:rPr>
        <w:t>abu</w:t>
      </w:r>
      <w:proofErr w:type="spellEnd"/>
      <w:r w:rsidRPr="00E05683">
        <w:rPr>
          <w:b w:val="0"/>
          <w:sz w:val="28"/>
          <w:szCs w:val="28"/>
        </w:rPr>
        <w:t xml:space="preserve"> </w:t>
      </w:r>
      <w:proofErr w:type="spellStart"/>
      <w:r w:rsidRPr="00E05683">
        <w:rPr>
          <w:b w:val="0"/>
          <w:sz w:val="28"/>
          <w:szCs w:val="28"/>
        </w:rPr>
        <w:t>pasākuma</w:t>
      </w:r>
      <w:proofErr w:type="spellEnd"/>
      <w:r w:rsidRPr="00E05683">
        <w:rPr>
          <w:b w:val="0"/>
          <w:sz w:val="28"/>
          <w:szCs w:val="28"/>
        </w:rPr>
        <w:t xml:space="preserve"> </w:t>
      </w:r>
      <w:proofErr w:type="spellStart"/>
      <w:r w:rsidRPr="00E05683">
        <w:rPr>
          <w:b w:val="0"/>
          <w:sz w:val="28"/>
          <w:szCs w:val="28"/>
        </w:rPr>
        <w:t>dienu</w:t>
      </w:r>
      <w:proofErr w:type="spellEnd"/>
      <w:r w:rsidRPr="00E05683">
        <w:rPr>
          <w:b w:val="0"/>
          <w:sz w:val="28"/>
          <w:szCs w:val="28"/>
        </w:rPr>
        <w:t xml:space="preserve"> </w:t>
      </w:r>
      <w:proofErr w:type="spellStart"/>
      <w:r w:rsidRPr="00E05683">
        <w:rPr>
          <w:b w:val="0"/>
          <w:sz w:val="28"/>
          <w:szCs w:val="28"/>
        </w:rPr>
        <w:t>laikā</w:t>
      </w:r>
      <w:proofErr w:type="spellEnd"/>
      <w:r w:rsidRPr="00E05683">
        <w:rPr>
          <w:b w:val="0"/>
          <w:sz w:val="28"/>
          <w:szCs w:val="28"/>
        </w:rPr>
        <w:t xml:space="preserve"> </w:t>
      </w:r>
      <w:proofErr w:type="spellStart"/>
      <w:r w:rsidRPr="00E05683">
        <w:rPr>
          <w:b w:val="0"/>
          <w:sz w:val="28"/>
          <w:szCs w:val="28"/>
        </w:rPr>
        <w:t>noritēja</w:t>
      </w:r>
      <w:proofErr w:type="spellEnd"/>
      <w:r w:rsidRPr="00E05683">
        <w:rPr>
          <w:b w:val="0"/>
          <w:sz w:val="28"/>
          <w:szCs w:val="28"/>
        </w:rPr>
        <w:t xml:space="preserve"> </w:t>
      </w:r>
      <w:proofErr w:type="spellStart"/>
      <w:r w:rsidRPr="00E05683">
        <w:rPr>
          <w:b w:val="0"/>
          <w:sz w:val="28"/>
          <w:szCs w:val="28"/>
        </w:rPr>
        <w:t>aktīva</w:t>
      </w:r>
      <w:proofErr w:type="spellEnd"/>
      <w:r w:rsidRPr="00E05683">
        <w:rPr>
          <w:b w:val="0"/>
          <w:sz w:val="28"/>
          <w:szCs w:val="28"/>
        </w:rPr>
        <w:t xml:space="preserve"> </w:t>
      </w:r>
      <w:proofErr w:type="spellStart"/>
      <w:r>
        <w:rPr>
          <w:b w:val="0"/>
          <w:sz w:val="28"/>
          <w:szCs w:val="28"/>
        </w:rPr>
        <w:t>komunikācija</w:t>
      </w:r>
      <w:proofErr w:type="spellEnd"/>
      <w:r>
        <w:rPr>
          <w:b w:val="0"/>
          <w:sz w:val="28"/>
          <w:szCs w:val="28"/>
        </w:rPr>
        <w:t xml:space="preserve"> FM</w:t>
      </w:r>
      <w:r w:rsidRPr="00E05683">
        <w:rPr>
          <w:b w:val="0"/>
          <w:sz w:val="28"/>
          <w:szCs w:val="28"/>
        </w:rPr>
        <w:t xml:space="preserve">, </w:t>
      </w:r>
      <w:proofErr w:type="spellStart"/>
      <w:r w:rsidRPr="00E05683">
        <w:rPr>
          <w:b w:val="0"/>
          <w:sz w:val="28"/>
          <w:szCs w:val="28"/>
        </w:rPr>
        <w:t>programmu</w:t>
      </w:r>
      <w:proofErr w:type="spellEnd"/>
      <w:r w:rsidRPr="00E05683">
        <w:rPr>
          <w:b w:val="0"/>
          <w:sz w:val="28"/>
          <w:szCs w:val="28"/>
        </w:rPr>
        <w:t xml:space="preserve"> </w:t>
      </w:r>
      <w:proofErr w:type="spellStart"/>
      <w:r w:rsidRPr="00E05683">
        <w:rPr>
          <w:b w:val="0"/>
          <w:sz w:val="28"/>
          <w:szCs w:val="28"/>
        </w:rPr>
        <w:t>apsaimniekotāju</w:t>
      </w:r>
      <w:proofErr w:type="spellEnd"/>
      <w:r w:rsidRPr="00E05683">
        <w:rPr>
          <w:b w:val="0"/>
          <w:sz w:val="28"/>
          <w:szCs w:val="28"/>
        </w:rPr>
        <w:t xml:space="preserve"> </w:t>
      </w:r>
      <w:proofErr w:type="gramStart"/>
      <w:r w:rsidRPr="00E05683">
        <w:rPr>
          <w:b w:val="0"/>
          <w:sz w:val="28"/>
          <w:szCs w:val="28"/>
        </w:rPr>
        <w:t>un</w:t>
      </w:r>
      <w:proofErr w:type="gramEnd"/>
      <w:r w:rsidRPr="00E05683">
        <w:rPr>
          <w:b w:val="0"/>
          <w:sz w:val="28"/>
          <w:szCs w:val="28"/>
        </w:rPr>
        <w:t xml:space="preserve"> </w:t>
      </w:r>
      <w:proofErr w:type="spellStart"/>
      <w:r w:rsidRPr="00E05683">
        <w:rPr>
          <w:b w:val="0"/>
          <w:sz w:val="28"/>
          <w:szCs w:val="28"/>
        </w:rPr>
        <w:t>konkrēto</w:t>
      </w:r>
      <w:proofErr w:type="spellEnd"/>
      <w:r w:rsidRPr="00E05683">
        <w:rPr>
          <w:b w:val="0"/>
          <w:sz w:val="28"/>
          <w:szCs w:val="28"/>
        </w:rPr>
        <w:t xml:space="preserve"> </w:t>
      </w:r>
      <w:proofErr w:type="spellStart"/>
      <w:r w:rsidRPr="00E05683">
        <w:rPr>
          <w:b w:val="0"/>
          <w:sz w:val="28"/>
          <w:szCs w:val="28"/>
        </w:rPr>
        <w:t>projektu</w:t>
      </w:r>
      <w:proofErr w:type="spellEnd"/>
      <w:r w:rsidRPr="00E05683">
        <w:rPr>
          <w:b w:val="0"/>
          <w:sz w:val="28"/>
          <w:szCs w:val="28"/>
        </w:rPr>
        <w:t xml:space="preserve"> </w:t>
      </w:r>
      <w:r w:rsidR="001D6218">
        <w:rPr>
          <w:b w:val="0"/>
          <w:sz w:val="28"/>
          <w:szCs w:val="28"/>
        </w:rPr>
        <w:t>(</w:t>
      </w:r>
      <w:proofErr w:type="spellStart"/>
      <w:r w:rsidR="001D6218">
        <w:rPr>
          <w:b w:val="0"/>
          <w:sz w:val="28"/>
          <w:szCs w:val="28"/>
        </w:rPr>
        <w:t>dalībnieku</w:t>
      </w:r>
      <w:proofErr w:type="spellEnd"/>
      <w:r w:rsidR="001D6218">
        <w:rPr>
          <w:b w:val="0"/>
          <w:sz w:val="28"/>
          <w:szCs w:val="28"/>
        </w:rPr>
        <w:t xml:space="preserve">) </w:t>
      </w:r>
      <w:proofErr w:type="spellStart"/>
      <w:r w:rsidR="001D6218">
        <w:rPr>
          <w:b w:val="0"/>
          <w:sz w:val="28"/>
          <w:szCs w:val="28"/>
        </w:rPr>
        <w:t>sociālajos</w:t>
      </w:r>
      <w:proofErr w:type="spellEnd"/>
      <w:r w:rsidR="001D6218">
        <w:rPr>
          <w:b w:val="0"/>
          <w:sz w:val="28"/>
          <w:szCs w:val="28"/>
        </w:rPr>
        <w:t xml:space="preserve"> </w:t>
      </w:r>
      <w:proofErr w:type="spellStart"/>
      <w:r w:rsidR="001D6218">
        <w:rPr>
          <w:b w:val="0"/>
          <w:sz w:val="28"/>
          <w:szCs w:val="28"/>
        </w:rPr>
        <w:t>tīklos</w:t>
      </w:r>
      <w:proofErr w:type="spellEnd"/>
      <w:r w:rsidR="001D6218">
        <w:rPr>
          <w:b w:val="0"/>
          <w:sz w:val="28"/>
          <w:szCs w:val="28"/>
        </w:rPr>
        <w:t>.</w:t>
      </w:r>
      <w:bookmarkStart w:id="22" w:name="_Toc346541587"/>
      <w:bookmarkStart w:id="23" w:name="_Toc348033089"/>
    </w:p>
    <w:p w14:paraId="62A64927" w14:textId="4267CA8F" w:rsidR="00FE76B2" w:rsidRDefault="00D647FF" w:rsidP="00FE76B2">
      <w:pPr>
        <w:ind w:firstLine="720"/>
        <w:jc w:val="both"/>
        <w:rPr>
          <w:rFonts w:cs="Times New Roman"/>
          <w:b/>
          <w:bCs/>
          <w:sz w:val="28"/>
          <w:szCs w:val="28"/>
        </w:rPr>
      </w:pPr>
      <w:r w:rsidRPr="00FE76B2">
        <w:rPr>
          <w:rFonts w:cs="Times New Roman"/>
          <w:b/>
          <w:bCs/>
          <w:sz w:val="28"/>
          <w:szCs w:val="28"/>
        </w:rPr>
        <w:t xml:space="preserve">FM turpinās </w:t>
      </w:r>
      <w:r w:rsidR="000102B2" w:rsidRPr="00FE76B2">
        <w:rPr>
          <w:rFonts w:cs="Times New Roman"/>
          <w:b/>
          <w:bCs/>
          <w:sz w:val="28"/>
          <w:szCs w:val="28"/>
        </w:rPr>
        <w:t>regulāri (ik mēnesi) informē</w:t>
      </w:r>
      <w:r w:rsidRPr="00FE76B2">
        <w:rPr>
          <w:rFonts w:cs="Times New Roman"/>
          <w:b/>
          <w:bCs/>
          <w:sz w:val="28"/>
          <w:szCs w:val="28"/>
        </w:rPr>
        <w:t>t</w:t>
      </w:r>
      <w:r w:rsidR="000102B2" w:rsidRPr="00FE76B2">
        <w:rPr>
          <w:rFonts w:cs="Times New Roman"/>
          <w:b/>
          <w:bCs/>
          <w:sz w:val="28"/>
          <w:szCs w:val="28"/>
        </w:rPr>
        <w:t xml:space="preserve"> valdību</w:t>
      </w:r>
      <w:r w:rsidR="002015BF" w:rsidRPr="00FE76B2">
        <w:rPr>
          <w:rFonts w:cs="Times New Roman"/>
          <w:b/>
          <w:bCs/>
          <w:sz w:val="28"/>
          <w:szCs w:val="28"/>
        </w:rPr>
        <w:t xml:space="preserve"> un Saeimu</w:t>
      </w:r>
      <w:r w:rsidR="000102B2" w:rsidRPr="00FE76B2">
        <w:rPr>
          <w:rFonts w:cs="Times New Roman"/>
          <w:b/>
          <w:bCs/>
          <w:sz w:val="28"/>
          <w:szCs w:val="28"/>
        </w:rPr>
        <w:t xml:space="preserve"> par aktuālo ES fondu ieviešanas progresu</w:t>
      </w:r>
      <w:r w:rsidRPr="00FE76B2">
        <w:rPr>
          <w:rFonts w:cs="Times New Roman"/>
          <w:b/>
          <w:bCs/>
          <w:sz w:val="28"/>
          <w:szCs w:val="28"/>
        </w:rPr>
        <w:t xml:space="preserve">, sniedzot novērtējumu par riskiem un priekšlikumus rīcībai ar mērķi </w:t>
      </w:r>
      <w:r w:rsidR="00670E85" w:rsidRPr="00FE76B2">
        <w:rPr>
          <w:rFonts w:cs="Times New Roman"/>
          <w:b/>
          <w:bCs/>
          <w:sz w:val="28"/>
          <w:szCs w:val="28"/>
        </w:rPr>
        <w:t xml:space="preserve">Latvijā </w:t>
      </w:r>
      <w:r w:rsidRPr="00FE76B2">
        <w:rPr>
          <w:rFonts w:cs="Times New Roman"/>
          <w:b/>
          <w:bCs/>
          <w:sz w:val="28"/>
          <w:szCs w:val="28"/>
        </w:rPr>
        <w:t xml:space="preserve">pilnvērtīgi izmantot ES atbalsta finansējuma sniegtās </w:t>
      </w:r>
      <w:r w:rsidR="00670E85" w:rsidRPr="00FE76B2">
        <w:rPr>
          <w:rFonts w:cs="Times New Roman"/>
          <w:b/>
          <w:bCs/>
          <w:sz w:val="28"/>
          <w:szCs w:val="28"/>
        </w:rPr>
        <w:t xml:space="preserve">investīciju </w:t>
      </w:r>
      <w:r w:rsidRPr="00FE76B2">
        <w:rPr>
          <w:rFonts w:cs="Times New Roman"/>
          <w:b/>
          <w:bCs/>
          <w:sz w:val="28"/>
          <w:szCs w:val="28"/>
        </w:rPr>
        <w:t>iespējas.</w:t>
      </w:r>
    </w:p>
    <w:p w14:paraId="10EBAE8F" w14:textId="45CB8E59" w:rsidR="00FE76B2" w:rsidRPr="00FE76B2" w:rsidRDefault="00FE76B2" w:rsidP="00FE76B2">
      <w:pPr>
        <w:ind w:firstLine="720"/>
        <w:jc w:val="both"/>
        <w:rPr>
          <w:rFonts w:cs="Times New Roman"/>
          <w:b/>
          <w:bCs/>
          <w:sz w:val="28"/>
          <w:szCs w:val="28"/>
        </w:rPr>
      </w:pPr>
      <w:r w:rsidRPr="00FE76B2">
        <w:rPr>
          <w:rFonts w:cs="Times New Roman"/>
          <w:b/>
          <w:bCs/>
          <w:sz w:val="28"/>
          <w:szCs w:val="28"/>
        </w:rPr>
        <w:t>2018.</w:t>
      </w:r>
      <w:r w:rsidR="00281281">
        <w:rPr>
          <w:rFonts w:cs="Times New Roman"/>
          <w:b/>
          <w:bCs/>
          <w:sz w:val="28"/>
          <w:szCs w:val="28"/>
        </w:rPr>
        <w:t> </w:t>
      </w:r>
      <w:r w:rsidRPr="00FE76B2">
        <w:rPr>
          <w:rFonts w:cs="Times New Roman"/>
          <w:b/>
          <w:bCs/>
          <w:sz w:val="28"/>
          <w:szCs w:val="28"/>
        </w:rPr>
        <w:t xml:space="preserve">gadā </w:t>
      </w:r>
      <w:r>
        <w:rPr>
          <w:rFonts w:cs="Times New Roman"/>
          <w:b/>
          <w:bCs/>
          <w:sz w:val="28"/>
          <w:szCs w:val="28"/>
        </w:rPr>
        <w:t>īpaša vērība tiks veltīta atbalstam projektu īstenotājiem un projektu ieviešanas plānu kvalitātes uzlabošanai, kā arī finanšu disciplīnas stiprināšanai.</w:t>
      </w:r>
    </w:p>
    <w:p w14:paraId="79BBBA11" w14:textId="77777777" w:rsidR="000102B2" w:rsidRPr="00E05683" w:rsidRDefault="000102B2" w:rsidP="00942973">
      <w:pPr>
        <w:jc w:val="both"/>
        <w:rPr>
          <w:rFonts w:cs="Times New Roman"/>
          <w:b/>
          <w:bCs/>
          <w:i/>
          <w:sz w:val="28"/>
          <w:szCs w:val="28"/>
        </w:rPr>
      </w:pPr>
    </w:p>
    <w:bookmarkEnd w:id="22"/>
    <w:bookmarkEnd w:id="23"/>
    <w:p w14:paraId="583B3A56" w14:textId="3E397DFE" w:rsidR="00225C55" w:rsidRPr="00E05683" w:rsidRDefault="00225C55" w:rsidP="00942973">
      <w:pPr>
        <w:tabs>
          <w:tab w:val="left" w:pos="851"/>
        </w:tabs>
        <w:spacing w:before="120" w:after="120"/>
        <w:jc w:val="both"/>
        <w:rPr>
          <w:rFonts w:cs="Times New Roman"/>
          <w:sz w:val="28"/>
          <w:szCs w:val="28"/>
        </w:rPr>
      </w:pPr>
    </w:p>
    <w:p w14:paraId="580007A5" w14:textId="77777777" w:rsidR="00D65094" w:rsidRPr="00E05683" w:rsidRDefault="00D65094" w:rsidP="00942973">
      <w:pPr>
        <w:tabs>
          <w:tab w:val="right" w:pos="8647"/>
        </w:tabs>
        <w:rPr>
          <w:rFonts w:cs="Times New Roman"/>
          <w:color w:val="000000" w:themeColor="text1"/>
          <w:spacing w:val="6"/>
          <w:sz w:val="28"/>
          <w:szCs w:val="28"/>
        </w:rPr>
      </w:pPr>
    </w:p>
    <w:p w14:paraId="327A066F" w14:textId="66AA3FDF" w:rsidR="009C0862" w:rsidRPr="00E05683" w:rsidRDefault="009C0862" w:rsidP="00942973">
      <w:pPr>
        <w:tabs>
          <w:tab w:val="right" w:pos="8647"/>
        </w:tabs>
        <w:rPr>
          <w:rFonts w:cs="Times New Roman"/>
          <w:color w:val="000000" w:themeColor="text1"/>
          <w:spacing w:val="6"/>
          <w:sz w:val="28"/>
          <w:szCs w:val="28"/>
        </w:rPr>
      </w:pPr>
      <w:r w:rsidRPr="00E05683">
        <w:rPr>
          <w:rFonts w:cs="Times New Roman"/>
          <w:color w:val="000000" w:themeColor="text1"/>
          <w:spacing w:val="6"/>
          <w:sz w:val="28"/>
          <w:szCs w:val="28"/>
        </w:rPr>
        <w:t>F</w:t>
      </w:r>
      <w:r w:rsidR="00536626" w:rsidRPr="00E05683">
        <w:rPr>
          <w:rFonts w:cs="Times New Roman"/>
          <w:color w:val="000000" w:themeColor="text1"/>
          <w:spacing w:val="6"/>
          <w:sz w:val="28"/>
          <w:szCs w:val="28"/>
        </w:rPr>
        <w:t>inanšu ministr</w:t>
      </w:r>
      <w:r w:rsidR="001D1D31" w:rsidRPr="00E05683">
        <w:rPr>
          <w:rFonts w:cs="Times New Roman"/>
          <w:color w:val="000000" w:themeColor="text1"/>
          <w:spacing w:val="6"/>
          <w:sz w:val="28"/>
          <w:szCs w:val="28"/>
        </w:rPr>
        <w:t>e</w:t>
      </w:r>
      <w:r w:rsidR="00536626" w:rsidRPr="00E05683">
        <w:rPr>
          <w:rFonts w:cs="Times New Roman"/>
          <w:color w:val="000000" w:themeColor="text1"/>
          <w:spacing w:val="6"/>
          <w:sz w:val="28"/>
          <w:szCs w:val="28"/>
        </w:rPr>
        <w:t xml:space="preserve"> </w:t>
      </w:r>
      <w:r w:rsidR="00536626" w:rsidRPr="00E05683">
        <w:rPr>
          <w:rFonts w:cs="Times New Roman"/>
          <w:color w:val="000000" w:themeColor="text1"/>
          <w:spacing w:val="6"/>
          <w:sz w:val="28"/>
          <w:szCs w:val="28"/>
        </w:rPr>
        <w:tab/>
      </w:r>
      <w:r w:rsidR="001D1D31" w:rsidRPr="00E05683">
        <w:rPr>
          <w:rFonts w:cs="Times New Roman"/>
          <w:color w:val="000000" w:themeColor="text1"/>
          <w:spacing w:val="6"/>
          <w:sz w:val="28"/>
          <w:szCs w:val="28"/>
        </w:rPr>
        <w:t>D.</w:t>
      </w:r>
      <w:r w:rsidR="00DE60C1" w:rsidRPr="00E05683">
        <w:rPr>
          <w:rFonts w:cs="Times New Roman"/>
          <w:color w:val="000000" w:themeColor="text1"/>
          <w:spacing w:val="6"/>
          <w:sz w:val="28"/>
          <w:szCs w:val="28"/>
        </w:rPr>
        <w:t> </w:t>
      </w:r>
      <w:r w:rsidR="001D1D31" w:rsidRPr="00E05683">
        <w:rPr>
          <w:rFonts w:cs="Times New Roman"/>
          <w:color w:val="000000" w:themeColor="text1"/>
          <w:spacing w:val="6"/>
          <w:sz w:val="28"/>
          <w:szCs w:val="28"/>
        </w:rPr>
        <w:t>Reizniece</w:t>
      </w:r>
      <w:r w:rsidR="00DE60C1" w:rsidRPr="00E05683">
        <w:rPr>
          <w:rFonts w:cs="Times New Roman"/>
          <w:color w:val="000000" w:themeColor="text1"/>
          <w:spacing w:val="6"/>
          <w:sz w:val="28"/>
          <w:szCs w:val="28"/>
        </w:rPr>
        <w:t> </w:t>
      </w:r>
      <w:r w:rsidR="001D1D31" w:rsidRPr="00E05683">
        <w:rPr>
          <w:rFonts w:cs="Times New Roman"/>
          <w:color w:val="000000" w:themeColor="text1"/>
          <w:spacing w:val="6"/>
          <w:sz w:val="28"/>
          <w:szCs w:val="28"/>
        </w:rPr>
        <w:t>-</w:t>
      </w:r>
      <w:r w:rsidR="00DE60C1" w:rsidRPr="00E05683">
        <w:rPr>
          <w:rFonts w:cs="Times New Roman"/>
          <w:color w:val="000000" w:themeColor="text1"/>
          <w:spacing w:val="6"/>
          <w:sz w:val="28"/>
          <w:szCs w:val="28"/>
        </w:rPr>
        <w:t> </w:t>
      </w:r>
      <w:r w:rsidR="001D1D31" w:rsidRPr="00E05683">
        <w:rPr>
          <w:rFonts w:cs="Times New Roman"/>
          <w:color w:val="000000" w:themeColor="text1"/>
          <w:spacing w:val="6"/>
          <w:sz w:val="28"/>
          <w:szCs w:val="28"/>
        </w:rPr>
        <w:t>Ozola</w:t>
      </w:r>
    </w:p>
    <w:p w14:paraId="0E559C01" w14:textId="77777777" w:rsidR="009C0862" w:rsidRPr="00E05683" w:rsidRDefault="009C0862" w:rsidP="00942973">
      <w:pPr>
        <w:tabs>
          <w:tab w:val="center" w:pos="4153"/>
          <w:tab w:val="right" w:pos="8306"/>
        </w:tabs>
        <w:rPr>
          <w:rFonts w:cs="Times New Roman"/>
          <w:color w:val="000000" w:themeColor="text1"/>
          <w:sz w:val="28"/>
          <w:szCs w:val="28"/>
        </w:rPr>
      </w:pPr>
    </w:p>
    <w:p w14:paraId="3BF6D24B" w14:textId="52EB13CF" w:rsidR="004C17CE" w:rsidRPr="00E05683" w:rsidRDefault="004C17CE" w:rsidP="00942973">
      <w:pPr>
        <w:tabs>
          <w:tab w:val="left" w:pos="1725"/>
        </w:tabs>
        <w:rPr>
          <w:rFonts w:cs="Times New Roman"/>
          <w:color w:val="000000" w:themeColor="text1"/>
          <w:sz w:val="28"/>
          <w:szCs w:val="28"/>
        </w:rPr>
      </w:pPr>
    </w:p>
    <w:p w14:paraId="1F63D374" w14:textId="012995EF" w:rsidR="00F15AF9" w:rsidRPr="00E05683" w:rsidRDefault="00F15AF9" w:rsidP="00942973">
      <w:pPr>
        <w:tabs>
          <w:tab w:val="left" w:pos="1725"/>
        </w:tabs>
        <w:rPr>
          <w:rFonts w:cs="Times New Roman"/>
          <w:color w:val="000000" w:themeColor="text1"/>
          <w:sz w:val="28"/>
          <w:szCs w:val="28"/>
        </w:rPr>
      </w:pPr>
    </w:p>
    <w:p w14:paraId="336996FD" w14:textId="77777777" w:rsidR="00F15AF9" w:rsidRPr="00E05683" w:rsidRDefault="00F15AF9" w:rsidP="00942973">
      <w:pPr>
        <w:tabs>
          <w:tab w:val="left" w:pos="1725"/>
        </w:tabs>
        <w:rPr>
          <w:rFonts w:cs="Times New Roman"/>
          <w:color w:val="000000" w:themeColor="text1"/>
          <w:sz w:val="28"/>
          <w:szCs w:val="28"/>
        </w:rPr>
      </w:pPr>
    </w:p>
    <w:p w14:paraId="2DF2E928" w14:textId="6A24A3F1" w:rsidR="009C0862" w:rsidRPr="00E05683" w:rsidRDefault="00E05683" w:rsidP="00942973">
      <w:pPr>
        <w:tabs>
          <w:tab w:val="center" w:pos="4153"/>
          <w:tab w:val="right" w:pos="8306"/>
        </w:tabs>
        <w:rPr>
          <w:rFonts w:cs="Times New Roman"/>
          <w:color w:val="000000"/>
          <w:szCs w:val="24"/>
        </w:rPr>
      </w:pPr>
      <w:r>
        <w:rPr>
          <w:rFonts w:cs="Times New Roman"/>
          <w:color w:val="000000"/>
          <w:szCs w:val="24"/>
        </w:rPr>
        <w:t>Valaine</w:t>
      </w:r>
      <w:r w:rsidR="003711A6" w:rsidRPr="00E05683">
        <w:rPr>
          <w:rFonts w:cs="Times New Roman"/>
          <w:color w:val="000000"/>
          <w:szCs w:val="24"/>
        </w:rPr>
        <w:t xml:space="preserve"> </w:t>
      </w:r>
      <w:r w:rsidR="00DE60C1" w:rsidRPr="00E05683">
        <w:rPr>
          <w:rFonts w:cs="Times New Roman"/>
          <w:color w:val="000000"/>
          <w:szCs w:val="24"/>
        </w:rPr>
        <w:t>670</w:t>
      </w:r>
      <w:r>
        <w:rPr>
          <w:rFonts w:cs="Times New Roman"/>
          <w:color w:val="000000"/>
          <w:szCs w:val="24"/>
        </w:rPr>
        <w:t>83925</w:t>
      </w:r>
    </w:p>
    <w:p w14:paraId="5B036554" w14:textId="49DE4F10" w:rsidR="00942AB5" w:rsidRPr="00E94DEB" w:rsidRDefault="005B479E" w:rsidP="00942973">
      <w:pPr>
        <w:pStyle w:val="Header"/>
        <w:rPr>
          <w:rFonts w:cs="Times New Roman"/>
          <w:szCs w:val="24"/>
        </w:rPr>
      </w:pPr>
      <w:hyperlink r:id="rId22" w:history="1">
        <w:r w:rsidR="00E05683" w:rsidRPr="00E05683">
          <w:rPr>
            <w:rStyle w:val="Hyperlink"/>
            <w:rFonts w:cs="Times New Roman"/>
            <w:szCs w:val="24"/>
          </w:rPr>
          <w:t>Ilze.Valaine@fm.gov.lv</w:t>
        </w:r>
      </w:hyperlink>
      <w:r w:rsidR="00B51957" w:rsidRPr="00E94DEB">
        <w:rPr>
          <w:rFonts w:cs="Times New Roman"/>
          <w:szCs w:val="24"/>
        </w:rPr>
        <w:t xml:space="preserve"> </w:t>
      </w:r>
    </w:p>
    <w:sectPr w:rsidR="00942AB5" w:rsidRPr="00E94DEB" w:rsidSect="0074286A">
      <w:headerReference w:type="default" r:id="rId23"/>
      <w:footerReference w:type="defaul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E132" w14:textId="77777777" w:rsidR="00866986" w:rsidRDefault="00866986" w:rsidP="009C0862">
      <w:r>
        <w:separator/>
      </w:r>
    </w:p>
  </w:endnote>
  <w:endnote w:type="continuationSeparator" w:id="0">
    <w:p w14:paraId="27FA96F8" w14:textId="77777777" w:rsidR="00866986" w:rsidRDefault="00866986" w:rsidP="009C0862">
      <w:r>
        <w:continuationSeparator/>
      </w:r>
    </w:p>
  </w:endnote>
  <w:endnote w:type="continuationNotice" w:id="1">
    <w:p w14:paraId="33186FDD" w14:textId="77777777" w:rsidR="00866986" w:rsidRDefault="00866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AE8D" w14:textId="05ABE8DD" w:rsidR="00866986" w:rsidRPr="00C147F0" w:rsidRDefault="00866986" w:rsidP="00B13216">
    <w:pPr>
      <w:pStyle w:val="Footer"/>
      <w:jc w:val="both"/>
      <w:rPr>
        <w:sz w:val="20"/>
      </w:rPr>
    </w:pPr>
    <w:r>
      <w:rPr>
        <w:sz w:val="20"/>
      </w:rPr>
      <w:t>FMzin_230218_ES_fondi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D42F" w14:textId="77777777" w:rsidR="00866986" w:rsidRDefault="00866986" w:rsidP="009C0862">
      <w:r>
        <w:separator/>
      </w:r>
    </w:p>
  </w:footnote>
  <w:footnote w:type="continuationSeparator" w:id="0">
    <w:p w14:paraId="57F2035D" w14:textId="77777777" w:rsidR="00866986" w:rsidRDefault="00866986" w:rsidP="009C0862">
      <w:r>
        <w:continuationSeparator/>
      </w:r>
    </w:p>
  </w:footnote>
  <w:footnote w:type="continuationNotice" w:id="1">
    <w:p w14:paraId="65D9D5CF" w14:textId="77777777" w:rsidR="00866986" w:rsidRDefault="00866986"/>
  </w:footnote>
  <w:footnote w:id="2">
    <w:p w14:paraId="155E9508" w14:textId="6EEEF11C" w:rsidR="00866986" w:rsidRDefault="00866986" w:rsidP="000D7B8A">
      <w:pPr>
        <w:pStyle w:val="FootnoteText"/>
      </w:pPr>
      <w:r>
        <w:rPr>
          <w:rStyle w:val="FootnoteReference"/>
        </w:rPr>
        <w:footnoteRef/>
      </w:r>
      <w:r>
        <w:t xml:space="preserve"> Līdz 2018. gada 31. oktobrim uzsākt projektus 2,4 mljrd. </w:t>
      </w:r>
      <w:r w:rsidRPr="008642B4">
        <w:rPr>
          <w:i/>
        </w:rPr>
        <w:t>euro</w:t>
      </w:r>
      <w:r>
        <w:t xml:space="preserve"> apmērā. </w:t>
      </w:r>
    </w:p>
  </w:footnote>
  <w:footnote w:id="3">
    <w:p w14:paraId="4520441B" w14:textId="775906CB" w:rsidR="00866986" w:rsidRDefault="00866986" w:rsidP="00B379EF">
      <w:pPr>
        <w:pStyle w:val="FootnoteText"/>
        <w:jc w:val="both"/>
      </w:pPr>
      <w:r>
        <w:rPr>
          <w:rStyle w:val="FootnoteReference"/>
        </w:rPr>
        <w:footnoteRef/>
      </w:r>
      <w:r>
        <w:t xml:space="preserve"> </w:t>
      </w:r>
      <w:r w:rsidRPr="00AE160D">
        <w:rPr>
          <w:shd w:val="clear" w:color="auto" w:fill="FFFFFF"/>
        </w:rPr>
        <w:t xml:space="preserve">Pieejami ES fondu </w:t>
      </w:r>
      <w:r w:rsidRPr="00AE160D">
        <w:rPr>
          <w:color w:val="212121"/>
          <w:shd w:val="clear" w:color="auto" w:fill="FFFFFF"/>
        </w:rPr>
        <w:t>tīmekļa vietnē </w:t>
      </w:r>
      <w:hyperlink r:id="rId1" w:tgtFrame="_blank" w:history="1">
        <w:r w:rsidRPr="00AE160D">
          <w:rPr>
            <w:rStyle w:val="Hyperlink"/>
            <w:shd w:val="clear" w:color="auto" w:fill="FFFFFF"/>
          </w:rPr>
          <w:t>http://www.esfondi.lv/zinojumi-par-es-fondu-istenosanu-1</w:t>
        </w:r>
      </w:hyperlink>
    </w:p>
  </w:footnote>
  <w:footnote w:id="4">
    <w:p w14:paraId="32DF838C" w14:textId="41AEBAE9" w:rsidR="00866986" w:rsidRDefault="00866986" w:rsidP="007C5BF3">
      <w:pPr>
        <w:pStyle w:val="FootnoteText"/>
        <w:jc w:val="both"/>
      </w:pPr>
      <w:r>
        <w:rPr>
          <w:rStyle w:val="FootnoteReference"/>
        </w:rPr>
        <w:footnoteRef/>
      </w:r>
      <w:r>
        <w:t xml:space="preserve"> Pārskati pieejami ES fondu tīmekļa vietnē </w:t>
      </w:r>
      <w:hyperlink r:id="rId2" w:history="1">
        <w:r w:rsidRPr="00B46499">
          <w:rPr>
            <w:rStyle w:val="Hyperlink"/>
          </w:rPr>
          <w:t>http://www.esfondi.lv/iesniegtie-parskati-saeimas-tautsaimniecibas-agraras-vides-un-regionalas-politikas-komisijai</w:t>
        </w:r>
      </w:hyperlink>
      <w:r>
        <w:t xml:space="preserve"> </w:t>
      </w:r>
    </w:p>
  </w:footnote>
  <w:footnote w:id="5">
    <w:p w14:paraId="0BC98FF4" w14:textId="3079D0B3" w:rsidR="00866986" w:rsidRDefault="00866986" w:rsidP="00BB3EE9">
      <w:pPr>
        <w:pStyle w:val="FootnoteText"/>
        <w:jc w:val="both"/>
      </w:pPr>
      <w:r w:rsidRPr="00AE160D">
        <w:rPr>
          <w:rStyle w:val="FootnoteReference"/>
        </w:rPr>
        <w:footnoteRef/>
      </w:r>
      <w:r w:rsidRPr="00AE160D">
        <w:t xml:space="preserve"> </w:t>
      </w:r>
      <w:r>
        <w:t xml:space="preserve">Pārskati pieejami ES fondu tīmekļa vietnē </w:t>
      </w:r>
      <w:hyperlink r:id="rId3" w:history="1">
        <w:r w:rsidRPr="003A306D">
          <w:rPr>
            <w:rStyle w:val="Hyperlink"/>
          </w:rPr>
          <w:t>http://www.esfondi.lv/iesniegtie-parskati-saeimas-publisko-izdevumu-un-revizijas-komisijai</w:t>
        </w:r>
      </w:hyperlink>
    </w:p>
  </w:footnote>
  <w:footnote w:id="6">
    <w:p w14:paraId="7B18BDA2" w14:textId="2E6C8B77" w:rsidR="00866986" w:rsidRDefault="00866986">
      <w:pPr>
        <w:pStyle w:val="FootnoteText"/>
      </w:pPr>
      <w:r>
        <w:rPr>
          <w:rStyle w:val="FootnoteReference"/>
        </w:rPr>
        <w:footnoteRef/>
      </w:r>
      <w:r>
        <w:t xml:space="preserve"> ES fondu tīmekļa vietnes sadaļā – ES fondi 2014-2020 </w:t>
      </w:r>
      <w:r w:rsidRPr="00FF4FB0">
        <w:rPr>
          <w:rFonts w:cs="Times New Roman"/>
        </w:rPr>
        <w:t>→</w:t>
      </w:r>
      <w:r>
        <w:rPr>
          <w:rFonts w:cs="Times New Roman"/>
        </w:rPr>
        <w:t xml:space="preserve"> Plānošana </w:t>
      </w:r>
      <w:r w:rsidRPr="00FF4FB0">
        <w:rPr>
          <w:rFonts w:cs="Times New Roman"/>
        </w:rPr>
        <w:t>→</w:t>
      </w:r>
      <w:r>
        <w:rPr>
          <w:rFonts w:cs="Times New Roman"/>
        </w:rPr>
        <w:t xml:space="preserve"> Plānošanas dokumenti (tabulas 15.ieraksts) : </w:t>
      </w:r>
      <w:hyperlink r:id="rId4" w:history="1">
        <w:r w:rsidRPr="0046359E">
          <w:rPr>
            <w:rStyle w:val="Hyperlink"/>
          </w:rPr>
          <w:t>http://www.esfondi.lv/planosanas-dokumenti</w:t>
        </w:r>
      </w:hyperlink>
      <w:r>
        <w:t xml:space="preserve"> </w:t>
      </w:r>
    </w:p>
  </w:footnote>
  <w:footnote w:id="7">
    <w:p w14:paraId="33D03410" w14:textId="17B6B9E9" w:rsidR="00866986" w:rsidRDefault="00866986" w:rsidP="00F50606">
      <w:pPr>
        <w:pStyle w:val="FootnoteText"/>
        <w:jc w:val="both"/>
      </w:pPr>
      <w:r>
        <w:rPr>
          <w:rStyle w:val="FootnoteReference"/>
        </w:rPr>
        <w:footnoteRef/>
      </w:r>
      <w:r>
        <w:t xml:space="preserve"> </w:t>
      </w:r>
      <w:r w:rsidRPr="006C3DEA">
        <w:t xml:space="preserve">Saskaņā ar Latvijas </w:t>
      </w:r>
      <w:r>
        <w:t>B</w:t>
      </w:r>
      <w:r w:rsidRPr="006C3DEA">
        <w:t xml:space="preserve">ankas noteikto Šveices franka valūtas konvertācijas kursu </w:t>
      </w:r>
      <w:r w:rsidRPr="00C23D6A">
        <w:t>(1</w:t>
      </w:r>
      <w:r>
        <w:t> </w:t>
      </w:r>
      <w:r w:rsidRPr="00C23D6A">
        <w:t>EUR=1,</w:t>
      </w:r>
      <w:r>
        <w:t>1718 </w:t>
      </w:r>
      <w:r w:rsidRPr="00C23D6A">
        <w:t>CHF) uz 0</w:t>
      </w:r>
      <w:r>
        <w:t>2</w:t>
      </w:r>
      <w:r w:rsidRPr="00C23D6A">
        <w:t>.0</w:t>
      </w:r>
      <w:r>
        <w:t>1</w:t>
      </w:r>
      <w:r w:rsidRPr="00C23D6A">
        <w:t>.201</w:t>
      </w:r>
      <w:r>
        <w:t>8</w:t>
      </w:r>
      <w:r w:rsidRPr="00C23D6A">
        <w:t>.</w:t>
      </w:r>
    </w:p>
  </w:footnote>
  <w:footnote w:id="8">
    <w:p w14:paraId="143F2E0E" w14:textId="46D189AB" w:rsidR="00866986" w:rsidRDefault="00866986" w:rsidP="00BB3EE9">
      <w:pPr>
        <w:pStyle w:val="FootnoteText"/>
        <w:jc w:val="both"/>
      </w:pPr>
      <w:r>
        <w:rPr>
          <w:rStyle w:val="FootnoteReference"/>
        </w:rPr>
        <w:footnoteRef/>
      </w:r>
      <w:r>
        <w:t xml:space="preserve"> </w:t>
      </w:r>
      <w:r w:rsidRPr="00C86F26">
        <w:t xml:space="preserve">Šajā </w:t>
      </w:r>
      <w:r>
        <w:t>z</w:t>
      </w:r>
      <w:r w:rsidRPr="00C86F26">
        <w:t>iņojumā ES fondu ietekmes analīze balstās uz</w:t>
      </w:r>
      <w:r>
        <w:t xml:space="preserve"> FM modeli, ko izstrādāja uz</w:t>
      </w:r>
      <w:r w:rsidRPr="00C86F26">
        <w:t xml:space="preserve"> SIA </w:t>
      </w:r>
      <w:r>
        <w:t>“</w:t>
      </w:r>
      <w:r w:rsidRPr="00C86F26">
        <w:t>Projektu un kvalitātes vadība” pētījuma</w:t>
      </w:r>
      <w:r>
        <w:t xml:space="preserve"> pamata</w:t>
      </w:r>
      <w:r w:rsidRPr="00C86F26">
        <w:t xml:space="preserve"> par izspiešanas efektu un publiskā kapitāla elastību Latvijā ES fondu ietekmes izvērtēšanas metodoloģijas attīstībai (http://www.esfondi.lv/page.php?id=1104) rezultātiem. ES fondu ietekme uz makroekonomiskajiem rādītājiem sniegta balstoties uz 2010</w:t>
      </w:r>
      <w:r>
        <w:t>. gad</w:t>
      </w:r>
      <w:r w:rsidRPr="00C86F26">
        <w:t>a salīdzināmajām cenām.</w:t>
      </w:r>
    </w:p>
  </w:footnote>
  <w:footnote w:id="9">
    <w:p w14:paraId="3FC6C119" w14:textId="77777777" w:rsidR="00866986" w:rsidRDefault="00866986" w:rsidP="00F409E4">
      <w:pPr>
        <w:pStyle w:val="FootnoteText"/>
        <w:jc w:val="both"/>
      </w:pPr>
      <w:r>
        <w:rPr>
          <w:rStyle w:val="FootnoteReference"/>
        </w:rPr>
        <w:footnoteRef/>
      </w:r>
      <w:r>
        <w:t xml:space="preserve"> </w:t>
      </w:r>
      <w:r w:rsidRPr="009A2007">
        <w:t xml:space="preserve">Saskaņā ar </w:t>
      </w:r>
      <w:r>
        <w:t>FM modeļa</w:t>
      </w:r>
      <w:r w:rsidRPr="009A2007">
        <w:t xml:space="preserve"> metodoloģiju novērtēta ESF, ERAF, KF/ISPA, ES pirms</w:t>
      </w:r>
      <w:r>
        <w:t xml:space="preserve"> </w:t>
      </w:r>
      <w:r w:rsidRPr="009A2007">
        <w:t xml:space="preserve">iestāšanās finanšu instrumentu </w:t>
      </w:r>
      <w:proofErr w:type="spellStart"/>
      <w:r w:rsidRPr="009A2007">
        <w:t>Phare</w:t>
      </w:r>
      <w:proofErr w:type="spellEnd"/>
      <w:r w:rsidRPr="009A2007">
        <w:t xml:space="preserve"> un SAPARD, INTERREG, ES Kohēzijas politikas 3.mērķa </w:t>
      </w:r>
      <w:r>
        <w:t>“</w:t>
      </w:r>
      <w:r w:rsidRPr="009A2007">
        <w:t>Eiropas teritoriālā sadarbība” programmas (ERAF), EEZ/Norvēģijas finanšu instrumentu, kā arī Latvijas un Šveices sadarbības programmas ietekme.</w:t>
      </w:r>
    </w:p>
  </w:footnote>
  <w:footnote w:id="10">
    <w:p w14:paraId="712BC03B" w14:textId="77777777" w:rsidR="00866986" w:rsidRDefault="00866986" w:rsidP="00D62C0D">
      <w:pPr>
        <w:pStyle w:val="FootnoteText"/>
        <w:jc w:val="both"/>
      </w:pPr>
      <w:r>
        <w:rPr>
          <w:rStyle w:val="FootnoteReference"/>
        </w:rPr>
        <w:footnoteRef/>
      </w:r>
      <w:r>
        <w:t xml:space="preserve"> </w:t>
      </w:r>
      <w:r w:rsidRPr="00853A8C">
        <w:rPr>
          <w:rStyle w:val="Strong"/>
          <w:b w:val="0"/>
          <w:bCs w:val="0"/>
          <w:szCs w:val="28"/>
        </w:rPr>
        <w:t>S</w:t>
      </w:r>
      <w:r w:rsidRPr="00795226">
        <w:rPr>
          <w:rStyle w:val="Strong"/>
          <w:b w:val="0"/>
          <w:bCs w:val="0"/>
          <w:szCs w:val="28"/>
        </w:rPr>
        <w:t>asniegto rezultātu analīze pieejama noslēguma ziņojumos ES fondu mājas lapā</w:t>
      </w:r>
      <w:r w:rsidRPr="00795226">
        <w:rPr>
          <w:sz w:val="14"/>
        </w:rPr>
        <w:t xml:space="preserve"> </w:t>
      </w:r>
      <w:hyperlink r:id="rId5" w:history="1">
        <w:r w:rsidRPr="00E37252">
          <w:rPr>
            <w:rStyle w:val="Hyperlink"/>
          </w:rPr>
          <w:t>http://www.esfondi.lv/gadskartejie-es-fondu-ieviesanas-zinojumi</w:t>
        </w:r>
      </w:hyperlink>
      <w:r>
        <w:t xml:space="preserve"> </w:t>
      </w:r>
    </w:p>
  </w:footnote>
  <w:footnote w:id="11">
    <w:p w14:paraId="49C6C764" w14:textId="224ED298" w:rsidR="00866986" w:rsidRDefault="00866986">
      <w:pPr>
        <w:pStyle w:val="FootnoteText"/>
      </w:pPr>
      <w:r>
        <w:rPr>
          <w:rStyle w:val="FootnoteReference"/>
        </w:rPr>
        <w:footnoteRef/>
      </w:r>
      <w:r>
        <w:t xml:space="preserve"> 2007-2013.gada plānošanas perioda noslēguma dokumentācija iesniegta EK 2017.gada 30.martā, attiecīgi turpinās 5 gadu pēcuzraudzības periods</w:t>
      </w:r>
    </w:p>
  </w:footnote>
  <w:footnote w:id="12">
    <w:p w14:paraId="4B1AD515" w14:textId="77777777" w:rsidR="00866986" w:rsidRDefault="00866986" w:rsidP="00986271">
      <w:pPr>
        <w:pStyle w:val="FootnoteText"/>
        <w:jc w:val="both"/>
      </w:pPr>
      <w:r>
        <w:rPr>
          <w:rStyle w:val="FootnoteReference"/>
        </w:rPr>
        <w:footnoteRef/>
      </w:r>
      <w:r>
        <w:t xml:space="preserve"> Nefunkcionējošie projekti norādīti lielo projektu saraksta beigās: </w:t>
      </w:r>
      <w:hyperlink r:id="rId6" w:history="1">
        <w:r w:rsidRPr="002929A0">
          <w:rPr>
            <w:rStyle w:val="Hyperlink"/>
          </w:rPr>
          <w:t>http://www.esfondi.lv/2007.-2013.gada-planosanas-perioda-lielie-projekti</w:t>
        </w:r>
      </w:hyperlink>
    </w:p>
  </w:footnote>
  <w:footnote w:id="13">
    <w:p w14:paraId="4C7FCE21" w14:textId="7C620018" w:rsidR="00866986" w:rsidRDefault="00866986" w:rsidP="00386CA8">
      <w:pPr>
        <w:pStyle w:val="FootnoteText"/>
        <w:jc w:val="both"/>
      </w:pPr>
      <w:r>
        <w:rPr>
          <w:rStyle w:val="FootnoteReference"/>
        </w:rPr>
        <w:footnoteRef/>
      </w:r>
      <w:r>
        <w:t xml:space="preserve"> Ikmēneša progresa informācija pieejama ES fondu mājas lapā: </w:t>
      </w:r>
      <w:hyperlink r:id="rId7" w:history="1">
        <w:r w:rsidRPr="004E1B66">
          <w:rPr>
            <w:rStyle w:val="Hyperlink"/>
          </w:rPr>
          <w:t>http://www.esfondi.lv/zinojumi-Ministru-kabinetam</w:t>
        </w:r>
      </w:hyperlink>
      <w:r>
        <w:t xml:space="preserve"> </w:t>
      </w:r>
    </w:p>
  </w:footnote>
  <w:footnote w:id="14">
    <w:p w14:paraId="6442B9F8" w14:textId="00D39D47" w:rsidR="00866986" w:rsidRPr="009759AB" w:rsidRDefault="00866986" w:rsidP="001E2656">
      <w:pPr>
        <w:pStyle w:val="FootnoteText"/>
        <w:jc w:val="both"/>
      </w:pPr>
      <w:r w:rsidRPr="009759AB">
        <w:rPr>
          <w:rStyle w:val="FootnoteReference"/>
        </w:rPr>
        <w:footnoteRef/>
      </w:r>
      <w:r w:rsidRPr="009759AB">
        <w:t xml:space="preserve"> MK 2016. gada 13. decembra sēdes protokollēmuma Nr. 68 68.§ Informatīvais ziņojums "Par darbības programmas „Infrastruktūra un pakalpojumi” 3.2.2.1.1 </w:t>
      </w:r>
      <w:proofErr w:type="spellStart"/>
      <w:r w:rsidRPr="009759AB">
        <w:t>apakšaktivitātes</w:t>
      </w:r>
      <w:proofErr w:type="spellEnd"/>
      <w:r w:rsidRPr="009759AB">
        <w:t xml:space="preserve"> „Informācijas sistēmu un elektronisko pakalpojumu attīstība” projektu ieviešanas plānu izvērtēšanu un uzraudzību"</w:t>
      </w:r>
    </w:p>
  </w:footnote>
  <w:footnote w:id="15">
    <w:p w14:paraId="6EE53974" w14:textId="71B94B9B" w:rsidR="00866986" w:rsidRPr="00E079F6" w:rsidRDefault="00866986" w:rsidP="001E2656">
      <w:pPr>
        <w:pStyle w:val="FootnoteText"/>
        <w:jc w:val="both"/>
      </w:pPr>
      <w:r w:rsidRPr="009759AB">
        <w:rPr>
          <w:rStyle w:val="FootnoteReference"/>
        </w:rPr>
        <w:footnoteRef/>
      </w:r>
      <w:r w:rsidRPr="009759AB">
        <w:t xml:space="preserve"> VARAM, izvērtējot CFLA sniegto informāciju par projektos izstrādāto elektronisko pakalpojumu un informācijas sistēmu izmantošanas rādītājiem, sagatavot un iesniegt FM iekļaušanai informatīvajā ziņojumā par Eiropas Savienības struktūrfondu un Kohēzijas fonda, Eiropas Ekonomikas zonas finanšu instrumenta, Norvēģijas finanšu instrumenta un Latvijas un Šveices sadarbības programmas investīciju progresu informāciju par projektiem, kuros izstrādātās informācijas sistēmas un elektroniskie pakalpojumi netiek lietoti plānotajā apmērā (ja attiecināms)</w:t>
      </w:r>
      <w:r>
        <w:t>.</w:t>
      </w:r>
    </w:p>
  </w:footnote>
  <w:footnote w:id="16">
    <w:p w14:paraId="6ADA1997" w14:textId="51456DAE" w:rsidR="00866986" w:rsidRPr="009759AB" w:rsidRDefault="00866986" w:rsidP="001E2656">
      <w:pPr>
        <w:pStyle w:val="FootnoteText"/>
        <w:jc w:val="both"/>
      </w:pPr>
      <w:r>
        <w:rPr>
          <w:rStyle w:val="FootnoteReference"/>
        </w:rPr>
        <w:footnoteRef/>
      </w:r>
      <w:r>
        <w:t xml:space="preserve"> </w:t>
      </w:r>
      <w:r w:rsidRPr="005E20C2">
        <w:t>M</w:t>
      </w:r>
      <w:r>
        <w:t>K</w:t>
      </w:r>
      <w:r w:rsidRPr="00AA02DE">
        <w:t xml:space="preserve"> 2010.</w:t>
      </w:r>
      <w:r>
        <w:t> </w:t>
      </w:r>
      <w:r w:rsidRPr="00AA02DE">
        <w:t>gada 10.</w:t>
      </w:r>
      <w:r>
        <w:t> </w:t>
      </w:r>
      <w:r w:rsidRPr="00AA02DE">
        <w:t>augusta noteikumi Nr.</w:t>
      </w:r>
      <w:r>
        <w:t> </w:t>
      </w:r>
      <w:r w:rsidRPr="00AA02DE">
        <w:t>766 “Noteikumi par darbības programmas “Infrastruktūra un pakalpojumi” papildinājuma 3.2.2.1.1.apakšaktivitātes “Informācijas sistēmu un elektronisko pakalpojumu attīstība” projektu iesniegumu atlases otro, trešo, ceturto un piekto kārtu”</w:t>
      </w:r>
    </w:p>
  </w:footnote>
  <w:footnote w:id="17">
    <w:p w14:paraId="4C1498D6" w14:textId="77777777" w:rsidR="00866986" w:rsidRPr="009759AB" w:rsidRDefault="00866986" w:rsidP="001E2656">
      <w:pPr>
        <w:pStyle w:val="FootnoteText"/>
      </w:pPr>
      <w:r w:rsidRPr="009759AB">
        <w:rPr>
          <w:rStyle w:val="FootnoteReference"/>
        </w:rPr>
        <w:footnoteRef/>
      </w:r>
      <w:r w:rsidRPr="009759AB">
        <w:t xml:space="preserve"> </w:t>
      </w:r>
      <w:r w:rsidRPr="00AA02DE">
        <w:t xml:space="preserve">Projektu saraksts sadalījumā pa gadiem ir pieejams VARAM tīmekļa vietnē </w:t>
      </w:r>
      <w:hyperlink r:id="rId8" w:history="1">
        <w:r w:rsidRPr="00AA02DE">
          <w:rPr>
            <w:rStyle w:val="Hyperlink"/>
          </w:rPr>
          <w:t>http://www.varam.gov.lv/lat/fondi/kohez/?doc=21604</w:t>
        </w:r>
      </w:hyperlink>
      <w:r w:rsidRPr="00AA02DE">
        <w:t xml:space="preserve"> .</w:t>
      </w:r>
    </w:p>
  </w:footnote>
  <w:footnote w:id="18">
    <w:p w14:paraId="4D3821A2" w14:textId="04B0E589" w:rsidR="00866986" w:rsidRDefault="00866986" w:rsidP="001E2656">
      <w:pPr>
        <w:pStyle w:val="FootnoteText"/>
        <w:jc w:val="both"/>
      </w:pPr>
      <w:r w:rsidRPr="009759AB">
        <w:rPr>
          <w:rStyle w:val="FootnoteReference"/>
        </w:rPr>
        <w:footnoteRef/>
      </w:r>
      <w:r w:rsidRPr="009759AB">
        <w:t xml:space="preserve"> </w:t>
      </w:r>
      <w:r w:rsidRPr="00AA02DE">
        <w:t>M</w:t>
      </w:r>
      <w:r>
        <w:t>K</w:t>
      </w:r>
      <w:r w:rsidRPr="00AA02DE">
        <w:t xml:space="preserve"> 2012.</w:t>
      </w:r>
      <w:r>
        <w:t> </w:t>
      </w:r>
      <w:r w:rsidRPr="00AA02DE">
        <w:t>gada 13.</w:t>
      </w:r>
      <w:r>
        <w:t> </w:t>
      </w:r>
      <w:r w:rsidRPr="00AA02DE">
        <w:t>novembra sēdes protokollēmuma Nr.</w:t>
      </w:r>
      <w:r>
        <w:t> </w:t>
      </w:r>
      <w:r w:rsidRPr="00AA02DE">
        <w:t>64 44.§ Informatīvais ziņojums "Par darbības programmas "Infrastruktūra un pakalpojumi" 3.2.2.1.1.apakšaktivitātes "Informācijas sistēmu un elektronisko pakalpojumu attīstība" īstenošanas progresu un projektu ieviešanas plānu izvērtēšanu"</w:t>
      </w:r>
    </w:p>
  </w:footnote>
  <w:footnote w:id="19">
    <w:p w14:paraId="26A6E11B" w14:textId="2380686B" w:rsidR="00866986" w:rsidRDefault="00866986">
      <w:pPr>
        <w:pStyle w:val="FootnoteText"/>
      </w:pPr>
      <w:r>
        <w:rPr>
          <w:rStyle w:val="FootnoteReference"/>
        </w:rPr>
        <w:footnoteRef/>
      </w:r>
      <w:r>
        <w:t xml:space="preserve"> Pieejami ES fondu tīmekļa vietnē </w:t>
      </w:r>
      <w:hyperlink r:id="rId9" w:history="1">
        <w:r w:rsidRPr="001015B5">
          <w:rPr>
            <w:rStyle w:val="Hyperlink"/>
          </w:rPr>
          <w:t>http://www.esfondi.lv/planosanas-dokumenti</w:t>
        </w:r>
      </w:hyperlink>
      <w:r>
        <w:t xml:space="preserve"> </w:t>
      </w:r>
    </w:p>
  </w:footnote>
  <w:footnote w:id="20">
    <w:p w14:paraId="6881F486" w14:textId="214C767B" w:rsidR="00866986" w:rsidRPr="004B0036" w:rsidRDefault="00866986" w:rsidP="004B0036">
      <w:pPr>
        <w:pStyle w:val="FootnoteText"/>
        <w:jc w:val="both"/>
      </w:pPr>
      <w:r>
        <w:rPr>
          <w:rStyle w:val="FootnoteReference"/>
        </w:rPr>
        <w:footnoteRef/>
      </w:r>
      <w:r>
        <w:t xml:space="preserve"> Kopā par 20,5 milj. </w:t>
      </w:r>
      <w:r w:rsidRPr="00582B34">
        <w:rPr>
          <w:i/>
        </w:rPr>
        <w:t>euro</w:t>
      </w:r>
      <w:r>
        <w:t>, kas plānoti kā jau spēkā esošu MK noteikumu grozījumi, palielinot pieejamo ES fondu finansējumu, nevis izdodot jaunus MK noteikumus (atbilstoši valdībā pieņemtajiem lēmumiem) un kas ietver 3,3 milj. </w:t>
      </w:r>
      <w:r>
        <w:rPr>
          <w:i/>
        </w:rPr>
        <w:t xml:space="preserve">euro </w:t>
      </w:r>
      <w:r>
        <w:t>dalību starptautiskajos pētījumos otrās kārtas pārdali uz pirmo kārtu, 10,4 milj. </w:t>
      </w:r>
      <w:r>
        <w:rPr>
          <w:i/>
        </w:rPr>
        <w:t xml:space="preserve">euro </w:t>
      </w:r>
      <w:r>
        <w:t>biznesa eņģeļu investīciju pārdali uz ražošanas telpu infrastruktūras otrās kārtas īstenošanai, 2,8 milj. </w:t>
      </w:r>
      <w:r>
        <w:rPr>
          <w:i/>
        </w:rPr>
        <w:t xml:space="preserve">euro </w:t>
      </w:r>
      <w:r>
        <w:t>jauniešu garantiju pēc 2018. gada, pārplānojot un turpino</w:t>
      </w:r>
      <w:r w:rsidRPr="00DC47CF">
        <w:t>t citos LM ESF pasākumos</w:t>
      </w:r>
      <w:r>
        <w:t>, kā arī daļu no paredzētā tehniskās palīdzības finansējuma 4 milj. </w:t>
      </w:r>
      <w:r>
        <w:rPr>
          <w:i/>
        </w:rPr>
        <w:t xml:space="preserve">euro </w:t>
      </w:r>
      <w:r>
        <w:t>apmērā, pārdalot to uz esošo</w:t>
      </w:r>
      <w:r w:rsidRPr="004B0036">
        <w:t xml:space="preserve"> </w:t>
      </w:r>
      <w:r>
        <w:t xml:space="preserve">MK noteikumu tehniskās palīdzības pirmās kārtas finansējumu. </w:t>
      </w:r>
    </w:p>
  </w:footnote>
  <w:footnote w:id="21">
    <w:p w14:paraId="53C267A2" w14:textId="0D6A06AE" w:rsidR="00866986" w:rsidRPr="004B0036" w:rsidRDefault="00866986" w:rsidP="00C31538">
      <w:pPr>
        <w:pStyle w:val="FootnoteText"/>
        <w:jc w:val="both"/>
      </w:pPr>
      <w:r>
        <w:rPr>
          <w:rStyle w:val="FootnoteReference"/>
        </w:rPr>
        <w:footnoteRef/>
      </w:r>
      <w:r>
        <w:t xml:space="preserve"> Plānots izveidot jaunu sociālie pakalpojumi bērniem ar invaliditāti pasākumu 5 milj. </w:t>
      </w:r>
      <w:r w:rsidRPr="00582B34">
        <w:rPr>
          <w:i/>
        </w:rPr>
        <w:t>euro</w:t>
      </w:r>
      <w:r>
        <w:t xml:space="preserve"> apmērā, kur finansējums veidojas no esošo MK noteikumu atlikumiem. </w:t>
      </w:r>
    </w:p>
  </w:footnote>
  <w:footnote w:id="22">
    <w:p w14:paraId="22314087" w14:textId="378F0B51" w:rsidR="00866986" w:rsidRPr="002F7EE9" w:rsidRDefault="00866986" w:rsidP="007266FE">
      <w:pPr>
        <w:pStyle w:val="FootnoteText"/>
        <w:jc w:val="both"/>
      </w:pPr>
      <w:r w:rsidRPr="002F7EE9">
        <w:rPr>
          <w:rStyle w:val="FootnoteReference"/>
        </w:rPr>
        <w:footnoteRef/>
      </w:r>
      <w:r w:rsidRPr="002F7EE9">
        <w:t xml:space="preserve"> </w:t>
      </w:r>
      <w:r>
        <w:t xml:space="preserve">3,4 % no </w:t>
      </w:r>
      <w:r w:rsidRPr="002F7EE9">
        <w:t>kopējā plānošanas periodā Latvijai pieejamā Kohēzijas politikas ES finansējuma 4,4 mljrd. </w:t>
      </w:r>
      <w:r w:rsidRPr="002F7EE9">
        <w:rPr>
          <w:i/>
        </w:rPr>
        <w:t>euro</w:t>
      </w:r>
      <w:r>
        <w:rPr>
          <w:i/>
        </w:rPr>
        <w:t>.</w:t>
      </w:r>
    </w:p>
  </w:footnote>
  <w:footnote w:id="23">
    <w:p w14:paraId="31F114E6" w14:textId="77777777" w:rsidR="00866986" w:rsidRDefault="00866986" w:rsidP="009A2B65">
      <w:pPr>
        <w:pStyle w:val="FootnoteText"/>
      </w:pPr>
      <w:r>
        <w:rPr>
          <w:rStyle w:val="FootnoteReference"/>
        </w:rPr>
        <w:footnoteRef/>
      </w:r>
      <w:r>
        <w:t xml:space="preserve"> Pieejami Es fondu tīmekļa vietnē </w:t>
      </w:r>
      <w:hyperlink r:id="rId10" w:history="1">
        <w:r w:rsidRPr="00227A5C">
          <w:rPr>
            <w:rStyle w:val="Hyperlink"/>
          </w:rPr>
          <w:t>http://www.esfondi.lv/zinojumi-Ministru-kabinetam</w:t>
        </w:r>
      </w:hyperlink>
      <w:r>
        <w:t xml:space="preserve"> </w:t>
      </w:r>
    </w:p>
  </w:footnote>
  <w:footnote w:id="24">
    <w:p w14:paraId="683DE14E" w14:textId="77777777" w:rsidR="00866986" w:rsidRDefault="00866986" w:rsidP="000A21CC">
      <w:pPr>
        <w:pStyle w:val="Default"/>
        <w:spacing w:before="0" w:after="0" w:line="240" w:lineRule="auto"/>
      </w:pPr>
      <w:r>
        <w:rPr>
          <w:rStyle w:val="FootnoteReference"/>
        </w:rPr>
        <w:footnoteRef/>
      </w:r>
      <w:r>
        <w:t xml:space="preserve"> </w:t>
      </w:r>
      <w:r w:rsidRPr="0060076E">
        <w:rPr>
          <w:sz w:val="20"/>
          <w:szCs w:val="20"/>
        </w:rPr>
        <w:t xml:space="preserve">Atbilstoši ES fondu vadības likumam FM nodrošina centralizētu ES fondu izvērtēšanu. Plašāka informācija pieejama ES fondu tīmekļa vietnē: </w:t>
      </w:r>
      <w:hyperlink r:id="rId11" w:history="1">
        <w:r w:rsidRPr="0060076E">
          <w:rPr>
            <w:rStyle w:val="Hyperlink"/>
            <w:sz w:val="20"/>
            <w:szCs w:val="20"/>
          </w:rPr>
          <w:t>http://www.esfondi.lv/es-fondu-izvertesana-1</w:t>
        </w:r>
      </w:hyperlink>
    </w:p>
  </w:footnote>
  <w:footnote w:id="25">
    <w:p w14:paraId="28F965E6" w14:textId="77777777" w:rsidR="00866986" w:rsidRDefault="00866986" w:rsidP="000A21CC">
      <w:pPr>
        <w:pStyle w:val="FootnoteText"/>
      </w:pPr>
      <w:r>
        <w:rPr>
          <w:rStyle w:val="FootnoteReference"/>
        </w:rPr>
        <w:footnoteRef/>
      </w:r>
      <w:r>
        <w:t xml:space="preserve"> Izvērtējuma ziņojums pieejams ES fondu tīmekļa vietnē: </w:t>
      </w:r>
    </w:p>
    <w:p w14:paraId="02C6E600" w14:textId="77777777" w:rsidR="00866986" w:rsidRDefault="005B479E" w:rsidP="000A21CC">
      <w:pPr>
        <w:pStyle w:val="FootnoteText"/>
      </w:pPr>
      <w:hyperlink r:id="rId12" w:history="1">
        <w:r w:rsidR="00866986" w:rsidRPr="00964A30">
          <w:rPr>
            <w:rStyle w:val="Hyperlink"/>
          </w:rPr>
          <w:t>http://www.esfondi.lv/upload/8.2.1.izvertejuma_zinojums_4v_24072017.pdf</w:t>
        </w:r>
      </w:hyperlink>
      <w:r w:rsidR="00866986">
        <w:t xml:space="preserve"> </w:t>
      </w:r>
    </w:p>
  </w:footnote>
  <w:footnote w:id="26">
    <w:p w14:paraId="23723F61" w14:textId="77777777" w:rsidR="00866986" w:rsidRDefault="00866986" w:rsidP="000A21CC">
      <w:pPr>
        <w:pStyle w:val="FootnoteText"/>
      </w:pPr>
      <w:r>
        <w:rPr>
          <w:rStyle w:val="FootnoteReference"/>
        </w:rPr>
        <w:footnoteRef/>
      </w:r>
      <w:r>
        <w:t xml:space="preserve"> </w:t>
      </w:r>
      <w:r w:rsidRPr="00FD5650">
        <w:rPr>
          <w:szCs w:val="28"/>
        </w:rPr>
        <w:t>8.2.1.</w:t>
      </w:r>
      <w:r>
        <w:rPr>
          <w:szCs w:val="28"/>
        </w:rPr>
        <w:t xml:space="preserve"> SAM </w:t>
      </w:r>
      <w:r w:rsidRPr="00FD5650">
        <w:rPr>
          <w:szCs w:val="28"/>
        </w:rPr>
        <w:t>“Samazināt studiju programmu fragmentāciju un stiprināt resursu koplietošanu”</w:t>
      </w:r>
    </w:p>
  </w:footnote>
  <w:footnote w:id="27">
    <w:p w14:paraId="70F63A9D" w14:textId="77777777" w:rsidR="00866986" w:rsidRDefault="00866986" w:rsidP="000A21CC">
      <w:pPr>
        <w:pStyle w:val="FootnoteText"/>
      </w:pPr>
      <w:r>
        <w:rPr>
          <w:rStyle w:val="FootnoteReference"/>
        </w:rPr>
        <w:footnoteRef/>
      </w:r>
      <w:r>
        <w:t xml:space="preserve"> Izvērtējuma ziņojums pieejams ES fondu tīmekļa vietnē: </w:t>
      </w:r>
      <w:hyperlink r:id="rId13" w:history="1">
        <w:r w:rsidRPr="00964A30">
          <w:rPr>
            <w:rStyle w:val="Hyperlink"/>
          </w:rPr>
          <w:t>http://www.esfondi.lv/upload/Petijumi_un_izvertejumi/izvertejuma-zinojums_22122017.pdf</w:t>
        </w:r>
      </w:hyperlink>
    </w:p>
  </w:footnote>
  <w:footnote w:id="28">
    <w:p w14:paraId="3ED94BFE" w14:textId="77777777" w:rsidR="00866986" w:rsidRDefault="00866986" w:rsidP="006E7495">
      <w:pPr>
        <w:pStyle w:val="FootnoteText"/>
        <w:jc w:val="both"/>
      </w:pPr>
      <w:r>
        <w:rPr>
          <w:rStyle w:val="FootnoteReference"/>
        </w:rPr>
        <w:footnoteRef/>
      </w:r>
      <w:r>
        <w:t xml:space="preserve"> Informācija par finanšu progresu pieejama arī ES fondu tīmekļa vietnē </w:t>
      </w:r>
      <w:hyperlink r:id="rId14" w:history="1">
        <w:r w:rsidRPr="00971021">
          <w:rPr>
            <w:rStyle w:val="Hyperlink"/>
          </w:rPr>
          <w:t>http://www.esfondi.lv/finansu-un-raditaju-plani-to-izpilde</w:t>
        </w:r>
      </w:hyperlink>
    </w:p>
  </w:footnote>
  <w:footnote w:id="29">
    <w:p w14:paraId="31451555" w14:textId="77777777" w:rsidR="00866986" w:rsidRDefault="00866986" w:rsidP="006E7495">
      <w:pPr>
        <w:pStyle w:val="FootnoteText"/>
        <w:jc w:val="both"/>
      </w:pPr>
      <w:r>
        <w:rPr>
          <w:rStyle w:val="FootnoteReference"/>
        </w:rPr>
        <w:footnoteRef/>
      </w:r>
      <w:r>
        <w:t xml:space="preserve"> Pieejams ES fondu tīmekļa vietnē </w:t>
      </w:r>
      <w:hyperlink r:id="rId15" w:history="1">
        <w:r w:rsidRPr="006D33BF">
          <w:rPr>
            <w:rStyle w:val="Hyperlink"/>
          </w:rPr>
          <w:t>http://www.esfondi.lv/zinojumi-Ministru-kabinetam</w:t>
        </w:r>
      </w:hyperlink>
      <w:r>
        <w:t xml:space="preserve"> </w:t>
      </w:r>
    </w:p>
  </w:footnote>
  <w:footnote w:id="30">
    <w:p w14:paraId="7A6F0C65" w14:textId="47CADCF4" w:rsidR="00866986" w:rsidRDefault="00866986" w:rsidP="004A755A">
      <w:pPr>
        <w:pStyle w:val="FootnoteText"/>
      </w:pPr>
      <w:r>
        <w:rPr>
          <w:rStyle w:val="FootnoteReference"/>
        </w:rPr>
        <w:footnoteRef/>
      </w:r>
      <w:r>
        <w:t xml:space="preserve"> Līdz 2018. gada 31. oktobrim uzsākt projektus 2,4 mljrd. </w:t>
      </w:r>
      <w:r w:rsidRPr="008642B4">
        <w:rPr>
          <w:i/>
        </w:rPr>
        <w:t>euro</w:t>
      </w:r>
      <w:r>
        <w:t xml:space="preserve"> apmērā. </w:t>
      </w:r>
    </w:p>
  </w:footnote>
  <w:footnote w:id="31">
    <w:p w14:paraId="65A1A4F4" w14:textId="77777777" w:rsidR="00866986" w:rsidRPr="008A1EE1" w:rsidRDefault="00866986" w:rsidP="003167D9">
      <w:pPr>
        <w:pStyle w:val="FootnoteText"/>
        <w:jc w:val="both"/>
        <w:rPr>
          <w:rFonts w:cs="Times New Roman"/>
        </w:rPr>
      </w:pPr>
      <w:r w:rsidRPr="009E1796">
        <w:rPr>
          <w:rStyle w:val="FootnoteReference"/>
          <w:rFonts w:cs="Times New Roman"/>
        </w:rPr>
        <w:footnoteRef/>
      </w:r>
      <w:r w:rsidRPr="009E1796">
        <w:rPr>
          <w:rFonts w:cs="Times New Roman"/>
        </w:rPr>
        <w:t xml:space="preserve"> </w:t>
      </w:r>
      <w:r w:rsidRPr="009E1796">
        <w:rPr>
          <w:rFonts w:cs="Times New Roman"/>
          <w:bCs/>
        </w:rPr>
        <w:t>Eiropas Savienības struktūrfondu un Kohēzijas fonda 2014.—2020. gada plānošanas perioda vadības likums</w:t>
      </w:r>
    </w:p>
  </w:footnote>
  <w:footnote w:id="32">
    <w:p w14:paraId="054204F7" w14:textId="77777777" w:rsidR="00866986" w:rsidRDefault="00866986" w:rsidP="003167D9">
      <w:pPr>
        <w:pStyle w:val="FootnoteText"/>
        <w:jc w:val="both"/>
      </w:pPr>
      <w:r>
        <w:rPr>
          <w:rStyle w:val="FootnoteReference"/>
        </w:rPr>
        <w:footnoteRef/>
      </w:r>
      <w:r>
        <w:t xml:space="preserve"> 4.1.1. “</w:t>
      </w:r>
      <w:r w:rsidRPr="00EC0908">
        <w:t>Veicināt efektīvu energoresursu izmantošanu, enerģijas patēriņa samazināšanu un pāreju uz AER apstrādes rūpniecības nozarē</w:t>
      </w:r>
      <w:r>
        <w:t>”, 5.2.1.2. “</w:t>
      </w:r>
      <w:r w:rsidRPr="00EC0908">
        <w:t>Atkritumu pārstrādes veicināšana</w:t>
      </w:r>
      <w:r>
        <w:t>”, 4.2.1.2. “</w:t>
      </w:r>
      <w:r w:rsidRPr="00EC0908">
        <w:t>Veicināt energoefektivitātes paaugstināšanu valsts ēkās</w:t>
      </w:r>
      <w:r>
        <w:t>”, 4.3.1. “</w:t>
      </w:r>
      <w:r w:rsidRPr="00EC0908">
        <w:t>Veicināt energoefektivitāti un vietējo AER izmantošanu centralizētajā siltumapgādē</w:t>
      </w:r>
      <w:r>
        <w:t>”</w:t>
      </w:r>
    </w:p>
  </w:footnote>
  <w:footnote w:id="33">
    <w:p w14:paraId="42E39735" w14:textId="11626A3A" w:rsidR="00866986" w:rsidRDefault="00866986" w:rsidP="0046746E">
      <w:pPr>
        <w:pStyle w:val="FootnoteText"/>
      </w:pPr>
      <w:r>
        <w:rPr>
          <w:rStyle w:val="FootnoteReference"/>
        </w:rPr>
        <w:footnoteRef/>
      </w:r>
      <w:r>
        <w:t xml:space="preserve"> UK e-portfeļa </w:t>
      </w:r>
      <w:r w:rsidRPr="00FF4FB0">
        <w:rPr>
          <w:rFonts w:cs="Times New Roman"/>
        </w:rPr>
        <w:t xml:space="preserve">sadaļā – uzraudzības ziņojumi → </w:t>
      </w:r>
      <w:r w:rsidRPr="00273872">
        <w:rPr>
          <w:rFonts w:cs="Times New Roman"/>
        </w:rPr>
        <w:t>Atbildīgo iestāžu ziņojumi (atbilstoši MK 12.09.2017.sēdes protokola Nr.</w:t>
      </w:r>
      <w:r>
        <w:rPr>
          <w:rFonts w:cs="Times New Roman"/>
        </w:rPr>
        <w:t> </w:t>
      </w:r>
      <w:r w:rsidRPr="00273872">
        <w:rPr>
          <w:rFonts w:cs="Times New Roman"/>
        </w:rPr>
        <w:t>45 8.10.apakšpunktam)</w:t>
      </w:r>
      <w:r>
        <w:rPr>
          <w:rFonts w:cs="Times New Roman"/>
        </w:rPr>
        <w:t xml:space="preserve"> </w:t>
      </w:r>
      <w:proofErr w:type="spellStart"/>
      <w:r>
        <w:t>linkā</w:t>
      </w:r>
      <w:proofErr w:type="spellEnd"/>
      <w:r>
        <w:t xml:space="preserve"> pieejami AI ziņojumi, t.sk. VARAM ziņojums un AI rīcības plāns</w:t>
      </w:r>
      <w:r>
        <w:rPr>
          <w:rFonts w:cs="Times New Roman"/>
        </w:rPr>
        <w:t xml:space="preserve">: </w:t>
      </w:r>
      <w:hyperlink r:id="rId16" w:history="1">
        <w:r w:rsidRPr="00ED3560">
          <w:rPr>
            <w:rStyle w:val="Hyperlink"/>
          </w:rPr>
          <w:t>https://komitejas.esfondi.lv/SitePages/Home.aspx</w:t>
        </w:r>
      </w:hyperlink>
      <w:r>
        <w:t xml:space="preserve"> </w:t>
      </w:r>
    </w:p>
  </w:footnote>
  <w:footnote w:id="34">
    <w:p w14:paraId="607DC44D" w14:textId="73CD3458" w:rsidR="00866986" w:rsidRDefault="00866986" w:rsidP="00663790">
      <w:pPr>
        <w:pStyle w:val="FootnoteText"/>
        <w:jc w:val="both"/>
      </w:pPr>
      <w:r>
        <w:rPr>
          <w:rStyle w:val="FootnoteReference"/>
        </w:rPr>
        <w:footnoteRef/>
      </w:r>
      <w:r>
        <w:t xml:space="preserve"> 6.2.1.2. pasākums “Dzelzceļa infrastruktūras modernizācija un izbūve”; 4.2.1. SAM “Veicināt energoefektivitātes paaugstināšanu valsts un dzīvojamās ēkās”; 5.6.2. SAM “</w:t>
      </w:r>
      <w:r w:rsidRPr="00AF2C8C">
        <w:t xml:space="preserve">Teritoriju </w:t>
      </w:r>
      <w:proofErr w:type="spellStart"/>
      <w:r w:rsidRPr="00AF2C8C">
        <w:t>revitalizācija</w:t>
      </w:r>
      <w:proofErr w:type="spellEnd"/>
      <w:r w:rsidRPr="00AF2C8C">
        <w:t>, reģenerējot degradētās teritorijas atbilstoši pašvaldības integrētajām attīstības programmām</w:t>
      </w:r>
      <w:r>
        <w:t>”; 6.1.5. SAM “Valsts galveno autoceļu segu pārbūve, nestspējas palielināšana”</w:t>
      </w:r>
    </w:p>
  </w:footnote>
  <w:footnote w:id="35">
    <w:p w14:paraId="183AA42F" w14:textId="77777777" w:rsidR="00866986" w:rsidRDefault="00866986" w:rsidP="00452957">
      <w:pPr>
        <w:pStyle w:val="FootnoteText"/>
      </w:pPr>
      <w:r>
        <w:rPr>
          <w:rStyle w:val="FootnoteReference"/>
        </w:rPr>
        <w:footnoteRef/>
      </w:r>
      <w:r>
        <w:t xml:space="preserve"> Pieejami ES fondu tīmekļa vietnē </w:t>
      </w:r>
      <w:hyperlink r:id="rId17" w:history="1">
        <w:r w:rsidRPr="004C53AF">
          <w:rPr>
            <w:rStyle w:val="Hyperlink"/>
          </w:rPr>
          <w:t>http://www.esfondi.lv/zinojumi-Ministru-kabinetam</w:t>
        </w:r>
      </w:hyperlink>
      <w:r>
        <w:t xml:space="preserve"> </w:t>
      </w:r>
    </w:p>
  </w:footnote>
  <w:footnote w:id="36">
    <w:p w14:paraId="6950B05F" w14:textId="11CEAC2F" w:rsidR="00866986" w:rsidRDefault="00866986">
      <w:pPr>
        <w:pStyle w:val="FootnoteText"/>
      </w:pPr>
      <w:r>
        <w:rPr>
          <w:rStyle w:val="FootnoteReference"/>
        </w:rPr>
        <w:footnoteRef/>
      </w:r>
      <w:r>
        <w:t xml:space="preserve"> Pieejami ES fondu tīmekļa vietnē </w:t>
      </w:r>
      <w:hyperlink r:id="rId18" w:history="1">
        <w:r w:rsidRPr="00015BBA">
          <w:rPr>
            <w:rStyle w:val="Hyperlink"/>
          </w:rPr>
          <w:t>http://www.esfondi.lv/2018.gads</w:t>
        </w:r>
      </w:hyperlink>
      <w:r>
        <w:t xml:space="preserve"> </w:t>
      </w:r>
    </w:p>
  </w:footnote>
  <w:footnote w:id="37">
    <w:p w14:paraId="1AFF9C10" w14:textId="5AEA7FD0" w:rsidR="00866986" w:rsidRDefault="00866986">
      <w:pPr>
        <w:pStyle w:val="FootnoteText"/>
      </w:pPr>
      <w:r>
        <w:rPr>
          <w:rStyle w:val="FootnoteReference"/>
        </w:rPr>
        <w:footnoteRef/>
      </w:r>
      <w:r>
        <w:t xml:space="preserve"> 4.2.1.2. pasākums “Veicināt energoefektivitātes paaugstināšanu valsts ēkās”</w:t>
      </w:r>
    </w:p>
  </w:footnote>
  <w:footnote w:id="38">
    <w:p w14:paraId="14DE759A" w14:textId="55ED2BC9" w:rsidR="00866986" w:rsidRPr="00FA2EB8" w:rsidRDefault="00866986">
      <w:pPr>
        <w:pStyle w:val="FootnoteText"/>
      </w:pPr>
      <w:r w:rsidRPr="00FA2EB8">
        <w:rPr>
          <w:rStyle w:val="FootnoteReference"/>
        </w:rPr>
        <w:footnoteRef/>
      </w:r>
      <w:r w:rsidRPr="00FA2EB8">
        <w:t xml:space="preserve"> </w:t>
      </w:r>
      <w:r w:rsidRPr="00FA2EB8">
        <w:rPr>
          <w:rFonts w:cs="Times New Roman"/>
        </w:rPr>
        <w:t>4.2.1.1. pasākums “Veicināt energoefektivitātes paaugstināšanu dzīvojamās ēkās”</w:t>
      </w:r>
    </w:p>
  </w:footnote>
  <w:footnote w:id="39">
    <w:p w14:paraId="1EA47721" w14:textId="23114EFE" w:rsidR="00866986" w:rsidRDefault="00866986" w:rsidP="00036DE2">
      <w:pPr>
        <w:pStyle w:val="FootnoteText"/>
        <w:jc w:val="both"/>
      </w:pPr>
      <w:r>
        <w:rPr>
          <w:rStyle w:val="FootnoteReference"/>
        </w:rPr>
        <w:footnoteRef/>
      </w:r>
      <w:r>
        <w:t xml:space="preserve"> MK 2017. gada 18. jūlija noteikumi Nr. 410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footnote>
  <w:footnote w:id="40">
    <w:p w14:paraId="319D7832" w14:textId="77777777" w:rsidR="00866986" w:rsidRDefault="00866986" w:rsidP="00AA3D7D">
      <w:pPr>
        <w:pStyle w:val="FootnoteText"/>
      </w:pPr>
      <w:r>
        <w:rPr>
          <w:rStyle w:val="FootnoteReference"/>
        </w:rPr>
        <w:footnoteRef/>
      </w:r>
      <w:r>
        <w:t xml:space="preserve"> SAM pasākumi: 3.1.1.1. “Aizdevuma garantijas”; 3.1.1.2. “</w:t>
      </w:r>
      <w:proofErr w:type="spellStart"/>
      <w:r>
        <w:t>Mezanīna</w:t>
      </w:r>
      <w:proofErr w:type="spellEnd"/>
      <w:r>
        <w:t xml:space="preserve"> aizdevumi”; 3.1.1.3. “Biznesa eņģeļi ko-investīciju fonds”; 3.1.1.4. “</w:t>
      </w:r>
      <w:proofErr w:type="spellStart"/>
      <w:r>
        <w:t>Mikrokreditēšana</w:t>
      </w:r>
      <w:proofErr w:type="spellEnd"/>
      <w:r>
        <w:t xml:space="preserve"> un aizdevumi biznesa uzsācējiem”; 3.1.2.1. “Riska kapitāls”; 3.1.2.2. “Tehnoloģiju akselerators”; 4.2.1.1 “Veicināt energoefektivitātes paaugstināšanai dzīvojamās ēkās”</w:t>
      </w:r>
    </w:p>
  </w:footnote>
  <w:footnote w:id="41">
    <w:p w14:paraId="0118D196" w14:textId="77777777" w:rsidR="00866986" w:rsidRDefault="00866986" w:rsidP="00AA3D7D">
      <w:pPr>
        <w:pStyle w:val="FootnoteText"/>
      </w:pPr>
      <w:r>
        <w:rPr>
          <w:rStyle w:val="FootnoteReference"/>
        </w:rPr>
        <w:footnoteRef/>
      </w:r>
      <w:r>
        <w:t xml:space="preserve"> 3.1.1.1. pasākums Aizdevuma garantijas”</w:t>
      </w:r>
    </w:p>
  </w:footnote>
  <w:footnote w:id="42">
    <w:p w14:paraId="302D1C8B" w14:textId="77777777" w:rsidR="00866986" w:rsidRDefault="00866986" w:rsidP="00AA3D7D">
      <w:pPr>
        <w:pStyle w:val="FootnoteText"/>
      </w:pPr>
      <w:r>
        <w:rPr>
          <w:rStyle w:val="FootnoteReference"/>
        </w:rPr>
        <w:footnoteRef/>
      </w:r>
      <w:r>
        <w:t xml:space="preserve"> Finanšu instrumentu investīcijas</w:t>
      </w:r>
      <w:r w:rsidRPr="00C84F7F">
        <w:t xml:space="preserve"> gala saņēmējos un vadības izmaksās plāni</w:t>
      </w:r>
      <w:r>
        <w:t>:</w:t>
      </w:r>
      <w:r w:rsidRPr="00C84F7F">
        <w:t xml:space="preserve"> </w:t>
      </w:r>
      <w:hyperlink r:id="rId19" w:history="1">
        <w:r w:rsidRPr="0046359E">
          <w:rPr>
            <w:rStyle w:val="Hyperlink"/>
          </w:rPr>
          <w:t>http://www.esfondi.lv/2017.gads-un-ieprieks</w:t>
        </w:r>
      </w:hyperlink>
      <w:r>
        <w:t xml:space="preserve"> </w:t>
      </w:r>
    </w:p>
  </w:footnote>
  <w:footnote w:id="43">
    <w:p w14:paraId="4DACCB0D" w14:textId="77777777" w:rsidR="00866986" w:rsidRDefault="00866986" w:rsidP="00AA3D7D">
      <w:pPr>
        <w:pStyle w:val="FootnoteText"/>
      </w:pPr>
      <w:r>
        <w:rPr>
          <w:rStyle w:val="FootnoteReference"/>
        </w:rPr>
        <w:footnoteRef/>
      </w:r>
      <w:r>
        <w:t xml:space="preserve"> Plāni pieejami: </w:t>
      </w:r>
      <w:hyperlink r:id="rId20" w:history="1">
        <w:r w:rsidRPr="0046359E">
          <w:rPr>
            <w:rStyle w:val="Hyperlink"/>
          </w:rPr>
          <w:t>http://www.esfondi.lv/2018.gads</w:t>
        </w:r>
      </w:hyperlink>
      <w:r>
        <w:t xml:space="preserve"> </w:t>
      </w:r>
    </w:p>
  </w:footnote>
  <w:footnote w:id="44">
    <w:p w14:paraId="2EB15492" w14:textId="69E1EC08" w:rsidR="00866986" w:rsidRDefault="00866986">
      <w:pPr>
        <w:pStyle w:val="FootnoteText"/>
      </w:pPr>
      <w:r>
        <w:rPr>
          <w:rStyle w:val="FootnoteReference"/>
        </w:rPr>
        <w:footnoteRef/>
      </w:r>
      <w:r>
        <w:t xml:space="preserve"> </w:t>
      </w:r>
      <w:r w:rsidRPr="00A54E33">
        <w:t>5.5.1.SAM “Saglabāt, aizsargāt un attīstīt nozīmīgu kultūras un dabas mantojumu, kā arī attīstīt ar to saistītos pakalpojumus”</w:t>
      </w:r>
    </w:p>
  </w:footnote>
  <w:footnote w:id="45">
    <w:p w14:paraId="72A12B4D" w14:textId="64F266F1" w:rsidR="00866986" w:rsidRDefault="00866986">
      <w:pPr>
        <w:pStyle w:val="FootnoteText"/>
      </w:pPr>
      <w:r>
        <w:rPr>
          <w:rStyle w:val="FootnoteReference"/>
        </w:rPr>
        <w:footnoteRef/>
      </w:r>
      <w:r>
        <w:t xml:space="preserve"> 5.2.1.2.pasākums “Atkritumu pārstrādes veicināšana”</w:t>
      </w:r>
    </w:p>
  </w:footnote>
  <w:footnote w:id="46">
    <w:p w14:paraId="638BFD87" w14:textId="124A819D" w:rsidR="00866986" w:rsidRDefault="00866986">
      <w:pPr>
        <w:pStyle w:val="FootnoteText"/>
      </w:pPr>
      <w:r>
        <w:rPr>
          <w:rStyle w:val="FootnoteReference"/>
        </w:rPr>
        <w:footnoteRef/>
      </w:r>
      <w:r>
        <w:t xml:space="preserve"> 5.2.1.1. pasākums “Atkritumu dalītās savākšanas sistēmas attīstība”</w:t>
      </w:r>
    </w:p>
  </w:footnote>
  <w:footnote w:id="47">
    <w:p w14:paraId="45416868" w14:textId="017F3D86" w:rsidR="00866986" w:rsidRDefault="00866986" w:rsidP="009F69BE">
      <w:pPr>
        <w:pStyle w:val="FootnoteText"/>
        <w:jc w:val="both"/>
      </w:pPr>
      <w:r>
        <w:rPr>
          <w:rStyle w:val="FootnoteReference"/>
        </w:rPr>
        <w:footnoteRef/>
      </w:r>
      <w:r>
        <w:t xml:space="preserve"> 6.1.5. SAM “</w:t>
      </w:r>
      <w:r w:rsidRPr="00077DD0">
        <w:t>Valsts galveno autoceļu segu pārbūve, nestspējas palielināšana</w:t>
      </w:r>
      <w:r>
        <w:t>”</w:t>
      </w:r>
    </w:p>
  </w:footnote>
  <w:footnote w:id="48">
    <w:p w14:paraId="794F3359" w14:textId="3E5491D3" w:rsidR="00866986" w:rsidRDefault="00866986" w:rsidP="009F69BE">
      <w:pPr>
        <w:pStyle w:val="FootnoteText"/>
        <w:jc w:val="both"/>
      </w:pPr>
      <w:r>
        <w:rPr>
          <w:rStyle w:val="FootnoteReference"/>
        </w:rPr>
        <w:footnoteRef/>
      </w:r>
      <w:r>
        <w:t xml:space="preserve"> 6.3.1. SAM “</w:t>
      </w:r>
      <w:r w:rsidRPr="000A5B2E">
        <w:t>Palielināt reģionālo mobilitāti, uzlabojot valsts reģionālo autoceļu kvalitāti</w:t>
      </w:r>
      <w:r>
        <w:t>”</w:t>
      </w:r>
    </w:p>
  </w:footnote>
  <w:footnote w:id="49">
    <w:p w14:paraId="6F4B880D" w14:textId="77777777" w:rsidR="00866986" w:rsidRDefault="00866986" w:rsidP="009F69BE">
      <w:pPr>
        <w:pStyle w:val="FootnoteText"/>
        <w:jc w:val="both"/>
      </w:pPr>
      <w:r>
        <w:rPr>
          <w:rStyle w:val="FootnoteReference"/>
        </w:rPr>
        <w:footnoteRef/>
      </w:r>
      <w:r>
        <w:t xml:space="preserve"> </w:t>
      </w:r>
      <w:r w:rsidRPr="009B57C1">
        <w:t>MK 16.08.2017. sēdes protokollēmuma Nr.39 48.§ “Informatīvais ziņojums “Par turpmāku atbalstu jauniešiem, kas nemācās, nestrādā un neapgūst arodu, un nodarbinātiem jauniešiem sākotnējās profesionālās izglītības programmu apguvei otrā un trešā profesionālās kvalifikācijas līmeņa ieguvei viena vai pusotra mācību gada laikā””</w:t>
      </w:r>
    </w:p>
  </w:footnote>
  <w:footnote w:id="50">
    <w:p w14:paraId="3FAF46D8" w14:textId="559BBE10" w:rsidR="00866986" w:rsidRDefault="00866986" w:rsidP="009F69BE">
      <w:pPr>
        <w:pStyle w:val="FootnoteText"/>
        <w:jc w:val="both"/>
      </w:pPr>
      <w:r>
        <w:rPr>
          <w:rStyle w:val="FootnoteReference"/>
        </w:rPr>
        <w:footnoteRef/>
      </w:r>
      <w:r>
        <w:t xml:space="preserve"> 8.4.1. SAM “</w:t>
      </w:r>
      <w:r w:rsidRPr="0024338E">
        <w:t>Pilnveidot nodarbināto personu profesionālo kompetenci</w:t>
      </w:r>
      <w:r>
        <w:t>”</w:t>
      </w:r>
    </w:p>
  </w:footnote>
  <w:footnote w:id="51">
    <w:p w14:paraId="423DAA81" w14:textId="30DD5CE7" w:rsidR="00866986" w:rsidRPr="00817623" w:rsidRDefault="00866986" w:rsidP="009F69BE">
      <w:pPr>
        <w:pStyle w:val="FootnoteText"/>
        <w:jc w:val="both"/>
      </w:pPr>
      <w:r>
        <w:rPr>
          <w:rStyle w:val="FootnoteReference"/>
        </w:rPr>
        <w:footnoteRef/>
      </w:r>
      <w:r>
        <w:t xml:space="preserve"> MK 2017. gada 12. septembra sēdes protokollēmuma </w:t>
      </w:r>
      <w:r w:rsidRPr="00817623">
        <w:t>Nr.45 42.§ “</w:t>
      </w:r>
      <w:r w:rsidRPr="00942973">
        <w:t>Informatīvais ziņojums “Par Eiropas Savienības struktūrfondu un Kohēzijas fonda, Eiropas Ekonomikas zonas finanšu instrumenta, Norvēģijas finanšu instrumenta un Latvijas un Šveices sadarbības programmas investīciju progresu līdz 2017.</w:t>
      </w:r>
      <w:r>
        <w:t> </w:t>
      </w:r>
      <w:r w:rsidRPr="00942973">
        <w:t>gada 30.</w:t>
      </w:r>
      <w:r>
        <w:t> </w:t>
      </w:r>
      <w:r w:rsidRPr="00942973">
        <w:t>jūnijam”</w:t>
      </w:r>
      <w:r w:rsidRPr="00817623">
        <w:t>” 8.6.2.apakšpunkts</w:t>
      </w:r>
    </w:p>
  </w:footnote>
  <w:footnote w:id="52">
    <w:p w14:paraId="4B1DBE7F" w14:textId="2F4831D1" w:rsidR="00866986" w:rsidRDefault="00866986" w:rsidP="009F69BE">
      <w:pPr>
        <w:pStyle w:val="FootnoteText"/>
        <w:jc w:val="both"/>
      </w:pPr>
      <w:r>
        <w:rPr>
          <w:rStyle w:val="FootnoteReference"/>
        </w:rPr>
        <w:footnoteRef/>
      </w:r>
      <w:r>
        <w:t xml:space="preserve"> 7.1.1. SAM “</w:t>
      </w:r>
      <w:r w:rsidRPr="003C180D">
        <w:t>Paaugstināt bezdarbnieku kvalifikāciju un prasmes atbilstoši darba tirgus pieprasījumam</w:t>
      </w:r>
      <w:r>
        <w:t>”; 7.2.1.1. pasākums “</w:t>
      </w:r>
      <w:r w:rsidRPr="00C07177">
        <w:t>Aktīvās darba tirgus politikas pasākumu īstenošana jauniešu bezdarbnieku nodarbinātības veicināšanai</w:t>
      </w:r>
      <w:r>
        <w:t>; 9.1.1.1. pasākums “</w:t>
      </w:r>
      <w:r w:rsidRPr="00C07177">
        <w:t>Subsidētās darbavietas nelabvēlīgākā situācijā esošiem bezdarbniekiem</w:t>
      </w:r>
      <w:r>
        <w:t>”</w:t>
      </w:r>
    </w:p>
  </w:footnote>
  <w:footnote w:id="53">
    <w:p w14:paraId="4F21FADB" w14:textId="479D2525" w:rsidR="00866986" w:rsidRPr="00CB47B2" w:rsidRDefault="00866986" w:rsidP="009F69BE">
      <w:pPr>
        <w:pStyle w:val="FootnoteText"/>
        <w:jc w:val="both"/>
      </w:pPr>
      <w:r>
        <w:rPr>
          <w:rStyle w:val="FootnoteReference"/>
        </w:rPr>
        <w:footnoteRef/>
      </w:r>
      <w:r>
        <w:t xml:space="preserve"> MK 2017. gada 21. novembra sēdes protokollēmuma Nr.58 </w:t>
      </w:r>
      <w:r w:rsidRPr="00942973">
        <w:rPr>
          <w:bCs/>
        </w:rPr>
        <w:t>33.§ “</w:t>
      </w:r>
      <w:r>
        <w:rPr>
          <w:bCs/>
        </w:rPr>
        <w:t>Informatī</w:t>
      </w:r>
      <w:r w:rsidRPr="00CB47B2">
        <w:rPr>
          <w:bCs/>
        </w:rPr>
        <w:t xml:space="preserve">vais ziņojums </w:t>
      </w:r>
      <w:r>
        <w:rPr>
          <w:bCs/>
        </w:rPr>
        <w:t>“</w:t>
      </w:r>
      <w:r w:rsidRPr="00CB47B2">
        <w:rPr>
          <w:bCs/>
        </w:rPr>
        <w:t>Par situ</w:t>
      </w:r>
      <w:r>
        <w:rPr>
          <w:bCs/>
        </w:rPr>
        <w:t>ā</w:t>
      </w:r>
      <w:r w:rsidRPr="00CB47B2">
        <w:rPr>
          <w:bCs/>
        </w:rPr>
        <w:t>cijas nov</w:t>
      </w:r>
      <w:r>
        <w:rPr>
          <w:bCs/>
        </w:rPr>
        <w:t>ē</w:t>
      </w:r>
      <w:r w:rsidRPr="00942973">
        <w:rPr>
          <w:bCs/>
        </w:rPr>
        <w:t>rt</w:t>
      </w:r>
      <w:r>
        <w:rPr>
          <w:bCs/>
        </w:rPr>
        <w:t>ējumu, veiktajiem un plā</w:t>
      </w:r>
      <w:r w:rsidRPr="00CB47B2">
        <w:rPr>
          <w:bCs/>
        </w:rPr>
        <w:t>notajiem</w:t>
      </w:r>
      <w:r>
        <w:rPr>
          <w:bCs/>
        </w:rPr>
        <w:t xml:space="preserve"> </w:t>
      </w:r>
      <w:r w:rsidRPr="00CB47B2">
        <w:rPr>
          <w:bCs/>
        </w:rPr>
        <w:t>pas</w:t>
      </w:r>
      <w:r>
        <w:rPr>
          <w:bCs/>
        </w:rPr>
        <w:t>ā</w:t>
      </w:r>
      <w:r w:rsidRPr="00CB47B2">
        <w:rPr>
          <w:bCs/>
        </w:rPr>
        <w:t>kumiem konstat</w:t>
      </w:r>
      <w:r>
        <w:rPr>
          <w:bCs/>
        </w:rPr>
        <w:t>ē</w:t>
      </w:r>
      <w:r w:rsidRPr="00CB47B2">
        <w:rPr>
          <w:bCs/>
        </w:rPr>
        <w:t>to tr</w:t>
      </w:r>
      <w:r>
        <w:rPr>
          <w:bCs/>
        </w:rPr>
        <w:t>ū</w:t>
      </w:r>
      <w:r w:rsidRPr="00CB47B2">
        <w:rPr>
          <w:bCs/>
        </w:rPr>
        <w:t>kumu nov</w:t>
      </w:r>
      <w:r>
        <w:rPr>
          <w:bCs/>
        </w:rPr>
        <w:t>ērš</w:t>
      </w:r>
      <w:r w:rsidRPr="00942973">
        <w:rPr>
          <w:bCs/>
        </w:rPr>
        <w:t>anai Nodarbinātības valst</w:t>
      </w:r>
      <w:r w:rsidRPr="00CB47B2">
        <w:rPr>
          <w:bCs/>
        </w:rPr>
        <w:t>s a</w:t>
      </w:r>
      <w:r>
        <w:rPr>
          <w:bCs/>
        </w:rPr>
        <w:t>ģentū</w:t>
      </w:r>
      <w:r w:rsidRPr="00942973">
        <w:rPr>
          <w:bCs/>
        </w:rPr>
        <w:t>ras</w:t>
      </w:r>
      <w:r>
        <w:rPr>
          <w:bCs/>
        </w:rPr>
        <w:t xml:space="preserve"> ī</w:t>
      </w:r>
      <w:r w:rsidRPr="00CB47B2">
        <w:rPr>
          <w:bCs/>
        </w:rPr>
        <w:t>stenoto Eiropas Soci</w:t>
      </w:r>
      <w:r>
        <w:rPr>
          <w:bCs/>
        </w:rPr>
        <w:t>ā</w:t>
      </w:r>
      <w:r w:rsidRPr="00CB47B2">
        <w:rPr>
          <w:bCs/>
        </w:rPr>
        <w:t>l</w:t>
      </w:r>
      <w:r>
        <w:rPr>
          <w:bCs/>
        </w:rPr>
        <w:t>ā</w:t>
      </w:r>
      <w:r w:rsidRPr="00CB47B2">
        <w:rPr>
          <w:bCs/>
        </w:rPr>
        <w:t xml:space="preserve"> fonda projektu uzraudz</w:t>
      </w:r>
      <w:r>
        <w:rPr>
          <w:bCs/>
        </w:rPr>
        <w:t>ī</w:t>
      </w:r>
      <w:r w:rsidRPr="00CB47B2">
        <w:rPr>
          <w:bCs/>
        </w:rPr>
        <w:t>bas proces</w:t>
      </w:r>
      <w:r>
        <w:rPr>
          <w:bCs/>
        </w:rPr>
        <w:t>ā”</w:t>
      </w:r>
      <w:r w:rsidRPr="00942973">
        <w:rPr>
          <w:bCs/>
        </w:rPr>
        <w:t>”</w:t>
      </w:r>
    </w:p>
  </w:footnote>
  <w:footnote w:id="54">
    <w:p w14:paraId="72D679D9" w14:textId="77777777" w:rsidR="00866986" w:rsidRDefault="00866986" w:rsidP="003167D9">
      <w:pPr>
        <w:pStyle w:val="FootnoteText"/>
        <w:jc w:val="both"/>
      </w:pPr>
      <w:r>
        <w:rPr>
          <w:rStyle w:val="FootnoteReference"/>
        </w:rPr>
        <w:footnoteRef/>
      </w:r>
      <w:r>
        <w:t xml:space="preserve"> 8.3.4. SAM “</w:t>
      </w:r>
      <w:r w:rsidRPr="004F0913">
        <w:t>Samazināt priekšlaicīgu mācību pārtraukšanu, īstenojot preventīvus un intervences pasākumus</w:t>
      </w:r>
      <w:r>
        <w:t>”</w:t>
      </w:r>
    </w:p>
  </w:footnote>
  <w:footnote w:id="55">
    <w:p w14:paraId="290D7098" w14:textId="77777777" w:rsidR="00866986" w:rsidRDefault="00866986" w:rsidP="003167D9">
      <w:pPr>
        <w:pStyle w:val="FootnoteText"/>
        <w:jc w:val="both"/>
      </w:pPr>
      <w:r>
        <w:rPr>
          <w:rStyle w:val="FootnoteReference"/>
        </w:rPr>
        <w:footnoteRef/>
      </w:r>
      <w:r>
        <w:t xml:space="preserve"> 8.3.2.2. pasākums “</w:t>
      </w:r>
      <w:r w:rsidRPr="008B1987">
        <w:t>Atbalsts izglītojamo individuālo kompetenču attīstībai</w:t>
      </w:r>
      <w:r>
        <w:t>”</w:t>
      </w:r>
    </w:p>
  </w:footnote>
  <w:footnote w:id="56">
    <w:p w14:paraId="412B8728" w14:textId="0299E24B" w:rsidR="00866986" w:rsidRDefault="00866986" w:rsidP="004330A6">
      <w:pPr>
        <w:pStyle w:val="FootnoteText"/>
        <w:jc w:val="both"/>
      </w:pPr>
      <w:r>
        <w:rPr>
          <w:rStyle w:val="FootnoteReference"/>
        </w:rPr>
        <w:footnoteRef/>
      </w:r>
      <w:r>
        <w:t xml:space="preserve"> </w:t>
      </w:r>
      <w:r w:rsidRPr="00227CAA">
        <w:t xml:space="preserve">Atbilstoši </w:t>
      </w:r>
      <w:r>
        <w:t>MK</w:t>
      </w:r>
      <w:r w:rsidRPr="00227CAA">
        <w:t xml:space="preserve"> 2016.</w:t>
      </w:r>
      <w:r>
        <w:t> </w:t>
      </w:r>
      <w:r w:rsidRPr="00227CAA">
        <w:t>gada 12.</w:t>
      </w:r>
      <w:r>
        <w:t> </w:t>
      </w:r>
      <w:r w:rsidRPr="00227CAA">
        <w:t>jūlija noteikumu Nr.</w:t>
      </w:r>
      <w:r>
        <w:t> </w:t>
      </w:r>
      <w:r w:rsidRPr="00227CAA">
        <w:t>460 „Darbības programmas “Izaugsme un nodarbinātība” 8.3.4.</w:t>
      </w:r>
      <w:r>
        <w:t> </w:t>
      </w:r>
      <w:r w:rsidRPr="00227CAA">
        <w:t>specifiskā atbalsta mērķa “Samazināt priekšlaicīgu mācību pārtraukšanu, īstenojot preventīvus un intervences pasākumus” īstenošanas noteikumi” 23.2.4.</w:t>
      </w:r>
      <w:r>
        <w:t> </w:t>
      </w:r>
      <w:r w:rsidRPr="00227CAA">
        <w:t>apakšpunktā lietotajam saīsinājumam, ar jaunatnes iniciatīvu projektu tiek saprasts „atbalsts priekšlaicīgas mācību pārtraukšanas riska grupas izglītojamo iesaistei jauniešu aktivitātēs un iniciatīvu projektos ārpus formālās izglītības (turpmāk – jaunatnes iniciatīvu projekts), ko jaunatnes organizācijas un biedrības vai nodibinājumi, kas veic darbu ar jaunatni, organizē atbilstoši šo noteikumu 16.2.</w:t>
      </w:r>
      <w:r>
        <w:t> </w:t>
      </w:r>
      <w:r w:rsidRPr="00227CAA">
        <w:t>apakšpunktā minētajiem plāniem”</w:t>
      </w:r>
    </w:p>
  </w:footnote>
  <w:footnote w:id="57">
    <w:p w14:paraId="03A54D51" w14:textId="77777777" w:rsidR="00866986" w:rsidRDefault="00866986" w:rsidP="003167D9">
      <w:pPr>
        <w:pStyle w:val="FootnoteText"/>
        <w:jc w:val="both"/>
      </w:pPr>
      <w:r>
        <w:rPr>
          <w:rStyle w:val="FootnoteReference"/>
        </w:rPr>
        <w:footnoteRef/>
      </w:r>
      <w:r>
        <w:t xml:space="preserve"> Projekti “Atbalsts priekšlaicīgas mācību pārtraukšanas samazināšanai”, Nr. 8.3.4.0/16/001, un “Atbalsts izglītojamo individuālo kompetenču attīstībai”, Nr. 8.3.2.2/16/I/001</w:t>
      </w:r>
    </w:p>
  </w:footnote>
  <w:footnote w:id="58">
    <w:p w14:paraId="25C7484D" w14:textId="24E471FC" w:rsidR="00866986" w:rsidRDefault="00866986" w:rsidP="003167D9">
      <w:pPr>
        <w:pStyle w:val="FootnoteText"/>
        <w:jc w:val="both"/>
      </w:pPr>
      <w:r>
        <w:rPr>
          <w:rStyle w:val="FootnoteReference"/>
        </w:rPr>
        <w:footnoteRef/>
      </w:r>
      <w:r>
        <w:t xml:space="preserve"> 9.1.2.SAM “</w:t>
      </w:r>
      <w:r w:rsidRPr="003C180D">
        <w:t>Palielināt bijušo ieslodzīto integr</w:t>
      </w:r>
      <w:r>
        <w:t>āciju sabiedrībā un darba tirgū”; 9.1.3. SAM “</w:t>
      </w:r>
      <w:r w:rsidRPr="003C180D">
        <w:t xml:space="preserve">Paaugstināt </w:t>
      </w:r>
      <w:proofErr w:type="spellStart"/>
      <w:r w:rsidRPr="003C180D">
        <w:t>resocializācijas</w:t>
      </w:r>
      <w:proofErr w:type="spellEnd"/>
      <w:r w:rsidRPr="003C180D">
        <w:t xml:space="preserve"> sistēmas efektivitāti”</w:t>
      </w:r>
    </w:p>
  </w:footnote>
  <w:footnote w:id="59">
    <w:p w14:paraId="692D7182" w14:textId="58618076" w:rsidR="00866986" w:rsidRDefault="00866986" w:rsidP="003167D9">
      <w:pPr>
        <w:pStyle w:val="FootnoteText"/>
        <w:jc w:val="both"/>
      </w:pPr>
      <w:r>
        <w:rPr>
          <w:rStyle w:val="FootnoteReference"/>
        </w:rPr>
        <w:footnoteRef/>
      </w:r>
      <w:r>
        <w:t xml:space="preserve"> 9.2.4. SAM “</w:t>
      </w:r>
      <w:r w:rsidRPr="003C180D">
        <w:t>Uzlabot pieejamību veselības veicināšanas un slimību profilakses pakalpojumiem, jo īpaši, nabadzības un sociālās atstumtības riskam pakļautajiem iedzīvotājiem”</w:t>
      </w:r>
    </w:p>
  </w:footnote>
  <w:footnote w:id="60">
    <w:p w14:paraId="0F6889A2" w14:textId="2A2FE46A" w:rsidR="00866986" w:rsidRPr="0002320F" w:rsidRDefault="00866986" w:rsidP="003167D9">
      <w:pPr>
        <w:pStyle w:val="FootnoteText"/>
        <w:jc w:val="both"/>
      </w:pPr>
      <w:r>
        <w:rPr>
          <w:rStyle w:val="FootnoteReference"/>
        </w:rPr>
        <w:footnoteRef/>
      </w:r>
      <w:r>
        <w:t xml:space="preserve"> 9.2.2. SAM </w:t>
      </w:r>
      <w:r w:rsidRPr="0002320F">
        <w:t>“Palielināt kvalitatīvu institucionālai aprūpei alternatīvu sociālo pakalpojumu dzīvesvietā un ģimeniskai videi pietuvinātu pakalpojumu pieejamību personām ar invaliditāti un bērniem”</w:t>
      </w:r>
    </w:p>
  </w:footnote>
  <w:footnote w:id="61">
    <w:p w14:paraId="3874B390" w14:textId="77777777" w:rsidR="00866986" w:rsidRDefault="00866986" w:rsidP="003167D9">
      <w:pPr>
        <w:pStyle w:val="FootnoteText"/>
        <w:jc w:val="both"/>
      </w:pPr>
      <w:r>
        <w:rPr>
          <w:rStyle w:val="FootnoteReference"/>
        </w:rPr>
        <w:footnoteRef/>
      </w:r>
      <w:r>
        <w:t xml:space="preserve"> 9.2.2.1. pasākums </w:t>
      </w:r>
      <w:r w:rsidRPr="006F2FFA">
        <w:t>“Deinstitucionalizācija”</w:t>
      </w:r>
    </w:p>
  </w:footnote>
  <w:footnote w:id="62">
    <w:p w14:paraId="70197F7D" w14:textId="77777777" w:rsidR="00866986" w:rsidRDefault="00866986" w:rsidP="003167D9">
      <w:pPr>
        <w:pStyle w:val="FootnoteText"/>
        <w:jc w:val="both"/>
      </w:pPr>
      <w:r>
        <w:rPr>
          <w:rStyle w:val="FootnoteReference"/>
        </w:rPr>
        <w:footnoteRef/>
      </w:r>
      <w:r>
        <w:t xml:space="preserve"> 9.2.2.3. pasākums </w:t>
      </w:r>
      <w:r w:rsidRPr="009D66BF">
        <w:t>“Sabiedrībā balstīti sociālie pakalpojumi bērniem ar invaliditāti”</w:t>
      </w:r>
    </w:p>
  </w:footnote>
  <w:footnote w:id="63">
    <w:p w14:paraId="15979D1C" w14:textId="77777777" w:rsidR="00866986" w:rsidRDefault="00866986" w:rsidP="000A21CC">
      <w:pPr>
        <w:pStyle w:val="FootnoteText"/>
        <w:jc w:val="both"/>
      </w:pPr>
      <w:r>
        <w:rPr>
          <w:rStyle w:val="FootnoteReference"/>
        </w:rPr>
        <w:footnoteRef/>
      </w:r>
      <w:r>
        <w:t xml:space="preserve"> </w:t>
      </w:r>
      <w:r w:rsidRPr="00031A66">
        <w:rPr>
          <w:rFonts w:cs="Times New Roman"/>
          <w:lang w:eastAsia="lv-LV"/>
        </w:rPr>
        <w:t>Projekta tālākai vērtēšanai bija nepieciešams “Eurostat” atzinumu par projekta iesniedzēja uzņēmējdarbības plānu, kas pierāda privātā investora principa ievērošanu un tādējādi pamatkapitāla palielināšana netiek atzīta kā vispārējās valdības sektora izdevumi</w:t>
      </w:r>
      <w:r w:rsidRPr="00823824">
        <w:rPr>
          <w:rFonts w:cs="Times New Roman"/>
          <w:lang w:eastAsia="lv-LV"/>
        </w:rPr>
        <w:t>.</w:t>
      </w:r>
    </w:p>
  </w:footnote>
  <w:footnote w:id="64">
    <w:p w14:paraId="74730559" w14:textId="77777777" w:rsidR="00866986" w:rsidRPr="00FB55EB" w:rsidRDefault="00866986" w:rsidP="000A21CC">
      <w:pPr>
        <w:pStyle w:val="FootnoteText"/>
      </w:pPr>
      <w:r>
        <w:rPr>
          <w:rStyle w:val="FootnoteReference"/>
        </w:rPr>
        <w:footnoteRef/>
      </w:r>
      <w:r>
        <w:t xml:space="preserve"> </w:t>
      </w:r>
      <w:r w:rsidRPr="00FB55EB">
        <w:t>Atbilstoši MK 2017.</w:t>
      </w:r>
      <w:r>
        <w:t> </w:t>
      </w:r>
      <w:r w:rsidRPr="00FB55EB">
        <w:t>gada 17.</w:t>
      </w:r>
      <w:r>
        <w:t> </w:t>
      </w:r>
      <w:r w:rsidRPr="00FB55EB">
        <w:t>janvāra sēdes protokola Nr.3 39.§ “Informatīvais ziņojums “Par lielā projekta “Latvijas dzelzceļa tīkla elektrifikācija” sagatavošanas progresu, izmaksu un ieguvumu analīzes rezultātiem un projekta īstenošanas risinājumiem”” 10.</w:t>
      </w:r>
      <w:r>
        <w:t> </w:t>
      </w:r>
      <w:r w:rsidRPr="00FB55EB">
        <w:t>punktā noteiktajam</w:t>
      </w:r>
    </w:p>
  </w:footnote>
  <w:footnote w:id="65">
    <w:p w14:paraId="19F99F8E" w14:textId="5358383A" w:rsidR="00866986" w:rsidRDefault="00866986">
      <w:pPr>
        <w:pStyle w:val="FootnoteText"/>
      </w:pPr>
      <w:r>
        <w:rPr>
          <w:rStyle w:val="FootnoteReference"/>
        </w:rPr>
        <w:footnoteRef/>
      </w:r>
      <w:r>
        <w:t xml:space="preserve"> </w:t>
      </w:r>
      <w:hyperlink r:id="rId21" w:history="1">
        <w:r w:rsidRPr="0046359E">
          <w:rPr>
            <w:rStyle w:val="Hyperlink"/>
          </w:rPr>
          <w:t>http://www.esfondi.lv/2018.gads</w:t>
        </w:r>
      </w:hyperlink>
      <w:r>
        <w:t xml:space="preserve"> </w:t>
      </w:r>
    </w:p>
  </w:footnote>
  <w:footnote w:id="66">
    <w:p w14:paraId="35B7D29D" w14:textId="77777777" w:rsidR="00866986" w:rsidRDefault="00866986" w:rsidP="00775D89">
      <w:pPr>
        <w:pStyle w:val="FootnoteText"/>
        <w:jc w:val="both"/>
      </w:pPr>
      <w:r>
        <w:rPr>
          <w:rStyle w:val="FootnoteReference"/>
        </w:rPr>
        <w:footnoteRef/>
      </w:r>
      <w:r>
        <w:t xml:space="preserve"> (1) </w:t>
      </w:r>
      <w:r w:rsidRPr="0073542D">
        <w:rPr>
          <w:rFonts w:cs="Times New Roman"/>
          <w:szCs w:val="24"/>
        </w:rPr>
        <w:t>2017.</w:t>
      </w:r>
      <w:r>
        <w:rPr>
          <w:rFonts w:cs="Times New Roman"/>
          <w:szCs w:val="24"/>
        </w:rPr>
        <w:t> </w:t>
      </w:r>
      <w:r w:rsidRPr="0073542D">
        <w:rPr>
          <w:rFonts w:cs="Times New Roman"/>
          <w:szCs w:val="24"/>
        </w:rPr>
        <w:t>gada 30.</w:t>
      </w:r>
      <w:r>
        <w:rPr>
          <w:rFonts w:cs="Times New Roman"/>
          <w:szCs w:val="24"/>
        </w:rPr>
        <w:t> </w:t>
      </w:r>
      <w:r w:rsidRPr="0073542D">
        <w:rPr>
          <w:rFonts w:cs="Times New Roman"/>
          <w:szCs w:val="24"/>
        </w:rPr>
        <w:t>novembrī</w:t>
      </w:r>
      <w:r w:rsidRPr="00297163">
        <w:rPr>
          <w:rFonts w:cs="Times New Roman"/>
          <w:szCs w:val="24"/>
        </w:rPr>
        <w:t xml:space="preserve"> EK </w:t>
      </w:r>
      <w:r w:rsidRPr="008C4217">
        <w:rPr>
          <w:rFonts w:cs="Times New Roman"/>
          <w:szCs w:val="24"/>
        </w:rPr>
        <w:t>apstiprinājusi darbības programmas “Izaugsme un nodarbinātība” (</w:t>
      </w:r>
      <w:r>
        <w:rPr>
          <w:rFonts w:cs="Times New Roman"/>
          <w:szCs w:val="24"/>
        </w:rPr>
        <w:t>turpmāk – </w:t>
      </w:r>
      <w:r w:rsidRPr="008C4217">
        <w:rPr>
          <w:rFonts w:cs="Times New Roman"/>
          <w:szCs w:val="24"/>
        </w:rPr>
        <w:t>DP) grozījumus Nr.2.</w:t>
      </w:r>
      <w:r>
        <w:rPr>
          <w:rStyle w:val="FootnoteReference"/>
          <w:rFonts w:cs="Times New Roman"/>
          <w:szCs w:val="24"/>
        </w:rPr>
        <w:footnoteRef/>
      </w:r>
      <w:r>
        <w:rPr>
          <w:rFonts w:cs="Times New Roman"/>
          <w:szCs w:val="24"/>
        </w:rPr>
        <w:t xml:space="preserve">, </w:t>
      </w:r>
      <w:r w:rsidRPr="00683435">
        <w:t xml:space="preserve">kas paredz izglītības, prasmju un mūžizglītības prioritārā virziena snieguma ietvara </w:t>
      </w:r>
      <w:r w:rsidRPr="007033AB">
        <w:rPr>
          <w:szCs w:val="24"/>
        </w:rPr>
        <w:t>mērķu samazinājumu un citus grozījumus</w:t>
      </w:r>
      <w:r>
        <w:t xml:space="preserve">, kas izrietējuši, </w:t>
      </w:r>
      <w:r w:rsidRPr="003F2BE0">
        <w:rPr>
          <w:rFonts w:cs="Times New Roman"/>
        </w:rPr>
        <w:t>nozaru ministrijām sagatavojot precīzākus investīciju plānus un nosacījumus</w:t>
      </w:r>
      <w:r w:rsidRPr="008C4217">
        <w:rPr>
          <w:rFonts w:cs="Times New Roman"/>
        </w:rPr>
        <w:t>.</w:t>
      </w:r>
      <w:r>
        <w:rPr>
          <w:rFonts w:cs="Times New Roman"/>
        </w:rPr>
        <w:t xml:space="preserve"> (2) </w:t>
      </w:r>
      <w:r w:rsidRPr="0073542D">
        <w:rPr>
          <w:szCs w:val="24"/>
        </w:rPr>
        <w:t>2017.</w:t>
      </w:r>
      <w:r>
        <w:rPr>
          <w:szCs w:val="24"/>
        </w:rPr>
        <w:t> </w:t>
      </w:r>
      <w:r w:rsidRPr="0073542D">
        <w:rPr>
          <w:szCs w:val="24"/>
        </w:rPr>
        <w:t xml:space="preserve">gada </w:t>
      </w:r>
      <w:r w:rsidRPr="008C4217">
        <w:rPr>
          <w:rFonts w:cs="Times New Roman"/>
        </w:rPr>
        <w:t>29.</w:t>
      </w:r>
      <w:r>
        <w:rPr>
          <w:rFonts w:cs="Times New Roman"/>
        </w:rPr>
        <w:t> </w:t>
      </w:r>
      <w:r w:rsidRPr="008C4217">
        <w:rPr>
          <w:rFonts w:cs="Times New Roman"/>
        </w:rPr>
        <w:t>decembrī</w:t>
      </w:r>
      <w:r>
        <w:rPr>
          <w:rFonts w:cs="Times New Roman"/>
        </w:rPr>
        <w:t xml:space="preserve"> saskaņošanai</w:t>
      </w:r>
      <w:r w:rsidRPr="008C4217">
        <w:rPr>
          <w:rFonts w:cs="Times New Roman"/>
        </w:rPr>
        <w:t xml:space="preserve"> ES fond</w:t>
      </w:r>
      <w:r>
        <w:rPr>
          <w:rFonts w:cs="Times New Roman"/>
        </w:rPr>
        <w:t>u UK</w:t>
      </w:r>
      <w:r w:rsidRPr="008C4217">
        <w:rPr>
          <w:rFonts w:cs="Times New Roman"/>
        </w:rPr>
        <w:t xml:space="preserve"> rakstiskā</w:t>
      </w:r>
      <w:r>
        <w:rPr>
          <w:rFonts w:cs="Times New Roman"/>
        </w:rPr>
        <w:t>s</w:t>
      </w:r>
      <w:r w:rsidRPr="008C4217">
        <w:rPr>
          <w:rFonts w:cs="Times New Roman"/>
        </w:rPr>
        <w:t xml:space="preserve"> procedūra</w:t>
      </w:r>
      <w:r>
        <w:rPr>
          <w:rFonts w:cs="Times New Roman"/>
        </w:rPr>
        <w:t>s ietvaros uzsākts</w:t>
      </w:r>
      <w:r w:rsidRPr="008C4217">
        <w:rPr>
          <w:rFonts w:cs="Times New Roman"/>
        </w:rPr>
        <w:t xml:space="preserve"> DP grozījum</w:t>
      </w:r>
      <w:r>
        <w:rPr>
          <w:rFonts w:cs="Times New Roman"/>
        </w:rPr>
        <w:t>u</w:t>
      </w:r>
      <w:r w:rsidRPr="008C4217">
        <w:rPr>
          <w:rFonts w:cs="Times New Roman"/>
        </w:rPr>
        <w:t xml:space="preserve"> Nr.3</w:t>
      </w:r>
      <w:r>
        <w:rPr>
          <w:rFonts w:cs="Times New Roman"/>
        </w:rPr>
        <w:t xml:space="preserve"> saskaņošanas process</w:t>
      </w:r>
      <w:r w:rsidRPr="008C4217">
        <w:rPr>
          <w:rFonts w:cs="Times New Roman"/>
        </w:rPr>
        <w:t xml:space="preserve">. </w:t>
      </w:r>
      <w:r>
        <w:rPr>
          <w:rFonts w:cs="Times New Roman"/>
        </w:rPr>
        <w:t>2018.gada I </w:t>
      </w:r>
      <w:r w:rsidRPr="00AE44CE">
        <w:rPr>
          <w:rFonts w:cs="Times New Roman"/>
        </w:rPr>
        <w:t>ceturksnī</w:t>
      </w:r>
      <w:r w:rsidRPr="00645A66">
        <w:rPr>
          <w:rFonts w:cs="Times New Roman"/>
        </w:rPr>
        <w:t xml:space="preserve"> </w:t>
      </w:r>
      <w:r>
        <w:rPr>
          <w:rFonts w:cs="Times New Roman"/>
        </w:rPr>
        <w:t>plānota minēto grozījumu</w:t>
      </w:r>
      <w:r w:rsidRPr="008C4217">
        <w:rPr>
          <w:rFonts w:cs="Times New Roman"/>
        </w:rPr>
        <w:t xml:space="preserve"> </w:t>
      </w:r>
      <w:r>
        <w:rPr>
          <w:rFonts w:cs="Times New Roman"/>
        </w:rPr>
        <w:t>iesniegšana apstiprināšanai</w:t>
      </w:r>
      <w:r w:rsidRPr="008C4217">
        <w:rPr>
          <w:rFonts w:cs="Times New Roman"/>
        </w:rPr>
        <w:t xml:space="preserve"> MK un </w:t>
      </w:r>
      <w:r>
        <w:rPr>
          <w:rFonts w:cs="Times New Roman"/>
        </w:rPr>
        <w:t xml:space="preserve">pēc tam </w:t>
      </w:r>
      <w:r w:rsidRPr="008C4217">
        <w:rPr>
          <w:rFonts w:cs="Times New Roman"/>
        </w:rPr>
        <w:t>EK.</w:t>
      </w:r>
    </w:p>
    <w:p w14:paraId="6817A879" w14:textId="77777777" w:rsidR="00866986" w:rsidRDefault="00866986" w:rsidP="00775D89">
      <w:pPr>
        <w:pStyle w:val="FootnoteText"/>
      </w:pPr>
    </w:p>
  </w:footnote>
  <w:footnote w:id="67">
    <w:p w14:paraId="3F6FF632" w14:textId="3FF9E01D" w:rsidR="00866986" w:rsidRDefault="00866986" w:rsidP="00922180">
      <w:pPr>
        <w:pStyle w:val="FootnoteText"/>
        <w:jc w:val="both"/>
      </w:pPr>
      <w:r>
        <w:rPr>
          <w:rStyle w:val="FootnoteReference"/>
        </w:rPr>
        <w:footnoteRef/>
      </w:r>
      <w:r>
        <w:t xml:space="preserve"> Aktuālākie rādītāju izpildes dati (operatīvie no vadības informācijas sistēmas) pieejami vietnē, kur ir arī detalizētas operatīvās prognozes pieejamas prognožu </w:t>
      </w:r>
      <w:proofErr w:type="spellStart"/>
      <w:r>
        <w:t>apakšsadaļā</w:t>
      </w:r>
      <w:proofErr w:type="spellEnd"/>
      <w:r>
        <w:t xml:space="preserve"> un tiek regulāri aktualizētas: </w:t>
      </w:r>
      <w:hyperlink r:id="rId22" w:history="1">
        <w:r w:rsidRPr="0046359E">
          <w:rPr>
            <w:rStyle w:val="Hyperlink"/>
          </w:rPr>
          <w:t>http://www.esfondi.lv/2017.gads-un-ieprieks</w:t>
        </w:r>
      </w:hyperlink>
      <w:r>
        <w:t xml:space="preserve"> ) </w:t>
      </w:r>
      <w:r w:rsidRPr="00E44A30">
        <w:t>.</w:t>
      </w:r>
    </w:p>
  </w:footnote>
  <w:footnote w:id="68">
    <w:p w14:paraId="7BC7AA08" w14:textId="18BA8BDE" w:rsidR="00866986" w:rsidRDefault="00866986">
      <w:pPr>
        <w:pStyle w:val="FootnoteText"/>
      </w:pPr>
      <w:r>
        <w:rPr>
          <w:rStyle w:val="FootnoteReference"/>
        </w:rPr>
        <w:footnoteRef/>
      </w:r>
      <w:r>
        <w:t xml:space="preserve"> </w:t>
      </w:r>
      <w:hyperlink r:id="rId23" w:history="1">
        <w:r w:rsidRPr="0046359E">
          <w:rPr>
            <w:rStyle w:val="Hyperlink"/>
          </w:rPr>
          <w:t>http://www.esfondi.lv/2018.gads</w:t>
        </w:r>
      </w:hyperlink>
      <w:r>
        <w:t xml:space="preserve"> </w:t>
      </w:r>
    </w:p>
  </w:footnote>
  <w:footnote w:id="69">
    <w:p w14:paraId="7427FA23" w14:textId="77777777" w:rsidR="00866986" w:rsidRDefault="00866986" w:rsidP="000A21CC">
      <w:pPr>
        <w:pStyle w:val="FootnoteText"/>
      </w:pPr>
      <w:r>
        <w:rPr>
          <w:rStyle w:val="FootnoteReference"/>
        </w:rPr>
        <w:footnoteRef/>
      </w:r>
      <w:r>
        <w:t xml:space="preserve"> Lūdzam skatīt detalizētu finanšu disciplīnu priekšlikumu ziņojuma 4.2.sadaļā</w:t>
      </w:r>
    </w:p>
  </w:footnote>
  <w:footnote w:id="70">
    <w:p w14:paraId="6CCF1211" w14:textId="648B1B5B" w:rsidR="00866986" w:rsidRDefault="00866986" w:rsidP="00B21B05">
      <w:pPr>
        <w:pStyle w:val="FootnoteText"/>
      </w:pPr>
      <w:r>
        <w:rPr>
          <w:rStyle w:val="FootnoteReference"/>
        </w:rPr>
        <w:footnoteRef/>
      </w:r>
      <w:r>
        <w:t xml:space="preserve"> MK 2010. gada 28. decembra noteikumi Nr. 1220 “Asignējumu piešķiršanas un izpildes kārtība”</w:t>
      </w:r>
    </w:p>
  </w:footnote>
  <w:footnote w:id="71">
    <w:p w14:paraId="6A957B04" w14:textId="47A5502C" w:rsidR="00866986" w:rsidRDefault="00866986" w:rsidP="00F1737A">
      <w:pPr>
        <w:pStyle w:val="FootnoteText"/>
        <w:jc w:val="both"/>
      </w:pPr>
      <w:r>
        <w:rPr>
          <w:rStyle w:val="FootnoteReference"/>
        </w:rPr>
        <w:footnoteRef/>
      </w:r>
      <w:r>
        <w:t xml:space="preserve"> MK 2010. gada 28. decembra noteikumi Nr. 1220 “Asignējumu piešķiršanas un izpildes kārtība” 51. punkts.</w:t>
      </w:r>
    </w:p>
  </w:footnote>
  <w:footnote w:id="72">
    <w:p w14:paraId="5EF4FD6D" w14:textId="4F5FFE86" w:rsidR="00866986" w:rsidRPr="00454C88" w:rsidRDefault="00866986" w:rsidP="00B21B05">
      <w:pPr>
        <w:jc w:val="both"/>
        <w:rPr>
          <w:rFonts w:cs="Times New Roman"/>
          <w:sz w:val="20"/>
          <w:szCs w:val="20"/>
        </w:rPr>
      </w:pPr>
      <w:r w:rsidRPr="00675002">
        <w:rPr>
          <w:rStyle w:val="FootnoteReference"/>
          <w:sz w:val="20"/>
          <w:szCs w:val="20"/>
        </w:rPr>
        <w:footnoteRef/>
      </w:r>
      <w:r w:rsidRPr="00675002">
        <w:rPr>
          <w:sz w:val="20"/>
          <w:szCs w:val="20"/>
        </w:rPr>
        <w:t xml:space="preserve"> </w:t>
      </w:r>
      <w:r w:rsidRPr="00675002">
        <w:rPr>
          <w:rFonts w:cs="Times New Roman"/>
          <w:sz w:val="20"/>
          <w:szCs w:val="20"/>
        </w:rPr>
        <w:t>M</w:t>
      </w:r>
      <w:r>
        <w:rPr>
          <w:rFonts w:cs="Times New Roman"/>
          <w:sz w:val="20"/>
          <w:szCs w:val="20"/>
        </w:rPr>
        <w:t>K</w:t>
      </w:r>
      <w:r w:rsidRPr="00675002">
        <w:rPr>
          <w:rFonts w:cs="Times New Roman"/>
          <w:sz w:val="20"/>
          <w:szCs w:val="20"/>
        </w:rPr>
        <w:t xml:space="preserve"> 2015.</w:t>
      </w:r>
      <w:r>
        <w:rPr>
          <w:rFonts w:cs="Times New Roman"/>
          <w:sz w:val="20"/>
          <w:szCs w:val="20"/>
        </w:rPr>
        <w:t> </w:t>
      </w:r>
      <w:r w:rsidRPr="00675002">
        <w:rPr>
          <w:rFonts w:cs="Times New Roman"/>
          <w:sz w:val="20"/>
          <w:szCs w:val="20"/>
        </w:rPr>
        <w:t>gada 13.</w:t>
      </w:r>
      <w:r>
        <w:rPr>
          <w:rFonts w:cs="Times New Roman"/>
          <w:sz w:val="20"/>
          <w:szCs w:val="20"/>
        </w:rPr>
        <w:t> </w:t>
      </w:r>
      <w:r w:rsidRPr="00675002">
        <w:rPr>
          <w:rFonts w:cs="Times New Roman"/>
          <w:sz w:val="20"/>
          <w:szCs w:val="20"/>
        </w:rPr>
        <w:t>maija noteikum</w:t>
      </w:r>
      <w:r>
        <w:rPr>
          <w:rFonts w:cs="Times New Roman"/>
          <w:sz w:val="20"/>
          <w:szCs w:val="20"/>
        </w:rPr>
        <w:t xml:space="preserve">u </w:t>
      </w:r>
      <w:r w:rsidRPr="00675002">
        <w:rPr>
          <w:rFonts w:cs="Times New Roman"/>
          <w:sz w:val="20"/>
          <w:szCs w:val="20"/>
        </w:rPr>
        <w:t>Nr.</w:t>
      </w:r>
      <w:r>
        <w:rPr>
          <w:rFonts w:cs="Times New Roman"/>
          <w:sz w:val="20"/>
          <w:szCs w:val="20"/>
        </w:rPr>
        <w:t> </w:t>
      </w:r>
      <w:r w:rsidRPr="00675002">
        <w:rPr>
          <w:rFonts w:cs="Times New Roman"/>
          <w:sz w:val="20"/>
          <w:szCs w:val="20"/>
        </w:rPr>
        <w:t xml:space="preserve">130 “Noteikumi par valsts budžeta līdzekļu plānošanu Eiropas Savienības </w:t>
      </w:r>
      <w:r w:rsidRPr="00454C88">
        <w:rPr>
          <w:rFonts w:cs="Times New Roman"/>
          <w:sz w:val="20"/>
          <w:szCs w:val="20"/>
        </w:rPr>
        <w:t>struktūrfondu un Kohēzijas fonda projektu īstenošanai un maksājumu veikšanu 2014.-2020.gada plānošanas periodā” 18.</w:t>
      </w:r>
      <w:r>
        <w:rPr>
          <w:rFonts w:cs="Times New Roman"/>
          <w:sz w:val="20"/>
          <w:szCs w:val="20"/>
        </w:rPr>
        <w:t> </w:t>
      </w:r>
      <w:r w:rsidRPr="00454C88">
        <w:rPr>
          <w:rFonts w:cs="Times New Roman"/>
          <w:sz w:val="20"/>
          <w:szCs w:val="20"/>
        </w:rPr>
        <w:t xml:space="preserve">punkts </w:t>
      </w:r>
      <w:r>
        <w:rPr>
          <w:rFonts w:cs="Times New Roman"/>
          <w:sz w:val="20"/>
          <w:szCs w:val="20"/>
        </w:rPr>
        <w:t>“</w:t>
      </w:r>
      <w:r w:rsidRPr="00A625E0">
        <w:rPr>
          <w:rFonts w:cs="Times New Roman"/>
          <w:sz w:val="20"/>
          <w:szCs w:val="20"/>
        </w:rPr>
        <w:t xml:space="preserve">18. Ja </w:t>
      </w:r>
      <w:r>
        <w:rPr>
          <w:rFonts w:cs="Times New Roman"/>
          <w:sz w:val="20"/>
          <w:szCs w:val="20"/>
        </w:rPr>
        <w:t>FS</w:t>
      </w:r>
      <w:r w:rsidRPr="00A625E0">
        <w:rPr>
          <w:rFonts w:cs="Times New Roman"/>
          <w:sz w:val="20"/>
          <w:szCs w:val="20"/>
        </w:rPr>
        <w:t xml:space="preserve">, kas ir valsts budžeta iestāde, vienošanās </w:t>
      </w:r>
      <w:r w:rsidRPr="00A625E0">
        <w:rPr>
          <w:rFonts w:cs="Times New Roman"/>
          <w:b/>
          <w:sz w:val="20"/>
          <w:szCs w:val="20"/>
        </w:rPr>
        <w:t>noteiktajos termiņos neiesniedz maksājuma pieprasījumu</w:t>
      </w:r>
      <w:r w:rsidRPr="00A625E0">
        <w:rPr>
          <w:rFonts w:cs="Times New Roman"/>
          <w:sz w:val="20"/>
          <w:szCs w:val="20"/>
        </w:rPr>
        <w:t xml:space="preserve">, </w:t>
      </w:r>
      <w:r>
        <w:rPr>
          <w:rFonts w:cs="Times New Roman"/>
          <w:b/>
          <w:sz w:val="20"/>
          <w:szCs w:val="20"/>
        </w:rPr>
        <w:t>SI</w:t>
      </w:r>
      <w:r w:rsidRPr="00A625E0">
        <w:rPr>
          <w:rFonts w:cs="Times New Roman"/>
          <w:sz w:val="20"/>
          <w:szCs w:val="20"/>
        </w:rPr>
        <w:t xml:space="preserve"> atbilstoši normatīvajiem aktiem par asignējumu piešķiršanas un izpildes kārtību </w:t>
      </w:r>
      <w:r w:rsidRPr="00A625E0">
        <w:rPr>
          <w:rFonts w:cs="Times New Roman"/>
          <w:b/>
          <w:sz w:val="20"/>
          <w:szCs w:val="20"/>
        </w:rPr>
        <w:t>var pieņemt lēmumu par asignējuma apturēšanu</w:t>
      </w:r>
      <w:r w:rsidRPr="00A625E0">
        <w:rPr>
          <w:rFonts w:cs="Times New Roman"/>
          <w:sz w:val="20"/>
          <w:szCs w:val="20"/>
        </w:rPr>
        <w:t>.</w:t>
      </w:r>
    </w:p>
  </w:footnote>
  <w:footnote w:id="73">
    <w:p w14:paraId="77AB241F" w14:textId="5013194E" w:rsidR="00866986" w:rsidRPr="00960D5F" w:rsidRDefault="00866986" w:rsidP="00B21B05">
      <w:pPr>
        <w:pStyle w:val="FootnoteText"/>
        <w:jc w:val="both"/>
      </w:pPr>
      <w:r w:rsidRPr="00320A15">
        <w:rPr>
          <w:rStyle w:val="FootnoteReference"/>
        </w:rPr>
        <w:footnoteRef/>
      </w:r>
      <w:r w:rsidRPr="00320A15">
        <w:t xml:space="preserve"> Pastarpinātā pārvaldes iestāde, atvasināta publiska persona, t.sk. plānošanas reģioni, pašvaldības vai cita valsts</w:t>
      </w:r>
      <w:r w:rsidRPr="005B1ECC">
        <w:t xml:space="preserve"> iestāde, t.sk. ALTUM, fiziskas personas vai Latvijas Republikā reģistrētas juridiskas per</w:t>
      </w:r>
      <w:r>
        <w:t>sonas vai šo personu apvienības</w:t>
      </w:r>
      <w:r w:rsidRPr="00960D5F">
        <w:rPr>
          <w:rFonts w:cs="Times New Roman"/>
        </w:rPr>
        <w:t>.</w:t>
      </w:r>
      <w:r>
        <w:rPr>
          <w:rFonts w:cs="Times New Roman"/>
        </w:rPr>
        <w:t xml:space="preserve"> (Saskaņā ar ES fondu likuma 1. panta (2) </w:t>
      </w:r>
      <w:hyperlink r:id="rId24" w:history="1">
        <w:r w:rsidRPr="00F04505">
          <w:rPr>
            <w:rStyle w:val="Hyperlink"/>
            <w:rFonts w:cs="Times New Roman"/>
          </w:rPr>
          <w:t>https://likumi.lv/doc.php?id=267471</w:t>
        </w:r>
      </w:hyperlink>
      <w:r>
        <w:rPr>
          <w:rFonts w:cs="Times New Roman"/>
        </w:rPr>
        <w:t xml:space="preserve">) </w:t>
      </w:r>
    </w:p>
  </w:footnote>
  <w:footnote w:id="74">
    <w:p w14:paraId="7B95BE2E" w14:textId="30B43F16" w:rsidR="00866986" w:rsidRDefault="00866986" w:rsidP="00B21B05">
      <w:pPr>
        <w:pStyle w:val="FootnoteText"/>
        <w:jc w:val="both"/>
      </w:pPr>
      <w:r>
        <w:rPr>
          <w:rStyle w:val="FootnoteReference"/>
        </w:rPr>
        <w:footnoteRef/>
      </w:r>
      <w:r>
        <w:t xml:space="preserve"> </w:t>
      </w:r>
      <w:r w:rsidRPr="00465C3B">
        <w:rPr>
          <w:rFonts w:cs="Times New Roman"/>
        </w:rPr>
        <w:t>M</w:t>
      </w:r>
      <w:r>
        <w:rPr>
          <w:rFonts w:cs="Times New Roman"/>
        </w:rPr>
        <w:t>K</w:t>
      </w:r>
      <w:r w:rsidRPr="00465C3B">
        <w:rPr>
          <w:rFonts w:cs="Times New Roman"/>
        </w:rPr>
        <w:t xml:space="preserve"> 2014.</w:t>
      </w:r>
      <w:r>
        <w:rPr>
          <w:rFonts w:cs="Times New Roman"/>
        </w:rPr>
        <w:t> </w:t>
      </w:r>
      <w:r w:rsidRPr="00465C3B">
        <w:rPr>
          <w:rFonts w:cs="Times New Roman"/>
        </w:rPr>
        <w:t>gada 16.</w:t>
      </w:r>
      <w:r>
        <w:rPr>
          <w:rFonts w:cs="Times New Roman"/>
        </w:rPr>
        <w:t> </w:t>
      </w:r>
      <w:r w:rsidRPr="00465C3B">
        <w:rPr>
          <w:rFonts w:cs="Times New Roman"/>
        </w:rPr>
        <w:t>decembra noteikumi Nr.</w:t>
      </w:r>
      <w:r>
        <w:rPr>
          <w:rFonts w:cs="Times New Roman"/>
        </w:rPr>
        <w:t> </w:t>
      </w:r>
      <w:r w:rsidRPr="00465C3B">
        <w:rPr>
          <w:rFonts w:cs="Times New Roman"/>
        </w:rPr>
        <w:t>784 “</w:t>
      </w:r>
      <w:hyperlink r:id="rId25" w:tgtFrame="_blank" w:history="1">
        <w:r w:rsidRPr="000E5968">
          <w:rPr>
            <w:rStyle w:val="Hyperlink"/>
            <w:rFonts w:cs="Times New Roman"/>
          </w:rPr>
          <w:t>Kārtība, kādā Eiropas Savienības struktūrfondu un Kohēzijas fonda vadībā iesaistītās institūcijas nodrošina plānošanas dokumentu sagatavošanu un šo fondu ieviešanu 2014.–2020.gada plānošanas periodā</w:t>
        </w:r>
      </w:hyperlink>
      <w:r w:rsidRPr="00465C3B">
        <w:rPr>
          <w:rFonts w:cs="Times New Roman"/>
        </w:rPr>
        <w:t>”</w:t>
      </w:r>
      <w:r>
        <w:rPr>
          <w:rFonts w:cs="Times New Roman"/>
        </w:rPr>
        <w:t>.</w:t>
      </w:r>
    </w:p>
  </w:footnote>
  <w:footnote w:id="75">
    <w:p w14:paraId="7532231A" w14:textId="0DE4F1C2" w:rsidR="00866986" w:rsidRDefault="00866986" w:rsidP="008B5704">
      <w:pPr>
        <w:pStyle w:val="FootnoteText"/>
        <w:jc w:val="both"/>
      </w:pPr>
      <w:r>
        <w:rPr>
          <w:rStyle w:val="FootnoteReference"/>
        </w:rPr>
        <w:footnoteRef/>
      </w:r>
      <w:r>
        <w:t xml:space="preserve"> </w:t>
      </w:r>
      <w:r w:rsidRPr="008B5704">
        <w:t>M</w:t>
      </w:r>
      <w:r>
        <w:t>K</w:t>
      </w:r>
      <w:r w:rsidRPr="008B5704">
        <w:t xml:space="preserve"> 2014.</w:t>
      </w:r>
      <w:r>
        <w:t> </w:t>
      </w:r>
      <w:r w:rsidRPr="008B5704">
        <w:t>gada 16.</w:t>
      </w:r>
      <w:r>
        <w:t> </w:t>
      </w:r>
      <w:r w:rsidRPr="008B5704">
        <w:t>decembra noteikumi Nr.</w:t>
      </w:r>
      <w:r>
        <w:t> </w:t>
      </w:r>
      <w:r w:rsidRPr="008B5704">
        <w:t>784 “Kārtība, kādā Eiropas Savienības struktūrfondu un Kohēzijas fonda vadībā iesaistītās institūcijas nodrošina plānošanas dokumentu sagatavošanu un šo fondu ieviešanu 2014.–2020.gada plānošanas periodā”.</w:t>
      </w:r>
    </w:p>
  </w:footnote>
  <w:footnote w:id="76">
    <w:p w14:paraId="3AADF3E8" w14:textId="231B4CE3" w:rsidR="00866986" w:rsidRDefault="00866986" w:rsidP="00B21B05">
      <w:pPr>
        <w:pStyle w:val="FootnoteText"/>
        <w:jc w:val="both"/>
      </w:pPr>
      <w:r>
        <w:rPr>
          <w:rStyle w:val="FootnoteReference"/>
        </w:rPr>
        <w:footnoteRef/>
      </w:r>
      <w:r>
        <w:t xml:space="preserve"> </w:t>
      </w:r>
      <w:r w:rsidRPr="000A267C">
        <w:t xml:space="preserve">Kā iespējamais variants pirms kārtējās MK sēdes reizi pusgadā vai gadā var attiecīgi rīkot ministru semināru, kura ietvaros tiek izskatītas novirzes daudz plašākā formā, pieaicinot, ja nepieciešams, </w:t>
      </w:r>
      <w:r>
        <w:t>FS</w:t>
      </w:r>
      <w:r w:rsidRPr="000A267C">
        <w:t xml:space="preserve"> un citus atbildīgos</w:t>
      </w:r>
    </w:p>
  </w:footnote>
  <w:footnote w:id="77">
    <w:p w14:paraId="1FFFAE43" w14:textId="77777777" w:rsidR="00866986" w:rsidRDefault="00866986" w:rsidP="00B07C5E">
      <w:pPr>
        <w:pStyle w:val="FootnoteText"/>
      </w:pPr>
      <w:r>
        <w:rPr>
          <w:rStyle w:val="FootnoteReference"/>
        </w:rPr>
        <w:footnoteRef/>
      </w:r>
      <w:r>
        <w:t xml:space="preserve"> Pieejami ES fondu tīmekļa vietnē </w:t>
      </w:r>
      <w:hyperlink r:id="rId26" w:history="1">
        <w:r w:rsidRPr="00015BBA">
          <w:rPr>
            <w:rStyle w:val="Hyperlink"/>
          </w:rPr>
          <w:t>http://www.esfondi.lv/2018.gads</w:t>
        </w:r>
      </w:hyperlink>
      <w:r>
        <w:t xml:space="preserve"> </w:t>
      </w:r>
    </w:p>
  </w:footnote>
  <w:footnote w:id="78">
    <w:p w14:paraId="3E72D53C" w14:textId="4A035DF8" w:rsidR="00866986" w:rsidRPr="000F631D" w:rsidRDefault="00866986" w:rsidP="00B21B05">
      <w:pPr>
        <w:pStyle w:val="FootnoteText"/>
        <w:jc w:val="both"/>
        <w:rPr>
          <w:rFonts w:cs="Times New Roman"/>
        </w:rPr>
      </w:pPr>
      <w:r w:rsidRPr="00960D5F">
        <w:rPr>
          <w:rStyle w:val="FootnoteReference"/>
        </w:rPr>
        <w:footnoteRef/>
      </w:r>
      <w:r w:rsidRPr="00960D5F">
        <w:t xml:space="preserve"> </w:t>
      </w:r>
      <w:r w:rsidRPr="005B1ECC">
        <w:t>Pastarpinātā pārvaldes iestāde, atvasināta publiska persona, t.sk. plānošanas reģioni, pašvaldības vai cita valsts iestāde, fiziskas personas vai Latvijas Republikā reģistrētas juridiskas personas</w:t>
      </w:r>
      <w:r>
        <w:t>, t.sk. ALTUM,</w:t>
      </w:r>
      <w:r w:rsidRPr="005B1ECC">
        <w:t xml:space="preserve"> vai šo personu apvienības.</w:t>
      </w:r>
      <w:r>
        <w:t xml:space="preserve"> </w:t>
      </w:r>
      <w:r>
        <w:rPr>
          <w:rFonts w:cs="Times New Roman"/>
        </w:rPr>
        <w:t xml:space="preserve">(Saskaņā ar ES fondu likuma 1.panta (2) </w:t>
      </w:r>
      <w:hyperlink r:id="rId27" w:history="1">
        <w:r w:rsidRPr="00F04505">
          <w:rPr>
            <w:rStyle w:val="Hyperlink"/>
            <w:rFonts w:cs="Times New Roman"/>
          </w:rPr>
          <w:t>https://likumi.lv/doc.php?id=267471</w:t>
        </w:r>
      </w:hyperlink>
      <w:r>
        <w:rPr>
          <w:rFonts w:cs="Times New Roman"/>
        </w:rPr>
        <w:t>)</w:t>
      </w:r>
    </w:p>
  </w:footnote>
  <w:footnote w:id="79">
    <w:p w14:paraId="566B4359" w14:textId="564B514F" w:rsidR="00866986" w:rsidRDefault="00866986" w:rsidP="00B21B05">
      <w:pPr>
        <w:pStyle w:val="FootnoteText"/>
        <w:jc w:val="both"/>
      </w:pPr>
      <w:r w:rsidRPr="00960D5F">
        <w:rPr>
          <w:rStyle w:val="FootnoteReference"/>
        </w:rPr>
        <w:footnoteRef/>
      </w:r>
      <w:r w:rsidRPr="00960D5F">
        <w:t xml:space="preserve"> </w:t>
      </w:r>
      <w:r w:rsidRPr="00960D5F">
        <w:rPr>
          <w:rFonts w:cs="Times New Roman"/>
        </w:rPr>
        <w:t>M</w:t>
      </w:r>
      <w:r>
        <w:rPr>
          <w:rFonts w:cs="Times New Roman"/>
        </w:rPr>
        <w:t>K</w:t>
      </w:r>
      <w:r w:rsidRPr="00960D5F">
        <w:rPr>
          <w:rFonts w:cs="Times New Roman"/>
        </w:rPr>
        <w:t xml:space="preserve"> 2014.</w:t>
      </w:r>
      <w:r>
        <w:rPr>
          <w:rFonts w:cs="Times New Roman"/>
        </w:rPr>
        <w:t> </w:t>
      </w:r>
      <w:r w:rsidRPr="00960D5F">
        <w:rPr>
          <w:rFonts w:cs="Times New Roman"/>
        </w:rPr>
        <w:t>gada 16.</w:t>
      </w:r>
      <w:r>
        <w:rPr>
          <w:rFonts w:cs="Times New Roman"/>
        </w:rPr>
        <w:t> </w:t>
      </w:r>
      <w:r w:rsidRPr="00960D5F">
        <w:rPr>
          <w:rFonts w:cs="Times New Roman"/>
        </w:rPr>
        <w:t>decembra noteikumi Nr.</w:t>
      </w:r>
      <w:r>
        <w:rPr>
          <w:rFonts w:cs="Times New Roman"/>
        </w:rPr>
        <w:t> </w:t>
      </w:r>
      <w:r w:rsidRPr="00960D5F">
        <w:rPr>
          <w:rFonts w:cs="Times New Roman"/>
        </w:rPr>
        <w:t>784 “</w:t>
      </w:r>
      <w:hyperlink r:id="rId28" w:tgtFrame="_blank" w:history="1">
        <w:r w:rsidRPr="00960D5F">
          <w:rPr>
            <w:rStyle w:val="Hyperlink"/>
            <w:rFonts w:cs="Times New Roman"/>
          </w:rPr>
          <w:t>Kārtība, kādā Eiropas Savienības struktūrfondu un Kohēzijas fonda vadībā iesaistītās institūcijas nodrošina plānošanas dokumentu sagatavošanu un šo fondu ieviešanu 2014.–2020.gada plānošanas periodā</w:t>
        </w:r>
      </w:hyperlink>
      <w:r w:rsidRPr="00465C3B">
        <w:rPr>
          <w:rFonts w:cs="Times New Roman"/>
        </w:rPr>
        <w:t>”</w:t>
      </w:r>
      <w:r>
        <w:rPr>
          <w:rFonts w:cs="Times New Roman"/>
        </w:rPr>
        <w:t xml:space="preserve">. </w:t>
      </w:r>
      <w:r w:rsidRPr="00CD5F56">
        <w:rPr>
          <w:rFonts w:cs="Times New Roman"/>
        </w:rPr>
        <w:t xml:space="preserve">MK var izskatīt ikmēneša ziņojuma ietvaros piedāvātos problēmas risinājumus, var dot uzdevumus ES fondu vadībā iesaistītajām institūcijām, taču nevar pieņemt lēmumu par konkrētu finanšu disciplīnas pasākumu piemērošanu pret konkrētajiem </w:t>
      </w:r>
      <w:r>
        <w:rPr>
          <w:rFonts w:cs="Times New Roman"/>
        </w:rPr>
        <w:t>FS</w:t>
      </w:r>
      <w:r w:rsidRPr="00CD5F56">
        <w:rPr>
          <w:rFonts w:cs="Times New Roman"/>
        </w:rPr>
        <w:t xml:space="preserve"> bez attiecīga tiesiskā regulējuma.</w:t>
      </w:r>
    </w:p>
  </w:footnote>
  <w:footnote w:id="80">
    <w:p w14:paraId="487EFC31" w14:textId="227B19F2" w:rsidR="00866986" w:rsidRPr="005C7FB7" w:rsidRDefault="00866986" w:rsidP="002E079C">
      <w:pPr>
        <w:pStyle w:val="FootnoteText"/>
        <w:jc w:val="both"/>
      </w:pPr>
      <w:r w:rsidRPr="005C7FB7">
        <w:rPr>
          <w:rStyle w:val="FootnoteReference"/>
        </w:rPr>
        <w:footnoteRef/>
      </w:r>
      <w:r w:rsidRPr="005C7FB7">
        <w:t xml:space="preserve"> Pasākumi, kas saistīti ar ES fondu finansējuma samazinājumu ir vērtējami, ņemot vērā šādas rīcības iespējamo negatīvo ietekmi uz valsts budžetu, kā arī sabiedrības interesēm kopumā un to, ka vienošanās par projekta īstenošanu puses pieder vienai publiskai personai, proti, Latvijas Republikai. Līdz ar to lēmumus par šādu projektu nākotni un finansējuma pārdali var pieņemt MK, izvērtējot visu ar šādu projektu īstenošanu saistīto informāciju.</w:t>
      </w:r>
    </w:p>
  </w:footnote>
  <w:footnote w:id="81">
    <w:p w14:paraId="4A9DCE20" w14:textId="64179590" w:rsidR="00866986" w:rsidRPr="005C7FB7" w:rsidRDefault="00866986" w:rsidP="002E079C">
      <w:pPr>
        <w:ind w:left="29"/>
        <w:jc w:val="both"/>
        <w:rPr>
          <w:rFonts w:cs="Times New Roman"/>
          <w:sz w:val="20"/>
          <w:szCs w:val="20"/>
          <w:lang w:eastAsia="lv-LV"/>
        </w:rPr>
      </w:pPr>
      <w:r w:rsidRPr="005C7FB7">
        <w:rPr>
          <w:rStyle w:val="FootnoteReference"/>
          <w:sz w:val="20"/>
          <w:szCs w:val="20"/>
        </w:rPr>
        <w:footnoteRef/>
      </w:r>
      <w:r w:rsidRPr="005C7FB7">
        <w:rPr>
          <w:sz w:val="20"/>
          <w:szCs w:val="20"/>
        </w:rPr>
        <w:t xml:space="preserve"> </w:t>
      </w:r>
      <w:r w:rsidRPr="005C7FB7">
        <w:rPr>
          <w:rFonts w:cs="Times New Roman"/>
          <w:sz w:val="20"/>
          <w:szCs w:val="20"/>
          <w:lang w:eastAsia="lv-LV"/>
        </w:rPr>
        <w:t xml:space="preserve">MK var izskatīt ikmēneša ziņojuma ietvaros piedāvātos problēmas risinājumus, var dot uzdevumus ES fondu vadībā iesaistītajām institūcijām, taču nevar pieņemt lēmumu par konkrētu finanšu disciplīnas pasākumu piemērošanu pret konkrētajiem </w:t>
      </w:r>
      <w:r>
        <w:rPr>
          <w:rFonts w:cs="Times New Roman"/>
          <w:sz w:val="20"/>
          <w:szCs w:val="20"/>
          <w:lang w:eastAsia="lv-LV"/>
        </w:rPr>
        <w:t>FS</w:t>
      </w:r>
      <w:r w:rsidRPr="005C7FB7">
        <w:rPr>
          <w:rFonts w:cs="Times New Roman"/>
          <w:sz w:val="20"/>
          <w:szCs w:val="20"/>
          <w:lang w:eastAsia="lv-LV"/>
        </w:rPr>
        <w:t xml:space="preserve"> bez attiecīga tiesiskā regulējuma.</w:t>
      </w:r>
    </w:p>
  </w:footnote>
  <w:footnote w:id="82">
    <w:p w14:paraId="22F971CD" w14:textId="77D190A6" w:rsidR="00866986" w:rsidRDefault="00866986" w:rsidP="002E079C">
      <w:pPr>
        <w:pStyle w:val="FootnoteText"/>
        <w:jc w:val="both"/>
      </w:pPr>
      <w:r>
        <w:rPr>
          <w:rStyle w:val="FootnoteReference"/>
        </w:rPr>
        <w:footnoteRef/>
      </w:r>
      <w:r>
        <w:t xml:space="preserve"> </w:t>
      </w:r>
      <w:r w:rsidRPr="00465C3B">
        <w:rPr>
          <w:rFonts w:cs="Times New Roman"/>
        </w:rPr>
        <w:t>M</w:t>
      </w:r>
      <w:r>
        <w:rPr>
          <w:rFonts w:cs="Times New Roman"/>
        </w:rPr>
        <w:t>K</w:t>
      </w:r>
      <w:r w:rsidRPr="00465C3B">
        <w:rPr>
          <w:rFonts w:cs="Times New Roman"/>
        </w:rPr>
        <w:t xml:space="preserve"> 2014.</w:t>
      </w:r>
      <w:r>
        <w:rPr>
          <w:rFonts w:cs="Times New Roman"/>
        </w:rPr>
        <w:t> </w:t>
      </w:r>
      <w:r w:rsidRPr="00465C3B">
        <w:rPr>
          <w:rFonts w:cs="Times New Roman"/>
        </w:rPr>
        <w:t>gada 16.</w:t>
      </w:r>
      <w:r>
        <w:rPr>
          <w:rFonts w:cs="Times New Roman"/>
        </w:rPr>
        <w:t> </w:t>
      </w:r>
      <w:r w:rsidRPr="00465C3B">
        <w:rPr>
          <w:rFonts w:cs="Times New Roman"/>
        </w:rPr>
        <w:t>decembra noteikumi Nr.</w:t>
      </w:r>
      <w:r>
        <w:rPr>
          <w:rFonts w:cs="Times New Roman"/>
        </w:rPr>
        <w:t> </w:t>
      </w:r>
      <w:r w:rsidRPr="00465C3B">
        <w:rPr>
          <w:rFonts w:cs="Times New Roman"/>
        </w:rPr>
        <w:t>784 “</w:t>
      </w:r>
      <w:hyperlink r:id="rId29" w:tgtFrame="_blank" w:history="1">
        <w:r w:rsidRPr="000E5968">
          <w:rPr>
            <w:rStyle w:val="Hyperlink"/>
            <w:rFonts w:cs="Times New Roman"/>
          </w:rPr>
          <w:t>Kārtība, kādā Eiropas Savienības struktūrfondu un Kohēzijas fonda vadībā iesaistītās institūcijas nodrošina plānošanas dokumentu sagatavošanu un šo fondu ieviešanu 2014.–2020.gada plānošanas periodā</w:t>
        </w:r>
      </w:hyperlink>
      <w:r w:rsidRPr="00465C3B">
        <w:rPr>
          <w:rFonts w:cs="Times New Roman"/>
        </w:rPr>
        <w:t>”</w:t>
      </w:r>
    </w:p>
  </w:footnote>
  <w:footnote w:id="83">
    <w:p w14:paraId="568F8696" w14:textId="77777777" w:rsidR="00866986" w:rsidRDefault="00866986" w:rsidP="002E079C">
      <w:pPr>
        <w:pStyle w:val="FootnoteText"/>
        <w:jc w:val="both"/>
      </w:pPr>
      <w:r>
        <w:rPr>
          <w:rStyle w:val="FootnoteReference"/>
        </w:rPr>
        <w:footnoteRef/>
      </w:r>
      <w:r>
        <w:t xml:space="preserve"> </w:t>
      </w:r>
      <w:r w:rsidRPr="00CD713D">
        <w:rPr>
          <w:rFonts w:cs="Times New Roman"/>
          <w:sz w:val="22"/>
          <w:szCs w:val="22"/>
          <w:lang w:eastAsia="lv-LV"/>
        </w:rPr>
        <w:t xml:space="preserve">Gadījumā, ja projektu iesniegumu atlase vēl nav izsludināta, minētos ierobežojumus attiecībā uz projektu izdevumu </w:t>
      </w:r>
      <w:proofErr w:type="spellStart"/>
      <w:r w:rsidRPr="00CD713D">
        <w:rPr>
          <w:rFonts w:cs="Times New Roman"/>
          <w:sz w:val="22"/>
          <w:szCs w:val="22"/>
          <w:lang w:eastAsia="lv-LV"/>
        </w:rPr>
        <w:t>attiecināmības</w:t>
      </w:r>
      <w:proofErr w:type="spellEnd"/>
      <w:r w:rsidRPr="00CD713D">
        <w:rPr>
          <w:rFonts w:cs="Times New Roman"/>
          <w:sz w:val="22"/>
          <w:szCs w:val="22"/>
          <w:lang w:eastAsia="lv-LV"/>
        </w:rPr>
        <w:t xml:space="preserve"> pagarināšanu un līdzfinansējuma samazināšanu pēc MK lēmuma par šāda priekšlikuma atbalstīšanu CFLA iekļaus līguma projektos par projekta īstenošanu (attiecīgi nav nepieciešams pārejas periods).</w:t>
      </w:r>
    </w:p>
  </w:footnote>
  <w:footnote w:id="84">
    <w:p w14:paraId="5B2AFC69" w14:textId="3DA71A41" w:rsidR="00866986" w:rsidRDefault="00866986" w:rsidP="002E079C">
      <w:pPr>
        <w:pStyle w:val="FootnoteText"/>
      </w:pPr>
      <w:r>
        <w:rPr>
          <w:rStyle w:val="FootnoteReference"/>
        </w:rPr>
        <w:footnoteRef/>
      </w:r>
      <w:r>
        <w:t xml:space="preserve"> </w:t>
      </w:r>
      <w:r w:rsidRPr="00917804">
        <w:rPr>
          <w:rFonts w:cs="Times New Roman"/>
        </w:rPr>
        <w:t xml:space="preserve">Nākamais vērtēšanas periods būtu </w:t>
      </w:r>
      <w:r>
        <w:rPr>
          <w:rFonts w:cs="Times New Roman"/>
        </w:rPr>
        <w:t>–</w:t>
      </w:r>
      <w:r w:rsidRPr="00917804">
        <w:rPr>
          <w:rFonts w:cs="Times New Roman"/>
        </w:rPr>
        <w:t xml:space="preserve"> </w:t>
      </w:r>
      <w:r>
        <w:rPr>
          <w:rFonts w:cs="Times New Roman"/>
        </w:rPr>
        <w:t>nākamā gada (2019) februāris – marts</w:t>
      </w:r>
      <w:r w:rsidRPr="00917804">
        <w:rPr>
          <w:rFonts w:cs="Times New Roman"/>
        </w:rPr>
        <w:t>.</w:t>
      </w:r>
    </w:p>
  </w:footnote>
  <w:footnote w:id="85">
    <w:p w14:paraId="1B2232C5" w14:textId="783C8328" w:rsidR="00866986" w:rsidRPr="00382094" w:rsidRDefault="00866986" w:rsidP="002E079C">
      <w:pPr>
        <w:pStyle w:val="FootnoteText"/>
        <w:jc w:val="both"/>
      </w:pPr>
      <w:r>
        <w:rPr>
          <w:rStyle w:val="FootnoteReference"/>
        </w:rPr>
        <w:footnoteRef/>
      </w:r>
      <w:r>
        <w:t xml:space="preserve"> </w:t>
      </w:r>
      <w:r w:rsidRPr="00382094">
        <w:t xml:space="preserve">Kā iespējamais variants pirms kārtējās MK sēdes reizi pusgadā vai gadā var attiecīgi rīkot ministru semināru, kura ietvaros tiek izskatītas novirzes daudz plašākā formā, pieaicinot, ja nepieciešams, </w:t>
      </w:r>
      <w:r>
        <w:t>FS</w:t>
      </w:r>
      <w:r w:rsidRPr="00382094">
        <w:t xml:space="preserve"> un citus atbildīgos</w:t>
      </w:r>
    </w:p>
  </w:footnote>
  <w:footnote w:id="86">
    <w:p w14:paraId="0A027541" w14:textId="77777777" w:rsidR="00866986" w:rsidRPr="003B14B3" w:rsidRDefault="00866986" w:rsidP="002E079C">
      <w:pPr>
        <w:pStyle w:val="FootnoteText"/>
        <w:jc w:val="both"/>
      </w:pPr>
      <w:r>
        <w:rPr>
          <w:rStyle w:val="FootnoteReference"/>
        </w:rPr>
        <w:footnoteRef/>
      </w:r>
      <w:r>
        <w:t xml:space="preserve"> </w:t>
      </w:r>
      <w:r w:rsidRPr="003B14B3">
        <w:t>par visām projektu izmaiņām, kas lielākas par identificēšanas posmā minētajām, kā arī par konkrētajiem iespējamajiem risinājumiem un turpmāko</w:t>
      </w:r>
      <w:r>
        <w:t xml:space="preserve"> rīcību kalendārā gada griezumā, </w:t>
      </w:r>
      <w:r w:rsidRPr="003B14B3">
        <w:t>sniedz detalizētu aprakstu par konstatētajām problēmām, to rašanās cēloņiem, kā arī riskiem, kas var rasties, ja projekta īstenošanā netiks veikti tūlītēji uzlabojumi, piemēram, valsts budžeta nepieciešamo finansējumu kā potenciālo saistību neizpildes sankciju pret EK</w:t>
      </w:r>
      <w:r>
        <w:t xml:space="preserve">; </w:t>
      </w:r>
      <w:r w:rsidRPr="00EC05E9">
        <w:t>kon</w:t>
      </w:r>
      <w:r>
        <w:t xml:space="preserve">krētus priekšlikumus MK lēmumam; </w:t>
      </w:r>
      <w:r w:rsidRPr="00EC05E9">
        <w:t>sniedz informāciju par jau veiktajām un plānotajām pārbaudēm, lai konstatētu, vai minētās problēmas un to rašanas cēloņi ir tieši saistīti ar konkrētu darbinieku/ amatpersonu darbību vai bezdarbību</w:t>
      </w:r>
      <w:r>
        <w:t xml:space="preserve">; </w:t>
      </w:r>
    </w:p>
  </w:footnote>
  <w:footnote w:id="87">
    <w:p w14:paraId="1B58EF3F" w14:textId="77777777" w:rsidR="00866986" w:rsidRDefault="00866986" w:rsidP="002E079C">
      <w:pPr>
        <w:pStyle w:val="FootnoteText"/>
      </w:pPr>
      <w:r>
        <w:rPr>
          <w:rStyle w:val="FootnoteReference"/>
        </w:rPr>
        <w:footnoteRef/>
      </w:r>
      <w:r>
        <w:t xml:space="preserve"> </w:t>
      </w:r>
      <w:r w:rsidRPr="00EC05E9">
        <w:t>FM analīzē informāciju un iestrādā to MK pusgada ziņojumā un protokollēmuma projektā.</w:t>
      </w:r>
    </w:p>
  </w:footnote>
  <w:footnote w:id="88">
    <w:p w14:paraId="3DDEF2F1" w14:textId="77777777" w:rsidR="00866986" w:rsidRPr="00EC05E9" w:rsidRDefault="00866986" w:rsidP="002E079C">
      <w:pPr>
        <w:pStyle w:val="FootnoteText"/>
      </w:pPr>
      <w:r>
        <w:rPr>
          <w:rStyle w:val="FootnoteReference"/>
        </w:rPr>
        <w:footnoteRef/>
      </w:r>
      <w:r>
        <w:t xml:space="preserve"> </w:t>
      </w:r>
      <w:r w:rsidRPr="00EC05E9">
        <w:t>FM un atbildīgās iestādes sniedz atzinumu par MK rīkojuma projektu.</w:t>
      </w:r>
    </w:p>
  </w:footnote>
  <w:footnote w:id="89">
    <w:p w14:paraId="6BB90123" w14:textId="7F421DE7" w:rsidR="00866986" w:rsidRPr="00A6600F" w:rsidRDefault="00866986" w:rsidP="007C5BF3">
      <w:pPr>
        <w:pStyle w:val="FootnoteText"/>
        <w:jc w:val="both"/>
        <w:rPr>
          <w:color w:val="000000" w:themeColor="text1"/>
        </w:rPr>
      </w:pPr>
      <w:r>
        <w:rPr>
          <w:rStyle w:val="FootnoteReference"/>
        </w:rPr>
        <w:footnoteRef/>
      </w:r>
      <w:r w:rsidRPr="00353F65">
        <w:rPr>
          <w:color w:val="000000" w:themeColor="text1"/>
        </w:rPr>
        <w:t>EEZ/</w:t>
      </w:r>
      <w:r>
        <w:rPr>
          <w:color w:val="000000" w:themeColor="text1"/>
        </w:rPr>
        <w:t>Norvēģijas finanšu instrumentu tīmekļa</w:t>
      </w:r>
      <w:r w:rsidRPr="00353F65">
        <w:rPr>
          <w:color w:val="000000" w:themeColor="text1"/>
        </w:rPr>
        <w:t xml:space="preserve"> vietne: </w:t>
      </w:r>
      <w:hyperlink r:id="rId30" w:history="1">
        <w:r w:rsidRPr="002E2AE4">
          <w:rPr>
            <w:rStyle w:val="Hyperlink"/>
            <w:rFonts w:cs="Times New Roman"/>
          </w:rPr>
          <w:t>http://www.eeagrants.lv/?id=23</w:t>
        </w:r>
      </w:hyperlink>
      <w:r>
        <w:t xml:space="preserve"> </w:t>
      </w:r>
      <w:r>
        <w:rPr>
          <w:rStyle w:val="Hyperlink"/>
          <w:rFonts w:cs="Times New Roman"/>
          <w:color w:val="000000" w:themeColor="text1"/>
        </w:rPr>
        <w:t xml:space="preserve">un </w:t>
      </w:r>
      <w:hyperlink r:id="rId31" w:history="1">
        <w:r w:rsidRPr="00A1615D">
          <w:rPr>
            <w:rStyle w:val="Hyperlink"/>
            <w:rFonts w:cs="Times New Roman"/>
          </w:rPr>
          <w:t>http://www.norwaygrants.lv/?id=23</w:t>
        </w:r>
      </w:hyperlink>
    </w:p>
  </w:footnote>
  <w:footnote w:id="90">
    <w:p w14:paraId="734761AE" w14:textId="77777777" w:rsidR="00866986" w:rsidRDefault="00866986" w:rsidP="003D4393">
      <w:pPr>
        <w:pStyle w:val="FootnoteText"/>
      </w:pPr>
      <w:r>
        <w:rPr>
          <w:rStyle w:val="FootnoteReference"/>
        </w:rPr>
        <w:footnoteRef/>
      </w:r>
      <w:r>
        <w:t xml:space="preserve"> </w:t>
      </w:r>
      <w:r w:rsidRPr="00F541EA">
        <w:t>Informācija pieejama tīmekļa vietnē</w:t>
      </w:r>
      <w:r>
        <w:t>s:</w:t>
      </w:r>
      <w:r w:rsidRPr="00F541EA">
        <w:t xml:space="preserve"> </w:t>
      </w:r>
      <w:hyperlink r:id="rId32" w:history="1">
        <w:r w:rsidRPr="00F541EA">
          <w:rPr>
            <w:rStyle w:val="Hyperlink"/>
          </w:rPr>
          <w:t>www.eeagrants.lv</w:t>
        </w:r>
      </w:hyperlink>
      <w:r w:rsidRPr="00F541EA">
        <w:t xml:space="preserve"> un </w:t>
      </w:r>
      <w:hyperlink r:id="rId33" w:history="1">
        <w:r w:rsidRPr="00F541EA">
          <w:rPr>
            <w:rStyle w:val="Hyperlink"/>
          </w:rPr>
          <w:t>www.norwaygrants.lv</w:t>
        </w:r>
      </w:hyperlink>
      <w:r w:rsidRPr="00F541EA">
        <w:t>.</w:t>
      </w:r>
    </w:p>
  </w:footnote>
  <w:footnote w:id="91">
    <w:p w14:paraId="0A29BE43" w14:textId="41210212" w:rsidR="00866986" w:rsidRDefault="00866986" w:rsidP="00A9668E">
      <w:pPr>
        <w:pStyle w:val="FootnoteText"/>
        <w:jc w:val="both"/>
      </w:pPr>
      <w:r>
        <w:rPr>
          <w:rStyle w:val="FootnoteReference"/>
        </w:rPr>
        <w:footnoteRef/>
      </w:r>
      <w:r>
        <w:t xml:space="preserve"> MK 2017. gada 5. decembra noteikumi Nr. 712 “ </w:t>
      </w:r>
      <w:r w:rsidRPr="00A655F2">
        <w:t xml:space="preserve">Par Latvijas Republikas un </w:t>
      </w:r>
      <w:proofErr w:type="spellStart"/>
      <w:r w:rsidRPr="00A655F2">
        <w:t>Īslandes</w:t>
      </w:r>
      <w:proofErr w:type="spellEnd"/>
      <w:r w:rsidRPr="00A655F2">
        <w:t>, Lihtenšteinas Firstistes un Norvēģijas Karalistes saprašanās memorandu par Eiropas Ekonomikas zonas instrumenta ieviešanu 2014.</w:t>
      </w:r>
      <w:r>
        <w:t> </w:t>
      </w:r>
      <w:r w:rsidRPr="00A655F2">
        <w:t>–</w:t>
      </w:r>
      <w:r>
        <w:t> </w:t>
      </w:r>
      <w:r w:rsidRPr="00A655F2">
        <w:t>2021.</w:t>
      </w:r>
      <w:r>
        <w:t> </w:t>
      </w:r>
      <w:r w:rsidRPr="00A655F2">
        <w:t>gadā</w:t>
      </w:r>
      <w:r>
        <w:t>” un MK 2017. gada 5. decembra noteikumi Nr. 713 “</w:t>
      </w:r>
      <w:r w:rsidRPr="00A655F2">
        <w:t>Par Latvijas Republikas un Norvēģijas Karalistes saprašanās memorandu par Norvēģijas finanšu instrumenta ieviešanu 2014.</w:t>
      </w:r>
      <w:r>
        <w:t> </w:t>
      </w:r>
      <w:r w:rsidRPr="00A655F2">
        <w:t>–</w:t>
      </w:r>
      <w:r>
        <w:t> </w:t>
      </w:r>
      <w:r w:rsidRPr="00A655F2">
        <w:t>2021.</w:t>
      </w:r>
      <w:r>
        <w:t> </w:t>
      </w:r>
      <w:r w:rsidRPr="00A655F2">
        <w:t>gadā</w:t>
      </w:r>
      <w:r>
        <w:t>”</w:t>
      </w:r>
    </w:p>
  </w:footnote>
  <w:footnote w:id="92">
    <w:p w14:paraId="75F06DC0" w14:textId="19C58484" w:rsidR="00866986" w:rsidRDefault="00866986" w:rsidP="001E7385">
      <w:pPr>
        <w:pStyle w:val="FootnoteText"/>
        <w:jc w:val="both"/>
      </w:pPr>
      <w:r>
        <w:rPr>
          <w:rStyle w:val="FootnoteReference"/>
        </w:rPr>
        <w:footnoteRef/>
      </w:r>
      <w:r>
        <w:t xml:space="preserve"> </w:t>
      </w:r>
      <w:r w:rsidRPr="00BF48FC">
        <w:t xml:space="preserve">Saskaņā ar Latvijas </w:t>
      </w:r>
      <w:r>
        <w:t>B</w:t>
      </w:r>
      <w:r w:rsidRPr="00BF48FC">
        <w:t xml:space="preserve">ankas noteikto Šveices franka valūtas konvertācijas </w:t>
      </w:r>
      <w:r w:rsidRPr="0072036B">
        <w:t>kursu (1</w:t>
      </w:r>
      <w:r>
        <w:t> </w:t>
      </w:r>
      <w:r w:rsidRPr="0072036B">
        <w:t>EUR=</w:t>
      </w:r>
      <w:r w:rsidRPr="00825216">
        <w:t>1,</w:t>
      </w:r>
      <w:r>
        <w:t>1718 </w:t>
      </w:r>
      <w:r w:rsidRPr="0072036B">
        <w:t xml:space="preserve">CHF) uz </w:t>
      </w:r>
      <w:r>
        <w:t>02</w:t>
      </w:r>
      <w:r w:rsidRPr="0072036B">
        <w:t>.</w:t>
      </w:r>
      <w:r>
        <w:t>01</w:t>
      </w:r>
      <w:r w:rsidRPr="0072036B">
        <w:t>.201</w:t>
      </w:r>
      <w:r>
        <w:t>8</w:t>
      </w:r>
      <w:r w:rsidRPr="0072036B">
        <w:t>.</w:t>
      </w:r>
      <w:r>
        <w:t xml:space="preserve"> </w:t>
      </w:r>
    </w:p>
  </w:footnote>
  <w:footnote w:id="93">
    <w:p w14:paraId="23AF5507" w14:textId="3FE5192E" w:rsidR="00866986" w:rsidRPr="0083098F" w:rsidRDefault="00866986" w:rsidP="001E7385">
      <w:pPr>
        <w:pStyle w:val="FootnoteText"/>
        <w:jc w:val="both"/>
      </w:pPr>
      <w:r w:rsidRPr="00475ADF">
        <w:rPr>
          <w:rStyle w:val="FootnoteReference"/>
        </w:rPr>
        <w:footnoteRef/>
      </w:r>
      <w:r w:rsidRPr="00475ADF">
        <w:t xml:space="preserve"> </w:t>
      </w:r>
      <w:proofErr w:type="spellStart"/>
      <w:r w:rsidRPr="00475ADF">
        <w:t>Donorvalsts</w:t>
      </w:r>
      <w:proofErr w:type="spellEnd"/>
      <w:r w:rsidRPr="00475ADF">
        <w:t xml:space="preserve"> atmaksātā summa Šveices frankos konvertēta uz </w:t>
      </w:r>
      <w:r w:rsidRPr="0084654C">
        <w:rPr>
          <w:i/>
        </w:rPr>
        <w:t>euro</w:t>
      </w:r>
      <w:r w:rsidRPr="00475ADF">
        <w:t xml:space="preserve"> piemērojot Latvijas bankas noteikto Šveices franka valūtas konvertācijas kursu (1 EUR=</w:t>
      </w:r>
      <w:r w:rsidRPr="00825216">
        <w:t>1,</w:t>
      </w:r>
      <w:r>
        <w:t>1718</w:t>
      </w:r>
      <w:r w:rsidRPr="00825216">
        <w:t xml:space="preserve"> </w:t>
      </w:r>
      <w:r w:rsidRPr="00475ADF">
        <w:t xml:space="preserve">CHF) uz </w:t>
      </w:r>
      <w:r>
        <w:t>02.01</w:t>
      </w:r>
      <w:r w:rsidRPr="00475ADF">
        <w:t>.201</w:t>
      </w:r>
      <w:r>
        <w:t>8</w:t>
      </w:r>
      <w:r w:rsidRPr="00475ADF">
        <w:t>.</w:t>
      </w:r>
    </w:p>
  </w:footnote>
  <w:footnote w:id="94">
    <w:p w14:paraId="185DA990" w14:textId="77777777" w:rsidR="00866986" w:rsidRDefault="00866986" w:rsidP="001E7385">
      <w:pPr>
        <w:pStyle w:val="FootnoteText"/>
        <w:jc w:val="both"/>
      </w:pPr>
      <w:r>
        <w:rPr>
          <w:rStyle w:val="FootnoteReference"/>
        </w:rPr>
        <w:footnoteRef/>
      </w:r>
      <w:r>
        <w:t xml:space="preserve"> Informācija pieejama tīmekļa vietnē: </w:t>
      </w:r>
      <w:hyperlink r:id="rId34" w:history="1">
        <w:r w:rsidRPr="000A657C">
          <w:rPr>
            <w:rStyle w:val="Hyperlink"/>
          </w:rPr>
          <w:t>www.swiss-contribution.lv</w:t>
        </w:r>
      </w:hyperlink>
      <w:r>
        <w:t xml:space="preserve"> </w:t>
      </w:r>
    </w:p>
  </w:footnote>
  <w:footnote w:id="95">
    <w:p w14:paraId="7034E054" w14:textId="01610318" w:rsidR="00866986" w:rsidRPr="00B9442C" w:rsidRDefault="00866986" w:rsidP="00640B5C">
      <w:pPr>
        <w:pStyle w:val="FootnoteText"/>
        <w:jc w:val="both"/>
        <w:rPr>
          <w:color w:val="000000"/>
        </w:rPr>
      </w:pPr>
      <w:r w:rsidRPr="00B9442C">
        <w:rPr>
          <w:rStyle w:val="FootnoteReference"/>
          <w:color w:val="000000"/>
        </w:rPr>
        <w:footnoteRef/>
      </w:r>
      <w:r w:rsidRPr="00B9442C">
        <w:rPr>
          <w:color w:val="000000"/>
        </w:rPr>
        <w:t xml:space="preserve"> </w:t>
      </w:r>
      <w:r>
        <w:rPr>
          <w:color w:val="000000"/>
        </w:rPr>
        <w:t>Saskaņā ar</w:t>
      </w:r>
      <w:r w:rsidRPr="003F7152">
        <w:rPr>
          <w:color w:val="000000"/>
        </w:rPr>
        <w:t xml:space="preserve"> Eiro</w:t>
      </w:r>
      <w:r>
        <w:rPr>
          <w:color w:val="000000"/>
        </w:rPr>
        <w:t>pas Parlamenta un Padomes 2013. gada 17. decembra Regulas (ES) Nr.</w:t>
      </w:r>
      <w:r w:rsidRPr="003F7152">
        <w:rPr>
          <w:color w:val="000000"/>
        </w:rPr>
        <w:t>1303/2013, ar ko paredz kopīgus noteikumus par E</w:t>
      </w:r>
      <w:r>
        <w:rPr>
          <w:color w:val="000000"/>
        </w:rPr>
        <w:t>RAF</w:t>
      </w:r>
      <w:r w:rsidRPr="003F7152">
        <w:rPr>
          <w:color w:val="000000"/>
        </w:rPr>
        <w:t>, E</w:t>
      </w:r>
      <w:r>
        <w:rPr>
          <w:color w:val="000000"/>
        </w:rPr>
        <w:t>SF</w:t>
      </w:r>
      <w:r w:rsidRPr="003F7152">
        <w:rPr>
          <w:color w:val="000000"/>
        </w:rPr>
        <w:t>, K</w:t>
      </w:r>
      <w:r>
        <w:rPr>
          <w:color w:val="000000"/>
        </w:rPr>
        <w:t>F</w:t>
      </w:r>
      <w:r w:rsidRPr="003F7152">
        <w:rPr>
          <w:color w:val="000000"/>
        </w:rPr>
        <w:t>, Eiropas Lauksaimniecības fondu lauku attīstībai un Eiropas Jūrlietu un zivsaimniecības fondu un vispārīgus noteikumus par E</w:t>
      </w:r>
      <w:r>
        <w:rPr>
          <w:color w:val="000000"/>
        </w:rPr>
        <w:t>RAF</w:t>
      </w:r>
      <w:r w:rsidRPr="003F7152">
        <w:rPr>
          <w:color w:val="000000"/>
        </w:rPr>
        <w:t>, E</w:t>
      </w:r>
      <w:r>
        <w:rPr>
          <w:color w:val="000000"/>
        </w:rPr>
        <w:t>SF</w:t>
      </w:r>
      <w:r w:rsidRPr="003F7152">
        <w:rPr>
          <w:color w:val="000000"/>
        </w:rPr>
        <w:t>, K</w:t>
      </w:r>
      <w:r>
        <w:rPr>
          <w:color w:val="000000"/>
        </w:rPr>
        <w:t>F</w:t>
      </w:r>
      <w:r w:rsidRPr="003F7152">
        <w:rPr>
          <w:color w:val="000000"/>
        </w:rPr>
        <w:t xml:space="preserve"> un Eiropas Jūrlietu un zivsaimniecības fondu u</w:t>
      </w:r>
      <w:r>
        <w:rPr>
          <w:color w:val="000000"/>
        </w:rPr>
        <w:t>n atceļ Padomes Regulu (EK) Nr.</w:t>
      </w:r>
      <w:r w:rsidRPr="003F7152">
        <w:rPr>
          <w:color w:val="000000"/>
        </w:rPr>
        <w:t>1083/2006</w:t>
      </w:r>
      <w:r>
        <w:rPr>
          <w:color w:val="000000"/>
        </w:rPr>
        <w:t>, 2.panta 36.</w:t>
      </w:r>
      <w:r w:rsidRPr="003F7152">
        <w:rPr>
          <w:color w:val="000000"/>
        </w:rPr>
        <w:t>punkt</w:t>
      </w:r>
      <w:r>
        <w:rPr>
          <w:color w:val="000000"/>
        </w:rPr>
        <w:t xml:space="preserve">u </w:t>
      </w:r>
    </w:p>
  </w:footnote>
  <w:footnote w:id="96">
    <w:p w14:paraId="378EE017" w14:textId="6B01F533" w:rsidR="00866986" w:rsidRDefault="00866986" w:rsidP="00640B5C">
      <w:pPr>
        <w:pStyle w:val="FootnoteText"/>
        <w:jc w:val="both"/>
      </w:pPr>
      <w:r>
        <w:rPr>
          <w:rStyle w:val="FootnoteReference"/>
        </w:rPr>
        <w:footnoteRef/>
      </w:r>
      <w:r>
        <w:t xml:space="preserve"> </w:t>
      </w:r>
      <w:r w:rsidRPr="006E268A">
        <w:rPr>
          <w:rFonts w:eastAsia="Times New Roman" w:cs="Times New Roman"/>
        </w:rPr>
        <w:t xml:space="preserve">Metodoloģiskais atbalsts par neatbilstību administrēšanu, tostarp piemērojamām neatbilstoši veikto izdevumu atgūšanas procedūrām, pieejams </w:t>
      </w:r>
      <w:r w:rsidRPr="006E268A">
        <w:rPr>
          <w:color w:val="000000"/>
        </w:rPr>
        <w:t>ES fondu tīmekļa vietn</w:t>
      </w:r>
      <w:r>
        <w:rPr>
          <w:color w:val="000000"/>
        </w:rPr>
        <w:t>ē:</w:t>
      </w:r>
      <w:r w:rsidRPr="006E268A">
        <w:rPr>
          <w:color w:val="000000"/>
        </w:rPr>
        <w:t xml:space="preserve"> sadaļā</w:t>
      </w:r>
      <w:r>
        <w:rPr>
          <w:color w:val="000000"/>
        </w:rPr>
        <w:t xml:space="preserve"> </w:t>
      </w:r>
      <w:hyperlink r:id="rId35" w:history="1">
        <w:r w:rsidRPr="00A0711F">
          <w:rPr>
            <w:rStyle w:val="Hyperlink"/>
          </w:rPr>
          <w:t>http://www.esfondi.lv/neatbilstibas-neatbilstosi-veiktie-izdevumi-es-fondu-projektos</w:t>
        </w:r>
      </w:hyperlink>
      <w:r w:rsidRPr="00B9442C">
        <w:rPr>
          <w:color w:val="000000"/>
        </w:rPr>
        <w:t xml:space="preserve"> </w:t>
      </w:r>
      <w:r>
        <w:t xml:space="preserve">(2007. – 2013. gada plānošanas periods) un sadaļā </w:t>
      </w:r>
      <w:hyperlink r:id="rId36" w:history="1">
        <w:r w:rsidRPr="0017515D">
          <w:rPr>
            <w:rStyle w:val="Hyperlink"/>
          </w:rPr>
          <w:t>http://www.esfondi.lv/vadlinijas--skaidrojumi</w:t>
        </w:r>
      </w:hyperlink>
      <w:r>
        <w:t xml:space="preserve"> (2014. – 2020. gada plānošanas periods)</w:t>
      </w:r>
    </w:p>
  </w:footnote>
  <w:footnote w:id="97">
    <w:p w14:paraId="5DB5710B" w14:textId="0C7B7BC2" w:rsidR="00866986" w:rsidRPr="006A777A" w:rsidRDefault="00866986" w:rsidP="006A777A">
      <w:pPr>
        <w:pStyle w:val="FootnoteText"/>
        <w:jc w:val="both"/>
      </w:pPr>
      <w:r>
        <w:rPr>
          <w:rStyle w:val="FootnoteReference"/>
        </w:rPr>
        <w:footnoteRef/>
      </w:r>
      <w:r>
        <w:t xml:space="preserve"> </w:t>
      </w:r>
      <w:r w:rsidRPr="006A777A">
        <w:rPr>
          <w:rFonts w:eastAsia="EUAlbertina-Bold-Identity-H" w:cs="Times New Roman"/>
        </w:rPr>
        <w:t xml:space="preserve">Kopumā </w:t>
      </w:r>
      <w:r>
        <w:rPr>
          <w:rFonts w:eastAsia="EUAlbertina-Bold-Identity-H" w:cs="Times New Roman"/>
        </w:rPr>
        <w:t xml:space="preserve">2007.-2013.gadu plānošanas periodā </w:t>
      </w:r>
      <w:r w:rsidRPr="006A777A">
        <w:rPr>
          <w:rFonts w:eastAsia="EUAlbertina-Bold-Identity-H" w:cs="Times New Roman"/>
        </w:rPr>
        <w:t>līdz 2017. gada 31. decembrim neatbilstību apjoms ir 175,6 milj. </w:t>
      </w:r>
      <w:r w:rsidRPr="006A777A">
        <w:rPr>
          <w:rFonts w:eastAsia="EUAlbertina-Bold-Identity-H" w:cs="Times New Roman"/>
          <w:i/>
        </w:rPr>
        <w:t>euro</w:t>
      </w:r>
      <w:r w:rsidRPr="006A777A">
        <w:rPr>
          <w:rFonts w:eastAsia="EUAlbertina-Bold-Identity-H" w:cs="Times New Roman"/>
        </w:rPr>
        <w:t>.</w:t>
      </w:r>
    </w:p>
  </w:footnote>
  <w:footnote w:id="98">
    <w:p w14:paraId="13F5C558" w14:textId="448085B3" w:rsidR="00866986" w:rsidRPr="009D212A" w:rsidRDefault="00866986" w:rsidP="00B722EB">
      <w:pPr>
        <w:pStyle w:val="FootnoteText"/>
        <w:jc w:val="both"/>
      </w:pPr>
      <w:r w:rsidRPr="009D212A">
        <w:rPr>
          <w:rStyle w:val="FootnoteReference"/>
        </w:rPr>
        <w:footnoteRef/>
      </w:r>
      <w:r w:rsidRPr="009D212A">
        <w:t xml:space="preserve"> </w:t>
      </w:r>
      <w:r w:rsidRPr="006373CB">
        <w:t>2010.</w:t>
      </w:r>
      <w:r>
        <w:t> </w:t>
      </w:r>
      <w:r w:rsidRPr="006373CB">
        <w:t>gada 10.</w:t>
      </w:r>
      <w:r>
        <w:t> </w:t>
      </w:r>
      <w:r w:rsidRPr="006373CB">
        <w:t xml:space="preserve">augusta </w:t>
      </w:r>
      <w:r w:rsidRPr="009D212A">
        <w:t>MK</w:t>
      </w:r>
      <w:r w:rsidRPr="006373CB">
        <w:t xml:space="preserve"> noteikumi Nr</w:t>
      </w:r>
      <w:r>
        <w:t>. </w:t>
      </w:r>
      <w:r w:rsidRPr="006373CB">
        <w:t>740 “Kārtība, kādā ziņo par Eiropas Savienības struktūrfondu un Kohēzijas fonda ieviešanā konstatētajām neatbilstībām, pieņem lēmumu par piešķirtā finansējuma izlietojumu un atgūst neatbilstošos izdevumus”</w:t>
      </w:r>
    </w:p>
  </w:footnote>
  <w:footnote w:id="99">
    <w:p w14:paraId="342CF659" w14:textId="2072D1ED" w:rsidR="00866986" w:rsidRDefault="00866986">
      <w:pPr>
        <w:pStyle w:val="FootnoteText"/>
      </w:pPr>
      <w:r>
        <w:rPr>
          <w:rStyle w:val="FootnoteReference"/>
        </w:rPr>
        <w:footnoteRef/>
      </w:r>
      <w:r>
        <w:t xml:space="preserve"> 2017. gada 20. septembra sanāksme, kurā piedalījās pārstāvji no Latvijas Kultūras akadēmijas, VIAA, FM, KM, IZM</w:t>
      </w:r>
    </w:p>
  </w:footnote>
  <w:footnote w:id="100">
    <w:p w14:paraId="79DB7D5D" w14:textId="1195FAB9" w:rsidR="00866986" w:rsidRDefault="00866986">
      <w:pPr>
        <w:pStyle w:val="FootnoteText"/>
      </w:pPr>
      <w:r>
        <w:rPr>
          <w:rStyle w:val="FootnoteReference"/>
        </w:rPr>
        <w:footnoteRef/>
      </w:r>
      <w:r>
        <w:t xml:space="preserve"> </w:t>
      </w:r>
      <w:r w:rsidRPr="00F17EB7">
        <w:t>2010.gada 10.augusta MK noteikumi Nr.</w:t>
      </w:r>
      <w:r>
        <w:t> </w:t>
      </w:r>
      <w:r w:rsidRPr="00F17EB7">
        <w:t>740 „Kārtība, kādā ziņo par Eiropas Savienības struktūrfondu un Kohēzijas fonda ieviešanā konstatētajām neatbilstībām, pieņem lēmumu par piešķirtā finansējuma izlietojumu un atgūst neatbilstošos izdevumus”</w:t>
      </w:r>
      <w:r>
        <w:t>.</w:t>
      </w:r>
    </w:p>
  </w:footnote>
  <w:footnote w:id="101">
    <w:p w14:paraId="5794FEF7" w14:textId="2F498DBD" w:rsidR="00866986" w:rsidRPr="0027527E" w:rsidRDefault="00866986" w:rsidP="00B157FE">
      <w:pPr>
        <w:pStyle w:val="FootnoteText"/>
        <w:jc w:val="both"/>
        <w:rPr>
          <w:sz w:val="18"/>
          <w:szCs w:val="18"/>
        </w:rPr>
      </w:pPr>
      <w:r w:rsidRPr="0027527E">
        <w:rPr>
          <w:rStyle w:val="FootnoteReference"/>
          <w:sz w:val="18"/>
          <w:szCs w:val="18"/>
        </w:rPr>
        <w:footnoteRef/>
      </w:r>
      <w:r w:rsidRPr="0027527E">
        <w:rPr>
          <w:sz w:val="18"/>
          <w:szCs w:val="18"/>
        </w:rPr>
        <w:t xml:space="preserve"> </w:t>
      </w:r>
      <w:r>
        <w:rPr>
          <w:sz w:val="18"/>
          <w:szCs w:val="18"/>
        </w:rPr>
        <w:t>2015. gada 3. novembra</w:t>
      </w:r>
      <w:r w:rsidRPr="0027527E">
        <w:rPr>
          <w:sz w:val="18"/>
          <w:szCs w:val="18"/>
        </w:rPr>
        <w:t xml:space="preserve"> grozījumi M</w:t>
      </w:r>
      <w:r>
        <w:rPr>
          <w:sz w:val="18"/>
          <w:szCs w:val="18"/>
        </w:rPr>
        <w:t>K</w:t>
      </w:r>
      <w:r w:rsidRPr="0027527E">
        <w:rPr>
          <w:sz w:val="18"/>
          <w:szCs w:val="18"/>
        </w:rPr>
        <w:t xml:space="preserve"> noteikumos Nr.</w:t>
      </w:r>
      <w:r>
        <w:rPr>
          <w:sz w:val="18"/>
          <w:szCs w:val="18"/>
        </w:rPr>
        <w:t> </w:t>
      </w:r>
      <w:r w:rsidRPr="0027527E">
        <w:rPr>
          <w:sz w:val="18"/>
          <w:szCs w:val="18"/>
        </w:rPr>
        <w:t xml:space="preserve">614 “Noteikumi par darbības programmas “Uzņēmējdarbība un inovācijas” papildinājuma 2.2.1.4.2. </w:t>
      </w:r>
      <w:proofErr w:type="spellStart"/>
      <w:r w:rsidRPr="0027527E">
        <w:rPr>
          <w:sz w:val="18"/>
          <w:szCs w:val="18"/>
        </w:rPr>
        <w:t>apakšaktivitāti</w:t>
      </w:r>
      <w:proofErr w:type="spellEnd"/>
      <w:r w:rsidRPr="0027527E">
        <w:rPr>
          <w:sz w:val="18"/>
          <w:szCs w:val="18"/>
        </w:rPr>
        <w:t xml:space="preserve"> “</w:t>
      </w:r>
      <w:proofErr w:type="spellStart"/>
      <w:r w:rsidRPr="0027527E">
        <w:rPr>
          <w:sz w:val="18"/>
          <w:szCs w:val="18"/>
        </w:rPr>
        <w:t>Mezanīna</w:t>
      </w:r>
      <w:proofErr w:type="spellEnd"/>
      <w:r w:rsidRPr="0027527E">
        <w:rPr>
          <w:sz w:val="18"/>
          <w:szCs w:val="18"/>
        </w:rPr>
        <w:t xml:space="preserve"> aizdevumi un nodrošinājuma garantijas saimnieciskās darbības veicēju konkurētspējas uzlabošanai</w:t>
      </w:r>
      <w:r>
        <w:rPr>
          <w:sz w:val="18"/>
          <w:szCs w:val="18"/>
        </w:rPr>
        <w:t xml:space="preserve">”, </w:t>
      </w:r>
      <w:r w:rsidRPr="0027527E">
        <w:rPr>
          <w:sz w:val="18"/>
          <w:szCs w:val="18"/>
        </w:rPr>
        <w:t xml:space="preserve">palielinot 2.2.1.4.2.aktivitātei pieejamo ERAF finansējumu </w:t>
      </w:r>
      <w:r>
        <w:rPr>
          <w:sz w:val="18"/>
          <w:szCs w:val="18"/>
        </w:rPr>
        <w:t xml:space="preserve">par </w:t>
      </w:r>
      <w:r w:rsidRPr="0027527E">
        <w:rPr>
          <w:sz w:val="18"/>
          <w:szCs w:val="18"/>
        </w:rPr>
        <w:t>138</w:t>
      </w:r>
      <w:r>
        <w:rPr>
          <w:sz w:val="18"/>
          <w:szCs w:val="18"/>
        </w:rPr>
        <w:t> </w:t>
      </w:r>
      <w:r w:rsidRPr="0027527E">
        <w:rPr>
          <w:sz w:val="18"/>
          <w:szCs w:val="18"/>
        </w:rPr>
        <w:t>534</w:t>
      </w:r>
      <w:r>
        <w:rPr>
          <w:sz w:val="18"/>
          <w:szCs w:val="18"/>
        </w:rPr>
        <w:t> </w:t>
      </w:r>
      <w:r w:rsidRPr="00F8110D">
        <w:rPr>
          <w:i/>
          <w:sz w:val="18"/>
          <w:szCs w:val="18"/>
        </w:rPr>
        <w:t>euro</w:t>
      </w:r>
      <w:r w:rsidRPr="0027527E">
        <w:rPr>
          <w:sz w:val="18"/>
          <w:szCs w:val="18"/>
        </w:rPr>
        <w:t xml:space="preserve"> un valsts budž</w:t>
      </w:r>
      <w:r>
        <w:rPr>
          <w:sz w:val="18"/>
          <w:szCs w:val="18"/>
        </w:rPr>
        <w:t>eta finansējumu par 17 645 </w:t>
      </w:r>
      <w:r w:rsidRPr="00F8110D">
        <w:rPr>
          <w:i/>
          <w:sz w:val="18"/>
          <w:szCs w:val="18"/>
        </w:rPr>
        <w:t>eur</w:t>
      </w:r>
      <w:r>
        <w:rPr>
          <w:sz w:val="18"/>
          <w:szCs w:val="18"/>
        </w:rPr>
        <w:t xml:space="preserve">o, pārdalot to </w:t>
      </w:r>
      <w:r w:rsidRPr="0027527E">
        <w:rPr>
          <w:sz w:val="18"/>
          <w:szCs w:val="18"/>
        </w:rPr>
        <w:t>no 2.2.1.4.1.apakšaktivitātes “Atbalsts aizdevumu veidā komersa</w:t>
      </w:r>
      <w:r>
        <w:rPr>
          <w:sz w:val="18"/>
          <w:szCs w:val="18"/>
        </w:rPr>
        <w:t>ntu konkurētspējas uzlabošanai”. Vienlaikus tika veikti atbilstošie grozījumi Nr.6 līgumā par projekta īstenošanu Nr. LĪG-2011/16 , kas apstiprināti 2016.gada 29. janvārī</w:t>
      </w:r>
    </w:p>
  </w:footnote>
  <w:footnote w:id="102">
    <w:p w14:paraId="55024410" w14:textId="77777777" w:rsidR="00866986" w:rsidRPr="00B9442C" w:rsidRDefault="00866986" w:rsidP="00BD5BEB">
      <w:pPr>
        <w:pStyle w:val="FootnoteText"/>
        <w:jc w:val="both"/>
        <w:rPr>
          <w:color w:val="000000"/>
        </w:rPr>
      </w:pPr>
      <w:r w:rsidRPr="00B9442C">
        <w:rPr>
          <w:rStyle w:val="FootnoteReference"/>
          <w:color w:val="000000"/>
        </w:rPr>
        <w:footnoteRef/>
      </w:r>
      <w:r w:rsidRPr="00B9442C">
        <w:rPr>
          <w:color w:val="000000"/>
        </w:rPr>
        <w:t xml:space="preserve"> ES fondu tīmekļa vietnes sadaļā, kur tiek apkopota informācija par ES fondos konstatētām neatbilstībām: </w:t>
      </w:r>
      <w:hyperlink r:id="rId37" w:history="1">
        <w:r w:rsidRPr="001D19DF">
          <w:rPr>
            <w:rStyle w:val="Hyperlink"/>
          </w:rPr>
          <w:t>http://www.esfondi.lv/konstatetas-neatbilstibas</w:t>
        </w:r>
      </w:hyperlink>
      <w:r>
        <w:rPr>
          <w:color w:val="000000"/>
        </w:rPr>
        <w:t xml:space="preserve"> </w:t>
      </w:r>
    </w:p>
  </w:footnote>
  <w:footnote w:id="103">
    <w:p w14:paraId="15F2A61E" w14:textId="3E6695E9" w:rsidR="00866986" w:rsidRDefault="00866986" w:rsidP="00D05CDA">
      <w:pPr>
        <w:pStyle w:val="FootnoteText"/>
        <w:jc w:val="both"/>
      </w:pPr>
      <w:r>
        <w:rPr>
          <w:rStyle w:val="FootnoteReference"/>
        </w:rPr>
        <w:footnoteRef/>
      </w:r>
      <w:r>
        <w:t xml:space="preserve"> </w:t>
      </w:r>
      <w:r w:rsidRPr="008F554D">
        <w:t>M</w:t>
      </w:r>
      <w:r>
        <w:t>K</w:t>
      </w:r>
      <w:r w:rsidRPr="008F554D">
        <w:t xml:space="preserve"> 2015.</w:t>
      </w:r>
      <w:r>
        <w:t> </w:t>
      </w:r>
      <w:r w:rsidRPr="008F554D">
        <w:t>gada 24.</w:t>
      </w:r>
      <w:r>
        <w:t> </w:t>
      </w:r>
      <w:r w:rsidRPr="008F554D">
        <w:t>februāra noteikumos Nr.</w:t>
      </w:r>
      <w:r>
        <w:t> </w:t>
      </w:r>
      <w:r w:rsidRPr="008F554D">
        <w:t>108 "Kārtība, kādā uzrauga un izvērtē Eiropas Savienības struktūrfondu un Kohēzijas fonda ieviešanu, kā arī izveido un izmanto Kohēzijas politikas fondu vadības informācijas sistēmu 2014.</w:t>
      </w:r>
      <w:r>
        <w:t> – </w:t>
      </w:r>
      <w:r w:rsidRPr="008F554D">
        <w:t>2020.</w:t>
      </w:r>
      <w:r>
        <w:t> </w:t>
      </w:r>
      <w:r w:rsidRPr="008F554D">
        <w:t>gadam"</w:t>
      </w:r>
    </w:p>
  </w:footnote>
  <w:footnote w:id="104">
    <w:p w14:paraId="3524CE92" w14:textId="1D1FC754" w:rsidR="00866986" w:rsidRDefault="00866986" w:rsidP="00D05CDA">
      <w:pPr>
        <w:pStyle w:val="FootnoteText"/>
        <w:jc w:val="both"/>
      </w:pPr>
      <w:r>
        <w:rPr>
          <w:rStyle w:val="FootnoteReference"/>
        </w:rPr>
        <w:footnoteRef/>
      </w:r>
      <w:r>
        <w:t xml:space="preserve"> </w:t>
      </w:r>
      <w:r w:rsidRPr="00D05CDA">
        <w:t>M</w:t>
      </w:r>
      <w:r>
        <w:t>K</w:t>
      </w:r>
      <w:r w:rsidRPr="00D05CDA">
        <w:t xml:space="preserve"> 2014.</w:t>
      </w:r>
      <w:r>
        <w:t> </w:t>
      </w:r>
      <w:r w:rsidRPr="00D05CDA">
        <w:t>gada 7.</w:t>
      </w:r>
      <w:r>
        <w:t> </w:t>
      </w:r>
      <w:r w:rsidRPr="00D05CDA">
        <w:t>oktobra noteikumos Nr.</w:t>
      </w:r>
      <w:r>
        <w:t> </w:t>
      </w:r>
      <w:r w:rsidRPr="00D05CDA">
        <w:t>611 "Prasības Eiropas Savienības struktūrfondu un Kohēzijas fonda 2014.</w:t>
      </w:r>
      <w:r>
        <w:t> – </w:t>
      </w:r>
      <w:r w:rsidRPr="00D05CDA">
        <w:t>2020.</w:t>
      </w:r>
      <w:r>
        <w:t> </w:t>
      </w:r>
      <w:r w:rsidRPr="00D05CDA">
        <w:t>gada plānošanas perioda vadības un kontroles sistēmas izveidošanai"</w:t>
      </w:r>
    </w:p>
  </w:footnote>
  <w:footnote w:id="105">
    <w:p w14:paraId="744A670E" w14:textId="61F1AB0C" w:rsidR="00866986" w:rsidRDefault="00866986" w:rsidP="00162833">
      <w:pPr>
        <w:pStyle w:val="FootnoteText"/>
        <w:jc w:val="both"/>
      </w:pPr>
      <w:r>
        <w:rPr>
          <w:rStyle w:val="FootnoteReference"/>
        </w:rPr>
        <w:footnoteRef/>
      </w:r>
      <w:r>
        <w:t xml:space="preserve"> </w:t>
      </w:r>
      <w:r w:rsidRPr="004F7125">
        <w:t>M</w:t>
      </w:r>
      <w:r>
        <w:t>K</w:t>
      </w:r>
      <w:r w:rsidRPr="004F7125">
        <w:t xml:space="preserve"> 2015.</w:t>
      </w:r>
      <w:r>
        <w:t> </w:t>
      </w:r>
      <w:r w:rsidRPr="004F7125">
        <w:t>gada 10.</w:t>
      </w:r>
      <w:r>
        <w:t> </w:t>
      </w:r>
      <w:r w:rsidRPr="004F7125">
        <w:t>februāra noteikumos Nr.</w:t>
      </w:r>
      <w:r>
        <w:t> </w:t>
      </w:r>
      <w:r w:rsidRPr="004F7125">
        <w:t>77</w:t>
      </w:r>
      <w:r>
        <w:t> </w:t>
      </w:r>
      <w:r w:rsidRPr="004F7125">
        <w:t>"Eiropas Savienības struktūrfondu un Kohēzijas fonda projektu pārbaužu veikšanas kārtība 2014.</w:t>
      </w:r>
      <w:r>
        <w:t> – </w:t>
      </w:r>
      <w:r w:rsidRPr="004F7125">
        <w:t>2020.</w:t>
      </w:r>
      <w:r>
        <w:t> </w:t>
      </w:r>
      <w:r w:rsidRPr="004F7125">
        <w:t>gada plānošanas periodā"</w:t>
      </w:r>
    </w:p>
  </w:footnote>
  <w:footnote w:id="106">
    <w:p w14:paraId="2A9D6B1B" w14:textId="49AF506C" w:rsidR="00866986" w:rsidRDefault="00866986" w:rsidP="00EE6971">
      <w:pPr>
        <w:pStyle w:val="FootnoteText"/>
        <w:jc w:val="both"/>
      </w:pPr>
      <w:r>
        <w:rPr>
          <w:rStyle w:val="FootnoteReference"/>
        </w:rPr>
        <w:footnoteRef/>
      </w:r>
      <w:r>
        <w:t xml:space="preserve"> </w:t>
      </w:r>
      <w:r w:rsidRPr="00EE6971">
        <w:t>M</w:t>
      </w:r>
      <w:r>
        <w:t>K</w:t>
      </w:r>
      <w:r w:rsidRPr="00EE6971">
        <w:t xml:space="preserve"> 2014.</w:t>
      </w:r>
      <w:r>
        <w:t> </w:t>
      </w:r>
      <w:r w:rsidRPr="00EE6971">
        <w:t>gada 16.</w:t>
      </w:r>
      <w:r>
        <w:t> </w:t>
      </w:r>
      <w:r w:rsidRPr="00EE6971">
        <w:t>decembra noteikumos Nr.</w:t>
      </w:r>
      <w:r>
        <w:t> </w:t>
      </w:r>
      <w:r w:rsidRPr="00EE6971">
        <w:t>784 "Kārtība, kādā Eiropas Savienības struktūrfondu un Kohēzijas fonda vadībā iesaistītās institūcijas nodrošina plānošanas dokumentu sagatavošanu un šo fondu ieviešanu 2014.</w:t>
      </w:r>
      <w:r>
        <w:t> – </w:t>
      </w:r>
      <w:r w:rsidRPr="00EE6971">
        <w:t>2020.</w:t>
      </w:r>
      <w:r>
        <w:t> </w:t>
      </w:r>
      <w:r w:rsidRPr="00EE6971">
        <w:t>gada plānošanas periodā"</w:t>
      </w:r>
    </w:p>
  </w:footnote>
  <w:footnote w:id="107">
    <w:p w14:paraId="7AAB75C3" w14:textId="29F2D2EC" w:rsidR="00866986" w:rsidRDefault="00866986" w:rsidP="006373CB">
      <w:pPr>
        <w:pStyle w:val="FootnoteText"/>
        <w:jc w:val="both"/>
      </w:pPr>
      <w:r>
        <w:rPr>
          <w:rStyle w:val="FootnoteReference"/>
        </w:rPr>
        <w:footnoteRef/>
      </w:r>
      <w:r>
        <w:t xml:space="preserve"> </w:t>
      </w:r>
      <w:hyperlink r:id="rId38" w:history="1">
        <w:r w:rsidRPr="00564F23">
          <w:rPr>
            <w:rStyle w:val="Hyperlink"/>
          </w:rPr>
          <w:t>http://www.esfondi.lv/vadlinijas--skaidrojumi</w:t>
        </w:r>
      </w:hyperlink>
      <w:r>
        <w:t xml:space="preserve"> </w:t>
      </w:r>
    </w:p>
  </w:footnote>
  <w:footnote w:id="108">
    <w:p w14:paraId="1D80EDC5" w14:textId="77777777" w:rsidR="00866986" w:rsidRPr="00246C8D" w:rsidRDefault="00866986" w:rsidP="00E05683">
      <w:pPr>
        <w:pStyle w:val="Default"/>
        <w:spacing w:before="0" w:after="0" w:line="240" w:lineRule="auto"/>
        <w:rPr>
          <w:sz w:val="20"/>
          <w:szCs w:val="20"/>
        </w:rPr>
      </w:pPr>
      <w:r w:rsidRPr="006373CB">
        <w:rPr>
          <w:rStyle w:val="FootnoteReference"/>
          <w:sz w:val="20"/>
          <w:szCs w:val="20"/>
        </w:rPr>
        <w:footnoteRef/>
      </w:r>
      <w:r w:rsidRPr="006373CB">
        <w:rPr>
          <w:sz w:val="20"/>
          <w:szCs w:val="20"/>
        </w:rPr>
        <w:t xml:space="preserve"> Stratēģija pieejama ES fondu mājaslapā: </w:t>
      </w:r>
      <w:hyperlink r:id="rId39" w:history="1">
        <w:r w:rsidRPr="00246C8D">
          <w:rPr>
            <w:rStyle w:val="Hyperlink"/>
            <w:sz w:val="20"/>
            <w:szCs w:val="20"/>
          </w:rPr>
          <w:t>http://www.esfondi.lv/upload/14-20_gads/ES_fondu_Komunikacijas_strategija_2015-2023_LV.pdf</w:t>
        </w:r>
      </w:hyperlink>
      <w:r w:rsidRPr="00246C8D">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176919"/>
      <w:docPartObj>
        <w:docPartGallery w:val="Page Numbers (Top of Page)"/>
        <w:docPartUnique/>
      </w:docPartObj>
    </w:sdtPr>
    <w:sdtEndPr>
      <w:rPr>
        <w:noProof/>
      </w:rPr>
    </w:sdtEndPr>
    <w:sdtContent>
      <w:p w14:paraId="11098D96" w14:textId="458BF6EA" w:rsidR="00866986" w:rsidRDefault="00866986" w:rsidP="00B13216">
        <w:pPr>
          <w:pStyle w:val="Header"/>
          <w:tabs>
            <w:tab w:val="left" w:pos="1407"/>
            <w:tab w:val="center" w:pos="4450"/>
          </w:tabs>
        </w:pPr>
        <w:r>
          <w:tab/>
        </w:r>
        <w:r>
          <w:tab/>
        </w:r>
        <w:r>
          <w:tab/>
        </w:r>
        <w:r>
          <w:fldChar w:fldCharType="begin"/>
        </w:r>
        <w:r>
          <w:instrText xml:space="preserve"> PAGE   \* MERGEFORMAT </w:instrText>
        </w:r>
        <w:r>
          <w:fldChar w:fldCharType="separate"/>
        </w:r>
        <w:r w:rsidR="005B479E">
          <w:rPr>
            <w:noProof/>
          </w:rPr>
          <w:t>60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7207"/>
    <w:multiLevelType w:val="multilevel"/>
    <w:tmpl w:val="7494EB9E"/>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4E16433"/>
    <w:multiLevelType w:val="hybridMultilevel"/>
    <w:tmpl w:val="40A8E5FC"/>
    <w:lvl w:ilvl="0" w:tplc="F13AD2CC">
      <w:start w:val="1"/>
      <w:numFmt w:val="bullet"/>
      <w:lvlText w:val=""/>
      <w:lvlJc w:val="left"/>
      <w:pPr>
        <w:ind w:left="1080" w:hanging="360"/>
      </w:pPr>
      <w:rPr>
        <w:rFonts w:ascii="Symbol" w:hAnsi="Symbol" w:hint="default"/>
      </w:rPr>
    </w:lvl>
    <w:lvl w:ilvl="1" w:tplc="5E6E1306" w:tentative="1">
      <w:start w:val="1"/>
      <w:numFmt w:val="bullet"/>
      <w:lvlText w:val="o"/>
      <w:lvlJc w:val="left"/>
      <w:pPr>
        <w:ind w:left="1800" w:hanging="360"/>
      </w:pPr>
      <w:rPr>
        <w:rFonts w:ascii="Courier New" w:hAnsi="Courier New" w:cs="Courier New" w:hint="default"/>
      </w:rPr>
    </w:lvl>
    <w:lvl w:ilvl="2" w:tplc="27D0A5EE" w:tentative="1">
      <w:start w:val="1"/>
      <w:numFmt w:val="bullet"/>
      <w:lvlText w:val=""/>
      <w:lvlJc w:val="left"/>
      <w:pPr>
        <w:ind w:left="2520" w:hanging="360"/>
      </w:pPr>
      <w:rPr>
        <w:rFonts w:ascii="Wingdings" w:hAnsi="Wingdings" w:hint="default"/>
      </w:rPr>
    </w:lvl>
    <w:lvl w:ilvl="3" w:tplc="2160AECC" w:tentative="1">
      <w:start w:val="1"/>
      <w:numFmt w:val="bullet"/>
      <w:lvlText w:val=""/>
      <w:lvlJc w:val="left"/>
      <w:pPr>
        <w:ind w:left="3240" w:hanging="360"/>
      </w:pPr>
      <w:rPr>
        <w:rFonts w:ascii="Symbol" w:hAnsi="Symbol" w:hint="default"/>
      </w:rPr>
    </w:lvl>
    <w:lvl w:ilvl="4" w:tplc="3A88EE10" w:tentative="1">
      <w:start w:val="1"/>
      <w:numFmt w:val="bullet"/>
      <w:lvlText w:val="o"/>
      <w:lvlJc w:val="left"/>
      <w:pPr>
        <w:ind w:left="3960" w:hanging="360"/>
      </w:pPr>
      <w:rPr>
        <w:rFonts w:ascii="Courier New" w:hAnsi="Courier New" w:cs="Courier New" w:hint="default"/>
      </w:rPr>
    </w:lvl>
    <w:lvl w:ilvl="5" w:tplc="A47E2534" w:tentative="1">
      <w:start w:val="1"/>
      <w:numFmt w:val="bullet"/>
      <w:lvlText w:val=""/>
      <w:lvlJc w:val="left"/>
      <w:pPr>
        <w:ind w:left="4680" w:hanging="360"/>
      </w:pPr>
      <w:rPr>
        <w:rFonts w:ascii="Wingdings" w:hAnsi="Wingdings" w:hint="default"/>
      </w:rPr>
    </w:lvl>
    <w:lvl w:ilvl="6" w:tplc="AC4436C8" w:tentative="1">
      <w:start w:val="1"/>
      <w:numFmt w:val="bullet"/>
      <w:lvlText w:val=""/>
      <w:lvlJc w:val="left"/>
      <w:pPr>
        <w:ind w:left="5400" w:hanging="360"/>
      </w:pPr>
      <w:rPr>
        <w:rFonts w:ascii="Symbol" w:hAnsi="Symbol" w:hint="default"/>
      </w:rPr>
    </w:lvl>
    <w:lvl w:ilvl="7" w:tplc="FE98916C" w:tentative="1">
      <w:start w:val="1"/>
      <w:numFmt w:val="bullet"/>
      <w:lvlText w:val="o"/>
      <w:lvlJc w:val="left"/>
      <w:pPr>
        <w:ind w:left="6120" w:hanging="360"/>
      </w:pPr>
      <w:rPr>
        <w:rFonts w:ascii="Courier New" w:hAnsi="Courier New" w:cs="Courier New" w:hint="default"/>
      </w:rPr>
    </w:lvl>
    <w:lvl w:ilvl="8" w:tplc="40E290DE" w:tentative="1">
      <w:start w:val="1"/>
      <w:numFmt w:val="bullet"/>
      <w:lvlText w:val=""/>
      <w:lvlJc w:val="left"/>
      <w:pPr>
        <w:ind w:left="6840" w:hanging="360"/>
      </w:pPr>
      <w:rPr>
        <w:rFonts w:ascii="Wingdings" w:hAnsi="Wingdings" w:hint="default"/>
      </w:rPr>
    </w:lvl>
  </w:abstractNum>
  <w:abstractNum w:abstractNumId="2" w15:restartNumberingAfterBreak="0">
    <w:nsid w:val="0B0E431E"/>
    <w:multiLevelType w:val="hybridMultilevel"/>
    <w:tmpl w:val="49E074DE"/>
    <w:lvl w:ilvl="0" w:tplc="585E7B22">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543AFE"/>
    <w:multiLevelType w:val="hybridMultilevel"/>
    <w:tmpl w:val="B0A2C030"/>
    <w:lvl w:ilvl="0" w:tplc="5AB442DE">
      <w:start w:val="1"/>
      <w:numFmt w:val="decimal"/>
      <w:lvlText w:val="(%1)"/>
      <w:lvlJc w:val="left"/>
      <w:pPr>
        <w:ind w:left="1099" w:hanging="39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2F91480"/>
    <w:multiLevelType w:val="multilevel"/>
    <w:tmpl w:val="7B747DA2"/>
    <w:lvl w:ilvl="0">
      <w:start w:val="1"/>
      <w:numFmt w:val="decimal"/>
      <w:lvlText w:val="%1."/>
      <w:lvlJc w:val="left"/>
      <w:pPr>
        <w:ind w:left="360" w:hanging="360"/>
      </w:pPr>
      <w:rPr>
        <w:rFonts w:ascii="Times New Roman" w:hAnsi="Times New Roman" w:hint="default"/>
        <w:sz w:val="24"/>
      </w:rPr>
    </w:lvl>
    <w:lvl w:ilvl="1">
      <w:start w:val="1"/>
      <w:numFmt w:val="decimal"/>
      <w:pStyle w:val="FDUKam"/>
      <w:isLgl/>
      <w:lvlText w:val="%1.%2."/>
      <w:lvlJc w:val="left"/>
      <w:pPr>
        <w:ind w:left="502" w:hanging="360"/>
      </w:pPr>
      <w:rPr>
        <w:rFonts w:ascii="Times New Roman" w:hAnsi="Times New Roman" w:cs="Times New Roman" w:hint="default"/>
        <w:b w:val="0"/>
        <w:sz w:val="22"/>
        <w:szCs w:val="22"/>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8228D"/>
    <w:multiLevelType w:val="hybridMultilevel"/>
    <w:tmpl w:val="E8A0D50E"/>
    <w:lvl w:ilvl="0" w:tplc="471678C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FD19C7"/>
    <w:multiLevelType w:val="hybridMultilevel"/>
    <w:tmpl w:val="209A343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22890753"/>
    <w:multiLevelType w:val="multilevel"/>
    <w:tmpl w:val="544442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4E1154D"/>
    <w:multiLevelType w:val="hybridMultilevel"/>
    <w:tmpl w:val="D5FE25D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A8623B"/>
    <w:multiLevelType w:val="hybridMultilevel"/>
    <w:tmpl w:val="7368D46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296076D2"/>
    <w:multiLevelType w:val="hybridMultilevel"/>
    <w:tmpl w:val="8876AD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C7603A"/>
    <w:multiLevelType w:val="hybridMultilevel"/>
    <w:tmpl w:val="C1D45F1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F77949"/>
    <w:multiLevelType w:val="hybridMultilevel"/>
    <w:tmpl w:val="2C2602E6"/>
    <w:lvl w:ilvl="0" w:tplc="7924FF1C">
      <w:start w:val="1"/>
      <w:numFmt w:val="decimal"/>
      <w:lvlText w:val="%1."/>
      <w:lvlJc w:val="left"/>
      <w:pPr>
        <w:ind w:left="720" w:hanging="360"/>
      </w:pPr>
      <w:rPr>
        <w:rFonts w:cstheme="minorBidi" w:hint="default"/>
        <w:b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4D755D"/>
    <w:multiLevelType w:val="hybridMultilevel"/>
    <w:tmpl w:val="70C0C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840264"/>
    <w:multiLevelType w:val="hybridMultilevel"/>
    <w:tmpl w:val="ECC29640"/>
    <w:lvl w:ilvl="0" w:tplc="0426000B">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6" w15:restartNumberingAfterBreak="0">
    <w:nsid w:val="379D4CA9"/>
    <w:multiLevelType w:val="hybridMultilevel"/>
    <w:tmpl w:val="0B9A9874"/>
    <w:lvl w:ilvl="0" w:tplc="FE0EF41A">
      <w:start w:val="1"/>
      <w:numFmt w:val="decimal"/>
      <w:lvlText w:val="%1."/>
      <w:lvlJc w:val="left"/>
      <w:pPr>
        <w:ind w:left="720" w:hanging="360"/>
      </w:pPr>
      <w:rPr>
        <w:rFonts w:cs="Times New Roman"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2706A4"/>
    <w:multiLevelType w:val="hybridMultilevel"/>
    <w:tmpl w:val="2B468136"/>
    <w:lvl w:ilvl="0" w:tplc="FD3465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CB040A"/>
    <w:multiLevelType w:val="multilevel"/>
    <w:tmpl w:val="D3F29572"/>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DF86972"/>
    <w:multiLevelType w:val="hybridMultilevel"/>
    <w:tmpl w:val="93BE56E2"/>
    <w:lvl w:ilvl="0" w:tplc="18283E8A">
      <w:start w:val="1"/>
      <w:numFmt w:val="decimal"/>
      <w:lvlText w:val="%1)"/>
      <w:lvlJc w:val="left"/>
      <w:pPr>
        <w:ind w:left="720" w:hanging="360"/>
      </w:pPr>
      <w:rPr>
        <w:rFonts w:cstheme="minorBidi" w:hint="default"/>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9C767D"/>
    <w:multiLevelType w:val="hybridMultilevel"/>
    <w:tmpl w:val="DE9C958A"/>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3906D2"/>
    <w:multiLevelType w:val="hybridMultilevel"/>
    <w:tmpl w:val="EF204334"/>
    <w:lvl w:ilvl="0" w:tplc="BF165F14">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4256950"/>
    <w:multiLevelType w:val="hybridMultilevel"/>
    <w:tmpl w:val="BEB2469A"/>
    <w:lvl w:ilvl="0" w:tplc="D58013E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15:restartNumberingAfterBreak="0">
    <w:nsid w:val="54A75F82"/>
    <w:multiLevelType w:val="hybridMultilevel"/>
    <w:tmpl w:val="BF466674"/>
    <w:lvl w:ilvl="0" w:tplc="FAC620EA">
      <w:start w:val="1"/>
      <w:numFmt w:val="decimal"/>
      <w:lvlText w:val="%1)"/>
      <w:lvlJc w:val="left"/>
      <w:pPr>
        <w:ind w:left="1440" w:hanging="360"/>
      </w:pPr>
      <w:rPr>
        <w:rFonts w:ascii="Times New Roman" w:eastAsiaTheme="minorHAnsi"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4D001BA"/>
    <w:multiLevelType w:val="hybridMultilevel"/>
    <w:tmpl w:val="813A1F38"/>
    <w:lvl w:ilvl="0" w:tplc="8C369F4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4DD6894"/>
    <w:multiLevelType w:val="hybridMultilevel"/>
    <w:tmpl w:val="2C646EA2"/>
    <w:lvl w:ilvl="0" w:tplc="662C24D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7943E5"/>
    <w:multiLevelType w:val="multilevel"/>
    <w:tmpl w:val="8528DD10"/>
    <w:styleLink w:val="WWNum1"/>
    <w:lvl w:ilvl="0">
      <w:start w:val="1"/>
      <w:numFmt w:val="decimal"/>
      <w:lvlText w:val="%1."/>
      <w:lvlJc w:val="left"/>
      <w:pPr>
        <w:ind w:left="360" w:hanging="36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5A872BE6"/>
    <w:multiLevelType w:val="hybridMultilevel"/>
    <w:tmpl w:val="152EC2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F1723E"/>
    <w:multiLevelType w:val="hybridMultilevel"/>
    <w:tmpl w:val="108ABB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1B3E43"/>
    <w:multiLevelType w:val="hybridMultilevel"/>
    <w:tmpl w:val="CB68FF56"/>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CF97E25"/>
    <w:multiLevelType w:val="hybridMultilevel"/>
    <w:tmpl w:val="DE4C8F54"/>
    <w:lvl w:ilvl="0" w:tplc="E84432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4114E7"/>
    <w:multiLevelType w:val="hybridMultilevel"/>
    <w:tmpl w:val="1DFEE5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627758"/>
    <w:multiLevelType w:val="hybridMultilevel"/>
    <w:tmpl w:val="7D6AD96A"/>
    <w:lvl w:ilvl="0" w:tplc="5A748F82">
      <w:start w:val="2"/>
      <w:numFmt w:val="decimal"/>
      <w:lvlText w:val="(%1)"/>
      <w:lvlJc w:val="left"/>
      <w:pPr>
        <w:ind w:left="111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AA398F"/>
    <w:multiLevelType w:val="multilevel"/>
    <w:tmpl w:val="E73CA12C"/>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5580C85"/>
    <w:multiLevelType w:val="hybridMultilevel"/>
    <w:tmpl w:val="7D6C13A8"/>
    <w:lvl w:ilvl="0" w:tplc="8AEE3812">
      <w:start w:val="1"/>
      <w:numFmt w:val="lowerLetter"/>
      <w:lvlText w:val="%1)"/>
      <w:lvlJc w:val="left"/>
      <w:pPr>
        <w:ind w:left="1637" w:hanging="360"/>
      </w:pPr>
      <w:rPr>
        <w:rFonts w:hint="default"/>
        <w:b/>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35" w15:restartNumberingAfterBreak="0">
    <w:nsid w:val="760578C8"/>
    <w:multiLevelType w:val="hybridMultilevel"/>
    <w:tmpl w:val="E662D338"/>
    <w:lvl w:ilvl="0" w:tplc="CA30103A">
      <w:start w:val="1"/>
      <w:numFmt w:val="decimal"/>
      <w:lvlText w:val="%1)"/>
      <w:lvlJc w:val="left"/>
      <w:pPr>
        <w:ind w:left="720" w:hanging="360"/>
      </w:pPr>
      <w:rPr>
        <w:rFonts w:hint="default"/>
        <w:b/>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D761D8"/>
    <w:multiLevelType w:val="multilevel"/>
    <w:tmpl w:val="89087710"/>
    <w:lvl w:ilvl="0">
      <w:start w:val="19"/>
      <w:numFmt w:val="decimal"/>
      <w:lvlText w:val="%1."/>
      <w:lvlJc w:val="left"/>
      <w:pPr>
        <w:ind w:left="600" w:hanging="600"/>
      </w:pPr>
      <w:rPr>
        <w:rFonts w:hint="default"/>
        <w:b w:val="0"/>
      </w:rPr>
    </w:lvl>
    <w:lvl w:ilvl="1">
      <w:start w:val="1"/>
      <w:numFmt w:val="lowerLetter"/>
      <w:lvlText w:val="%2)"/>
      <w:lvlJc w:val="left"/>
      <w:pPr>
        <w:ind w:left="720" w:hanging="7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7C9813E2"/>
    <w:multiLevelType w:val="multilevel"/>
    <w:tmpl w:val="BC2EAEE4"/>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34775B"/>
    <w:multiLevelType w:val="hybridMultilevel"/>
    <w:tmpl w:val="3CACDEE2"/>
    <w:lvl w:ilvl="0" w:tplc="4CE6AD16">
      <w:start w:val="1"/>
      <w:numFmt w:val="bullet"/>
      <w:lvlText w:val="-"/>
      <w:lvlJc w:val="left"/>
      <w:pPr>
        <w:ind w:left="720" w:hanging="360"/>
      </w:pPr>
      <w:rPr>
        <w:rFonts w:ascii="Sylfaen" w:hAnsi="Sylfae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3"/>
  </w:num>
  <w:num w:numId="5">
    <w:abstractNumId w:val="2"/>
  </w:num>
  <w:num w:numId="6">
    <w:abstractNumId w:val="5"/>
  </w:num>
  <w:num w:numId="7">
    <w:abstractNumId w:val="12"/>
  </w:num>
  <w:num w:numId="8">
    <w:abstractNumId w:val="6"/>
  </w:num>
  <w:num w:numId="9">
    <w:abstractNumId w:val="17"/>
  </w:num>
  <w:num w:numId="10">
    <w:abstractNumId w:val="10"/>
  </w:num>
  <w:num w:numId="11">
    <w:abstractNumId w:val="28"/>
  </w:num>
  <w:num w:numId="12">
    <w:abstractNumId w:val="20"/>
  </w:num>
  <w:num w:numId="13">
    <w:abstractNumId w:val="37"/>
  </w:num>
  <w:num w:numId="14">
    <w:abstractNumId w:val="36"/>
  </w:num>
  <w:num w:numId="15">
    <w:abstractNumId w:val="22"/>
  </w:num>
  <w:num w:numId="16">
    <w:abstractNumId w:val="24"/>
  </w:num>
  <w:num w:numId="17">
    <w:abstractNumId w:val="31"/>
  </w:num>
  <w:num w:numId="18">
    <w:abstractNumId w:val="15"/>
  </w:num>
  <w:num w:numId="19">
    <w:abstractNumId w:val="9"/>
  </w:num>
  <w:num w:numId="20">
    <w:abstractNumId w:val="0"/>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9"/>
  </w:num>
  <w:num w:numId="32">
    <w:abstractNumId w:val="33"/>
  </w:num>
  <w:num w:numId="33">
    <w:abstractNumId w:val="19"/>
  </w:num>
  <w:num w:numId="34">
    <w:abstractNumId w:val="32"/>
  </w:num>
  <w:num w:numId="35">
    <w:abstractNumId w:val="27"/>
  </w:num>
  <w:num w:numId="36">
    <w:abstractNumId w:val="18"/>
  </w:num>
  <w:num w:numId="37">
    <w:abstractNumId w:val="13"/>
  </w:num>
  <w:num w:numId="38">
    <w:abstractNumId w:val="21"/>
  </w:num>
  <w:num w:numId="39">
    <w:abstractNumId w:val="34"/>
  </w:num>
  <w:num w:numId="40">
    <w:abstractNumId w:val="25"/>
  </w:num>
  <w:num w:numId="41">
    <w:abstractNumId w:val="3"/>
  </w:num>
  <w:num w:numId="42">
    <w:abstractNumId w:val="30"/>
  </w:num>
  <w:num w:numId="43">
    <w:abstractNumId w:val="16"/>
  </w:num>
  <w:num w:numId="44">
    <w:abstractNumId w:val="14"/>
  </w:num>
  <w:num w:numId="45">
    <w:abstractNumId w:val="38"/>
  </w:num>
  <w:num w:numId="46">
    <w:abstractNumId w:val="1"/>
  </w:num>
  <w:num w:numId="4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20"/>
  <w:characterSpacingControl w:val="doNotCompress"/>
  <w:hdrShapeDefaults>
    <o:shapedefaults v:ext="edit" spidmax="67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62"/>
    <w:rsid w:val="00000052"/>
    <w:rsid w:val="000000B6"/>
    <w:rsid w:val="00000174"/>
    <w:rsid w:val="0000025B"/>
    <w:rsid w:val="0000057D"/>
    <w:rsid w:val="00000687"/>
    <w:rsid w:val="00000BE1"/>
    <w:rsid w:val="0000116D"/>
    <w:rsid w:val="00001327"/>
    <w:rsid w:val="00001444"/>
    <w:rsid w:val="00001730"/>
    <w:rsid w:val="000017CC"/>
    <w:rsid w:val="0000208A"/>
    <w:rsid w:val="0000223B"/>
    <w:rsid w:val="000022B9"/>
    <w:rsid w:val="0000240D"/>
    <w:rsid w:val="0000244C"/>
    <w:rsid w:val="00002A10"/>
    <w:rsid w:val="00002A9F"/>
    <w:rsid w:val="000039EE"/>
    <w:rsid w:val="0000470D"/>
    <w:rsid w:val="00004824"/>
    <w:rsid w:val="00006CA1"/>
    <w:rsid w:val="00007030"/>
    <w:rsid w:val="0001025F"/>
    <w:rsid w:val="000102B2"/>
    <w:rsid w:val="00010450"/>
    <w:rsid w:val="00010998"/>
    <w:rsid w:val="00011355"/>
    <w:rsid w:val="00011970"/>
    <w:rsid w:val="00011D1C"/>
    <w:rsid w:val="00012284"/>
    <w:rsid w:val="000126D4"/>
    <w:rsid w:val="000128E6"/>
    <w:rsid w:val="00012974"/>
    <w:rsid w:val="0001358C"/>
    <w:rsid w:val="000135A6"/>
    <w:rsid w:val="00013C64"/>
    <w:rsid w:val="00013DEE"/>
    <w:rsid w:val="000142F0"/>
    <w:rsid w:val="00014916"/>
    <w:rsid w:val="00014E1F"/>
    <w:rsid w:val="00014F49"/>
    <w:rsid w:val="00015069"/>
    <w:rsid w:val="000151DB"/>
    <w:rsid w:val="00015D1F"/>
    <w:rsid w:val="00015F2E"/>
    <w:rsid w:val="000160E1"/>
    <w:rsid w:val="00016F64"/>
    <w:rsid w:val="00017609"/>
    <w:rsid w:val="0001782F"/>
    <w:rsid w:val="00017BF5"/>
    <w:rsid w:val="00017E92"/>
    <w:rsid w:val="00020C34"/>
    <w:rsid w:val="00020E6E"/>
    <w:rsid w:val="00020ECC"/>
    <w:rsid w:val="0002110F"/>
    <w:rsid w:val="00021A13"/>
    <w:rsid w:val="00021EC5"/>
    <w:rsid w:val="00022418"/>
    <w:rsid w:val="000230A2"/>
    <w:rsid w:val="0002320F"/>
    <w:rsid w:val="00023A82"/>
    <w:rsid w:val="0002427C"/>
    <w:rsid w:val="00024684"/>
    <w:rsid w:val="00024979"/>
    <w:rsid w:val="00024C13"/>
    <w:rsid w:val="00025360"/>
    <w:rsid w:val="00025BAB"/>
    <w:rsid w:val="00026B09"/>
    <w:rsid w:val="00026B4A"/>
    <w:rsid w:val="00026E33"/>
    <w:rsid w:val="00027FC5"/>
    <w:rsid w:val="000300A2"/>
    <w:rsid w:val="000304ED"/>
    <w:rsid w:val="0003079B"/>
    <w:rsid w:val="00030D6F"/>
    <w:rsid w:val="00030E49"/>
    <w:rsid w:val="00031001"/>
    <w:rsid w:val="0003117C"/>
    <w:rsid w:val="00031D79"/>
    <w:rsid w:val="00031FB5"/>
    <w:rsid w:val="00032662"/>
    <w:rsid w:val="00033009"/>
    <w:rsid w:val="00033C56"/>
    <w:rsid w:val="00033D4E"/>
    <w:rsid w:val="00033E4C"/>
    <w:rsid w:val="00034464"/>
    <w:rsid w:val="000346B2"/>
    <w:rsid w:val="00034BD9"/>
    <w:rsid w:val="0003569F"/>
    <w:rsid w:val="000359A5"/>
    <w:rsid w:val="00035FAB"/>
    <w:rsid w:val="0003684E"/>
    <w:rsid w:val="00036DE2"/>
    <w:rsid w:val="00036E4D"/>
    <w:rsid w:val="00037500"/>
    <w:rsid w:val="0004010B"/>
    <w:rsid w:val="00040666"/>
    <w:rsid w:val="00040BFD"/>
    <w:rsid w:val="00040EE8"/>
    <w:rsid w:val="000419C6"/>
    <w:rsid w:val="0004237B"/>
    <w:rsid w:val="00042740"/>
    <w:rsid w:val="00042745"/>
    <w:rsid w:val="00042948"/>
    <w:rsid w:val="00042F51"/>
    <w:rsid w:val="00043111"/>
    <w:rsid w:val="00043231"/>
    <w:rsid w:val="00043533"/>
    <w:rsid w:val="00044035"/>
    <w:rsid w:val="0004464B"/>
    <w:rsid w:val="00044ADA"/>
    <w:rsid w:val="00044AEE"/>
    <w:rsid w:val="00044F03"/>
    <w:rsid w:val="000468E1"/>
    <w:rsid w:val="00046913"/>
    <w:rsid w:val="0005123E"/>
    <w:rsid w:val="00051626"/>
    <w:rsid w:val="00051CD5"/>
    <w:rsid w:val="00051E3B"/>
    <w:rsid w:val="00053D69"/>
    <w:rsid w:val="000541CB"/>
    <w:rsid w:val="000543DC"/>
    <w:rsid w:val="0005470F"/>
    <w:rsid w:val="0005473D"/>
    <w:rsid w:val="0005487E"/>
    <w:rsid w:val="00054C21"/>
    <w:rsid w:val="00055097"/>
    <w:rsid w:val="00055A14"/>
    <w:rsid w:val="00056705"/>
    <w:rsid w:val="00056769"/>
    <w:rsid w:val="00056EC4"/>
    <w:rsid w:val="0005711D"/>
    <w:rsid w:val="00057D45"/>
    <w:rsid w:val="00057E3C"/>
    <w:rsid w:val="00060183"/>
    <w:rsid w:val="00060855"/>
    <w:rsid w:val="00060A20"/>
    <w:rsid w:val="0006141A"/>
    <w:rsid w:val="00061793"/>
    <w:rsid w:val="0006280B"/>
    <w:rsid w:val="00062EEB"/>
    <w:rsid w:val="0006309F"/>
    <w:rsid w:val="00063619"/>
    <w:rsid w:val="00063916"/>
    <w:rsid w:val="0006391F"/>
    <w:rsid w:val="00063C59"/>
    <w:rsid w:val="000648C7"/>
    <w:rsid w:val="00064BC1"/>
    <w:rsid w:val="00064CEE"/>
    <w:rsid w:val="00064EEC"/>
    <w:rsid w:val="00064F0A"/>
    <w:rsid w:val="00066056"/>
    <w:rsid w:val="00066537"/>
    <w:rsid w:val="00066680"/>
    <w:rsid w:val="00066BC5"/>
    <w:rsid w:val="00066CF3"/>
    <w:rsid w:val="00067CA5"/>
    <w:rsid w:val="0007094C"/>
    <w:rsid w:val="00070B60"/>
    <w:rsid w:val="00071043"/>
    <w:rsid w:val="000718E2"/>
    <w:rsid w:val="00071AF5"/>
    <w:rsid w:val="00071E8C"/>
    <w:rsid w:val="0007217D"/>
    <w:rsid w:val="0007251A"/>
    <w:rsid w:val="000726FC"/>
    <w:rsid w:val="00072B8B"/>
    <w:rsid w:val="00072D47"/>
    <w:rsid w:val="00072EEC"/>
    <w:rsid w:val="00073283"/>
    <w:rsid w:val="00073CCD"/>
    <w:rsid w:val="000742BC"/>
    <w:rsid w:val="00074472"/>
    <w:rsid w:val="0007530A"/>
    <w:rsid w:val="00075B1B"/>
    <w:rsid w:val="0007627D"/>
    <w:rsid w:val="0007636C"/>
    <w:rsid w:val="00076E4C"/>
    <w:rsid w:val="00077420"/>
    <w:rsid w:val="00077DD0"/>
    <w:rsid w:val="00077F2C"/>
    <w:rsid w:val="000801B7"/>
    <w:rsid w:val="0008084F"/>
    <w:rsid w:val="00080B73"/>
    <w:rsid w:val="00080F80"/>
    <w:rsid w:val="000810A3"/>
    <w:rsid w:val="0008177F"/>
    <w:rsid w:val="00082977"/>
    <w:rsid w:val="00082CB9"/>
    <w:rsid w:val="00083235"/>
    <w:rsid w:val="00083328"/>
    <w:rsid w:val="0008336A"/>
    <w:rsid w:val="0008354E"/>
    <w:rsid w:val="00084025"/>
    <w:rsid w:val="0008459D"/>
    <w:rsid w:val="00084DB1"/>
    <w:rsid w:val="00085744"/>
    <w:rsid w:val="00086054"/>
    <w:rsid w:val="0008641F"/>
    <w:rsid w:val="0008664D"/>
    <w:rsid w:val="000870FE"/>
    <w:rsid w:val="000873A8"/>
    <w:rsid w:val="0008783F"/>
    <w:rsid w:val="000878A3"/>
    <w:rsid w:val="0009099A"/>
    <w:rsid w:val="00090AB1"/>
    <w:rsid w:val="00090ACE"/>
    <w:rsid w:val="00090F78"/>
    <w:rsid w:val="00091609"/>
    <w:rsid w:val="00091DE7"/>
    <w:rsid w:val="000922D1"/>
    <w:rsid w:val="00092989"/>
    <w:rsid w:val="000929F0"/>
    <w:rsid w:val="000931FD"/>
    <w:rsid w:val="00094233"/>
    <w:rsid w:val="00094BC4"/>
    <w:rsid w:val="000952CB"/>
    <w:rsid w:val="00095B25"/>
    <w:rsid w:val="0009605A"/>
    <w:rsid w:val="000960C0"/>
    <w:rsid w:val="000966CA"/>
    <w:rsid w:val="00097044"/>
    <w:rsid w:val="000973D8"/>
    <w:rsid w:val="000974B0"/>
    <w:rsid w:val="00097978"/>
    <w:rsid w:val="00097B4B"/>
    <w:rsid w:val="00097E5C"/>
    <w:rsid w:val="000A0895"/>
    <w:rsid w:val="000A098A"/>
    <w:rsid w:val="000A0F2E"/>
    <w:rsid w:val="000A105C"/>
    <w:rsid w:val="000A2114"/>
    <w:rsid w:val="000A2174"/>
    <w:rsid w:val="000A21CC"/>
    <w:rsid w:val="000A255B"/>
    <w:rsid w:val="000A2999"/>
    <w:rsid w:val="000A2ACC"/>
    <w:rsid w:val="000A2E1C"/>
    <w:rsid w:val="000A325A"/>
    <w:rsid w:val="000A32CB"/>
    <w:rsid w:val="000A358E"/>
    <w:rsid w:val="000A3DE9"/>
    <w:rsid w:val="000A3FCD"/>
    <w:rsid w:val="000A45E4"/>
    <w:rsid w:val="000A4653"/>
    <w:rsid w:val="000A471D"/>
    <w:rsid w:val="000A50BC"/>
    <w:rsid w:val="000A5257"/>
    <w:rsid w:val="000A5510"/>
    <w:rsid w:val="000A5900"/>
    <w:rsid w:val="000A5B2E"/>
    <w:rsid w:val="000A6200"/>
    <w:rsid w:val="000A6266"/>
    <w:rsid w:val="000A6EE7"/>
    <w:rsid w:val="000A723F"/>
    <w:rsid w:val="000A770C"/>
    <w:rsid w:val="000A7FFC"/>
    <w:rsid w:val="000B0D1C"/>
    <w:rsid w:val="000B13A1"/>
    <w:rsid w:val="000B1ABA"/>
    <w:rsid w:val="000B2492"/>
    <w:rsid w:val="000B2764"/>
    <w:rsid w:val="000B2914"/>
    <w:rsid w:val="000B2919"/>
    <w:rsid w:val="000B3027"/>
    <w:rsid w:val="000B3654"/>
    <w:rsid w:val="000B39B6"/>
    <w:rsid w:val="000B3C71"/>
    <w:rsid w:val="000B3CAB"/>
    <w:rsid w:val="000B3D19"/>
    <w:rsid w:val="000B4A58"/>
    <w:rsid w:val="000B5717"/>
    <w:rsid w:val="000B574D"/>
    <w:rsid w:val="000B620C"/>
    <w:rsid w:val="000B6351"/>
    <w:rsid w:val="000B64A7"/>
    <w:rsid w:val="000B6A8E"/>
    <w:rsid w:val="000B6EF0"/>
    <w:rsid w:val="000B6F9E"/>
    <w:rsid w:val="000B700B"/>
    <w:rsid w:val="000B7F2C"/>
    <w:rsid w:val="000C0697"/>
    <w:rsid w:val="000C1234"/>
    <w:rsid w:val="000C1951"/>
    <w:rsid w:val="000C22D6"/>
    <w:rsid w:val="000C2D2A"/>
    <w:rsid w:val="000C3AA1"/>
    <w:rsid w:val="000C3EEA"/>
    <w:rsid w:val="000C4479"/>
    <w:rsid w:val="000C4BA6"/>
    <w:rsid w:val="000C4E54"/>
    <w:rsid w:val="000C6821"/>
    <w:rsid w:val="000C686F"/>
    <w:rsid w:val="000C76F1"/>
    <w:rsid w:val="000C79DA"/>
    <w:rsid w:val="000C7ECA"/>
    <w:rsid w:val="000D0732"/>
    <w:rsid w:val="000D12B1"/>
    <w:rsid w:val="000D15AD"/>
    <w:rsid w:val="000D1C84"/>
    <w:rsid w:val="000D1CD9"/>
    <w:rsid w:val="000D1F6E"/>
    <w:rsid w:val="000D2C8E"/>
    <w:rsid w:val="000D38F2"/>
    <w:rsid w:val="000D3B56"/>
    <w:rsid w:val="000D3D83"/>
    <w:rsid w:val="000D46EF"/>
    <w:rsid w:val="000D49FA"/>
    <w:rsid w:val="000D4C68"/>
    <w:rsid w:val="000D4D31"/>
    <w:rsid w:val="000D5828"/>
    <w:rsid w:val="000D58CC"/>
    <w:rsid w:val="000D5CB2"/>
    <w:rsid w:val="000D6617"/>
    <w:rsid w:val="000D6C9B"/>
    <w:rsid w:val="000D7342"/>
    <w:rsid w:val="000D796E"/>
    <w:rsid w:val="000D7B8A"/>
    <w:rsid w:val="000E028B"/>
    <w:rsid w:val="000E0CA0"/>
    <w:rsid w:val="000E0D68"/>
    <w:rsid w:val="000E0F2E"/>
    <w:rsid w:val="000E1574"/>
    <w:rsid w:val="000E1878"/>
    <w:rsid w:val="000E33B8"/>
    <w:rsid w:val="000E34EC"/>
    <w:rsid w:val="000E3757"/>
    <w:rsid w:val="000E3E7B"/>
    <w:rsid w:val="000E449A"/>
    <w:rsid w:val="000E49B4"/>
    <w:rsid w:val="000E49D1"/>
    <w:rsid w:val="000E5169"/>
    <w:rsid w:val="000E6614"/>
    <w:rsid w:val="000E681A"/>
    <w:rsid w:val="000E6BCF"/>
    <w:rsid w:val="000E7338"/>
    <w:rsid w:val="000E7C83"/>
    <w:rsid w:val="000F0CC2"/>
    <w:rsid w:val="000F107A"/>
    <w:rsid w:val="000F1CDD"/>
    <w:rsid w:val="000F1D58"/>
    <w:rsid w:val="000F1F95"/>
    <w:rsid w:val="000F26F4"/>
    <w:rsid w:val="000F2756"/>
    <w:rsid w:val="000F29D6"/>
    <w:rsid w:val="000F3444"/>
    <w:rsid w:val="000F3545"/>
    <w:rsid w:val="000F3BC7"/>
    <w:rsid w:val="000F3EBA"/>
    <w:rsid w:val="000F3F0B"/>
    <w:rsid w:val="000F4449"/>
    <w:rsid w:val="000F4FC7"/>
    <w:rsid w:val="000F5489"/>
    <w:rsid w:val="000F578C"/>
    <w:rsid w:val="000F5C62"/>
    <w:rsid w:val="000F5D2F"/>
    <w:rsid w:val="000F6DC6"/>
    <w:rsid w:val="000F6E03"/>
    <w:rsid w:val="000F701A"/>
    <w:rsid w:val="000F79DA"/>
    <w:rsid w:val="000F7E6B"/>
    <w:rsid w:val="001005C3"/>
    <w:rsid w:val="00100BC4"/>
    <w:rsid w:val="001022CB"/>
    <w:rsid w:val="001027D7"/>
    <w:rsid w:val="00102885"/>
    <w:rsid w:val="0010387C"/>
    <w:rsid w:val="0010417B"/>
    <w:rsid w:val="00104DA8"/>
    <w:rsid w:val="00105155"/>
    <w:rsid w:val="00105A2D"/>
    <w:rsid w:val="00106F3A"/>
    <w:rsid w:val="00107088"/>
    <w:rsid w:val="001071AE"/>
    <w:rsid w:val="001074E4"/>
    <w:rsid w:val="00110F74"/>
    <w:rsid w:val="0011128E"/>
    <w:rsid w:val="001115EE"/>
    <w:rsid w:val="001119A3"/>
    <w:rsid w:val="00111AE0"/>
    <w:rsid w:val="00111BC9"/>
    <w:rsid w:val="0011225B"/>
    <w:rsid w:val="00112416"/>
    <w:rsid w:val="00112578"/>
    <w:rsid w:val="0011279F"/>
    <w:rsid w:val="00112FCE"/>
    <w:rsid w:val="00113A7E"/>
    <w:rsid w:val="00113C8B"/>
    <w:rsid w:val="00113F03"/>
    <w:rsid w:val="00114078"/>
    <w:rsid w:val="00114572"/>
    <w:rsid w:val="00114D66"/>
    <w:rsid w:val="001153F9"/>
    <w:rsid w:val="00115E00"/>
    <w:rsid w:val="00115E35"/>
    <w:rsid w:val="00116087"/>
    <w:rsid w:val="001160CE"/>
    <w:rsid w:val="00116209"/>
    <w:rsid w:val="00116564"/>
    <w:rsid w:val="00116672"/>
    <w:rsid w:val="00116CF8"/>
    <w:rsid w:val="00117267"/>
    <w:rsid w:val="00120427"/>
    <w:rsid w:val="00120492"/>
    <w:rsid w:val="001207F2"/>
    <w:rsid w:val="00120933"/>
    <w:rsid w:val="00121369"/>
    <w:rsid w:val="0012180E"/>
    <w:rsid w:val="00121C73"/>
    <w:rsid w:val="00121DE8"/>
    <w:rsid w:val="0012328A"/>
    <w:rsid w:val="00123472"/>
    <w:rsid w:val="00123F39"/>
    <w:rsid w:val="00123FD6"/>
    <w:rsid w:val="001240C5"/>
    <w:rsid w:val="00124165"/>
    <w:rsid w:val="0012419D"/>
    <w:rsid w:val="001242E0"/>
    <w:rsid w:val="001243EF"/>
    <w:rsid w:val="0012455A"/>
    <w:rsid w:val="00125146"/>
    <w:rsid w:val="00125401"/>
    <w:rsid w:val="001261D7"/>
    <w:rsid w:val="0012680B"/>
    <w:rsid w:val="0012695E"/>
    <w:rsid w:val="001276F1"/>
    <w:rsid w:val="00127C74"/>
    <w:rsid w:val="00127DD9"/>
    <w:rsid w:val="00127F6E"/>
    <w:rsid w:val="001304AA"/>
    <w:rsid w:val="00130836"/>
    <w:rsid w:val="00130FCD"/>
    <w:rsid w:val="0013261D"/>
    <w:rsid w:val="001329B1"/>
    <w:rsid w:val="0013344E"/>
    <w:rsid w:val="001336ED"/>
    <w:rsid w:val="00133A1A"/>
    <w:rsid w:val="0013439B"/>
    <w:rsid w:val="001344B6"/>
    <w:rsid w:val="001344DE"/>
    <w:rsid w:val="001350E3"/>
    <w:rsid w:val="00135300"/>
    <w:rsid w:val="00135974"/>
    <w:rsid w:val="00135B21"/>
    <w:rsid w:val="001366F7"/>
    <w:rsid w:val="00136F2E"/>
    <w:rsid w:val="00136FBB"/>
    <w:rsid w:val="00137281"/>
    <w:rsid w:val="001373D5"/>
    <w:rsid w:val="00137789"/>
    <w:rsid w:val="00137F8E"/>
    <w:rsid w:val="001401EF"/>
    <w:rsid w:val="001407F6"/>
    <w:rsid w:val="0014087C"/>
    <w:rsid w:val="00140961"/>
    <w:rsid w:val="001409D5"/>
    <w:rsid w:val="00140DBE"/>
    <w:rsid w:val="00141D21"/>
    <w:rsid w:val="00141E05"/>
    <w:rsid w:val="0014214E"/>
    <w:rsid w:val="001422AE"/>
    <w:rsid w:val="00142D53"/>
    <w:rsid w:val="00142E3E"/>
    <w:rsid w:val="00142FF7"/>
    <w:rsid w:val="001432F8"/>
    <w:rsid w:val="00143F7E"/>
    <w:rsid w:val="00144311"/>
    <w:rsid w:val="00144AB6"/>
    <w:rsid w:val="00144F2E"/>
    <w:rsid w:val="0014506D"/>
    <w:rsid w:val="001450E4"/>
    <w:rsid w:val="001459CC"/>
    <w:rsid w:val="00147092"/>
    <w:rsid w:val="0014747F"/>
    <w:rsid w:val="001474E3"/>
    <w:rsid w:val="001503A2"/>
    <w:rsid w:val="00150741"/>
    <w:rsid w:val="001512A9"/>
    <w:rsid w:val="00151481"/>
    <w:rsid w:val="00151FF7"/>
    <w:rsid w:val="00152013"/>
    <w:rsid w:val="001520E1"/>
    <w:rsid w:val="00152600"/>
    <w:rsid w:val="0015277B"/>
    <w:rsid w:val="00152E7B"/>
    <w:rsid w:val="001530F4"/>
    <w:rsid w:val="00153110"/>
    <w:rsid w:val="00154212"/>
    <w:rsid w:val="001545CE"/>
    <w:rsid w:val="001546CB"/>
    <w:rsid w:val="001556FB"/>
    <w:rsid w:val="0015574B"/>
    <w:rsid w:val="00155AC6"/>
    <w:rsid w:val="0015627B"/>
    <w:rsid w:val="00157731"/>
    <w:rsid w:val="00157851"/>
    <w:rsid w:val="00157A93"/>
    <w:rsid w:val="00157C3A"/>
    <w:rsid w:val="00157FA9"/>
    <w:rsid w:val="00160CF9"/>
    <w:rsid w:val="001611FA"/>
    <w:rsid w:val="0016135D"/>
    <w:rsid w:val="001614BF"/>
    <w:rsid w:val="00161F83"/>
    <w:rsid w:val="00162833"/>
    <w:rsid w:val="00163489"/>
    <w:rsid w:val="00163901"/>
    <w:rsid w:val="0016453B"/>
    <w:rsid w:val="001667EE"/>
    <w:rsid w:val="00167574"/>
    <w:rsid w:val="00170374"/>
    <w:rsid w:val="0017082E"/>
    <w:rsid w:val="00170855"/>
    <w:rsid w:val="001708A1"/>
    <w:rsid w:val="0017160F"/>
    <w:rsid w:val="00171696"/>
    <w:rsid w:val="00171BE7"/>
    <w:rsid w:val="00173073"/>
    <w:rsid w:val="00173436"/>
    <w:rsid w:val="00173D1C"/>
    <w:rsid w:val="00173D64"/>
    <w:rsid w:val="001742AB"/>
    <w:rsid w:val="00174491"/>
    <w:rsid w:val="001744A6"/>
    <w:rsid w:val="00174D2F"/>
    <w:rsid w:val="00175316"/>
    <w:rsid w:val="0017568B"/>
    <w:rsid w:val="0017586A"/>
    <w:rsid w:val="00176291"/>
    <w:rsid w:val="001772A9"/>
    <w:rsid w:val="0017734F"/>
    <w:rsid w:val="00177745"/>
    <w:rsid w:val="00180424"/>
    <w:rsid w:val="001808EC"/>
    <w:rsid w:val="00180D5E"/>
    <w:rsid w:val="00181071"/>
    <w:rsid w:val="00181751"/>
    <w:rsid w:val="00181B75"/>
    <w:rsid w:val="001829B8"/>
    <w:rsid w:val="00183150"/>
    <w:rsid w:val="001847AA"/>
    <w:rsid w:val="00184884"/>
    <w:rsid w:val="00185026"/>
    <w:rsid w:val="001854D7"/>
    <w:rsid w:val="00185846"/>
    <w:rsid w:val="00185E05"/>
    <w:rsid w:val="0018623F"/>
    <w:rsid w:val="00186DBE"/>
    <w:rsid w:val="001870F3"/>
    <w:rsid w:val="00187DA6"/>
    <w:rsid w:val="00190973"/>
    <w:rsid w:val="00190DE1"/>
    <w:rsid w:val="0019100E"/>
    <w:rsid w:val="0019112C"/>
    <w:rsid w:val="001914D2"/>
    <w:rsid w:val="00192033"/>
    <w:rsid w:val="00192492"/>
    <w:rsid w:val="00192C6C"/>
    <w:rsid w:val="00192E25"/>
    <w:rsid w:val="0019328F"/>
    <w:rsid w:val="00193B1C"/>
    <w:rsid w:val="00193E86"/>
    <w:rsid w:val="0019471C"/>
    <w:rsid w:val="00195517"/>
    <w:rsid w:val="00195C84"/>
    <w:rsid w:val="00196160"/>
    <w:rsid w:val="00196595"/>
    <w:rsid w:val="00196AFC"/>
    <w:rsid w:val="00197CE8"/>
    <w:rsid w:val="001A0489"/>
    <w:rsid w:val="001A271A"/>
    <w:rsid w:val="001A2D84"/>
    <w:rsid w:val="001A31C3"/>
    <w:rsid w:val="001A3BF4"/>
    <w:rsid w:val="001A4683"/>
    <w:rsid w:val="001A4AFE"/>
    <w:rsid w:val="001A513A"/>
    <w:rsid w:val="001A5C3E"/>
    <w:rsid w:val="001A605D"/>
    <w:rsid w:val="001A60C3"/>
    <w:rsid w:val="001A67AD"/>
    <w:rsid w:val="001A6802"/>
    <w:rsid w:val="001A70DF"/>
    <w:rsid w:val="001A724F"/>
    <w:rsid w:val="001A7326"/>
    <w:rsid w:val="001B00CB"/>
    <w:rsid w:val="001B0137"/>
    <w:rsid w:val="001B198E"/>
    <w:rsid w:val="001B211E"/>
    <w:rsid w:val="001B2186"/>
    <w:rsid w:val="001B2EF6"/>
    <w:rsid w:val="001B3012"/>
    <w:rsid w:val="001B304A"/>
    <w:rsid w:val="001B32E6"/>
    <w:rsid w:val="001B4163"/>
    <w:rsid w:val="001B4B55"/>
    <w:rsid w:val="001B4F3B"/>
    <w:rsid w:val="001B51F4"/>
    <w:rsid w:val="001B5DE7"/>
    <w:rsid w:val="001B6011"/>
    <w:rsid w:val="001B613A"/>
    <w:rsid w:val="001B6D49"/>
    <w:rsid w:val="001B791D"/>
    <w:rsid w:val="001C08BD"/>
    <w:rsid w:val="001C0E00"/>
    <w:rsid w:val="001C171B"/>
    <w:rsid w:val="001C21E1"/>
    <w:rsid w:val="001C22CC"/>
    <w:rsid w:val="001C2BBC"/>
    <w:rsid w:val="001C3026"/>
    <w:rsid w:val="001C3B75"/>
    <w:rsid w:val="001C430D"/>
    <w:rsid w:val="001C4BD9"/>
    <w:rsid w:val="001C5AF9"/>
    <w:rsid w:val="001C604E"/>
    <w:rsid w:val="001C6D42"/>
    <w:rsid w:val="001C7264"/>
    <w:rsid w:val="001C77C7"/>
    <w:rsid w:val="001D064A"/>
    <w:rsid w:val="001D1B1B"/>
    <w:rsid w:val="001D1D31"/>
    <w:rsid w:val="001D2150"/>
    <w:rsid w:val="001D24C5"/>
    <w:rsid w:val="001D25AE"/>
    <w:rsid w:val="001D294A"/>
    <w:rsid w:val="001D2C8E"/>
    <w:rsid w:val="001D3237"/>
    <w:rsid w:val="001D34E8"/>
    <w:rsid w:val="001D3B78"/>
    <w:rsid w:val="001D44CD"/>
    <w:rsid w:val="001D5359"/>
    <w:rsid w:val="001D548D"/>
    <w:rsid w:val="001D5CF2"/>
    <w:rsid w:val="001D5E52"/>
    <w:rsid w:val="001D6218"/>
    <w:rsid w:val="001D6540"/>
    <w:rsid w:val="001D6622"/>
    <w:rsid w:val="001D6651"/>
    <w:rsid w:val="001D66F5"/>
    <w:rsid w:val="001D75C7"/>
    <w:rsid w:val="001D7D3C"/>
    <w:rsid w:val="001D7F0F"/>
    <w:rsid w:val="001E082F"/>
    <w:rsid w:val="001E158A"/>
    <w:rsid w:val="001E1814"/>
    <w:rsid w:val="001E182C"/>
    <w:rsid w:val="001E197A"/>
    <w:rsid w:val="001E20BF"/>
    <w:rsid w:val="001E2315"/>
    <w:rsid w:val="001E247D"/>
    <w:rsid w:val="001E255C"/>
    <w:rsid w:val="001E2656"/>
    <w:rsid w:val="001E273A"/>
    <w:rsid w:val="001E275C"/>
    <w:rsid w:val="001E2E9F"/>
    <w:rsid w:val="001E3100"/>
    <w:rsid w:val="001E35DC"/>
    <w:rsid w:val="001E3866"/>
    <w:rsid w:val="001E4929"/>
    <w:rsid w:val="001E499E"/>
    <w:rsid w:val="001E4C59"/>
    <w:rsid w:val="001E4F53"/>
    <w:rsid w:val="001E5389"/>
    <w:rsid w:val="001E5635"/>
    <w:rsid w:val="001E5725"/>
    <w:rsid w:val="001E5E03"/>
    <w:rsid w:val="001E5F50"/>
    <w:rsid w:val="001E615A"/>
    <w:rsid w:val="001E6328"/>
    <w:rsid w:val="001E714F"/>
    <w:rsid w:val="001E7385"/>
    <w:rsid w:val="001E7D6E"/>
    <w:rsid w:val="001F0498"/>
    <w:rsid w:val="001F05C3"/>
    <w:rsid w:val="001F0980"/>
    <w:rsid w:val="001F0AF6"/>
    <w:rsid w:val="001F0FCB"/>
    <w:rsid w:val="001F101D"/>
    <w:rsid w:val="001F1215"/>
    <w:rsid w:val="001F1635"/>
    <w:rsid w:val="001F1ACC"/>
    <w:rsid w:val="001F1B2A"/>
    <w:rsid w:val="001F21F8"/>
    <w:rsid w:val="001F2827"/>
    <w:rsid w:val="001F2E07"/>
    <w:rsid w:val="001F3F60"/>
    <w:rsid w:val="001F499C"/>
    <w:rsid w:val="001F4B2B"/>
    <w:rsid w:val="001F4BBA"/>
    <w:rsid w:val="001F50A2"/>
    <w:rsid w:val="001F5157"/>
    <w:rsid w:val="001F5860"/>
    <w:rsid w:val="001F6E1B"/>
    <w:rsid w:val="001F7759"/>
    <w:rsid w:val="001F7BCC"/>
    <w:rsid w:val="00200112"/>
    <w:rsid w:val="0020071B"/>
    <w:rsid w:val="00200D49"/>
    <w:rsid w:val="002015BF"/>
    <w:rsid w:val="002016F2"/>
    <w:rsid w:val="00202078"/>
    <w:rsid w:val="0020221E"/>
    <w:rsid w:val="00202349"/>
    <w:rsid w:val="00203FC7"/>
    <w:rsid w:val="002043EA"/>
    <w:rsid w:val="00204472"/>
    <w:rsid w:val="0020469C"/>
    <w:rsid w:val="00204762"/>
    <w:rsid w:val="00204EE7"/>
    <w:rsid w:val="00205967"/>
    <w:rsid w:val="00205E4E"/>
    <w:rsid w:val="0020618B"/>
    <w:rsid w:val="00206429"/>
    <w:rsid w:val="0020735B"/>
    <w:rsid w:val="0020750A"/>
    <w:rsid w:val="0020794D"/>
    <w:rsid w:val="0021014D"/>
    <w:rsid w:val="002105E5"/>
    <w:rsid w:val="00210F21"/>
    <w:rsid w:val="002110E9"/>
    <w:rsid w:val="002111A3"/>
    <w:rsid w:val="0021165F"/>
    <w:rsid w:val="00211766"/>
    <w:rsid w:val="002118E5"/>
    <w:rsid w:val="00211DF4"/>
    <w:rsid w:val="002126A3"/>
    <w:rsid w:val="00212E67"/>
    <w:rsid w:val="00213635"/>
    <w:rsid w:val="00213849"/>
    <w:rsid w:val="00214236"/>
    <w:rsid w:val="0021431B"/>
    <w:rsid w:val="002153CF"/>
    <w:rsid w:val="00215482"/>
    <w:rsid w:val="0021564B"/>
    <w:rsid w:val="0021576B"/>
    <w:rsid w:val="00216112"/>
    <w:rsid w:val="00216A5F"/>
    <w:rsid w:val="00216BAC"/>
    <w:rsid w:val="00216C61"/>
    <w:rsid w:val="00216F68"/>
    <w:rsid w:val="00217376"/>
    <w:rsid w:val="002176A7"/>
    <w:rsid w:val="00217851"/>
    <w:rsid w:val="00217C6F"/>
    <w:rsid w:val="00217F5E"/>
    <w:rsid w:val="0022055E"/>
    <w:rsid w:val="00220687"/>
    <w:rsid w:val="00220A88"/>
    <w:rsid w:val="00220E4D"/>
    <w:rsid w:val="0022146B"/>
    <w:rsid w:val="002214B0"/>
    <w:rsid w:val="00222121"/>
    <w:rsid w:val="00222C67"/>
    <w:rsid w:val="00222EDD"/>
    <w:rsid w:val="00223975"/>
    <w:rsid w:val="002242E4"/>
    <w:rsid w:val="00224C47"/>
    <w:rsid w:val="00224EA2"/>
    <w:rsid w:val="00225BC6"/>
    <w:rsid w:val="00225C55"/>
    <w:rsid w:val="002267E1"/>
    <w:rsid w:val="00226AF0"/>
    <w:rsid w:val="00227817"/>
    <w:rsid w:val="002279BA"/>
    <w:rsid w:val="00227A9D"/>
    <w:rsid w:val="00227CAA"/>
    <w:rsid w:val="00227EE8"/>
    <w:rsid w:val="0023012A"/>
    <w:rsid w:val="0023017A"/>
    <w:rsid w:val="002302C9"/>
    <w:rsid w:val="00230BCE"/>
    <w:rsid w:val="00230E91"/>
    <w:rsid w:val="00230E9B"/>
    <w:rsid w:val="00231561"/>
    <w:rsid w:val="00231732"/>
    <w:rsid w:val="00231B7F"/>
    <w:rsid w:val="00231B89"/>
    <w:rsid w:val="00231DD2"/>
    <w:rsid w:val="00231E12"/>
    <w:rsid w:val="00231FAC"/>
    <w:rsid w:val="00232563"/>
    <w:rsid w:val="00232D13"/>
    <w:rsid w:val="0023324F"/>
    <w:rsid w:val="00233D29"/>
    <w:rsid w:val="002350C0"/>
    <w:rsid w:val="00235819"/>
    <w:rsid w:val="00236184"/>
    <w:rsid w:val="00236AE4"/>
    <w:rsid w:val="00236CB7"/>
    <w:rsid w:val="0023714E"/>
    <w:rsid w:val="002404DB"/>
    <w:rsid w:val="00241CC3"/>
    <w:rsid w:val="00241D60"/>
    <w:rsid w:val="00242C2D"/>
    <w:rsid w:val="00242F73"/>
    <w:rsid w:val="0024338E"/>
    <w:rsid w:val="00243D3C"/>
    <w:rsid w:val="00243F54"/>
    <w:rsid w:val="00244A16"/>
    <w:rsid w:val="0024653A"/>
    <w:rsid w:val="00246789"/>
    <w:rsid w:val="00246887"/>
    <w:rsid w:val="002468F5"/>
    <w:rsid w:val="00246C8D"/>
    <w:rsid w:val="00246F48"/>
    <w:rsid w:val="002470F5"/>
    <w:rsid w:val="002471B7"/>
    <w:rsid w:val="0024778B"/>
    <w:rsid w:val="00247D86"/>
    <w:rsid w:val="00247D95"/>
    <w:rsid w:val="00250660"/>
    <w:rsid w:val="00250882"/>
    <w:rsid w:val="00250EAB"/>
    <w:rsid w:val="002510D0"/>
    <w:rsid w:val="0025127C"/>
    <w:rsid w:val="00252864"/>
    <w:rsid w:val="00252B6F"/>
    <w:rsid w:val="00252D1A"/>
    <w:rsid w:val="00252D82"/>
    <w:rsid w:val="002531CD"/>
    <w:rsid w:val="0025328C"/>
    <w:rsid w:val="002538AE"/>
    <w:rsid w:val="00253C64"/>
    <w:rsid w:val="00254404"/>
    <w:rsid w:val="00254C21"/>
    <w:rsid w:val="00255B18"/>
    <w:rsid w:val="002571DE"/>
    <w:rsid w:val="002572A5"/>
    <w:rsid w:val="002603D2"/>
    <w:rsid w:val="00260F87"/>
    <w:rsid w:val="002615BB"/>
    <w:rsid w:val="0026198E"/>
    <w:rsid w:val="002629F7"/>
    <w:rsid w:val="00262A6F"/>
    <w:rsid w:val="00262CA5"/>
    <w:rsid w:val="00262E72"/>
    <w:rsid w:val="0026308B"/>
    <w:rsid w:val="0026357A"/>
    <w:rsid w:val="002635D1"/>
    <w:rsid w:val="00263B41"/>
    <w:rsid w:val="00263D31"/>
    <w:rsid w:val="002643C9"/>
    <w:rsid w:val="002645D6"/>
    <w:rsid w:val="00265029"/>
    <w:rsid w:val="002653F4"/>
    <w:rsid w:val="00265B41"/>
    <w:rsid w:val="00265F73"/>
    <w:rsid w:val="00266123"/>
    <w:rsid w:val="00266ED2"/>
    <w:rsid w:val="00266F5C"/>
    <w:rsid w:val="0026781B"/>
    <w:rsid w:val="00267873"/>
    <w:rsid w:val="00270616"/>
    <w:rsid w:val="00270646"/>
    <w:rsid w:val="00270688"/>
    <w:rsid w:val="002709A7"/>
    <w:rsid w:val="002709E0"/>
    <w:rsid w:val="00271414"/>
    <w:rsid w:val="002718EF"/>
    <w:rsid w:val="00272038"/>
    <w:rsid w:val="00272C25"/>
    <w:rsid w:val="00272F28"/>
    <w:rsid w:val="002735F4"/>
    <w:rsid w:val="00273B89"/>
    <w:rsid w:val="00273F6A"/>
    <w:rsid w:val="0027401C"/>
    <w:rsid w:val="002743F5"/>
    <w:rsid w:val="00274A4F"/>
    <w:rsid w:val="00275521"/>
    <w:rsid w:val="0027574C"/>
    <w:rsid w:val="00276085"/>
    <w:rsid w:val="002771C7"/>
    <w:rsid w:val="00277299"/>
    <w:rsid w:val="002778A4"/>
    <w:rsid w:val="002802FC"/>
    <w:rsid w:val="00281281"/>
    <w:rsid w:val="002820FB"/>
    <w:rsid w:val="00282C26"/>
    <w:rsid w:val="00283328"/>
    <w:rsid w:val="00283BDC"/>
    <w:rsid w:val="00284736"/>
    <w:rsid w:val="00285085"/>
    <w:rsid w:val="00285484"/>
    <w:rsid w:val="002855E3"/>
    <w:rsid w:val="00286096"/>
    <w:rsid w:val="00286694"/>
    <w:rsid w:val="00286DDC"/>
    <w:rsid w:val="00287596"/>
    <w:rsid w:val="002878D1"/>
    <w:rsid w:val="00287A3C"/>
    <w:rsid w:val="00287ABA"/>
    <w:rsid w:val="00290E09"/>
    <w:rsid w:val="00291EAA"/>
    <w:rsid w:val="00292422"/>
    <w:rsid w:val="00292627"/>
    <w:rsid w:val="0029281A"/>
    <w:rsid w:val="002933E7"/>
    <w:rsid w:val="00293D6B"/>
    <w:rsid w:val="00293D7E"/>
    <w:rsid w:val="00293DF2"/>
    <w:rsid w:val="00293E14"/>
    <w:rsid w:val="002945BC"/>
    <w:rsid w:val="002946D5"/>
    <w:rsid w:val="0029497E"/>
    <w:rsid w:val="00294A6C"/>
    <w:rsid w:val="00294F8C"/>
    <w:rsid w:val="002954EE"/>
    <w:rsid w:val="002960C4"/>
    <w:rsid w:val="0029612C"/>
    <w:rsid w:val="00296696"/>
    <w:rsid w:val="00296DA7"/>
    <w:rsid w:val="0029754A"/>
    <w:rsid w:val="0029791D"/>
    <w:rsid w:val="002979BD"/>
    <w:rsid w:val="002A004B"/>
    <w:rsid w:val="002A0148"/>
    <w:rsid w:val="002A04A5"/>
    <w:rsid w:val="002A10B3"/>
    <w:rsid w:val="002A1BC1"/>
    <w:rsid w:val="002A1CA8"/>
    <w:rsid w:val="002A1EB4"/>
    <w:rsid w:val="002A1EFA"/>
    <w:rsid w:val="002A2845"/>
    <w:rsid w:val="002A2F29"/>
    <w:rsid w:val="002A3A41"/>
    <w:rsid w:val="002A3E62"/>
    <w:rsid w:val="002A4513"/>
    <w:rsid w:val="002A60DC"/>
    <w:rsid w:val="002A650D"/>
    <w:rsid w:val="002A6A57"/>
    <w:rsid w:val="002A6F37"/>
    <w:rsid w:val="002A704F"/>
    <w:rsid w:val="002A71B1"/>
    <w:rsid w:val="002A7C03"/>
    <w:rsid w:val="002A7E7F"/>
    <w:rsid w:val="002B0BAF"/>
    <w:rsid w:val="002B0E3B"/>
    <w:rsid w:val="002B15B2"/>
    <w:rsid w:val="002B18DC"/>
    <w:rsid w:val="002B209C"/>
    <w:rsid w:val="002B2A2E"/>
    <w:rsid w:val="002B3B6B"/>
    <w:rsid w:val="002B3D3A"/>
    <w:rsid w:val="002B44AF"/>
    <w:rsid w:val="002B4AEB"/>
    <w:rsid w:val="002B5051"/>
    <w:rsid w:val="002B54CF"/>
    <w:rsid w:val="002B5C10"/>
    <w:rsid w:val="002B5DEB"/>
    <w:rsid w:val="002B6111"/>
    <w:rsid w:val="002B731B"/>
    <w:rsid w:val="002B77EA"/>
    <w:rsid w:val="002B78D9"/>
    <w:rsid w:val="002B7A34"/>
    <w:rsid w:val="002C0654"/>
    <w:rsid w:val="002C095D"/>
    <w:rsid w:val="002C0F13"/>
    <w:rsid w:val="002C13D7"/>
    <w:rsid w:val="002C171C"/>
    <w:rsid w:val="002C190F"/>
    <w:rsid w:val="002C2789"/>
    <w:rsid w:val="002C2A24"/>
    <w:rsid w:val="002C2C6C"/>
    <w:rsid w:val="002C2E49"/>
    <w:rsid w:val="002C31F1"/>
    <w:rsid w:val="002C3766"/>
    <w:rsid w:val="002C3AE0"/>
    <w:rsid w:val="002C3E5C"/>
    <w:rsid w:val="002C4086"/>
    <w:rsid w:val="002C408D"/>
    <w:rsid w:val="002C4537"/>
    <w:rsid w:val="002C4935"/>
    <w:rsid w:val="002C5163"/>
    <w:rsid w:val="002C51C2"/>
    <w:rsid w:val="002C558D"/>
    <w:rsid w:val="002C55B6"/>
    <w:rsid w:val="002C66B0"/>
    <w:rsid w:val="002C682A"/>
    <w:rsid w:val="002C6E59"/>
    <w:rsid w:val="002C6F65"/>
    <w:rsid w:val="002C70C2"/>
    <w:rsid w:val="002C7AAC"/>
    <w:rsid w:val="002C7BFA"/>
    <w:rsid w:val="002C7E01"/>
    <w:rsid w:val="002C7F4C"/>
    <w:rsid w:val="002D0088"/>
    <w:rsid w:val="002D0487"/>
    <w:rsid w:val="002D1011"/>
    <w:rsid w:val="002D2554"/>
    <w:rsid w:val="002D2C37"/>
    <w:rsid w:val="002D310B"/>
    <w:rsid w:val="002D3187"/>
    <w:rsid w:val="002D33C2"/>
    <w:rsid w:val="002D379F"/>
    <w:rsid w:val="002D3B33"/>
    <w:rsid w:val="002D4515"/>
    <w:rsid w:val="002D4632"/>
    <w:rsid w:val="002D4934"/>
    <w:rsid w:val="002D4A49"/>
    <w:rsid w:val="002D4FAD"/>
    <w:rsid w:val="002D5D79"/>
    <w:rsid w:val="002D5DC9"/>
    <w:rsid w:val="002D6352"/>
    <w:rsid w:val="002D692C"/>
    <w:rsid w:val="002D6DE3"/>
    <w:rsid w:val="002D6F7B"/>
    <w:rsid w:val="002D7ED7"/>
    <w:rsid w:val="002E063F"/>
    <w:rsid w:val="002E067F"/>
    <w:rsid w:val="002E075B"/>
    <w:rsid w:val="002E079C"/>
    <w:rsid w:val="002E0A28"/>
    <w:rsid w:val="002E0A8F"/>
    <w:rsid w:val="002E197B"/>
    <w:rsid w:val="002E2292"/>
    <w:rsid w:val="002E244F"/>
    <w:rsid w:val="002E2618"/>
    <w:rsid w:val="002E2708"/>
    <w:rsid w:val="002E2ACF"/>
    <w:rsid w:val="002E2B47"/>
    <w:rsid w:val="002E2D17"/>
    <w:rsid w:val="002E3940"/>
    <w:rsid w:val="002E3CE5"/>
    <w:rsid w:val="002E40E0"/>
    <w:rsid w:val="002E440B"/>
    <w:rsid w:val="002E4447"/>
    <w:rsid w:val="002E4473"/>
    <w:rsid w:val="002E4503"/>
    <w:rsid w:val="002E46A1"/>
    <w:rsid w:val="002E47F6"/>
    <w:rsid w:val="002E4A71"/>
    <w:rsid w:val="002E4AF1"/>
    <w:rsid w:val="002E4D75"/>
    <w:rsid w:val="002E5F75"/>
    <w:rsid w:val="002E5F9A"/>
    <w:rsid w:val="002E604E"/>
    <w:rsid w:val="002E6092"/>
    <w:rsid w:val="002E64D3"/>
    <w:rsid w:val="002E6641"/>
    <w:rsid w:val="002E6874"/>
    <w:rsid w:val="002E6AA4"/>
    <w:rsid w:val="002E6F49"/>
    <w:rsid w:val="002E7CBE"/>
    <w:rsid w:val="002E7E79"/>
    <w:rsid w:val="002F03ED"/>
    <w:rsid w:val="002F044C"/>
    <w:rsid w:val="002F04D3"/>
    <w:rsid w:val="002F0A14"/>
    <w:rsid w:val="002F0A48"/>
    <w:rsid w:val="002F0AF0"/>
    <w:rsid w:val="002F1C18"/>
    <w:rsid w:val="002F24CE"/>
    <w:rsid w:val="002F25C6"/>
    <w:rsid w:val="002F2928"/>
    <w:rsid w:val="002F2A69"/>
    <w:rsid w:val="002F2E0F"/>
    <w:rsid w:val="002F3369"/>
    <w:rsid w:val="002F3841"/>
    <w:rsid w:val="002F3E4B"/>
    <w:rsid w:val="002F41F1"/>
    <w:rsid w:val="002F4509"/>
    <w:rsid w:val="002F48F4"/>
    <w:rsid w:val="002F58D7"/>
    <w:rsid w:val="002F5B68"/>
    <w:rsid w:val="002F600E"/>
    <w:rsid w:val="002F6B40"/>
    <w:rsid w:val="002F6B78"/>
    <w:rsid w:val="002F6CFF"/>
    <w:rsid w:val="002F7608"/>
    <w:rsid w:val="002F784D"/>
    <w:rsid w:val="002F7AB7"/>
    <w:rsid w:val="002F7E4B"/>
    <w:rsid w:val="003002B2"/>
    <w:rsid w:val="003006AD"/>
    <w:rsid w:val="00300862"/>
    <w:rsid w:val="00300976"/>
    <w:rsid w:val="00300B58"/>
    <w:rsid w:val="00301F94"/>
    <w:rsid w:val="00302DA2"/>
    <w:rsid w:val="00303595"/>
    <w:rsid w:val="003036C8"/>
    <w:rsid w:val="003036F8"/>
    <w:rsid w:val="00304389"/>
    <w:rsid w:val="0030457F"/>
    <w:rsid w:val="00304D85"/>
    <w:rsid w:val="00305C77"/>
    <w:rsid w:val="00305F7F"/>
    <w:rsid w:val="00307126"/>
    <w:rsid w:val="00310E14"/>
    <w:rsid w:val="00311AD2"/>
    <w:rsid w:val="00311D2E"/>
    <w:rsid w:val="00311EDA"/>
    <w:rsid w:val="00312A3E"/>
    <w:rsid w:val="00312F89"/>
    <w:rsid w:val="00313E60"/>
    <w:rsid w:val="00314560"/>
    <w:rsid w:val="00314AAE"/>
    <w:rsid w:val="00314E3F"/>
    <w:rsid w:val="00315E5B"/>
    <w:rsid w:val="00315FAC"/>
    <w:rsid w:val="00316065"/>
    <w:rsid w:val="003167D9"/>
    <w:rsid w:val="003168C5"/>
    <w:rsid w:val="00316C81"/>
    <w:rsid w:val="0031746C"/>
    <w:rsid w:val="00317B1F"/>
    <w:rsid w:val="00317EBE"/>
    <w:rsid w:val="00320640"/>
    <w:rsid w:val="00320793"/>
    <w:rsid w:val="003210F5"/>
    <w:rsid w:val="00321BDD"/>
    <w:rsid w:val="00321C16"/>
    <w:rsid w:val="00321CE9"/>
    <w:rsid w:val="0032208E"/>
    <w:rsid w:val="00322990"/>
    <w:rsid w:val="0032304A"/>
    <w:rsid w:val="003230F6"/>
    <w:rsid w:val="003231DF"/>
    <w:rsid w:val="0032330E"/>
    <w:rsid w:val="00324724"/>
    <w:rsid w:val="00324865"/>
    <w:rsid w:val="0032549A"/>
    <w:rsid w:val="00325675"/>
    <w:rsid w:val="00325DDD"/>
    <w:rsid w:val="00325E00"/>
    <w:rsid w:val="00326016"/>
    <w:rsid w:val="00326190"/>
    <w:rsid w:val="00326AFA"/>
    <w:rsid w:val="00326B87"/>
    <w:rsid w:val="003278E2"/>
    <w:rsid w:val="00327EC8"/>
    <w:rsid w:val="00330768"/>
    <w:rsid w:val="003307CE"/>
    <w:rsid w:val="00330C5A"/>
    <w:rsid w:val="00330CF8"/>
    <w:rsid w:val="00330E9A"/>
    <w:rsid w:val="00331055"/>
    <w:rsid w:val="003313A6"/>
    <w:rsid w:val="00331B8D"/>
    <w:rsid w:val="00331B95"/>
    <w:rsid w:val="00331E39"/>
    <w:rsid w:val="00331EBB"/>
    <w:rsid w:val="00332777"/>
    <w:rsid w:val="003327B3"/>
    <w:rsid w:val="0033296A"/>
    <w:rsid w:val="00332F17"/>
    <w:rsid w:val="00332FA7"/>
    <w:rsid w:val="003336B3"/>
    <w:rsid w:val="00333773"/>
    <w:rsid w:val="00333B15"/>
    <w:rsid w:val="00333E6E"/>
    <w:rsid w:val="00333F1B"/>
    <w:rsid w:val="00334AD9"/>
    <w:rsid w:val="00335439"/>
    <w:rsid w:val="003355F9"/>
    <w:rsid w:val="003357A6"/>
    <w:rsid w:val="00335B7A"/>
    <w:rsid w:val="0033609C"/>
    <w:rsid w:val="003360CA"/>
    <w:rsid w:val="00336615"/>
    <w:rsid w:val="00336E7A"/>
    <w:rsid w:val="00337617"/>
    <w:rsid w:val="00340633"/>
    <w:rsid w:val="00340A09"/>
    <w:rsid w:val="00341782"/>
    <w:rsid w:val="00341999"/>
    <w:rsid w:val="00341EB2"/>
    <w:rsid w:val="0034254F"/>
    <w:rsid w:val="003425BD"/>
    <w:rsid w:val="00342A4A"/>
    <w:rsid w:val="003430AD"/>
    <w:rsid w:val="003446AF"/>
    <w:rsid w:val="00344813"/>
    <w:rsid w:val="003466CA"/>
    <w:rsid w:val="00346F4E"/>
    <w:rsid w:val="00346F73"/>
    <w:rsid w:val="00347718"/>
    <w:rsid w:val="00347F13"/>
    <w:rsid w:val="003503E7"/>
    <w:rsid w:val="003504A6"/>
    <w:rsid w:val="003504A8"/>
    <w:rsid w:val="00350726"/>
    <w:rsid w:val="003507F2"/>
    <w:rsid w:val="003509B0"/>
    <w:rsid w:val="00350D78"/>
    <w:rsid w:val="003510B5"/>
    <w:rsid w:val="003516BD"/>
    <w:rsid w:val="00351D04"/>
    <w:rsid w:val="00351F0E"/>
    <w:rsid w:val="003523F1"/>
    <w:rsid w:val="00352853"/>
    <w:rsid w:val="00352BA4"/>
    <w:rsid w:val="00354567"/>
    <w:rsid w:val="003557BB"/>
    <w:rsid w:val="00355BC0"/>
    <w:rsid w:val="00355C93"/>
    <w:rsid w:val="003575DB"/>
    <w:rsid w:val="00357DF7"/>
    <w:rsid w:val="00357E01"/>
    <w:rsid w:val="0036098D"/>
    <w:rsid w:val="00361A10"/>
    <w:rsid w:val="00362B2F"/>
    <w:rsid w:val="00362B6E"/>
    <w:rsid w:val="00362B8D"/>
    <w:rsid w:val="00362CBE"/>
    <w:rsid w:val="00363E0D"/>
    <w:rsid w:val="0036429A"/>
    <w:rsid w:val="00364338"/>
    <w:rsid w:val="003645C0"/>
    <w:rsid w:val="00365786"/>
    <w:rsid w:val="00365995"/>
    <w:rsid w:val="003659B7"/>
    <w:rsid w:val="00365DA8"/>
    <w:rsid w:val="00366148"/>
    <w:rsid w:val="003662DC"/>
    <w:rsid w:val="00366F7C"/>
    <w:rsid w:val="00367480"/>
    <w:rsid w:val="00367B7A"/>
    <w:rsid w:val="00367E6F"/>
    <w:rsid w:val="00370720"/>
    <w:rsid w:val="00370ED7"/>
    <w:rsid w:val="003711A6"/>
    <w:rsid w:val="00371476"/>
    <w:rsid w:val="0037162D"/>
    <w:rsid w:val="0037197D"/>
    <w:rsid w:val="0037443E"/>
    <w:rsid w:val="00374470"/>
    <w:rsid w:val="00374DC9"/>
    <w:rsid w:val="003758EF"/>
    <w:rsid w:val="00375FC5"/>
    <w:rsid w:val="00376A31"/>
    <w:rsid w:val="00376C9E"/>
    <w:rsid w:val="0037702B"/>
    <w:rsid w:val="0037731C"/>
    <w:rsid w:val="0037756D"/>
    <w:rsid w:val="00377AC3"/>
    <w:rsid w:val="00377BF2"/>
    <w:rsid w:val="00377E26"/>
    <w:rsid w:val="00377E39"/>
    <w:rsid w:val="00380F8D"/>
    <w:rsid w:val="003810B0"/>
    <w:rsid w:val="0038143D"/>
    <w:rsid w:val="0038168C"/>
    <w:rsid w:val="00381841"/>
    <w:rsid w:val="00381995"/>
    <w:rsid w:val="003819BD"/>
    <w:rsid w:val="003820FA"/>
    <w:rsid w:val="003827EB"/>
    <w:rsid w:val="00382B8C"/>
    <w:rsid w:val="00382DF0"/>
    <w:rsid w:val="00382E07"/>
    <w:rsid w:val="00382F07"/>
    <w:rsid w:val="00384D1B"/>
    <w:rsid w:val="00384D44"/>
    <w:rsid w:val="00385233"/>
    <w:rsid w:val="00385596"/>
    <w:rsid w:val="00385B09"/>
    <w:rsid w:val="00386629"/>
    <w:rsid w:val="00386CA8"/>
    <w:rsid w:val="00386D25"/>
    <w:rsid w:val="003900FE"/>
    <w:rsid w:val="00390723"/>
    <w:rsid w:val="00390F56"/>
    <w:rsid w:val="00392314"/>
    <w:rsid w:val="003923E6"/>
    <w:rsid w:val="00392A9E"/>
    <w:rsid w:val="00392D1F"/>
    <w:rsid w:val="00392E5B"/>
    <w:rsid w:val="00392E91"/>
    <w:rsid w:val="00393B44"/>
    <w:rsid w:val="003943A4"/>
    <w:rsid w:val="00394B40"/>
    <w:rsid w:val="00395039"/>
    <w:rsid w:val="0039694B"/>
    <w:rsid w:val="00396B72"/>
    <w:rsid w:val="00397BBE"/>
    <w:rsid w:val="00397C77"/>
    <w:rsid w:val="00397CB0"/>
    <w:rsid w:val="003A04CB"/>
    <w:rsid w:val="003A0A82"/>
    <w:rsid w:val="003A19D3"/>
    <w:rsid w:val="003A1ACB"/>
    <w:rsid w:val="003A1ECF"/>
    <w:rsid w:val="003A2440"/>
    <w:rsid w:val="003A3216"/>
    <w:rsid w:val="003A3B1D"/>
    <w:rsid w:val="003A3B4F"/>
    <w:rsid w:val="003A495E"/>
    <w:rsid w:val="003A55A9"/>
    <w:rsid w:val="003A57D5"/>
    <w:rsid w:val="003A5FCA"/>
    <w:rsid w:val="003A685D"/>
    <w:rsid w:val="003A6A6D"/>
    <w:rsid w:val="003A6C8B"/>
    <w:rsid w:val="003A7071"/>
    <w:rsid w:val="003A73FE"/>
    <w:rsid w:val="003A7618"/>
    <w:rsid w:val="003A7974"/>
    <w:rsid w:val="003B0599"/>
    <w:rsid w:val="003B063F"/>
    <w:rsid w:val="003B0B3F"/>
    <w:rsid w:val="003B0FF3"/>
    <w:rsid w:val="003B25E0"/>
    <w:rsid w:val="003B3BA0"/>
    <w:rsid w:val="003B43F8"/>
    <w:rsid w:val="003B45DC"/>
    <w:rsid w:val="003B47AC"/>
    <w:rsid w:val="003B4B8B"/>
    <w:rsid w:val="003B5107"/>
    <w:rsid w:val="003B5E15"/>
    <w:rsid w:val="003B5F19"/>
    <w:rsid w:val="003B605E"/>
    <w:rsid w:val="003B6074"/>
    <w:rsid w:val="003B658D"/>
    <w:rsid w:val="003B6FD9"/>
    <w:rsid w:val="003B70D7"/>
    <w:rsid w:val="003B7DE4"/>
    <w:rsid w:val="003B7F86"/>
    <w:rsid w:val="003B7F90"/>
    <w:rsid w:val="003C066F"/>
    <w:rsid w:val="003C06E4"/>
    <w:rsid w:val="003C0921"/>
    <w:rsid w:val="003C0A8F"/>
    <w:rsid w:val="003C0B7B"/>
    <w:rsid w:val="003C12CF"/>
    <w:rsid w:val="003C1658"/>
    <w:rsid w:val="003C1770"/>
    <w:rsid w:val="003C180D"/>
    <w:rsid w:val="003C3374"/>
    <w:rsid w:val="003C3903"/>
    <w:rsid w:val="003C493C"/>
    <w:rsid w:val="003C4D3E"/>
    <w:rsid w:val="003C66A0"/>
    <w:rsid w:val="003C6937"/>
    <w:rsid w:val="003C6BF9"/>
    <w:rsid w:val="003D0179"/>
    <w:rsid w:val="003D0A3D"/>
    <w:rsid w:val="003D0D52"/>
    <w:rsid w:val="003D1370"/>
    <w:rsid w:val="003D1A99"/>
    <w:rsid w:val="003D1AAF"/>
    <w:rsid w:val="003D1E71"/>
    <w:rsid w:val="003D3D3E"/>
    <w:rsid w:val="003D3F60"/>
    <w:rsid w:val="003D438C"/>
    <w:rsid w:val="003D4393"/>
    <w:rsid w:val="003D4555"/>
    <w:rsid w:val="003D58E7"/>
    <w:rsid w:val="003D5A0A"/>
    <w:rsid w:val="003D5C2B"/>
    <w:rsid w:val="003D5C3B"/>
    <w:rsid w:val="003D5C9B"/>
    <w:rsid w:val="003D6526"/>
    <w:rsid w:val="003D677C"/>
    <w:rsid w:val="003D70A3"/>
    <w:rsid w:val="003D7467"/>
    <w:rsid w:val="003D7739"/>
    <w:rsid w:val="003D7B6A"/>
    <w:rsid w:val="003E0CF6"/>
    <w:rsid w:val="003E0E26"/>
    <w:rsid w:val="003E1949"/>
    <w:rsid w:val="003E2FDC"/>
    <w:rsid w:val="003E32CF"/>
    <w:rsid w:val="003E3524"/>
    <w:rsid w:val="003E3667"/>
    <w:rsid w:val="003E4027"/>
    <w:rsid w:val="003E405C"/>
    <w:rsid w:val="003E50BF"/>
    <w:rsid w:val="003E5182"/>
    <w:rsid w:val="003E58B9"/>
    <w:rsid w:val="003E5B8E"/>
    <w:rsid w:val="003E5CFA"/>
    <w:rsid w:val="003E5DD7"/>
    <w:rsid w:val="003E6540"/>
    <w:rsid w:val="003E65D5"/>
    <w:rsid w:val="003E6FAC"/>
    <w:rsid w:val="003E7124"/>
    <w:rsid w:val="003E7930"/>
    <w:rsid w:val="003E7E4D"/>
    <w:rsid w:val="003F03D8"/>
    <w:rsid w:val="003F07F2"/>
    <w:rsid w:val="003F1685"/>
    <w:rsid w:val="003F1828"/>
    <w:rsid w:val="003F20BB"/>
    <w:rsid w:val="003F27D6"/>
    <w:rsid w:val="003F2B43"/>
    <w:rsid w:val="003F318B"/>
    <w:rsid w:val="003F3636"/>
    <w:rsid w:val="003F3C0A"/>
    <w:rsid w:val="003F3D21"/>
    <w:rsid w:val="003F4B75"/>
    <w:rsid w:val="003F4FEA"/>
    <w:rsid w:val="003F525B"/>
    <w:rsid w:val="003F62BB"/>
    <w:rsid w:val="003F76BB"/>
    <w:rsid w:val="00400037"/>
    <w:rsid w:val="00400714"/>
    <w:rsid w:val="004008EE"/>
    <w:rsid w:val="00400F33"/>
    <w:rsid w:val="0040128C"/>
    <w:rsid w:val="00401491"/>
    <w:rsid w:val="00401F7C"/>
    <w:rsid w:val="0040260E"/>
    <w:rsid w:val="004030FF"/>
    <w:rsid w:val="0040354E"/>
    <w:rsid w:val="00403774"/>
    <w:rsid w:val="00403CB1"/>
    <w:rsid w:val="004045F7"/>
    <w:rsid w:val="00404636"/>
    <w:rsid w:val="00404856"/>
    <w:rsid w:val="00404A61"/>
    <w:rsid w:val="0040569A"/>
    <w:rsid w:val="004056A9"/>
    <w:rsid w:val="004056D0"/>
    <w:rsid w:val="00405866"/>
    <w:rsid w:val="00405BE3"/>
    <w:rsid w:val="00406229"/>
    <w:rsid w:val="0040653E"/>
    <w:rsid w:val="004068CE"/>
    <w:rsid w:val="00406C53"/>
    <w:rsid w:val="00407186"/>
    <w:rsid w:val="004071BA"/>
    <w:rsid w:val="0040766D"/>
    <w:rsid w:val="0040775C"/>
    <w:rsid w:val="00407788"/>
    <w:rsid w:val="004078D0"/>
    <w:rsid w:val="0041186B"/>
    <w:rsid w:val="004118FA"/>
    <w:rsid w:val="00412158"/>
    <w:rsid w:val="00412851"/>
    <w:rsid w:val="00412A3D"/>
    <w:rsid w:val="0041339E"/>
    <w:rsid w:val="004133E4"/>
    <w:rsid w:val="00413C83"/>
    <w:rsid w:val="004145C0"/>
    <w:rsid w:val="00414662"/>
    <w:rsid w:val="004146B3"/>
    <w:rsid w:val="004146E9"/>
    <w:rsid w:val="00415210"/>
    <w:rsid w:val="00415220"/>
    <w:rsid w:val="00415A3D"/>
    <w:rsid w:val="00415A87"/>
    <w:rsid w:val="00415C0E"/>
    <w:rsid w:val="00415E1E"/>
    <w:rsid w:val="00416300"/>
    <w:rsid w:val="004163A8"/>
    <w:rsid w:val="004167C8"/>
    <w:rsid w:val="004167FD"/>
    <w:rsid w:val="004168ED"/>
    <w:rsid w:val="00416A5D"/>
    <w:rsid w:val="00416E15"/>
    <w:rsid w:val="0041705E"/>
    <w:rsid w:val="004175B5"/>
    <w:rsid w:val="00417796"/>
    <w:rsid w:val="00417C46"/>
    <w:rsid w:val="004203FA"/>
    <w:rsid w:val="00420660"/>
    <w:rsid w:val="00420C0B"/>
    <w:rsid w:val="00421544"/>
    <w:rsid w:val="00422702"/>
    <w:rsid w:val="00422863"/>
    <w:rsid w:val="004231BA"/>
    <w:rsid w:val="004232BF"/>
    <w:rsid w:val="0042331A"/>
    <w:rsid w:val="004233A9"/>
    <w:rsid w:val="0042357C"/>
    <w:rsid w:val="00423965"/>
    <w:rsid w:val="00423D9F"/>
    <w:rsid w:val="00423E28"/>
    <w:rsid w:val="0042409D"/>
    <w:rsid w:val="004246A3"/>
    <w:rsid w:val="00424BC1"/>
    <w:rsid w:val="00424DA6"/>
    <w:rsid w:val="00425306"/>
    <w:rsid w:val="0042592E"/>
    <w:rsid w:val="00425B1D"/>
    <w:rsid w:val="00425BC0"/>
    <w:rsid w:val="00425D6A"/>
    <w:rsid w:val="00425FFE"/>
    <w:rsid w:val="00426258"/>
    <w:rsid w:val="004262E9"/>
    <w:rsid w:val="00426F13"/>
    <w:rsid w:val="00427844"/>
    <w:rsid w:val="00427BD8"/>
    <w:rsid w:val="00430273"/>
    <w:rsid w:val="00430422"/>
    <w:rsid w:val="0043054F"/>
    <w:rsid w:val="00430F04"/>
    <w:rsid w:val="00431BD2"/>
    <w:rsid w:val="00432649"/>
    <w:rsid w:val="004330A6"/>
    <w:rsid w:val="00433527"/>
    <w:rsid w:val="00433923"/>
    <w:rsid w:val="00433F8D"/>
    <w:rsid w:val="0043482E"/>
    <w:rsid w:val="00434D92"/>
    <w:rsid w:val="00434FA2"/>
    <w:rsid w:val="0043572B"/>
    <w:rsid w:val="00435B14"/>
    <w:rsid w:val="00435B37"/>
    <w:rsid w:val="004361F1"/>
    <w:rsid w:val="0043620C"/>
    <w:rsid w:val="004363BF"/>
    <w:rsid w:val="004367B7"/>
    <w:rsid w:val="004369E7"/>
    <w:rsid w:val="004410E3"/>
    <w:rsid w:val="0044179F"/>
    <w:rsid w:val="00441ABA"/>
    <w:rsid w:val="00441BE3"/>
    <w:rsid w:val="00441E19"/>
    <w:rsid w:val="0044240B"/>
    <w:rsid w:val="004430D9"/>
    <w:rsid w:val="0044408C"/>
    <w:rsid w:val="0044446E"/>
    <w:rsid w:val="004461B1"/>
    <w:rsid w:val="00446547"/>
    <w:rsid w:val="0044679F"/>
    <w:rsid w:val="00450A2E"/>
    <w:rsid w:val="00450AC0"/>
    <w:rsid w:val="00451254"/>
    <w:rsid w:val="00451D7B"/>
    <w:rsid w:val="00452957"/>
    <w:rsid w:val="00452CD2"/>
    <w:rsid w:val="00452D64"/>
    <w:rsid w:val="004532DA"/>
    <w:rsid w:val="0045354A"/>
    <w:rsid w:val="004538A1"/>
    <w:rsid w:val="00454699"/>
    <w:rsid w:val="00454EB0"/>
    <w:rsid w:val="00455109"/>
    <w:rsid w:val="004551DC"/>
    <w:rsid w:val="004553AA"/>
    <w:rsid w:val="00455F42"/>
    <w:rsid w:val="00456491"/>
    <w:rsid w:val="00456B5A"/>
    <w:rsid w:val="0045721A"/>
    <w:rsid w:val="00457CE8"/>
    <w:rsid w:val="00457D7C"/>
    <w:rsid w:val="004600A8"/>
    <w:rsid w:val="004603BD"/>
    <w:rsid w:val="004605E1"/>
    <w:rsid w:val="00460B0D"/>
    <w:rsid w:val="004613D6"/>
    <w:rsid w:val="004621E4"/>
    <w:rsid w:val="00462308"/>
    <w:rsid w:val="00462C9F"/>
    <w:rsid w:val="00464072"/>
    <w:rsid w:val="004643AB"/>
    <w:rsid w:val="0046495F"/>
    <w:rsid w:val="00464DAB"/>
    <w:rsid w:val="004655DA"/>
    <w:rsid w:val="00465733"/>
    <w:rsid w:val="00465BDF"/>
    <w:rsid w:val="004660E9"/>
    <w:rsid w:val="0046663B"/>
    <w:rsid w:val="004666D8"/>
    <w:rsid w:val="00467065"/>
    <w:rsid w:val="00467329"/>
    <w:rsid w:val="0046746E"/>
    <w:rsid w:val="004674DE"/>
    <w:rsid w:val="00470A62"/>
    <w:rsid w:val="00470C97"/>
    <w:rsid w:val="0047145B"/>
    <w:rsid w:val="0047257B"/>
    <w:rsid w:val="00472615"/>
    <w:rsid w:val="00472EEB"/>
    <w:rsid w:val="00472F5E"/>
    <w:rsid w:val="0047354F"/>
    <w:rsid w:val="004748C6"/>
    <w:rsid w:val="004748F8"/>
    <w:rsid w:val="00475142"/>
    <w:rsid w:val="00475F1E"/>
    <w:rsid w:val="0047600E"/>
    <w:rsid w:val="004766DD"/>
    <w:rsid w:val="0047671F"/>
    <w:rsid w:val="00476854"/>
    <w:rsid w:val="00476E90"/>
    <w:rsid w:val="00476EDF"/>
    <w:rsid w:val="00476EFF"/>
    <w:rsid w:val="00477774"/>
    <w:rsid w:val="00477A0D"/>
    <w:rsid w:val="004806E2"/>
    <w:rsid w:val="004815E8"/>
    <w:rsid w:val="00481FBD"/>
    <w:rsid w:val="004820D9"/>
    <w:rsid w:val="00482F74"/>
    <w:rsid w:val="00483AF2"/>
    <w:rsid w:val="0048421A"/>
    <w:rsid w:val="00484B7F"/>
    <w:rsid w:val="00485C5C"/>
    <w:rsid w:val="00486497"/>
    <w:rsid w:val="004869D8"/>
    <w:rsid w:val="00486A78"/>
    <w:rsid w:val="00487829"/>
    <w:rsid w:val="00487B9F"/>
    <w:rsid w:val="004903E2"/>
    <w:rsid w:val="004906B7"/>
    <w:rsid w:val="00491B63"/>
    <w:rsid w:val="00491D44"/>
    <w:rsid w:val="00492401"/>
    <w:rsid w:val="00492449"/>
    <w:rsid w:val="0049246C"/>
    <w:rsid w:val="00492D8E"/>
    <w:rsid w:val="004941DD"/>
    <w:rsid w:val="004946B5"/>
    <w:rsid w:val="004947CC"/>
    <w:rsid w:val="004963EF"/>
    <w:rsid w:val="0049670C"/>
    <w:rsid w:val="004974AE"/>
    <w:rsid w:val="00497611"/>
    <w:rsid w:val="004A0BA2"/>
    <w:rsid w:val="004A0F76"/>
    <w:rsid w:val="004A1653"/>
    <w:rsid w:val="004A1849"/>
    <w:rsid w:val="004A1A37"/>
    <w:rsid w:val="004A1BEF"/>
    <w:rsid w:val="004A1F8F"/>
    <w:rsid w:val="004A24FE"/>
    <w:rsid w:val="004A3549"/>
    <w:rsid w:val="004A39BC"/>
    <w:rsid w:val="004A41FD"/>
    <w:rsid w:val="004A44BD"/>
    <w:rsid w:val="004A4B76"/>
    <w:rsid w:val="004A4DA7"/>
    <w:rsid w:val="004A4E4C"/>
    <w:rsid w:val="004A51F3"/>
    <w:rsid w:val="004A52DB"/>
    <w:rsid w:val="004A5359"/>
    <w:rsid w:val="004A5C59"/>
    <w:rsid w:val="004A67BA"/>
    <w:rsid w:val="004A6901"/>
    <w:rsid w:val="004A6AB9"/>
    <w:rsid w:val="004A6D40"/>
    <w:rsid w:val="004A7193"/>
    <w:rsid w:val="004A755A"/>
    <w:rsid w:val="004B0036"/>
    <w:rsid w:val="004B02C5"/>
    <w:rsid w:val="004B0BE6"/>
    <w:rsid w:val="004B25E3"/>
    <w:rsid w:val="004B280B"/>
    <w:rsid w:val="004B307F"/>
    <w:rsid w:val="004B3BAE"/>
    <w:rsid w:val="004B48C3"/>
    <w:rsid w:val="004B4DC9"/>
    <w:rsid w:val="004B523F"/>
    <w:rsid w:val="004B52E2"/>
    <w:rsid w:val="004B5596"/>
    <w:rsid w:val="004B5990"/>
    <w:rsid w:val="004B6447"/>
    <w:rsid w:val="004B68B4"/>
    <w:rsid w:val="004B6B1D"/>
    <w:rsid w:val="004B6EE9"/>
    <w:rsid w:val="004B78FD"/>
    <w:rsid w:val="004C0200"/>
    <w:rsid w:val="004C0AA1"/>
    <w:rsid w:val="004C10F9"/>
    <w:rsid w:val="004C1334"/>
    <w:rsid w:val="004C14BC"/>
    <w:rsid w:val="004C15EF"/>
    <w:rsid w:val="004C17CE"/>
    <w:rsid w:val="004C1DB6"/>
    <w:rsid w:val="004C1E1F"/>
    <w:rsid w:val="004C229C"/>
    <w:rsid w:val="004C23FC"/>
    <w:rsid w:val="004C2789"/>
    <w:rsid w:val="004C2A07"/>
    <w:rsid w:val="004C30E9"/>
    <w:rsid w:val="004C3F22"/>
    <w:rsid w:val="004C5227"/>
    <w:rsid w:val="004C55A6"/>
    <w:rsid w:val="004C56BF"/>
    <w:rsid w:val="004C5C0B"/>
    <w:rsid w:val="004C5DFE"/>
    <w:rsid w:val="004C6431"/>
    <w:rsid w:val="004C6643"/>
    <w:rsid w:val="004C6CBD"/>
    <w:rsid w:val="004C6EF3"/>
    <w:rsid w:val="004D01B2"/>
    <w:rsid w:val="004D0305"/>
    <w:rsid w:val="004D0A39"/>
    <w:rsid w:val="004D147C"/>
    <w:rsid w:val="004D1514"/>
    <w:rsid w:val="004D1823"/>
    <w:rsid w:val="004D1849"/>
    <w:rsid w:val="004D226B"/>
    <w:rsid w:val="004D2909"/>
    <w:rsid w:val="004D2938"/>
    <w:rsid w:val="004D3224"/>
    <w:rsid w:val="004D331B"/>
    <w:rsid w:val="004D37E3"/>
    <w:rsid w:val="004D4608"/>
    <w:rsid w:val="004D4939"/>
    <w:rsid w:val="004D4A7A"/>
    <w:rsid w:val="004D50E9"/>
    <w:rsid w:val="004D515A"/>
    <w:rsid w:val="004D5717"/>
    <w:rsid w:val="004D68C3"/>
    <w:rsid w:val="004D77EC"/>
    <w:rsid w:val="004E018C"/>
    <w:rsid w:val="004E0368"/>
    <w:rsid w:val="004E03BD"/>
    <w:rsid w:val="004E059F"/>
    <w:rsid w:val="004E0CF1"/>
    <w:rsid w:val="004E128E"/>
    <w:rsid w:val="004E1BCF"/>
    <w:rsid w:val="004E23EC"/>
    <w:rsid w:val="004E357E"/>
    <w:rsid w:val="004E445B"/>
    <w:rsid w:val="004E45D7"/>
    <w:rsid w:val="004E52C4"/>
    <w:rsid w:val="004E5E2C"/>
    <w:rsid w:val="004E5F95"/>
    <w:rsid w:val="004E6004"/>
    <w:rsid w:val="004E6542"/>
    <w:rsid w:val="004E73C2"/>
    <w:rsid w:val="004E7725"/>
    <w:rsid w:val="004E79E9"/>
    <w:rsid w:val="004E79F6"/>
    <w:rsid w:val="004E7EFB"/>
    <w:rsid w:val="004F01FE"/>
    <w:rsid w:val="004F0661"/>
    <w:rsid w:val="004F0913"/>
    <w:rsid w:val="004F0B7C"/>
    <w:rsid w:val="004F0BC8"/>
    <w:rsid w:val="004F0F4D"/>
    <w:rsid w:val="004F1492"/>
    <w:rsid w:val="004F14B7"/>
    <w:rsid w:val="004F166A"/>
    <w:rsid w:val="004F1BFE"/>
    <w:rsid w:val="004F1CD7"/>
    <w:rsid w:val="004F2F0C"/>
    <w:rsid w:val="004F388C"/>
    <w:rsid w:val="004F43BE"/>
    <w:rsid w:val="004F576A"/>
    <w:rsid w:val="004F5CF5"/>
    <w:rsid w:val="004F5EA1"/>
    <w:rsid w:val="004F67AF"/>
    <w:rsid w:val="004F7125"/>
    <w:rsid w:val="005007D4"/>
    <w:rsid w:val="00500B20"/>
    <w:rsid w:val="00500D07"/>
    <w:rsid w:val="00501120"/>
    <w:rsid w:val="00501290"/>
    <w:rsid w:val="0050173B"/>
    <w:rsid w:val="00501D53"/>
    <w:rsid w:val="00501E1E"/>
    <w:rsid w:val="00502109"/>
    <w:rsid w:val="005026FB"/>
    <w:rsid w:val="00502A3B"/>
    <w:rsid w:val="00502DF9"/>
    <w:rsid w:val="005030AA"/>
    <w:rsid w:val="0050394A"/>
    <w:rsid w:val="00504425"/>
    <w:rsid w:val="005045B0"/>
    <w:rsid w:val="00504A75"/>
    <w:rsid w:val="00504DF5"/>
    <w:rsid w:val="005056B5"/>
    <w:rsid w:val="00505708"/>
    <w:rsid w:val="005059B5"/>
    <w:rsid w:val="00505B92"/>
    <w:rsid w:val="00505CF1"/>
    <w:rsid w:val="00506173"/>
    <w:rsid w:val="00506460"/>
    <w:rsid w:val="00507029"/>
    <w:rsid w:val="0050772C"/>
    <w:rsid w:val="00507D42"/>
    <w:rsid w:val="0051161D"/>
    <w:rsid w:val="00512010"/>
    <w:rsid w:val="005122ED"/>
    <w:rsid w:val="00512B8C"/>
    <w:rsid w:val="00513BE7"/>
    <w:rsid w:val="00513FD3"/>
    <w:rsid w:val="00514050"/>
    <w:rsid w:val="00514ACB"/>
    <w:rsid w:val="00514FBC"/>
    <w:rsid w:val="005151B8"/>
    <w:rsid w:val="005152D3"/>
    <w:rsid w:val="005153C0"/>
    <w:rsid w:val="00515BFB"/>
    <w:rsid w:val="00515F1E"/>
    <w:rsid w:val="005160F6"/>
    <w:rsid w:val="0051795D"/>
    <w:rsid w:val="005200EC"/>
    <w:rsid w:val="005203A0"/>
    <w:rsid w:val="00520AF5"/>
    <w:rsid w:val="00520B18"/>
    <w:rsid w:val="00520DA8"/>
    <w:rsid w:val="00520DDD"/>
    <w:rsid w:val="0052124F"/>
    <w:rsid w:val="00521355"/>
    <w:rsid w:val="0052151A"/>
    <w:rsid w:val="00521DA1"/>
    <w:rsid w:val="00521E43"/>
    <w:rsid w:val="0052257B"/>
    <w:rsid w:val="00522970"/>
    <w:rsid w:val="00522C0D"/>
    <w:rsid w:val="005238D1"/>
    <w:rsid w:val="00523E58"/>
    <w:rsid w:val="00523E8B"/>
    <w:rsid w:val="00524673"/>
    <w:rsid w:val="00524737"/>
    <w:rsid w:val="00525044"/>
    <w:rsid w:val="00525534"/>
    <w:rsid w:val="005256E0"/>
    <w:rsid w:val="00525AF6"/>
    <w:rsid w:val="00525F05"/>
    <w:rsid w:val="0052680C"/>
    <w:rsid w:val="00526B4D"/>
    <w:rsid w:val="00527590"/>
    <w:rsid w:val="005307E4"/>
    <w:rsid w:val="00530A44"/>
    <w:rsid w:val="00530A73"/>
    <w:rsid w:val="00530ACD"/>
    <w:rsid w:val="00530C5E"/>
    <w:rsid w:val="00530CAA"/>
    <w:rsid w:val="00530DED"/>
    <w:rsid w:val="005310DE"/>
    <w:rsid w:val="00531A0C"/>
    <w:rsid w:val="00531ED9"/>
    <w:rsid w:val="00532274"/>
    <w:rsid w:val="00532738"/>
    <w:rsid w:val="0053381B"/>
    <w:rsid w:val="00533CB0"/>
    <w:rsid w:val="00533EA1"/>
    <w:rsid w:val="00534361"/>
    <w:rsid w:val="005345C9"/>
    <w:rsid w:val="00534984"/>
    <w:rsid w:val="00534B52"/>
    <w:rsid w:val="00535479"/>
    <w:rsid w:val="00536317"/>
    <w:rsid w:val="0053643B"/>
    <w:rsid w:val="005365A5"/>
    <w:rsid w:val="00536626"/>
    <w:rsid w:val="00536789"/>
    <w:rsid w:val="00536849"/>
    <w:rsid w:val="00537063"/>
    <w:rsid w:val="005370B0"/>
    <w:rsid w:val="00537329"/>
    <w:rsid w:val="005403DD"/>
    <w:rsid w:val="0054078D"/>
    <w:rsid w:val="00540E44"/>
    <w:rsid w:val="0054143D"/>
    <w:rsid w:val="005416E8"/>
    <w:rsid w:val="00542CB3"/>
    <w:rsid w:val="00543FA5"/>
    <w:rsid w:val="00544C50"/>
    <w:rsid w:val="00545074"/>
    <w:rsid w:val="005451F9"/>
    <w:rsid w:val="00545675"/>
    <w:rsid w:val="00545B50"/>
    <w:rsid w:val="00546489"/>
    <w:rsid w:val="005468C8"/>
    <w:rsid w:val="00546B57"/>
    <w:rsid w:val="00547894"/>
    <w:rsid w:val="005505D3"/>
    <w:rsid w:val="00550781"/>
    <w:rsid w:val="005507D3"/>
    <w:rsid w:val="00550A0F"/>
    <w:rsid w:val="00550B8A"/>
    <w:rsid w:val="00551693"/>
    <w:rsid w:val="00552026"/>
    <w:rsid w:val="00552089"/>
    <w:rsid w:val="00552351"/>
    <w:rsid w:val="00552806"/>
    <w:rsid w:val="00552C3E"/>
    <w:rsid w:val="00552F29"/>
    <w:rsid w:val="00553557"/>
    <w:rsid w:val="00553973"/>
    <w:rsid w:val="0055452C"/>
    <w:rsid w:val="00554F4D"/>
    <w:rsid w:val="00555231"/>
    <w:rsid w:val="005552C9"/>
    <w:rsid w:val="005557A5"/>
    <w:rsid w:val="00555D76"/>
    <w:rsid w:val="00555FDD"/>
    <w:rsid w:val="0055601E"/>
    <w:rsid w:val="00556A49"/>
    <w:rsid w:val="00557897"/>
    <w:rsid w:val="00557CEA"/>
    <w:rsid w:val="0056004F"/>
    <w:rsid w:val="005614E0"/>
    <w:rsid w:val="005619A1"/>
    <w:rsid w:val="005621D2"/>
    <w:rsid w:val="005628FB"/>
    <w:rsid w:val="005630C7"/>
    <w:rsid w:val="0056385E"/>
    <w:rsid w:val="00564047"/>
    <w:rsid w:val="00564B1D"/>
    <w:rsid w:val="00564E89"/>
    <w:rsid w:val="00565160"/>
    <w:rsid w:val="005652C4"/>
    <w:rsid w:val="00565309"/>
    <w:rsid w:val="00565FE9"/>
    <w:rsid w:val="00566937"/>
    <w:rsid w:val="00567006"/>
    <w:rsid w:val="00567FAA"/>
    <w:rsid w:val="0057046D"/>
    <w:rsid w:val="005705B3"/>
    <w:rsid w:val="0057066A"/>
    <w:rsid w:val="0057089C"/>
    <w:rsid w:val="00570A38"/>
    <w:rsid w:val="00570D49"/>
    <w:rsid w:val="0057120D"/>
    <w:rsid w:val="0057124F"/>
    <w:rsid w:val="005716F5"/>
    <w:rsid w:val="00571B93"/>
    <w:rsid w:val="00571CF3"/>
    <w:rsid w:val="00572372"/>
    <w:rsid w:val="005725DC"/>
    <w:rsid w:val="00573BA2"/>
    <w:rsid w:val="0057600A"/>
    <w:rsid w:val="00577025"/>
    <w:rsid w:val="00577059"/>
    <w:rsid w:val="00577207"/>
    <w:rsid w:val="00580EBF"/>
    <w:rsid w:val="0058288C"/>
    <w:rsid w:val="00582AD9"/>
    <w:rsid w:val="00582D5B"/>
    <w:rsid w:val="0058317B"/>
    <w:rsid w:val="00584256"/>
    <w:rsid w:val="005846EA"/>
    <w:rsid w:val="005848FB"/>
    <w:rsid w:val="00584D76"/>
    <w:rsid w:val="005857A8"/>
    <w:rsid w:val="005859CC"/>
    <w:rsid w:val="00585B72"/>
    <w:rsid w:val="005869D4"/>
    <w:rsid w:val="005872D8"/>
    <w:rsid w:val="0059077E"/>
    <w:rsid w:val="00590933"/>
    <w:rsid w:val="00591319"/>
    <w:rsid w:val="00591574"/>
    <w:rsid w:val="00591DB4"/>
    <w:rsid w:val="005924F5"/>
    <w:rsid w:val="00594A91"/>
    <w:rsid w:val="00595684"/>
    <w:rsid w:val="005968E3"/>
    <w:rsid w:val="00596944"/>
    <w:rsid w:val="00596C88"/>
    <w:rsid w:val="00596CA8"/>
    <w:rsid w:val="0059745C"/>
    <w:rsid w:val="005975D7"/>
    <w:rsid w:val="0059778F"/>
    <w:rsid w:val="00597EF9"/>
    <w:rsid w:val="00597EFE"/>
    <w:rsid w:val="005A0889"/>
    <w:rsid w:val="005A13D7"/>
    <w:rsid w:val="005A1895"/>
    <w:rsid w:val="005A1B44"/>
    <w:rsid w:val="005A1C15"/>
    <w:rsid w:val="005A2159"/>
    <w:rsid w:val="005A3695"/>
    <w:rsid w:val="005A3D8A"/>
    <w:rsid w:val="005A4794"/>
    <w:rsid w:val="005A47A8"/>
    <w:rsid w:val="005A4ABE"/>
    <w:rsid w:val="005A4BBE"/>
    <w:rsid w:val="005A5833"/>
    <w:rsid w:val="005A6118"/>
    <w:rsid w:val="005A614D"/>
    <w:rsid w:val="005A6723"/>
    <w:rsid w:val="005A6C73"/>
    <w:rsid w:val="005A6E62"/>
    <w:rsid w:val="005A7060"/>
    <w:rsid w:val="005A7DF4"/>
    <w:rsid w:val="005B0671"/>
    <w:rsid w:val="005B0BA9"/>
    <w:rsid w:val="005B1017"/>
    <w:rsid w:val="005B1059"/>
    <w:rsid w:val="005B19F4"/>
    <w:rsid w:val="005B2783"/>
    <w:rsid w:val="005B3340"/>
    <w:rsid w:val="005B33D9"/>
    <w:rsid w:val="005B3876"/>
    <w:rsid w:val="005B4445"/>
    <w:rsid w:val="005B479E"/>
    <w:rsid w:val="005B4818"/>
    <w:rsid w:val="005B4966"/>
    <w:rsid w:val="005B49E8"/>
    <w:rsid w:val="005B5033"/>
    <w:rsid w:val="005B55FF"/>
    <w:rsid w:val="005B5A7A"/>
    <w:rsid w:val="005B5B39"/>
    <w:rsid w:val="005B5DEA"/>
    <w:rsid w:val="005B686C"/>
    <w:rsid w:val="005B68A4"/>
    <w:rsid w:val="005B6B68"/>
    <w:rsid w:val="005B6B9A"/>
    <w:rsid w:val="005B6DF1"/>
    <w:rsid w:val="005B6E85"/>
    <w:rsid w:val="005B6F1A"/>
    <w:rsid w:val="005B6F4D"/>
    <w:rsid w:val="005B7420"/>
    <w:rsid w:val="005B7C34"/>
    <w:rsid w:val="005C025F"/>
    <w:rsid w:val="005C15F2"/>
    <w:rsid w:val="005C1DAB"/>
    <w:rsid w:val="005C1E35"/>
    <w:rsid w:val="005C1E93"/>
    <w:rsid w:val="005C345E"/>
    <w:rsid w:val="005C37CF"/>
    <w:rsid w:val="005C4306"/>
    <w:rsid w:val="005C448D"/>
    <w:rsid w:val="005C481B"/>
    <w:rsid w:val="005C4AFE"/>
    <w:rsid w:val="005C4C4B"/>
    <w:rsid w:val="005C581F"/>
    <w:rsid w:val="005C5EE9"/>
    <w:rsid w:val="005C5F51"/>
    <w:rsid w:val="005C6840"/>
    <w:rsid w:val="005C6A93"/>
    <w:rsid w:val="005C6F23"/>
    <w:rsid w:val="005C70E0"/>
    <w:rsid w:val="005C7161"/>
    <w:rsid w:val="005C7175"/>
    <w:rsid w:val="005C7390"/>
    <w:rsid w:val="005D0427"/>
    <w:rsid w:val="005D0684"/>
    <w:rsid w:val="005D144A"/>
    <w:rsid w:val="005D16C7"/>
    <w:rsid w:val="005D1706"/>
    <w:rsid w:val="005D2828"/>
    <w:rsid w:val="005D45FC"/>
    <w:rsid w:val="005D4EFB"/>
    <w:rsid w:val="005D60B4"/>
    <w:rsid w:val="005D639B"/>
    <w:rsid w:val="005D6A69"/>
    <w:rsid w:val="005D6CDB"/>
    <w:rsid w:val="005E00AB"/>
    <w:rsid w:val="005E01D9"/>
    <w:rsid w:val="005E03D0"/>
    <w:rsid w:val="005E1CE2"/>
    <w:rsid w:val="005E20C2"/>
    <w:rsid w:val="005E2466"/>
    <w:rsid w:val="005E2566"/>
    <w:rsid w:val="005E286C"/>
    <w:rsid w:val="005E46ED"/>
    <w:rsid w:val="005E57A1"/>
    <w:rsid w:val="005E5961"/>
    <w:rsid w:val="005E5F9F"/>
    <w:rsid w:val="005E6AFC"/>
    <w:rsid w:val="005E7EEF"/>
    <w:rsid w:val="005E7F21"/>
    <w:rsid w:val="005F0179"/>
    <w:rsid w:val="005F01DD"/>
    <w:rsid w:val="005F0C4D"/>
    <w:rsid w:val="005F1032"/>
    <w:rsid w:val="005F2081"/>
    <w:rsid w:val="005F2CEF"/>
    <w:rsid w:val="005F3A6E"/>
    <w:rsid w:val="005F43C1"/>
    <w:rsid w:val="005F47F5"/>
    <w:rsid w:val="005F5080"/>
    <w:rsid w:val="005F5465"/>
    <w:rsid w:val="005F5540"/>
    <w:rsid w:val="005F5B12"/>
    <w:rsid w:val="005F67CE"/>
    <w:rsid w:val="005F7CB0"/>
    <w:rsid w:val="005F7F26"/>
    <w:rsid w:val="00600AE0"/>
    <w:rsid w:val="00600B4F"/>
    <w:rsid w:val="006023AA"/>
    <w:rsid w:val="006024F5"/>
    <w:rsid w:val="00602B45"/>
    <w:rsid w:val="00603085"/>
    <w:rsid w:val="0060327F"/>
    <w:rsid w:val="00603DF8"/>
    <w:rsid w:val="00603F80"/>
    <w:rsid w:val="0060451B"/>
    <w:rsid w:val="006048B2"/>
    <w:rsid w:val="00604AEA"/>
    <w:rsid w:val="006051B6"/>
    <w:rsid w:val="0060520A"/>
    <w:rsid w:val="00605A19"/>
    <w:rsid w:val="00605B98"/>
    <w:rsid w:val="006060BB"/>
    <w:rsid w:val="0060619E"/>
    <w:rsid w:val="006068B2"/>
    <w:rsid w:val="00606C3B"/>
    <w:rsid w:val="00607325"/>
    <w:rsid w:val="00607AF0"/>
    <w:rsid w:val="00607D95"/>
    <w:rsid w:val="006105DA"/>
    <w:rsid w:val="00611045"/>
    <w:rsid w:val="00611625"/>
    <w:rsid w:val="00611735"/>
    <w:rsid w:val="00611755"/>
    <w:rsid w:val="006118E7"/>
    <w:rsid w:val="00611D7F"/>
    <w:rsid w:val="0061213E"/>
    <w:rsid w:val="00612179"/>
    <w:rsid w:val="006123B0"/>
    <w:rsid w:val="0061348A"/>
    <w:rsid w:val="00613C47"/>
    <w:rsid w:val="00613CD8"/>
    <w:rsid w:val="00613E8D"/>
    <w:rsid w:val="00614A44"/>
    <w:rsid w:val="006150C9"/>
    <w:rsid w:val="006170C4"/>
    <w:rsid w:val="0061753F"/>
    <w:rsid w:val="00617916"/>
    <w:rsid w:val="00617F82"/>
    <w:rsid w:val="00617FAD"/>
    <w:rsid w:val="006201DD"/>
    <w:rsid w:val="006203F6"/>
    <w:rsid w:val="00620EFB"/>
    <w:rsid w:val="00620F59"/>
    <w:rsid w:val="006219BA"/>
    <w:rsid w:val="00621F6C"/>
    <w:rsid w:val="00622087"/>
    <w:rsid w:val="0062255B"/>
    <w:rsid w:val="00622981"/>
    <w:rsid w:val="00622FA2"/>
    <w:rsid w:val="0062303A"/>
    <w:rsid w:val="006231FD"/>
    <w:rsid w:val="00623A1D"/>
    <w:rsid w:val="00623FC5"/>
    <w:rsid w:val="00624222"/>
    <w:rsid w:val="00624261"/>
    <w:rsid w:val="006247C1"/>
    <w:rsid w:val="00624862"/>
    <w:rsid w:val="006253D8"/>
    <w:rsid w:val="00625918"/>
    <w:rsid w:val="00625A29"/>
    <w:rsid w:val="00625D42"/>
    <w:rsid w:val="00626C65"/>
    <w:rsid w:val="006270D7"/>
    <w:rsid w:val="006271E9"/>
    <w:rsid w:val="00627203"/>
    <w:rsid w:val="006273A8"/>
    <w:rsid w:val="006273E4"/>
    <w:rsid w:val="00627A1D"/>
    <w:rsid w:val="00627E79"/>
    <w:rsid w:val="0063044D"/>
    <w:rsid w:val="00630506"/>
    <w:rsid w:val="006306DB"/>
    <w:rsid w:val="00630DC4"/>
    <w:rsid w:val="00631109"/>
    <w:rsid w:val="006313B8"/>
    <w:rsid w:val="00631F21"/>
    <w:rsid w:val="006324C3"/>
    <w:rsid w:val="00632609"/>
    <w:rsid w:val="006333C8"/>
    <w:rsid w:val="006339C6"/>
    <w:rsid w:val="006339D5"/>
    <w:rsid w:val="006343AF"/>
    <w:rsid w:val="00635464"/>
    <w:rsid w:val="00635896"/>
    <w:rsid w:val="00635B00"/>
    <w:rsid w:val="00635CC8"/>
    <w:rsid w:val="006362ED"/>
    <w:rsid w:val="006364C4"/>
    <w:rsid w:val="006366B5"/>
    <w:rsid w:val="006369B9"/>
    <w:rsid w:val="00636B4D"/>
    <w:rsid w:val="006373CB"/>
    <w:rsid w:val="00637BB3"/>
    <w:rsid w:val="006400FA"/>
    <w:rsid w:val="0064099A"/>
    <w:rsid w:val="00640B5C"/>
    <w:rsid w:val="00640F9F"/>
    <w:rsid w:val="00642041"/>
    <w:rsid w:val="00642BB4"/>
    <w:rsid w:val="00642D0C"/>
    <w:rsid w:val="00642F82"/>
    <w:rsid w:val="006430C3"/>
    <w:rsid w:val="0064346D"/>
    <w:rsid w:val="00643B56"/>
    <w:rsid w:val="00643DDF"/>
    <w:rsid w:val="00644712"/>
    <w:rsid w:val="00645CCF"/>
    <w:rsid w:val="00646419"/>
    <w:rsid w:val="00646B8F"/>
    <w:rsid w:val="00646EAC"/>
    <w:rsid w:val="0064709A"/>
    <w:rsid w:val="00647189"/>
    <w:rsid w:val="00647707"/>
    <w:rsid w:val="00647747"/>
    <w:rsid w:val="00647B4A"/>
    <w:rsid w:val="00647F1C"/>
    <w:rsid w:val="006505B2"/>
    <w:rsid w:val="00650D48"/>
    <w:rsid w:val="0065157E"/>
    <w:rsid w:val="006515BC"/>
    <w:rsid w:val="00651890"/>
    <w:rsid w:val="00651F6A"/>
    <w:rsid w:val="00652ADC"/>
    <w:rsid w:val="00653AF8"/>
    <w:rsid w:val="00654168"/>
    <w:rsid w:val="00654B42"/>
    <w:rsid w:val="00654C63"/>
    <w:rsid w:val="00654D0F"/>
    <w:rsid w:val="00654E6C"/>
    <w:rsid w:val="006555E6"/>
    <w:rsid w:val="00655909"/>
    <w:rsid w:val="00655B3F"/>
    <w:rsid w:val="00655D5F"/>
    <w:rsid w:val="0065680C"/>
    <w:rsid w:val="00656BA6"/>
    <w:rsid w:val="00656BC2"/>
    <w:rsid w:val="00657007"/>
    <w:rsid w:val="0065707B"/>
    <w:rsid w:val="006572B2"/>
    <w:rsid w:val="006574EF"/>
    <w:rsid w:val="00660340"/>
    <w:rsid w:val="006604F8"/>
    <w:rsid w:val="00660804"/>
    <w:rsid w:val="006609FB"/>
    <w:rsid w:val="00661EEA"/>
    <w:rsid w:val="00662D5E"/>
    <w:rsid w:val="00662E63"/>
    <w:rsid w:val="00663088"/>
    <w:rsid w:val="00663790"/>
    <w:rsid w:val="00663812"/>
    <w:rsid w:val="00663F22"/>
    <w:rsid w:val="0066423B"/>
    <w:rsid w:val="006642AE"/>
    <w:rsid w:val="00665376"/>
    <w:rsid w:val="006654E0"/>
    <w:rsid w:val="006654E1"/>
    <w:rsid w:val="0066604A"/>
    <w:rsid w:val="006669E6"/>
    <w:rsid w:val="00666AE8"/>
    <w:rsid w:val="006675A0"/>
    <w:rsid w:val="006676AF"/>
    <w:rsid w:val="00667861"/>
    <w:rsid w:val="00667A5F"/>
    <w:rsid w:val="00670D9B"/>
    <w:rsid w:val="00670E85"/>
    <w:rsid w:val="006710E2"/>
    <w:rsid w:val="0067284F"/>
    <w:rsid w:val="0067295C"/>
    <w:rsid w:val="00672A23"/>
    <w:rsid w:val="00673414"/>
    <w:rsid w:val="006735D3"/>
    <w:rsid w:val="00674134"/>
    <w:rsid w:val="0067418D"/>
    <w:rsid w:val="00675024"/>
    <w:rsid w:val="00675189"/>
    <w:rsid w:val="006752E2"/>
    <w:rsid w:val="006763CD"/>
    <w:rsid w:val="006765B0"/>
    <w:rsid w:val="00676B10"/>
    <w:rsid w:val="00677294"/>
    <w:rsid w:val="00677669"/>
    <w:rsid w:val="0067788E"/>
    <w:rsid w:val="006779A8"/>
    <w:rsid w:val="00677B5A"/>
    <w:rsid w:val="00677CD7"/>
    <w:rsid w:val="0068095F"/>
    <w:rsid w:val="00680CD7"/>
    <w:rsid w:val="00681055"/>
    <w:rsid w:val="00681474"/>
    <w:rsid w:val="006816E2"/>
    <w:rsid w:val="00681A9B"/>
    <w:rsid w:val="00681C6E"/>
    <w:rsid w:val="00682295"/>
    <w:rsid w:val="0068315B"/>
    <w:rsid w:val="006831F3"/>
    <w:rsid w:val="006841EE"/>
    <w:rsid w:val="006844B5"/>
    <w:rsid w:val="00685BC9"/>
    <w:rsid w:val="00686A62"/>
    <w:rsid w:val="00686C4C"/>
    <w:rsid w:val="00686F0E"/>
    <w:rsid w:val="006876E7"/>
    <w:rsid w:val="006901AB"/>
    <w:rsid w:val="00690551"/>
    <w:rsid w:val="00690819"/>
    <w:rsid w:val="00690CFA"/>
    <w:rsid w:val="0069136A"/>
    <w:rsid w:val="006923CC"/>
    <w:rsid w:val="006924D6"/>
    <w:rsid w:val="00692EAC"/>
    <w:rsid w:val="00692EDD"/>
    <w:rsid w:val="00692EFB"/>
    <w:rsid w:val="0069328E"/>
    <w:rsid w:val="0069333C"/>
    <w:rsid w:val="006939A5"/>
    <w:rsid w:val="006939F5"/>
    <w:rsid w:val="00694157"/>
    <w:rsid w:val="0069455F"/>
    <w:rsid w:val="0069456D"/>
    <w:rsid w:val="006945ED"/>
    <w:rsid w:val="006959F6"/>
    <w:rsid w:val="0069733A"/>
    <w:rsid w:val="0069748C"/>
    <w:rsid w:val="006A04CD"/>
    <w:rsid w:val="006A0EE9"/>
    <w:rsid w:val="006A10E4"/>
    <w:rsid w:val="006A124E"/>
    <w:rsid w:val="006A1605"/>
    <w:rsid w:val="006A16D7"/>
    <w:rsid w:val="006A1BF8"/>
    <w:rsid w:val="006A21BD"/>
    <w:rsid w:val="006A2D86"/>
    <w:rsid w:val="006A2E68"/>
    <w:rsid w:val="006A31C1"/>
    <w:rsid w:val="006A4ACC"/>
    <w:rsid w:val="006A4B06"/>
    <w:rsid w:val="006A4BFD"/>
    <w:rsid w:val="006A502F"/>
    <w:rsid w:val="006A5E40"/>
    <w:rsid w:val="006A61A1"/>
    <w:rsid w:val="006A6804"/>
    <w:rsid w:val="006A6DA3"/>
    <w:rsid w:val="006A6F04"/>
    <w:rsid w:val="006A7116"/>
    <w:rsid w:val="006A74D1"/>
    <w:rsid w:val="006A777A"/>
    <w:rsid w:val="006B0447"/>
    <w:rsid w:val="006B0BF6"/>
    <w:rsid w:val="006B0CD9"/>
    <w:rsid w:val="006B0F50"/>
    <w:rsid w:val="006B14EA"/>
    <w:rsid w:val="006B14F3"/>
    <w:rsid w:val="006B204C"/>
    <w:rsid w:val="006B284C"/>
    <w:rsid w:val="006B31C6"/>
    <w:rsid w:val="006B3253"/>
    <w:rsid w:val="006B36E8"/>
    <w:rsid w:val="006B46F0"/>
    <w:rsid w:val="006B4C6F"/>
    <w:rsid w:val="006B4F9C"/>
    <w:rsid w:val="006B65F7"/>
    <w:rsid w:val="006B6792"/>
    <w:rsid w:val="006B6BAF"/>
    <w:rsid w:val="006B7246"/>
    <w:rsid w:val="006B7E57"/>
    <w:rsid w:val="006B7F03"/>
    <w:rsid w:val="006C02DC"/>
    <w:rsid w:val="006C0644"/>
    <w:rsid w:val="006C0E83"/>
    <w:rsid w:val="006C1124"/>
    <w:rsid w:val="006C1394"/>
    <w:rsid w:val="006C1720"/>
    <w:rsid w:val="006C1E44"/>
    <w:rsid w:val="006C20CF"/>
    <w:rsid w:val="006C22BA"/>
    <w:rsid w:val="006C2316"/>
    <w:rsid w:val="006C254B"/>
    <w:rsid w:val="006C2563"/>
    <w:rsid w:val="006C2A06"/>
    <w:rsid w:val="006C2CA7"/>
    <w:rsid w:val="006C319B"/>
    <w:rsid w:val="006C3562"/>
    <w:rsid w:val="006C35D5"/>
    <w:rsid w:val="006C3627"/>
    <w:rsid w:val="006C3672"/>
    <w:rsid w:val="006C3DEA"/>
    <w:rsid w:val="006C4372"/>
    <w:rsid w:val="006C4543"/>
    <w:rsid w:val="006C4A21"/>
    <w:rsid w:val="006C506B"/>
    <w:rsid w:val="006C50B1"/>
    <w:rsid w:val="006C5469"/>
    <w:rsid w:val="006C54F0"/>
    <w:rsid w:val="006C5811"/>
    <w:rsid w:val="006C6526"/>
    <w:rsid w:val="006C6870"/>
    <w:rsid w:val="006C6A55"/>
    <w:rsid w:val="006C70C6"/>
    <w:rsid w:val="006C782C"/>
    <w:rsid w:val="006C7CB9"/>
    <w:rsid w:val="006D0280"/>
    <w:rsid w:val="006D0C0C"/>
    <w:rsid w:val="006D15AE"/>
    <w:rsid w:val="006D26C9"/>
    <w:rsid w:val="006D2E3D"/>
    <w:rsid w:val="006D2E53"/>
    <w:rsid w:val="006D308E"/>
    <w:rsid w:val="006D332C"/>
    <w:rsid w:val="006D338E"/>
    <w:rsid w:val="006D3A73"/>
    <w:rsid w:val="006D3C8C"/>
    <w:rsid w:val="006D46FF"/>
    <w:rsid w:val="006D5328"/>
    <w:rsid w:val="006D5929"/>
    <w:rsid w:val="006D644B"/>
    <w:rsid w:val="006D6C75"/>
    <w:rsid w:val="006D6E79"/>
    <w:rsid w:val="006E0445"/>
    <w:rsid w:val="006E0900"/>
    <w:rsid w:val="006E090E"/>
    <w:rsid w:val="006E0FA2"/>
    <w:rsid w:val="006E10D0"/>
    <w:rsid w:val="006E1525"/>
    <w:rsid w:val="006E1C98"/>
    <w:rsid w:val="006E1F2C"/>
    <w:rsid w:val="006E27C3"/>
    <w:rsid w:val="006E2B31"/>
    <w:rsid w:val="006E2CBA"/>
    <w:rsid w:val="006E2D50"/>
    <w:rsid w:val="006E3196"/>
    <w:rsid w:val="006E344B"/>
    <w:rsid w:val="006E3629"/>
    <w:rsid w:val="006E36B5"/>
    <w:rsid w:val="006E36F6"/>
    <w:rsid w:val="006E3CAA"/>
    <w:rsid w:val="006E4560"/>
    <w:rsid w:val="006E49D4"/>
    <w:rsid w:val="006E4BF8"/>
    <w:rsid w:val="006E55CA"/>
    <w:rsid w:val="006E56F1"/>
    <w:rsid w:val="006E6057"/>
    <w:rsid w:val="006E67F5"/>
    <w:rsid w:val="006E710F"/>
    <w:rsid w:val="006E7308"/>
    <w:rsid w:val="006E73E8"/>
    <w:rsid w:val="006E7495"/>
    <w:rsid w:val="006E76A0"/>
    <w:rsid w:val="006E791D"/>
    <w:rsid w:val="006F0234"/>
    <w:rsid w:val="006F0A73"/>
    <w:rsid w:val="006F0B4E"/>
    <w:rsid w:val="006F0B6D"/>
    <w:rsid w:val="006F0CE2"/>
    <w:rsid w:val="006F0F37"/>
    <w:rsid w:val="006F169E"/>
    <w:rsid w:val="006F2FFA"/>
    <w:rsid w:val="006F3128"/>
    <w:rsid w:val="006F3307"/>
    <w:rsid w:val="006F379D"/>
    <w:rsid w:val="006F3A64"/>
    <w:rsid w:val="006F3CE3"/>
    <w:rsid w:val="006F43E6"/>
    <w:rsid w:val="006F4721"/>
    <w:rsid w:val="006F492D"/>
    <w:rsid w:val="006F4B85"/>
    <w:rsid w:val="006F514B"/>
    <w:rsid w:val="006F6625"/>
    <w:rsid w:val="006F6876"/>
    <w:rsid w:val="006F6B35"/>
    <w:rsid w:val="006F6BC2"/>
    <w:rsid w:val="006F6FF4"/>
    <w:rsid w:val="006F754E"/>
    <w:rsid w:val="006F79BF"/>
    <w:rsid w:val="007004CA"/>
    <w:rsid w:val="007007BA"/>
    <w:rsid w:val="00701451"/>
    <w:rsid w:val="00702A6E"/>
    <w:rsid w:val="00703C9A"/>
    <w:rsid w:val="00703FAD"/>
    <w:rsid w:val="007051B9"/>
    <w:rsid w:val="007051DE"/>
    <w:rsid w:val="00705B4F"/>
    <w:rsid w:val="00705C23"/>
    <w:rsid w:val="007063D0"/>
    <w:rsid w:val="00706894"/>
    <w:rsid w:val="00707200"/>
    <w:rsid w:val="00707B63"/>
    <w:rsid w:val="00710EA3"/>
    <w:rsid w:val="0071145D"/>
    <w:rsid w:val="0071148D"/>
    <w:rsid w:val="00711A85"/>
    <w:rsid w:val="00712A28"/>
    <w:rsid w:val="00712BC4"/>
    <w:rsid w:val="00712FA4"/>
    <w:rsid w:val="007141FA"/>
    <w:rsid w:val="00714312"/>
    <w:rsid w:val="00714B3E"/>
    <w:rsid w:val="00714CFE"/>
    <w:rsid w:val="007150D1"/>
    <w:rsid w:val="00715BBB"/>
    <w:rsid w:val="007160FE"/>
    <w:rsid w:val="00716223"/>
    <w:rsid w:val="007207B4"/>
    <w:rsid w:val="007207E7"/>
    <w:rsid w:val="007218D9"/>
    <w:rsid w:val="00721CDF"/>
    <w:rsid w:val="0072211E"/>
    <w:rsid w:val="0072260F"/>
    <w:rsid w:val="00722B24"/>
    <w:rsid w:val="00722BA2"/>
    <w:rsid w:val="00722D9C"/>
    <w:rsid w:val="0072312A"/>
    <w:rsid w:val="00723193"/>
    <w:rsid w:val="00723762"/>
    <w:rsid w:val="007239BF"/>
    <w:rsid w:val="007245F8"/>
    <w:rsid w:val="00724AB8"/>
    <w:rsid w:val="00724C8C"/>
    <w:rsid w:val="00725F7F"/>
    <w:rsid w:val="00726360"/>
    <w:rsid w:val="0072646D"/>
    <w:rsid w:val="007266FE"/>
    <w:rsid w:val="007267F0"/>
    <w:rsid w:val="00726824"/>
    <w:rsid w:val="0072685C"/>
    <w:rsid w:val="00726C2F"/>
    <w:rsid w:val="00726EC3"/>
    <w:rsid w:val="00726FF0"/>
    <w:rsid w:val="00727735"/>
    <w:rsid w:val="007278E6"/>
    <w:rsid w:val="00727DA4"/>
    <w:rsid w:val="00727F91"/>
    <w:rsid w:val="00730444"/>
    <w:rsid w:val="00730E89"/>
    <w:rsid w:val="00731A7B"/>
    <w:rsid w:val="00731BA9"/>
    <w:rsid w:val="00731CAB"/>
    <w:rsid w:val="0073208D"/>
    <w:rsid w:val="0073255B"/>
    <w:rsid w:val="00732F26"/>
    <w:rsid w:val="0073334C"/>
    <w:rsid w:val="0073349A"/>
    <w:rsid w:val="00733548"/>
    <w:rsid w:val="007337A7"/>
    <w:rsid w:val="00733E17"/>
    <w:rsid w:val="00735218"/>
    <w:rsid w:val="00735683"/>
    <w:rsid w:val="007358FF"/>
    <w:rsid w:val="00735A16"/>
    <w:rsid w:val="00736762"/>
    <w:rsid w:val="007371D4"/>
    <w:rsid w:val="007378FB"/>
    <w:rsid w:val="00737B58"/>
    <w:rsid w:val="00737DBA"/>
    <w:rsid w:val="00737E0B"/>
    <w:rsid w:val="00740852"/>
    <w:rsid w:val="00741322"/>
    <w:rsid w:val="007424E0"/>
    <w:rsid w:val="00742706"/>
    <w:rsid w:val="0074286A"/>
    <w:rsid w:val="00742D5E"/>
    <w:rsid w:val="00743868"/>
    <w:rsid w:val="00743C4E"/>
    <w:rsid w:val="00743C5D"/>
    <w:rsid w:val="00744CB8"/>
    <w:rsid w:val="007451AD"/>
    <w:rsid w:val="00745A2B"/>
    <w:rsid w:val="00745ACE"/>
    <w:rsid w:val="00745AFF"/>
    <w:rsid w:val="00745DD2"/>
    <w:rsid w:val="007469E1"/>
    <w:rsid w:val="00746A61"/>
    <w:rsid w:val="00746B96"/>
    <w:rsid w:val="0074741E"/>
    <w:rsid w:val="00747731"/>
    <w:rsid w:val="00750411"/>
    <w:rsid w:val="00750C67"/>
    <w:rsid w:val="00750ECC"/>
    <w:rsid w:val="007512E0"/>
    <w:rsid w:val="00752F15"/>
    <w:rsid w:val="00752FEA"/>
    <w:rsid w:val="0075302D"/>
    <w:rsid w:val="0075345E"/>
    <w:rsid w:val="00753A70"/>
    <w:rsid w:val="00753BB6"/>
    <w:rsid w:val="007543E2"/>
    <w:rsid w:val="00754BB6"/>
    <w:rsid w:val="007557A8"/>
    <w:rsid w:val="007565EC"/>
    <w:rsid w:val="00757474"/>
    <w:rsid w:val="007608EA"/>
    <w:rsid w:val="00760CC6"/>
    <w:rsid w:val="007617D8"/>
    <w:rsid w:val="00761D01"/>
    <w:rsid w:val="00762778"/>
    <w:rsid w:val="007627E7"/>
    <w:rsid w:val="00762D78"/>
    <w:rsid w:val="00763778"/>
    <w:rsid w:val="007639AC"/>
    <w:rsid w:val="00763BDC"/>
    <w:rsid w:val="00763D15"/>
    <w:rsid w:val="007641BF"/>
    <w:rsid w:val="00764366"/>
    <w:rsid w:val="007644E8"/>
    <w:rsid w:val="00764DC7"/>
    <w:rsid w:val="0076563A"/>
    <w:rsid w:val="00765CDD"/>
    <w:rsid w:val="00765D72"/>
    <w:rsid w:val="00766572"/>
    <w:rsid w:val="00770A3D"/>
    <w:rsid w:val="00770A5E"/>
    <w:rsid w:val="00770C59"/>
    <w:rsid w:val="00770C9C"/>
    <w:rsid w:val="00771289"/>
    <w:rsid w:val="007713A8"/>
    <w:rsid w:val="00771603"/>
    <w:rsid w:val="00771660"/>
    <w:rsid w:val="0077239A"/>
    <w:rsid w:val="00772449"/>
    <w:rsid w:val="00772DC6"/>
    <w:rsid w:val="00773064"/>
    <w:rsid w:val="00773EEB"/>
    <w:rsid w:val="00773F85"/>
    <w:rsid w:val="0077452B"/>
    <w:rsid w:val="00774605"/>
    <w:rsid w:val="00774A2B"/>
    <w:rsid w:val="00774A4A"/>
    <w:rsid w:val="00774C92"/>
    <w:rsid w:val="00775D89"/>
    <w:rsid w:val="00776283"/>
    <w:rsid w:val="00776843"/>
    <w:rsid w:val="00776D04"/>
    <w:rsid w:val="00777867"/>
    <w:rsid w:val="007779BF"/>
    <w:rsid w:val="00780238"/>
    <w:rsid w:val="00780933"/>
    <w:rsid w:val="00780D9C"/>
    <w:rsid w:val="00780DB4"/>
    <w:rsid w:val="00781426"/>
    <w:rsid w:val="00781627"/>
    <w:rsid w:val="00781C6C"/>
    <w:rsid w:val="00781D41"/>
    <w:rsid w:val="00782262"/>
    <w:rsid w:val="00782396"/>
    <w:rsid w:val="00782AC4"/>
    <w:rsid w:val="007839A9"/>
    <w:rsid w:val="00783F1D"/>
    <w:rsid w:val="00784A21"/>
    <w:rsid w:val="0078527C"/>
    <w:rsid w:val="0078547F"/>
    <w:rsid w:val="007857A2"/>
    <w:rsid w:val="00785BD7"/>
    <w:rsid w:val="00786F8D"/>
    <w:rsid w:val="007871C4"/>
    <w:rsid w:val="0078750D"/>
    <w:rsid w:val="00787690"/>
    <w:rsid w:val="007877A7"/>
    <w:rsid w:val="00787823"/>
    <w:rsid w:val="00787AF1"/>
    <w:rsid w:val="007904E2"/>
    <w:rsid w:val="00791041"/>
    <w:rsid w:val="0079127E"/>
    <w:rsid w:val="00791328"/>
    <w:rsid w:val="007913E6"/>
    <w:rsid w:val="007919E2"/>
    <w:rsid w:val="00791E59"/>
    <w:rsid w:val="00792124"/>
    <w:rsid w:val="00792CCF"/>
    <w:rsid w:val="00792E28"/>
    <w:rsid w:val="0079366D"/>
    <w:rsid w:val="0079452C"/>
    <w:rsid w:val="00794AE8"/>
    <w:rsid w:val="00794EBD"/>
    <w:rsid w:val="007958BA"/>
    <w:rsid w:val="0079636B"/>
    <w:rsid w:val="007966DD"/>
    <w:rsid w:val="0079724B"/>
    <w:rsid w:val="00797560"/>
    <w:rsid w:val="007A1331"/>
    <w:rsid w:val="007A14FF"/>
    <w:rsid w:val="007A1568"/>
    <w:rsid w:val="007A1A5E"/>
    <w:rsid w:val="007A1B2F"/>
    <w:rsid w:val="007A21FC"/>
    <w:rsid w:val="007A224E"/>
    <w:rsid w:val="007A2DBD"/>
    <w:rsid w:val="007A39CA"/>
    <w:rsid w:val="007A4B2D"/>
    <w:rsid w:val="007A4E98"/>
    <w:rsid w:val="007A54BA"/>
    <w:rsid w:val="007A587B"/>
    <w:rsid w:val="007A5E67"/>
    <w:rsid w:val="007A6705"/>
    <w:rsid w:val="007A675E"/>
    <w:rsid w:val="007A6B8D"/>
    <w:rsid w:val="007A724A"/>
    <w:rsid w:val="007A74E5"/>
    <w:rsid w:val="007A7727"/>
    <w:rsid w:val="007B0239"/>
    <w:rsid w:val="007B0ADF"/>
    <w:rsid w:val="007B0BE0"/>
    <w:rsid w:val="007B10D9"/>
    <w:rsid w:val="007B1814"/>
    <w:rsid w:val="007B182B"/>
    <w:rsid w:val="007B1B21"/>
    <w:rsid w:val="007B2133"/>
    <w:rsid w:val="007B2393"/>
    <w:rsid w:val="007B2A8B"/>
    <w:rsid w:val="007B3A99"/>
    <w:rsid w:val="007B3AF8"/>
    <w:rsid w:val="007B412C"/>
    <w:rsid w:val="007B42AD"/>
    <w:rsid w:val="007B43CF"/>
    <w:rsid w:val="007B47F2"/>
    <w:rsid w:val="007B4979"/>
    <w:rsid w:val="007B4D0E"/>
    <w:rsid w:val="007B533B"/>
    <w:rsid w:val="007B6021"/>
    <w:rsid w:val="007B63A4"/>
    <w:rsid w:val="007B70C2"/>
    <w:rsid w:val="007B7537"/>
    <w:rsid w:val="007B75DE"/>
    <w:rsid w:val="007B79E4"/>
    <w:rsid w:val="007B7DBF"/>
    <w:rsid w:val="007B7EDC"/>
    <w:rsid w:val="007C0057"/>
    <w:rsid w:val="007C015C"/>
    <w:rsid w:val="007C0BAE"/>
    <w:rsid w:val="007C0EC9"/>
    <w:rsid w:val="007C181F"/>
    <w:rsid w:val="007C1E09"/>
    <w:rsid w:val="007C22F8"/>
    <w:rsid w:val="007C2B69"/>
    <w:rsid w:val="007C33A3"/>
    <w:rsid w:val="007C3589"/>
    <w:rsid w:val="007C3627"/>
    <w:rsid w:val="007C3801"/>
    <w:rsid w:val="007C5477"/>
    <w:rsid w:val="007C5590"/>
    <w:rsid w:val="007C57D5"/>
    <w:rsid w:val="007C57E1"/>
    <w:rsid w:val="007C5900"/>
    <w:rsid w:val="007C5923"/>
    <w:rsid w:val="007C5BF3"/>
    <w:rsid w:val="007C5DEC"/>
    <w:rsid w:val="007C5DFB"/>
    <w:rsid w:val="007C5F26"/>
    <w:rsid w:val="007C611D"/>
    <w:rsid w:val="007C692F"/>
    <w:rsid w:val="007C6D6F"/>
    <w:rsid w:val="007C6DBE"/>
    <w:rsid w:val="007C721C"/>
    <w:rsid w:val="007C7E04"/>
    <w:rsid w:val="007D181F"/>
    <w:rsid w:val="007D1940"/>
    <w:rsid w:val="007D1A35"/>
    <w:rsid w:val="007D1BB7"/>
    <w:rsid w:val="007D1C08"/>
    <w:rsid w:val="007D2173"/>
    <w:rsid w:val="007D2336"/>
    <w:rsid w:val="007D35C9"/>
    <w:rsid w:val="007D4001"/>
    <w:rsid w:val="007D4189"/>
    <w:rsid w:val="007D4671"/>
    <w:rsid w:val="007D487F"/>
    <w:rsid w:val="007D49B5"/>
    <w:rsid w:val="007D4A37"/>
    <w:rsid w:val="007D4C45"/>
    <w:rsid w:val="007D570C"/>
    <w:rsid w:val="007D57E3"/>
    <w:rsid w:val="007D6121"/>
    <w:rsid w:val="007D62E0"/>
    <w:rsid w:val="007D6AAB"/>
    <w:rsid w:val="007D6FE9"/>
    <w:rsid w:val="007D7077"/>
    <w:rsid w:val="007D70F3"/>
    <w:rsid w:val="007E0D30"/>
    <w:rsid w:val="007E1CC2"/>
    <w:rsid w:val="007E1D1B"/>
    <w:rsid w:val="007E2120"/>
    <w:rsid w:val="007E2756"/>
    <w:rsid w:val="007E2A60"/>
    <w:rsid w:val="007E36D4"/>
    <w:rsid w:val="007E36F8"/>
    <w:rsid w:val="007E5007"/>
    <w:rsid w:val="007E5352"/>
    <w:rsid w:val="007E570F"/>
    <w:rsid w:val="007E5D7F"/>
    <w:rsid w:val="007F14D9"/>
    <w:rsid w:val="007F183C"/>
    <w:rsid w:val="007F2A80"/>
    <w:rsid w:val="007F2D6A"/>
    <w:rsid w:val="007F2E12"/>
    <w:rsid w:val="007F34A2"/>
    <w:rsid w:val="007F39F2"/>
    <w:rsid w:val="007F3BF6"/>
    <w:rsid w:val="007F3EC4"/>
    <w:rsid w:val="007F4051"/>
    <w:rsid w:val="007F469A"/>
    <w:rsid w:val="007F47FC"/>
    <w:rsid w:val="007F4F76"/>
    <w:rsid w:val="007F55B9"/>
    <w:rsid w:val="007F656B"/>
    <w:rsid w:val="007F69D6"/>
    <w:rsid w:val="00800E10"/>
    <w:rsid w:val="00800F69"/>
    <w:rsid w:val="008011C6"/>
    <w:rsid w:val="008013FF"/>
    <w:rsid w:val="0080157A"/>
    <w:rsid w:val="0080167E"/>
    <w:rsid w:val="00801C55"/>
    <w:rsid w:val="00801D39"/>
    <w:rsid w:val="00801E4F"/>
    <w:rsid w:val="00801EB7"/>
    <w:rsid w:val="008022DB"/>
    <w:rsid w:val="0080235F"/>
    <w:rsid w:val="00802AB7"/>
    <w:rsid w:val="00803125"/>
    <w:rsid w:val="00803258"/>
    <w:rsid w:val="00803885"/>
    <w:rsid w:val="00804521"/>
    <w:rsid w:val="00804D33"/>
    <w:rsid w:val="00804FA5"/>
    <w:rsid w:val="00805FB8"/>
    <w:rsid w:val="00806152"/>
    <w:rsid w:val="00806A48"/>
    <w:rsid w:val="00806CDA"/>
    <w:rsid w:val="00806DC8"/>
    <w:rsid w:val="00807010"/>
    <w:rsid w:val="0080714C"/>
    <w:rsid w:val="008073B9"/>
    <w:rsid w:val="008105F5"/>
    <w:rsid w:val="0081090A"/>
    <w:rsid w:val="00810C16"/>
    <w:rsid w:val="00810DEF"/>
    <w:rsid w:val="0081101C"/>
    <w:rsid w:val="0081127F"/>
    <w:rsid w:val="00811740"/>
    <w:rsid w:val="008118AE"/>
    <w:rsid w:val="008122F9"/>
    <w:rsid w:val="00812A0A"/>
    <w:rsid w:val="00812D26"/>
    <w:rsid w:val="00813652"/>
    <w:rsid w:val="008140B2"/>
    <w:rsid w:val="00814E82"/>
    <w:rsid w:val="00815E5F"/>
    <w:rsid w:val="00816809"/>
    <w:rsid w:val="00817370"/>
    <w:rsid w:val="0081748B"/>
    <w:rsid w:val="00817623"/>
    <w:rsid w:val="00820415"/>
    <w:rsid w:val="00820B6E"/>
    <w:rsid w:val="00820C99"/>
    <w:rsid w:val="00820DF5"/>
    <w:rsid w:val="00821236"/>
    <w:rsid w:val="008212E9"/>
    <w:rsid w:val="00821488"/>
    <w:rsid w:val="008214B4"/>
    <w:rsid w:val="00821B6A"/>
    <w:rsid w:val="008222FE"/>
    <w:rsid w:val="0082282E"/>
    <w:rsid w:val="008229AD"/>
    <w:rsid w:val="00823D84"/>
    <w:rsid w:val="008241A1"/>
    <w:rsid w:val="00824D67"/>
    <w:rsid w:val="008250A6"/>
    <w:rsid w:val="00825608"/>
    <w:rsid w:val="008256C4"/>
    <w:rsid w:val="008259EE"/>
    <w:rsid w:val="00825C97"/>
    <w:rsid w:val="00825CCB"/>
    <w:rsid w:val="00825FA7"/>
    <w:rsid w:val="0082608E"/>
    <w:rsid w:val="008261BE"/>
    <w:rsid w:val="0082672A"/>
    <w:rsid w:val="0082715D"/>
    <w:rsid w:val="00827939"/>
    <w:rsid w:val="0083099B"/>
    <w:rsid w:val="0083154A"/>
    <w:rsid w:val="00831B3E"/>
    <w:rsid w:val="00832016"/>
    <w:rsid w:val="008323F1"/>
    <w:rsid w:val="00832BBC"/>
    <w:rsid w:val="00832F59"/>
    <w:rsid w:val="008337A0"/>
    <w:rsid w:val="0083387C"/>
    <w:rsid w:val="008344F6"/>
    <w:rsid w:val="008347F9"/>
    <w:rsid w:val="00834D8A"/>
    <w:rsid w:val="00835086"/>
    <w:rsid w:val="0083590D"/>
    <w:rsid w:val="008368CC"/>
    <w:rsid w:val="0083696D"/>
    <w:rsid w:val="008369CB"/>
    <w:rsid w:val="00837913"/>
    <w:rsid w:val="00837D28"/>
    <w:rsid w:val="00837EB1"/>
    <w:rsid w:val="0084004B"/>
    <w:rsid w:val="008405B0"/>
    <w:rsid w:val="008410A7"/>
    <w:rsid w:val="00841102"/>
    <w:rsid w:val="00841588"/>
    <w:rsid w:val="0084185F"/>
    <w:rsid w:val="008419A5"/>
    <w:rsid w:val="00841F80"/>
    <w:rsid w:val="008421EE"/>
    <w:rsid w:val="00842332"/>
    <w:rsid w:val="008423A5"/>
    <w:rsid w:val="008427EC"/>
    <w:rsid w:val="008428E3"/>
    <w:rsid w:val="00842C51"/>
    <w:rsid w:val="008435DF"/>
    <w:rsid w:val="0084366A"/>
    <w:rsid w:val="0084366B"/>
    <w:rsid w:val="008445DA"/>
    <w:rsid w:val="00845170"/>
    <w:rsid w:val="0084546D"/>
    <w:rsid w:val="008454C7"/>
    <w:rsid w:val="0084598D"/>
    <w:rsid w:val="00845B38"/>
    <w:rsid w:val="00845BAC"/>
    <w:rsid w:val="00845C21"/>
    <w:rsid w:val="00845F9E"/>
    <w:rsid w:val="0084609F"/>
    <w:rsid w:val="0084654C"/>
    <w:rsid w:val="008468BE"/>
    <w:rsid w:val="00846903"/>
    <w:rsid w:val="0084743A"/>
    <w:rsid w:val="00847D27"/>
    <w:rsid w:val="00850179"/>
    <w:rsid w:val="00850387"/>
    <w:rsid w:val="008509BC"/>
    <w:rsid w:val="00850A50"/>
    <w:rsid w:val="008510EA"/>
    <w:rsid w:val="00851524"/>
    <w:rsid w:val="008517B1"/>
    <w:rsid w:val="00851B2F"/>
    <w:rsid w:val="00851B47"/>
    <w:rsid w:val="00852698"/>
    <w:rsid w:val="00852C90"/>
    <w:rsid w:val="00852D55"/>
    <w:rsid w:val="008539A5"/>
    <w:rsid w:val="008539F0"/>
    <w:rsid w:val="00853A8C"/>
    <w:rsid w:val="00855ACD"/>
    <w:rsid w:val="00855E09"/>
    <w:rsid w:val="008562EC"/>
    <w:rsid w:val="00857995"/>
    <w:rsid w:val="00860667"/>
    <w:rsid w:val="00860919"/>
    <w:rsid w:val="00860E9A"/>
    <w:rsid w:val="008613DF"/>
    <w:rsid w:val="00861712"/>
    <w:rsid w:val="008618DB"/>
    <w:rsid w:val="00861ECF"/>
    <w:rsid w:val="008627AE"/>
    <w:rsid w:val="00862A8A"/>
    <w:rsid w:val="0086300B"/>
    <w:rsid w:val="00863B8F"/>
    <w:rsid w:val="00863BF5"/>
    <w:rsid w:val="008643A4"/>
    <w:rsid w:val="008646EF"/>
    <w:rsid w:val="008647F6"/>
    <w:rsid w:val="00864BB2"/>
    <w:rsid w:val="00864CF0"/>
    <w:rsid w:val="00864EAF"/>
    <w:rsid w:val="00865066"/>
    <w:rsid w:val="008650FE"/>
    <w:rsid w:val="00865260"/>
    <w:rsid w:val="00865C24"/>
    <w:rsid w:val="00866986"/>
    <w:rsid w:val="0087023D"/>
    <w:rsid w:val="008707D8"/>
    <w:rsid w:val="0087141B"/>
    <w:rsid w:val="0087172D"/>
    <w:rsid w:val="00871FD5"/>
    <w:rsid w:val="00872E1C"/>
    <w:rsid w:val="0087312D"/>
    <w:rsid w:val="0087324A"/>
    <w:rsid w:val="008732B3"/>
    <w:rsid w:val="008733B2"/>
    <w:rsid w:val="00873840"/>
    <w:rsid w:val="00874079"/>
    <w:rsid w:val="00874C4F"/>
    <w:rsid w:val="0087516C"/>
    <w:rsid w:val="00875606"/>
    <w:rsid w:val="00875EBC"/>
    <w:rsid w:val="00875F9C"/>
    <w:rsid w:val="008761F9"/>
    <w:rsid w:val="00876E86"/>
    <w:rsid w:val="00877404"/>
    <w:rsid w:val="00877987"/>
    <w:rsid w:val="00877A82"/>
    <w:rsid w:val="00877C7A"/>
    <w:rsid w:val="00877D21"/>
    <w:rsid w:val="008802EE"/>
    <w:rsid w:val="008804F5"/>
    <w:rsid w:val="0088054C"/>
    <w:rsid w:val="0088059A"/>
    <w:rsid w:val="00880A00"/>
    <w:rsid w:val="008812FB"/>
    <w:rsid w:val="0088177E"/>
    <w:rsid w:val="00881E2B"/>
    <w:rsid w:val="00882277"/>
    <w:rsid w:val="00882D91"/>
    <w:rsid w:val="00883FDC"/>
    <w:rsid w:val="00884832"/>
    <w:rsid w:val="00885805"/>
    <w:rsid w:val="00885CE1"/>
    <w:rsid w:val="008867AD"/>
    <w:rsid w:val="00886856"/>
    <w:rsid w:val="00886E2F"/>
    <w:rsid w:val="00890F5C"/>
    <w:rsid w:val="00891814"/>
    <w:rsid w:val="00891893"/>
    <w:rsid w:val="008922BF"/>
    <w:rsid w:val="00892E53"/>
    <w:rsid w:val="00893612"/>
    <w:rsid w:val="00893CEB"/>
    <w:rsid w:val="008961C0"/>
    <w:rsid w:val="00896E2C"/>
    <w:rsid w:val="00897CFF"/>
    <w:rsid w:val="00897E10"/>
    <w:rsid w:val="00897F8E"/>
    <w:rsid w:val="008A007D"/>
    <w:rsid w:val="008A0FEC"/>
    <w:rsid w:val="008A1133"/>
    <w:rsid w:val="008A142B"/>
    <w:rsid w:val="008A1497"/>
    <w:rsid w:val="008A175E"/>
    <w:rsid w:val="008A1964"/>
    <w:rsid w:val="008A19FC"/>
    <w:rsid w:val="008A1A15"/>
    <w:rsid w:val="008A2421"/>
    <w:rsid w:val="008A271A"/>
    <w:rsid w:val="008A2CD9"/>
    <w:rsid w:val="008A34DB"/>
    <w:rsid w:val="008A3FE9"/>
    <w:rsid w:val="008A4337"/>
    <w:rsid w:val="008A55FF"/>
    <w:rsid w:val="008A580D"/>
    <w:rsid w:val="008A5A96"/>
    <w:rsid w:val="008A5EED"/>
    <w:rsid w:val="008A5F86"/>
    <w:rsid w:val="008A6153"/>
    <w:rsid w:val="008A63DA"/>
    <w:rsid w:val="008A65D3"/>
    <w:rsid w:val="008A742F"/>
    <w:rsid w:val="008A7631"/>
    <w:rsid w:val="008A7B09"/>
    <w:rsid w:val="008A7D94"/>
    <w:rsid w:val="008A7FAC"/>
    <w:rsid w:val="008B07B4"/>
    <w:rsid w:val="008B0E3C"/>
    <w:rsid w:val="008B1663"/>
    <w:rsid w:val="008B183F"/>
    <w:rsid w:val="008B1958"/>
    <w:rsid w:val="008B1987"/>
    <w:rsid w:val="008B1B5C"/>
    <w:rsid w:val="008B20C8"/>
    <w:rsid w:val="008B22B7"/>
    <w:rsid w:val="008B26A9"/>
    <w:rsid w:val="008B2F69"/>
    <w:rsid w:val="008B303E"/>
    <w:rsid w:val="008B3654"/>
    <w:rsid w:val="008B3AA3"/>
    <w:rsid w:val="008B48FD"/>
    <w:rsid w:val="008B4CBE"/>
    <w:rsid w:val="008B4CD8"/>
    <w:rsid w:val="008B560A"/>
    <w:rsid w:val="008B5704"/>
    <w:rsid w:val="008B5CE9"/>
    <w:rsid w:val="008B668F"/>
    <w:rsid w:val="008B6AAB"/>
    <w:rsid w:val="008B79F4"/>
    <w:rsid w:val="008B7C58"/>
    <w:rsid w:val="008C092F"/>
    <w:rsid w:val="008C0A37"/>
    <w:rsid w:val="008C1137"/>
    <w:rsid w:val="008C11B4"/>
    <w:rsid w:val="008C1C1E"/>
    <w:rsid w:val="008C2065"/>
    <w:rsid w:val="008C22CE"/>
    <w:rsid w:val="008C24CE"/>
    <w:rsid w:val="008C269A"/>
    <w:rsid w:val="008C3613"/>
    <w:rsid w:val="008C447E"/>
    <w:rsid w:val="008C4AB2"/>
    <w:rsid w:val="008C50E4"/>
    <w:rsid w:val="008C521E"/>
    <w:rsid w:val="008C6413"/>
    <w:rsid w:val="008C673A"/>
    <w:rsid w:val="008C6FAF"/>
    <w:rsid w:val="008C776A"/>
    <w:rsid w:val="008C792B"/>
    <w:rsid w:val="008D072B"/>
    <w:rsid w:val="008D0F59"/>
    <w:rsid w:val="008D1ACC"/>
    <w:rsid w:val="008D2580"/>
    <w:rsid w:val="008D258C"/>
    <w:rsid w:val="008D2ADD"/>
    <w:rsid w:val="008D35FD"/>
    <w:rsid w:val="008D362A"/>
    <w:rsid w:val="008D362C"/>
    <w:rsid w:val="008D3CF2"/>
    <w:rsid w:val="008D4570"/>
    <w:rsid w:val="008D470F"/>
    <w:rsid w:val="008D4F16"/>
    <w:rsid w:val="008D559A"/>
    <w:rsid w:val="008D55A9"/>
    <w:rsid w:val="008D5E47"/>
    <w:rsid w:val="008D6411"/>
    <w:rsid w:val="008D6B01"/>
    <w:rsid w:val="008D6D55"/>
    <w:rsid w:val="008D75B3"/>
    <w:rsid w:val="008E01D5"/>
    <w:rsid w:val="008E0AB5"/>
    <w:rsid w:val="008E0B71"/>
    <w:rsid w:val="008E1C27"/>
    <w:rsid w:val="008E1F4E"/>
    <w:rsid w:val="008E250B"/>
    <w:rsid w:val="008E26D6"/>
    <w:rsid w:val="008E2854"/>
    <w:rsid w:val="008E2D00"/>
    <w:rsid w:val="008E3002"/>
    <w:rsid w:val="008E3282"/>
    <w:rsid w:val="008E36C4"/>
    <w:rsid w:val="008E3944"/>
    <w:rsid w:val="008E3C7F"/>
    <w:rsid w:val="008E3EE5"/>
    <w:rsid w:val="008E481D"/>
    <w:rsid w:val="008E4C73"/>
    <w:rsid w:val="008E4E4F"/>
    <w:rsid w:val="008E5BA0"/>
    <w:rsid w:val="008E65C3"/>
    <w:rsid w:val="008E660D"/>
    <w:rsid w:val="008E7801"/>
    <w:rsid w:val="008E7EAB"/>
    <w:rsid w:val="008F0376"/>
    <w:rsid w:val="008F0492"/>
    <w:rsid w:val="008F05D7"/>
    <w:rsid w:val="008F0B7F"/>
    <w:rsid w:val="008F104C"/>
    <w:rsid w:val="008F11F1"/>
    <w:rsid w:val="008F18C0"/>
    <w:rsid w:val="008F1B95"/>
    <w:rsid w:val="008F1FB7"/>
    <w:rsid w:val="008F1FC8"/>
    <w:rsid w:val="008F31E8"/>
    <w:rsid w:val="008F35AF"/>
    <w:rsid w:val="008F3780"/>
    <w:rsid w:val="008F4580"/>
    <w:rsid w:val="008F47DB"/>
    <w:rsid w:val="008F4B3B"/>
    <w:rsid w:val="008F4B6A"/>
    <w:rsid w:val="008F554D"/>
    <w:rsid w:val="008F60A3"/>
    <w:rsid w:val="008F6519"/>
    <w:rsid w:val="008F70B4"/>
    <w:rsid w:val="008F72C7"/>
    <w:rsid w:val="008F756C"/>
    <w:rsid w:val="008F78AD"/>
    <w:rsid w:val="008F7BBC"/>
    <w:rsid w:val="008F7E6B"/>
    <w:rsid w:val="0090019B"/>
    <w:rsid w:val="00900D7D"/>
    <w:rsid w:val="0090137F"/>
    <w:rsid w:val="009015C5"/>
    <w:rsid w:val="009019A6"/>
    <w:rsid w:val="00902C4F"/>
    <w:rsid w:val="00902E31"/>
    <w:rsid w:val="009038A2"/>
    <w:rsid w:val="00903BD9"/>
    <w:rsid w:val="00904123"/>
    <w:rsid w:val="00904547"/>
    <w:rsid w:val="009048A3"/>
    <w:rsid w:val="00904EEB"/>
    <w:rsid w:val="00905647"/>
    <w:rsid w:val="009061FD"/>
    <w:rsid w:val="0090690F"/>
    <w:rsid w:val="0090699F"/>
    <w:rsid w:val="00906C01"/>
    <w:rsid w:val="0090733C"/>
    <w:rsid w:val="00907E46"/>
    <w:rsid w:val="00907F13"/>
    <w:rsid w:val="009100DC"/>
    <w:rsid w:val="00910289"/>
    <w:rsid w:val="00911C5C"/>
    <w:rsid w:val="0091213B"/>
    <w:rsid w:val="0091267C"/>
    <w:rsid w:val="00912BBF"/>
    <w:rsid w:val="00912EF4"/>
    <w:rsid w:val="009131DB"/>
    <w:rsid w:val="009136A5"/>
    <w:rsid w:val="0091514A"/>
    <w:rsid w:val="00915377"/>
    <w:rsid w:val="009154DE"/>
    <w:rsid w:val="009154F9"/>
    <w:rsid w:val="0091563F"/>
    <w:rsid w:val="00915A02"/>
    <w:rsid w:val="00915C70"/>
    <w:rsid w:val="009172EA"/>
    <w:rsid w:val="0091751B"/>
    <w:rsid w:val="009175DF"/>
    <w:rsid w:val="009203CF"/>
    <w:rsid w:val="00920A55"/>
    <w:rsid w:val="009214D1"/>
    <w:rsid w:val="00921857"/>
    <w:rsid w:val="00921B93"/>
    <w:rsid w:val="00921D77"/>
    <w:rsid w:val="009220E9"/>
    <w:rsid w:val="009220FF"/>
    <w:rsid w:val="00922180"/>
    <w:rsid w:val="0092230E"/>
    <w:rsid w:val="0092285D"/>
    <w:rsid w:val="00922DA7"/>
    <w:rsid w:val="00922E9D"/>
    <w:rsid w:val="00923B22"/>
    <w:rsid w:val="009240AE"/>
    <w:rsid w:val="009243E0"/>
    <w:rsid w:val="009247B2"/>
    <w:rsid w:val="00924918"/>
    <w:rsid w:val="00926027"/>
    <w:rsid w:val="0092651D"/>
    <w:rsid w:val="00926DBB"/>
    <w:rsid w:val="00926F25"/>
    <w:rsid w:val="009274F2"/>
    <w:rsid w:val="009277EF"/>
    <w:rsid w:val="0092790E"/>
    <w:rsid w:val="00927A2E"/>
    <w:rsid w:val="00927E9A"/>
    <w:rsid w:val="00931344"/>
    <w:rsid w:val="00931502"/>
    <w:rsid w:val="00931BFB"/>
    <w:rsid w:val="00932C78"/>
    <w:rsid w:val="00933640"/>
    <w:rsid w:val="00933DBF"/>
    <w:rsid w:val="0093440C"/>
    <w:rsid w:val="0093473C"/>
    <w:rsid w:val="009349B4"/>
    <w:rsid w:val="00934F54"/>
    <w:rsid w:val="00935348"/>
    <w:rsid w:val="009365A2"/>
    <w:rsid w:val="00936B91"/>
    <w:rsid w:val="00936DDB"/>
    <w:rsid w:val="00936E53"/>
    <w:rsid w:val="0093732A"/>
    <w:rsid w:val="00937BEB"/>
    <w:rsid w:val="00937C0C"/>
    <w:rsid w:val="00937D2D"/>
    <w:rsid w:val="0094027F"/>
    <w:rsid w:val="00940472"/>
    <w:rsid w:val="00940479"/>
    <w:rsid w:val="0094081D"/>
    <w:rsid w:val="00940C03"/>
    <w:rsid w:val="009410D1"/>
    <w:rsid w:val="009422D6"/>
    <w:rsid w:val="00942973"/>
    <w:rsid w:val="00942AB5"/>
    <w:rsid w:val="00942B06"/>
    <w:rsid w:val="00942B6A"/>
    <w:rsid w:val="00942C37"/>
    <w:rsid w:val="00942E5A"/>
    <w:rsid w:val="00943597"/>
    <w:rsid w:val="00943916"/>
    <w:rsid w:val="00943939"/>
    <w:rsid w:val="00943E78"/>
    <w:rsid w:val="00943FA2"/>
    <w:rsid w:val="009444E9"/>
    <w:rsid w:val="009453D5"/>
    <w:rsid w:val="00945A73"/>
    <w:rsid w:val="00946CD0"/>
    <w:rsid w:val="00946E82"/>
    <w:rsid w:val="00947311"/>
    <w:rsid w:val="00947502"/>
    <w:rsid w:val="00947818"/>
    <w:rsid w:val="00947853"/>
    <w:rsid w:val="009512DD"/>
    <w:rsid w:val="00951656"/>
    <w:rsid w:val="00951790"/>
    <w:rsid w:val="009522ED"/>
    <w:rsid w:val="00952899"/>
    <w:rsid w:val="009531D7"/>
    <w:rsid w:val="00953335"/>
    <w:rsid w:val="009536ED"/>
    <w:rsid w:val="0095376D"/>
    <w:rsid w:val="00953C51"/>
    <w:rsid w:val="00953CF5"/>
    <w:rsid w:val="00953E69"/>
    <w:rsid w:val="00954142"/>
    <w:rsid w:val="009542B7"/>
    <w:rsid w:val="00954757"/>
    <w:rsid w:val="00954DAF"/>
    <w:rsid w:val="00954E60"/>
    <w:rsid w:val="009555BE"/>
    <w:rsid w:val="00956238"/>
    <w:rsid w:val="00956378"/>
    <w:rsid w:val="0095725B"/>
    <w:rsid w:val="009574EF"/>
    <w:rsid w:val="00957659"/>
    <w:rsid w:val="00957984"/>
    <w:rsid w:val="00957BF2"/>
    <w:rsid w:val="00957D86"/>
    <w:rsid w:val="00957EAB"/>
    <w:rsid w:val="009600D7"/>
    <w:rsid w:val="00960365"/>
    <w:rsid w:val="0096054D"/>
    <w:rsid w:val="00960D8C"/>
    <w:rsid w:val="00960E6E"/>
    <w:rsid w:val="00960F4E"/>
    <w:rsid w:val="00961702"/>
    <w:rsid w:val="0096275F"/>
    <w:rsid w:val="00963762"/>
    <w:rsid w:val="009639A3"/>
    <w:rsid w:val="00963D8B"/>
    <w:rsid w:val="00963EB4"/>
    <w:rsid w:val="0096457A"/>
    <w:rsid w:val="00964736"/>
    <w:rsid w:val="0096476A"/>
    <w:rsid w:val="00964A6D"/>
    <w:rsid w:val="00964E50"/>
    <w:rsid w:val="00964F2F"/>
    <w:rsid w:val="00965130"/>
    <w:rsid w:val="0096557F"/>
    <w:rsid w:val="00965ADC"/>
    <w:rsid w:val="009661F6"/>
    <w:rsid w:val="00966396"/>
    <w:rsid w:val="009678C2"/>
    <w:rsid w:val="00967B78"/>
    <w:rsid w:val="00970095"/>
    <w:rsid w:val="00970CB2"/>
    <w:rsid w:val="00970F03"/>
    <w:rsid w:val="0097100C"/>
    <w:rsid w:val="00971217"/>
    <w:rsid w:val="00971869"/>
    <w:rsid w:val="00971AAB"/>
    <w:rsid w:val="00971B75"/>
    <w:rsid w:val="00971C32"/>
    <w:rsid w:val="00971E7C"/>
    <w:rsid w:val="00972167"/>
    <w:rsid w:val="009725C5"/>
    <w:rsid w:val="00973540"/>
    <w:rsid w:val="00973888"/>
    <w:rsid w:val="00973C98"/>
    <w:rsid w:val="00973D6F"/>
    <w:rsid w:val="00973DFC"/>
    <w:rsid w:val="0097494F"/>
    <w:rsid w:val="00974E12"/>
    <w:rsid w:val="00975135"/>
    <w:rsid w:val="00975660"/>
    <w:rsid w:val="009759AB"/>
    <w:rsid w:val="0097651E"/>
    <w:rsid w:val="009768A1"/>
    <w:rsid w:val="009779F1"/>
    <w:rsid w:val="00977A8E"/>
    <w:rsid w:val="009801EF"/>
    <w:rsid w:val="009802F1"/>
    <w:rsid w:val="00980828"/>
    <w:rsid w:val="0098167F"/>
    <w:rsid w:val="00981BA4"/>
    <w:rsid w:val="0098260C"/>
    <w:rsid w:val="0098265D"/>
    <w:rsid w:val="00984426"/>
    <w:rsid w:val="0098573C"/>
    <w:rsid w:val="00985ABB"/>
    <w:rsid w:val="00986271"/>
    <w:rsid w:val="00990A6D"/>
    <w:rsid w:val="00990C1C"/>
    <w:rsid w:val="00990E92"/>
    <w:rsid w:val="00991127"/>
    <w:rsid w:val="009911EC"/>
    <w:rsid w:val="00991FF3"/>
    <w:rsid w:val="00993029"/>
    <w:rsid w:val="00993692"/>
    <w:rsid w:val="00994079"/>
    <w:rsid w:val="009949C8"/>
    <w:rsid w:val="009951C9"/>
    <w:rsid w:val="009959A2"/>
    <w:rsid w:val="00995E23"/>
    <w:rsid w:val="0099667A"/>
    <w:rsid w:val="00996DED"/>
    <w:rsid w:val="00996E12"/>
    <w:rsid w:val="00996FB3"/>
    <w:rsid w:val="00997060"/>
    <w:rsid w:val="0099712D"/>
    <w:rsid w:val="00997E06"/>
    <w:rsid w:val="009A06E1"/>
    <w:rsid w:val="009A0FA1"/>
    <w:rsid w:val="009A163D"/>
    <w:rsid w:val="009A1D05"/>
    <w:rsid w:val="009A215E"/>
    <w:rsid w:val="009A2387"/>
    <w:rsid w:val="009A2823"/>
    <w:rsid w:val="009A2B65"/>
    <w:rsid w:val="009A2B6E"/>
    <w:rsid w:val="009A3F97"/>
    <w:rsid w:val="009A4505"/>
    <w:rsid w:val="009A4844"/>
    <w:rsid w:val="009A4E54"/>
    <w:rsid w:val="009A530B"/>
    <w:rsid w:val="009A5944"/>
    <w:rsid w:val="009A59D4"/>
    <w:rsid w:val="009A59EB"/>
    <w:rsid w:val="009A5FE0"/>
    <w:rsid w:val="009A61A2"/>
    <w:rsid w:val="009A639F"/>
    <w:rsid w:val="009A75AE"/>
    <w:rsid w:val="009B01E0"/>
    <w:rsid w:val="009B0740"/>
    <w:rsid w:val="009B110D"/>
    <w:rsid w:val="009B119C"/>
    <w:rsid w:val="009B15E4"/>
    <w:rsid w:val="009B170A"/>
    <w:rsid w:val="009B1C1D"/>
    <w:rsid w:val="009B227D"/>
    <w:rsid w:val="009B2D32"/>
    <w:rsid w:val="009B2F6A"/>
    <w:rsid w:val="009B342B"/>
    <w:rsid w:val="009B38CE"/>
    <w:rsid w:val="009B3BC5"/>
    <w:rsid w:val="009B3E2A"/>
    <w:rsid w:val="009B4103"/>
    <w:rsid w:val="009B4381"/>
    <w:rsid w:val="009B5241"/>
    <w:rsid w:val="009B57A7"/>
    <w:rsid w:val="009B57C1"/>
    <w:rsid w:val="009B585E"/>
    <w:rsid w:val="009B5ACA"/>
    <w:rsid w:val="009B6569"/>
    <w:rsid w:val="009B666E"/>
    <w:rsid w:val="009B6C18"/>
    <w:rsid w:val="009B72D7"/>
    <w:rsid w:val="009C026C"/>
    <w:rsid w:val="009C07BD"/>
    <w:rsid w:val="009C0862"/>
    <w:rsid w:val="009C0C46"/>
    <w:rsid w:val="009C1185"/>
    <w:rsid w:val="009C2BC3"/>
    <w:rsid w:val="009C2F95"/>
    <w:rsid w:val="009C3016"/>
    <w:rsid w:val="009C345C"/>
    <w:rsid w:val="009C3D5E"/>
    <w:rsid w:val="009C4719"/>
    <w:rsid w:val="009C4C35"/>
    <w:rsid w:val="009C4E09"/>
    <w:rsid w:val="009C51D1"/>
    <w:rsid w:val="009C52A5"/>
    <w:rsid w:val="009C5D95"/>
    <w:rsid w:val="009C64C3"/>
    <w:rsid w:val="009C689E"/>
    <w:rsid w:val="009C780E"/>
    <w:rsid w:val="009C78D3"/>
    <w:rsid w:val="009D0170"/>
    <w:rsid w:val="009D0509"/>
    <w:rsid w:val="009D0EC3"/>
    <w:rsid w:val="009D13C3"/>
    <w:rsid w:val="009D184A"/>
    <w:rsid w:val="009D197C"/>
    <w:rsid w:val="009D1B28"/>
    <w:rsid w:val="009D1B5D"/>
    <w:rsid w:val="009D1CED"/>
    <w:rsid w:val="009D1E83"/>
    <w:rsid w:val="009D212A"/>
    <w:rsid w:val="009D25FA"/>
    <w:rsid w:val="009D2661"/>
    <w:rsid w:val="009D2AF6"/>
    <w:rsid w:val="009D3A21"/>
    <w:rsid w:val="009D4009"/>
    <w:rsid w:val="009D48F2"/>
    <w:rsid w:val="009D4B25"/>
    <w:rsid w:val="009D4C0D"/>
    <w:rsid w:val="009D4E9A"/>
    <w:rsid w:val="009D66BF"/>
    <w:rsid w:val="009D6886"/>
    <w:rsid w:val="009D6955"/>
    <w:rsid w:val="009D6E57"/>
    <w:rsid w:val="009D6F59"/>
    <w:rsid w:val="009D7196"/>
    <w:rsid w:val="009D785C"/>
    <w:rsid w:val="009E01C8"/>
    <w:rsid w:val="009E0B44"/>
    <w:rsid w:val="009E0BD0"/>
    <w:rsid w:val="009E0C57"/>
    <w:rsid w:val="009E1796"/>
    <w:rsid w:val="009E1F72"/>
    <w:rsid w:val="009E2239"/>
    <w:rsid w:val="009E2BA0"/>
    <w:rsid w:val="009E320A"/>
    <w:rsid w:val="009E3225"/>
    <w:rsid w:val="009E329E"/>
    <w:rsid w:val="009E32F0"/>
    <w:rsid w:val="009E361B"/>
    <w:rsid w:val="009E3EB4"/>
    <w:rsid w:val="009E3F19"/>
    <w:rsid w:val="009E4827"/>
    <w:rsid w:val="009E482E"/>
    <w:rsid w:val="009E4DEF"/>
    <w:rsid w:val="009E512D"/>
    <w:rsid w:val="009E52D2"/>
    <w:rsid w:val="009E55DC"/>
    <w:rsid w:val="009E5968"/>
    <w:rsid w:val="009E5ED9"/>
    <w:rsid w:val="009E5EFA"/>
    <w:rsid w:val="009E612B"/>
    <w:rsid w:val="009E6319"/>
    <w:rsid w:val="009E659F"/>
    <w:rsid w:val="009E6618"/>
    <w:rsid w:val="009E6C45"/>
    <w:rsid w:val="009E70E4"/>
    <w:rsid w:val="009F0462"/>
    <w:rsid w:val="009F0677"/>
    <w:rsid w:val="009F08EE"/>
    <w:rsid w:val="009F170A"/>
    <w:rsid w:val="009F1E06"/>
    <w:rsid w:val="009F2140"/>
    <w:rsid w:val="009F2298"/>
    <w:rsid w:val="009F242C"/>
    <w:rsid w:val="009F372B"/>
    <w:rsid w:val="009F3CC4"/>
    <w:rsid w:val="009F4AD2"/>
    <w:rsid w:val="009F4BF8"/>
    <w:rsid w:val="009F4F2A"/>
    <w:rsid w:val="009F5012"/>
    <w:rsid w:val="009F543C"/>
    <w:rsid w:val="009F614B"/>
    <w:rsid w:val="009F63B2"/>
    <w:rsid w:val="009F69BE"/>
    <w:rsid w:val="009F6A66"/>
    <w:rsid w:val="009F7028"/>
    <w:rsid w:val="009F739F"/>
    <w:rsid w:val="009F7BC2"/>
    <w:rsid w:val="00A002FC"/>
    <w:rsid w:val="00A0107F"/>
    <w:rsid w:val="00A01410"/>
    <w:rsid w:val="00A01623"/>
    <w:rsid w:val="00A020DF"/>
    <w:rsid w:val="00A02B70"/>
    <w:rsid w:val="00A03851"/>
    <w:rsid w:val="00A03D6F"/>
    <w:rsid w:val="00A04029"/>
    <w:rsid w:val="00A042B2"/>
    <w:rsid w:val="00A042FF"/>
    <w:rsid w:val="00A04459"/>
    <w:rsid w:val="00A04C61"/>
    <w:rsid w:val="00A05746"/>
    <w:rsid w:val="00A06346"/>
    <w:rsid w:val="00A06460"/>
    <w:rsid w:val="00A06B6B"/>
    <w:rsid w:val="00A06FBD"/>
    <w:rsid w:val="00A11306"/>
    <w:rsid w:val="00A113D7"/>
    <w:rsid w:val="00A11473"/>
    <w:rsid w:val="00A12DC7"/>
    <w:rsid w:val="00A12FE6"/>
    <w:rsid w:val="00A1303B"/>
    <w:rsid w:val="00A14134"/>
    <w:rsid w:val="00A14C6F"/>
    <w:rsid w:val="00A15071"/>
    <w:rsid w:val="00A161E6"/>
    <w:rsid w:val="00A16314"/>
    <w:rsid w:val="00A16FD2"/>
    <w:rsid w:val="00A17575"/>
    <w:rsid w:val="00A17BF6"/>
    <w:rsid w:val="00A17F53"/>
    <w:rsid w:val="00A2213A"/>
    <w:rsid w:val="00A2270C"/>
    <w:rsid w:val="00A230C9"/>
    <w:rsid w:val="00A240DF"/>
    <w:rsid w:val="00A26ACE"/>
    <w:rsid w:val="00A26CF0"/>
    <w:rsid w:val="00A26D57"/>
    <w:rsid w:val="00A270F4"/>
    <w:rsid w:val="00A27744"/>
    <w:rsid w:val="00A300D4"/>
    <w:rsid w:val="00A318DB"/>
    <w:rsid w:val="00A3230B"/>
    <w:rsid w:val="00A323DE"/>
    <w:rsid w:val="00A32906"/>
    <w:rsid w:val="00A33C5D"/>
    <w:rsid w:val="00A3469B"/>
    <w:rsid w:val="00A3488D"/>
    <w:rsid w:val="00A34890"/>
    <w:rsid w:val="00A350F4"/>
    <w:rsid w:val="00A36080"/>
    <w:rsid w:val="00A37AD6"/>
    <w:rsid w:val="00A37E43"/>
    <w:rsid w:val="00A40054"/>
    <w:rsid w:val="00A40060"/>
    <w:rsid w:val="00A4060D"/>
    <w:rsid w:val="00A40A68"/>
    <w:rsid w:val="00A4100A"/>
    <w:rsid w:val="00A415CF"/>
    <w:rsid w:val="00A41EBF"/>
    <w:rsid w:val="00A42A2B"/>
    <w:rsid w:val="00A42B0B"/>
    <w:rsid w:val="00A431B5"/>
    <w:rsid w:val="00A43BFD"/>
    <w:rsid w:val="00A44618"/>
    <w:rsid w:val="00A4489B"/>
    <w:rsid w:val="00A44F7F"/>
    <w:rsid w:val="00A4507B"/>
    <w:rsid w:val="00A454F2"/>
    <w:rsid w:val="00A45833"/>
    <w:rsid w:val="00A45C41"/>
    <w:rsid w:val="00A46354"/>
    <w:rsid w:val="00A465E1"/>
    <w:rsid w:val="00A46D60"/>
    <w:rsid w:val="00A46F6A"/>
    <w:rsid w:val="00A47298"/>
    <w:rsid w:val="00A47C5F"/>
    <w:rsid w:val="00A506B5"/>
    <w:rsid w:val="00A50EC3"/>
    <w:rsid w:val="00A50F2F"/>
    <w:rsid w:val="00A51109"/>
    <w:rsid w:val="00A51388"/>
    <w:rsid w:val="00A5146F"/>
    <w:rsid w:val="00A514CA"/>
    <w:rsid w:val="00A515C3"/>
    <w:rsid w:val="00A51B84"/>
    <w:rsid w:val="00A527F8"/>
    <w:rsid w:val="00A52971"/>
    <w:rsid w:val="00A52D0E"/>
    <w:rsid w:val="00A52F5D"/>
    <w:rsid w:val="00A53253"/>
    <w:rsid w:val="00A53373"/>
    <w:rsid w:val="00A536D2"/>
    <w:rsid w:val="00A539A2"/>
    <w:rsid w:val="00A53BE4"/>
    <w:rsid w:val="00A54E33"/>
    <w:rsid w:val="00A54F13"/>
    <w:rsid w:val="00A55073"/>
    <w:rsid w:val="00A55622"/>
    <w:rsid w:val="00A557C7"/>
    <w:rsid w:val="00A56291"/>
    <w:rsid w:val="00A5665B"/>
    <w:rsid w:val="00A56946"/>
    <w:rsid w:val="00A578EF"/>
    <w:rsid w:val="00A57D5B"/>
    <w:rsid w:val="00A60F51"/>
    <w:rsid w:val="00A615BB"/>
    <w:rsid w:val="00A61A47"/>
    <w:rsid w:val="00A62481"/>
    <w:rsid w:val="00A626FE"/>
    <w:rsid w:val="00A63000"/>
    <w:rsid w:val="00A63297"/>
    <w:rsid w:val="00A633EF"/>
    <w:rsid w:val="00A63A9D"/>
    <w:rsid w:val="00A63FC0"/>
    <w:rsid w:val="00A6484A"/>
    <w:rsid w:val="00A658D0"/>
    <w:rsid w:val="00A65A76"/>
    <w:rsid w:val="00A6600F"/>
    <w:rsid w:val="00A66292"/>
    <w:rsid w:val="00A669F2"/>
    <w:rsid w:val="00A672D1"/>
    <w:rsid w:val="00A676F1"/>
    <w:rsid w:val="00A70026"/>
    <w:rsid w:val="00A7014C"/>
    <w:rsid w:val="00A705D8"/>
    <w:rsid w:val="00A70F1C"/>
    <w:rsid w:val="00A7149B"/>
    <w:rsid w:val="00A71C8D"/>
    <w:rsid w:val="00A721A7"/>
    <w:rsid w:val="00A72726"/>
    <w:rsid w:val="00A7307E"/>
    <w:rsid w:val="00A7318D"/>
    <w:rsid w:val="00A735E4"/>
    <w:rsid w:val="00A73617"/>
    <w:rsid w:val="00A73BC1"/>
    <w:rsid w:val="00A73FD9"/>
    <w:rsid w:val="00A741F6"/>
    <w:rsid w:val="00A75B1E"/>
    <w:rsid w:val="00A75B9B"/>
    <w:rsid w:val="00A76450"/>
    <w:rsid w:val="00A76455"/>
    <w:rsid w:val="00A76524"/>
    <w:rsid w:val="00A765F1"/>
    <w:rsid w:val="00A76FEE"/>
    <w:rsid w:val="00A7719C"/>
    <w:rsid w:val="00A77393"/>
    <w:rsid w:val="00A80347"/>
    <w:rsid w:val="00A809CA"/>
    <w:rsid w:val="00A80AB0"/>
    <w:rsid w:val="00A8134D"/>
    <w:rsid w:val="00A81399"/>
    <w:rsid w:val="00A813EB"/>
    <w:rsid w:val="00A81669"/>
    <w:rsid w:val="00A8168C"/>
    <w:rsid w:val="00A81875"/>
    <w:rsid w:val="00A8199F"/>
    <w:rsid w:val="00A81B18"/>
    <w:rsid w:val="00A827E1"/>
    <w:rsid w:val="00A82C58"/>
    <w:rsid w:val="00A83550"/>
    <w:rsid w:val="00A835F7"/>
    <w:rsid w:val="00A8367E"/>
    <w:rsid w:val="00A83EC7"/>
    <w:rsid w:val="00A83F2C"/>
    <w:rsid w:val="00A84A4F"/>
    <w:rsid w:val="00A84B74"/>
    <w:rsid w:val="00A8577B"/>
    <w:rsid w:val="00A85ABC"/>
    <w:rsid w:val="00A85D01"/>
    <w:rsid w:val="00A85D8B"/>
    <w:rsid w:val="00A85ED7"/>
    <w:rsid w:val="00A86F3D"/>
    <w:rsid w:val="00A87577"/>
    <w:rsid w:val="00A90A10"/>
    <w:rsid w:val="00A90A77"/>
    <w:rsid w:val="00A90CCA"/>
    <w:rsid w:val="00A90D67"/>
    <w:rsid w:val="00A918C6"/>
    <w:rsid w:val="00A91952"/>
    <w:rsid w:val="00A91E55"/>
    <w:rsid w:val="00A91E9B"/>
    <w:rsid w:val="00A92579"/>
    <w:rsid w:val="00A92AFA"/>
    <w:rsid w:val="00A92C46"/>
    <w:rsid w:val="00A930C7"/>
    <w:rsid w:val="00A9442E"/>
    <w:rsid w:val="00A9448B"/>
    <w:rsid w:val="00A953BF"/>
    <w:rsid w:val="00A9668E"/>
    <w:rsid w:val="00A97099"/>
    <w:rsid w:val="00A97665"/>
    <w:rsid w:val="00AA01BF"/>
    <w:rsid w:val="00AA01E4"/>
    <w:rsid w:val="00AA02DE"/>
    <w:rsid w:val="00AA03AD"/>
    <w:rsid w:val="00AA0932"/>
    <w:rsid w:val="00AA0F0C"/>
    <w:rsid w:val="00AA0F98"/>
    <w:rsid w:val="00AA1305"/>
    <w:rsid w:val="00AA1670"/>
    <w:rsid w:val="00AA1865"/>
    <w:rsid w:val="00AA1A78"/>
    <w:rsid w:val="00AA1D11"/>
    <w:rsid w:val="00AA2347"/>
    <w:rsid w:val="00AA2722"/>
    <w:rsid w:val="00AA27BE"/>
    <w:rsid w:val="00AA32FF"/>
    <w:rsid w:val="00AA333B"/>
    <w:rsid w:val="00AA3A20"/>
    <w:rsid w:val="00AA3D7D"/>
    <w:rsid w:val="00AA3DBA"/>
    <w:rsid w:val="00AA479E"/>
    <w:rsid w:val="00AA4B40"/>
    <w:rsid w:val="00AA5990"/>
    <w:rsid w:val="00AA5F77"/>
    <w:rsid w:val="00AA6B06"/>
    <w:rsid w:val="00AA6BC5"/>
    <w:rsid w:val="00AA701D"/>
    <w:rsid w:val="00AA7433"/>
    <w:rsid w:val="00AA7B61"/>
    <w:rsid w:val="00AB003A"/>
    <w:rsid w:val="00AB004A"/>
    <w:rsid w:val="00AB03B2"/>
    <w:rsid w:val="00AB094A"/>
    <w:rsid w:val="00AB0F86"/>
    <w:rsid w:val="00AB184B"/>
    <w:rsid w:val="00AB1852"/>
    <w:rsid w:val="00AB1865"/>
    <w:rsid w:val="00AB19C4"/>
    <w:rsid w:val="00AB2320"/>
    <w:rsid w:val="00AB23FA"/>
    <w:rsid w:val="00AB3541"/>
    <w:rsid w:val="00AB3689"/>
    <w:rsid w:val="00AB3AE3"/>
    <w:rsid w:val="00AB46DC"/>
    <w:rsid w:val="00AB475B"/>
    <w:rsid w:val="00AB4B28"/>
    <w:rsid w:val="00AB510A"/>
    <w:rsid w:val="00AB5285"/>
    <w:rsid w:val="00AB545E"/>
    <w:rsid w:val="00AB5682"/>
    <w:rsid w:val="00AB5986"/>
    <w:rsid w:val="00AB5987"/>
    <w:rsid w:val="00AB5F24"/>
    <w:rsid w:val="00AB637D"/>
    <w:rsid w:val="00AB63BC"/>
    <w:rsid w:val="00AB6721"/>
    <w:rsid w:val="00AB6836"/>
    <w:rsid w:val="00AB6CB5"/>
    <w:rsid w:val="00AB7B91"/>
    <w:rsid w:val="00AC00B7"/>
    <w:rsid w:val="00AC0131"/>
    <w:rsid w:val="00AC0918"/>
    <w:rsid w:val="00AC1612"/>
    <w:rsid w:val="00AC1806"/>
    <w:rsid w:val="00AC18EA"/>
    <w:rsid w:val="00AC1A8F"/>
    <w:rsid w:val="00AC24F5"/>
    <w:rsid w:val="00AC3B93"/>
    <w:rsid w:val="00AC45F2"/>
    <w:rsid w:val="00AC4C1B"/>
    <w:rsid w:val="00AC4D95"/>
    <w:rsid w:val="00AC6141"/>
    <w:rsid w:val="00AC67D5"/>
    <w:rsid w:val="00AC6937"/>
    <w:rsid w:val="00AC69FF"/>
    <w:rsid w:val="00AC6BEB"/>
    <w:rsid w:val="00AC6CCB"/>
    <w:rsid w:val="00AC7151"/>
    <w:rsid w:val="00AC7745"/>
    <w:rsid w:val="00AC7ECF"/>
    <w:rsid w:val="00AD02F1"/>
    <w:rsid w:val="00AD09CC"/>
    <w:rsid w:val="00AD0C4B"/>
    <w:rsid w:val="00AD1246"/>
    <w:rsid w:val="00AD1495"/>
    <w:rsid w:val="00AD1543"/>
    <w:rsid w:val="00AD251B"/>
    <w:rsid w:val="00AD2E57"/>
    <w:rsid w:val="00AD34F3"/>
    <w:rsid w:val="00AD3DB8"/>
    <w:rsid w:val="00AD40B2"/>
    <w:rsid w:val="00AD42C8"/>
    <w:rsid w:val="00AD4A5E"/>
    <w:rsid w:val="00AD4FF5"/>
    <w:rsid w:val="00AD5812"/>
    <w:rsid w:val="00AD58FE"/>
    <w:rsid w:val="00AD5D80"/>
    <w:rsid w:val="00AD6274"/>
    <w:rsid w:val="00AD67D0"/>
    <w:rsid w:val="00AD6BF8"/>
    <w:rsid w:val="00AD6CBB"/>
    <w:rsid w:val="00AD72B6"/>
    <w:rsid w:val="00AD7B47"/>
    <w:rsid w:val="00AD7DB1"/>
    <w:rsid w:val="00AD7DE7"/>
    <w:rsid w:val="00AE06B2"/>
    <w:rsid w:val="00AE160D"/>
    <w:rsid w:val="00AE168D"/>
    <w:rsid w:val="00AE20F9"/>
    <w:rsid w:val="00AE2719"/>
    <w:rsid w:val="00AE3267"/>
    <w:rsid w:val="00AE3662"/>
    <w:rsid w:val="00AE3C35"/>
    <w:rsid w:val="00AE42DA"/>
    <w:rsid w:val="00AE4A59"/>
    <w:rsid w:val="00AE5628"/>
    <w:rsid w:val="00AE5B83"/>
    <w:rsid w:val="00AE5D42"/>
    <w:rsid w:val="00AE6C4A"/>
    <w:rsid w:val="00AE6CC0"/>
    <w:rsid w:val="00AE71F4"/>
    <w:rsid w:val="00AF0A99"/>
    <w:rsid w:val="00AF141C"/>
    <w:rsid w:val="00AF193C"/>
    <w:rsid w:val="00AF2466"/>
    <w:rsid w:val="00AF27E6"/>
    <w:rsid w:val="00AF2C8C"/>
    <w:rsid w:val="00AF2CE7"/>
    <w:rsid w:val="00AF2CEC"/>
    <w:rsid w:val="00AF4547"/>
    <w:rsid w:val="00AF462E"/>
    <w:rsid w:val="00AF46FC"/>
    <w:rsid w:val="00AF4D88"/>
    <w:rsid w:val="00AF5960"/>
    <w:rsid w:val="00AF6399"/>
    <w:rsid w:val="00AF71B0"/>
    <w:rsid w:val="00AF7B99"/>
    <w:rsid w:val="00AF7F49"/>
    <w:rsid w:val="00B0044F"/>
    <w:rsid w:val="00B0095F"/>
    <w:rsid w:val="00B00BDE"/>
    <w:rsid w:val="00B00DE2"/>
    <w:rsid w:val="00B00F47"/>
    <w:rsid w:val="00B01671"/>
    <w:rsid w:val="00B0185A"/>
    <w:rsid w:val="00B01A81"/>
    <w:rsid w:val="00B01AAA"/>
    <w:rsid w:val="00B02C80"/>
    <w:rsid w:val="00B02D6F"/>
    <w:rsid w:val="00B02F34"/>
    <w:rsid w:val="00B03A8F"/>
    <w:rsid w:val="00B0434E"/>
    <w:rsid w:val="00B04465"/>
    <w:rsid w:val="00B04B3D"/>
    <w:rsid w:val="00B04C4B"/>
    <w:rsid w:val="00B0513F"/>
    <w:rsid w:val="00B0519D"/>
    <w:rsid w:val="00B053C7"/>
    <w:rsid w:val="00B05448"/>
    <w:rsid w:val="00B056C4"/>
    <w:rsid w:val="00B05A02"/>
    <w:rsid w:val="00B06A8C"/>
    <w:rsid w:val="00B072C8"/>
    <w:rsid w:val="00B073B0"/>
    <w:rsid w:val="00B074AA"/>
    <w:rsid w:val="00B074CB"/>
    <w:rsid w:val="00B07C5E"/>
    <w:rsid w:val="00B10515"/>
    <w:rsid w:val="00B11083"/>
    <w:rsid w:val="00B1152D"/>
    <w:rsid w:val="00B117A7"/>
    <w:rsid w:val="00B1185D"/>
    <w:rsid w:val="00B11B06"/>
    <w:rsid w:val="00B11E21"/>
    <w:rsid w:val="00B1204C"/>
    <w:rsid w:val="00B120AF"/>
    <w:rsid w:val="00B120D2"/>
    <w:rsid w:val="00B12C6C"/>
    <w:rsid w:val="00B13216"/>
    <w:rsid w:val="00B14255"/>
    <w:rsid w:val="00B144B5"/>
    <w:rsid w:val="00B15636"/>
    <w:rsid w:val="00B157FE"/>
    <w:rsid w:val="00B1594E"/>
    <w:rsid w:val="00B1608C"/>
    <w:rsid w:val="00B163E4"/>
    <w:rsid w:val="00B174EE"/>
    <w:rsid w:val="00B17654"/>
    <w:rsid w:val="00B17BD0"/>
    <w:rsid w:val="00B17BF0"/>
    <w:rsid w:val="00B17E66"/>
    <w:rsid w:val="00B2077E"/>
    <w:rsid w:val="00B21099"/>
    <w:rsid w:val="00B2136E"/>
    <w:rsid w:val="00B2187D"/>
    <w:rsid w:val="00B21AE0"/>
    <w:rsid w:val="00B21B05"/>
    <w:rsid w:val="00B21DA0"/>
    <w:rsid w:val="00B21EE3"/>
    <w:rsid w:val="00B21F3B"/>
    <w:rsid w:val="00B225AB"/>
    <w:rsid w:val="00B2278E"/>
    <w:rsid w:val="00B228C8"/>
    <w:rsid w:val="00B230E8"/>
    <w:rsid w:val="00B2380D"/>
    <w:rsid w:val="00B23D00"/>
    <w:rsid w:val="00B247DF"/>
    <w:rsid w:val="00B24D80"/>
    <w:rsid w:val="00B24DCB"/>
    <w:rsid w:val="00B26633"/>
    <w:rsid w:val="00B266BB"/>
    <w:rsid w:val="00B26A76"/>
    <w:rsid w:val="00B26D50"/>
    <w:rsid w:val="00B26ECB"/>
    <w:rsid w:val="00B27474"/>
    <w:rsid w:val="00B27D47"/>
    <w:rsid w:val="00B27F38"/>
    <w:rsid w:val="00B303A0"/>
    <w:rsid w:val="00B30C42"/>
    <w:rsid w:val="00B30E2C"/>
    <w:rsid w:val="00B3222C"/>
    <w:rsid w:val="00B329FA"/>
    <w:rsid w:val="00B330D8"/>
    <w:rsid w:val="00B33A6A"/>
    <w:rsid w:val="00B344EA"/>
    <w:rsid w:val="00B34E1D"/>
    <w:rsid w:val="00B35BFC"/>
    <w:rsid w:val="00B35D21"/>
    <w:rsid w:val="00B3713B"/>
    <w:rsid w:val="00B3744E"/>
    <w:rsid w:val="00B379EF"/>
    <w:rsid w:val="00B40366"/>
    <w:rsid w:val="00B40AB6"/>
    <w:rsid w:val="00B4114F"/>
    <w:rsid w:val="00B4196F"/>
    <w:rsid w:val="00B41C24"/>
    <w:rsid w:val="00B41DFC"/>
    <w:rsid w:val="00B41FE4"/>
    <w:rsid w:val="00B42F76"/>
    <w:rsid w:val="00B431CE"/>
    <w:rsid w:val="00B431E6"/>
    <w:rsid w:val="00B434B1"/>
    <w:rsid w:val="00B4386E"/>
    <w:rsid w:val="00B448B3"/>
    <w:rsid w:val="00B44DC0"/>
    <w:rsid w:val="00B45E21"/>
    <w:rsid w:val="00B46555"/>
    <w:rsid w:val="00B465D5"/>
    <w:rsid w:val="00B466FD"/>
    <w:rsid w:val="00B46851"/>
    <w:rsid w:val="00B472E5"/>
    <w:rsid w:val="00B477E6"/>
    <w:rsid w:val="00B4797A"/>
    <w:rsid w:val="00B47A78"/>
    <w:rsid w:val="00B47C6A"/>
    <w:rsid w:val="00B50560"/>
    <w:rsid w:val="00B50F49"/>
    <w:rsid w:val="00B51013"/>
    <w:rsid w:val="00B516AA"/>
    <w:rsid w:val="00B51820"/>
    <w:rsid w:val="00B51957"/>
    <w:rsid w:val="00B52032"/>
    <w:rsid w:val="00B52BF5"/>
    <w:rsid w:val="00B52CE0"/>
    <w:rsid w:val="00B53CD9"/>
    <w:rsid w:val="00B53DC6"/>
    <w:rsid w:val="00B53F27"/>
    <w:rsid w:val="00B541CE"/>
    <w:rsid w:val="00B552D9"/>
    <w:rsid w:val="00B5586B"/>
    <w:rsid w:val="00B55C4E"/>
    <w:rsid w:val="00B564F5"/>
    <w:rsid w:val="00B568EF"/>
    <w:rsid w:val="00B56C1E"/>
    <w:rsid w:val="00B56D35"/>
    <w:rsid w:val="00B5735F"/>
    <w:rsid w:val="00B57930"/>
    <w:rsid w:val="00B57A58"/>
    <w:rsid w:val="00B60E45"/>
    <w:rsid w:val="00B61066"/>
    <w:rsid w:val="00B615FE"/>
    <w:rsid w:val="00B62445"/>
    <w:rsid w:val="00B62913"/>
    <w:rsid w:val="00B62A71"/>
    <w:rsid w:val="00B62AEC"/>
    <w:rsid w:val="00B6329C"/>
    <w:rsid w:val="00B63AE8"/>
    <w:rsid w:val="00B63F93"/>
    <w:rsid w:val="00B648F1"/>
    <w:rsid w:val="00B64C29"/>
    <w:rsid w:val="00B64CF6"/>
    <w:rsid w:val="00B64EC3"/>
    <w:rsid w:val="00B65D8C"/>
    <w:rsid w:val="00B65DF0"/>
    <w:rsid w:val="00B666AB"/>
    <w:rsid w:val="00B6702C"/>
    <w:rsid w:val="00B67129"/>
    <w:rsid w:val="00B67D0C"/>
    <w:rsid w:val="00B709C0"/>
    <w:rsid w:val="00B70A36"/>
    <w:rsid w:val="00B70D37"/>
    <w:rsid w:val="00B70D84"/>
    <w:rsid w:val="00B70E39"/>
    <w:rsid w:val="00B71A16"/>
    <w:rsid w:val="00B71B94"/>
    <w:rsid w:val="00B72046"/>
    <w:rsid w:val="00B72181"/>
    <w:rsid w:val="00B722EB"/>
    <w:rsid w:val="00B72689"/>
    <w:rsid w:val="00B72B49"/>
    <w:rsid w:val="00B738E6"/>
    <w:rsid w:val="00B73BCF"/>
    <w:rsid w:val="00B73C42"/>
    <w:rsid w:val="00B749C7"/>
    <w:rsid w:val="00B74B79"/>
    <w:rsid w:val="00B75440"/>
    <w:rsid w:val="00B7596A"/>
    <w:rsid w:val="00B75B34"/>
    <w:rsid w:val="00B76345"/>
    <w:rsid w:val="00B765B3"/>
    <w:rsid w:val="00B77034"/>
    <w:rsid w:val="00B772E9"/>
    <w:rsid w:val="00B772F9"/>
    <w:rsid w:val="00B77C9C"/>
    <w:rsid w:val="00B800CC"/>
    <w:rsid w:val="00B80187"/>
    <w:rsid w:val="00B8079B"/>
    <w:rsid w:val="00B8108C"/>
    <w:rsid w:val="00B81137"/>
    <w:rsid w:val="00B8214B"/>
    <w:rsid w:val="00B82A66"/>
    <w:rsid w:val="00B82B57"/>
    <w:rsid w:val="00B82D16"/>
    <w:rsid w:val="00B830E2"/>
    <w:rsid w:val="00B8323C"/>
    <w:rsid w:val="00B839A9"/>
    <w:rsid w:val="00B83CD1"/>
    <w:rsid w:val="00B83D8F"/>
    <w:rsid w:val="00B843E4"/>
    <w:rsid w:val="00B84540"/>
    <w:rsid w:val="00B84EA0"/>
    <w:rsid w:val="00B85232"/>
    <w:rsid w:val="00B858B2"/>
    <w:rsid w:val="00B85AFF"/>
    <w:rsid w:val="00B86668"/>
    <w:rsid w:val="00B86BDA"/>
    <w:rsid w:val="00B86C33"/>
    <w:rsid w:val="00B8774B"/>
    <w:rsid w:val="00B87895"/>
    <w:rsid w:val="00B87EE1"/>
    <w:rsid w:val="00B902B5"/>
    <w:rsid w:val="00B9054D"/>
    <w:rsid w:val="00B91765"/>
    <w:rsid w:val="00B919EF"/>
    <w:rsid w:val="00B92577"/>
    <w:rsid w:val="00B929BC"/>
    <w:rsid w:val="00B92CD7"/>
    <w:rsid w:val="00B92D0C"/>
    <w:rsid w:val="00B92FA3"/>
    <w:rsid w:val="00B931CF"/>
    <w:rsid w:val="00B938B1"/>
    <w:rsid w:val="00B9391F"/>
    <w:rsid w:val="00B93C43"/>
    <w:rsid w:val="00B9465B"/>
    <w:rsid w:val="00B94BD1"/>
    <w:rsid w:val="00B95011"/>
    <w:rsid w:val="00B95C4B"/>
    <w:rsid w:val="00B95F9B"/>
    <w:rsid w:val="00B9604A"/>
    <w:rsid w:val="00B96870"/>
    <w:rsid w:val="00B96F11"/>
    <w:rsid w:val="00B978E8"/>
    <w:rsid w:val="00B97DAE"/>
    <w:rsid w:val="00B97EFC"/>
    <w:rsid w:val="00BA0076"/>
    <w:rsid w:val="00BA02C3"/>
    <w:rsid w:val="00BA05B5"/>
    <w:rsid w:val="00BA1E27"/>
    <w:rsid w:val="00BA2353"/>
    <w:rsid w:val="00BA3646"/>
    <w:rsid w:val="00BA3725"/>
    <w:rsid w:val="00BA3931"/>
    <w:rsid w:val="00BA42AA"/>
    <w:rsid w:val="00BA4F12"/>
    <w:rsid w:val="00BA5A71"/>
    <w:rsid w:val="00BA6362"/>
    <w:rsid w:val="00BA6715"/>
    <w:rsid w:val="00BA6D4E"/>
    <w:rsid w:val="00BA77EB"/>
    <w:rsid w:val="00BA799F"/>
    <w:rsid w:val="00BA7AEF"/>
    <w:rsid w:val="00BA7D0C"/>
    <w:rsid w:val="00BB041D"/>
    <w:rsid w:val="00BB05DE"/>
    <w:rsid w:val="00BB0E6D"/>
    <w:rsid w:val="00BB156F"/>
    <w:rsid w:val="00BB16FE"/>
    <w:rsid w:val="00BB1CBC"/>
    <w:rsid w:val="00BB21DD"/>
    <w:rsid w:val="00BB26A8"/>
    <w:rsid w:val="00BB2A0F"/>
    <w:rsid w:val="00BB2D7C"/>
    <w:rsid w:val="00BB363D"/>
    <w:rsid w:val="00BB3ADD"/>
    <w:rsid w:val="00BB3EE9"/>
    <w:rsid w:val="00BB56B3"/>
    <w:rsid w:val="00BB5C48"/>
    <w:rsid w:val="00BB5CCD"/>
    <w:rsid w:val="00BB6148"/>
    <w:rsid w:val="00BB6805"/>
    <w:rsid w:val="00BB68A0"/>
    <w:rsid w:val="00BB7228"/>
    <w:rsid w:val="00BB72F6"/>
    <w:rsid w:val="00BB7405"/>
    <w:rsid w:val="00BB75F8"/>
    <w:rsid w:val="00BB7801"/>
    <w:rsid w:val="00BB7E9B"/>
    <w:rsid w:val="00BC15E0"/>
    <w:rsid w:val="00BC2231"/>
    <w:rsid w:val="00BC227E"/>
    <w:rsid w:val="00BC2BFD"/>
    <w:rsid w:val="00BC2E63"/>
    <w:rsid w:val="00BC361D"/>
    <w:rsid w:val="00BC3C7F"/>
    <w:rsid w:val="00BC4266"/>
    <w:rsid w:val="00BC4BB3"/>
    <w:rsid w:val="00BC4CF5"/>
    <w:rsid w:val="00BC517F"/>
    <w:rsid w:val="00BC5635"/>
    <w:rsid w:val="00BC5F4F"/>
    <w:rsid w:val="00BC67D7"/>
    <w:rsid w:val="00BC6AEB"/>
    <w:rsid w:val="00BC6B6D"/>
    <w:rsid w:val="00BC7093"/>
    <w:rsid w:val="00BC72B6"/>
    <w:rsid w:val="00BC7398"/>
    <w:rsid w:val="00BC73D5"/>
    <w:rsid w:val="00BC7B51"/>
    <w:rsid w:val="00BD02D0"/>
    <w:rsid w:val="00BD07EA"/>
    <w:rsid w:val="00BD0DE9"/>
    <w:rsid w:val="00BD0EAD"/>
    <w:rsid w:val="00BD1B63"/>
    <w:rsid w:val="00BD27B7"/>
    <w:rsid w:val="00BD2FBE"/>
    <w:rsid w:val="00BD3346"/>
    <w:rsid w:val="00BD341B"/>
    <w:rsid w:val="00BD380D"/>
    <w:rsid w:val="00BD3D93"/>
    <w:rsid w:val="00BD4731"/>
    <w:rsid w:val="00BD4AE0"/>
    <w:rsid w:val="00BD4B37"/>
    <w:rsid w:val="00BD5308"/>
    <w:rsid w:val="00BD5663"/>
    <w:rsid w:val="00BD5BEB"/>
    <w:rsid w:val="00BD62B5"/>
    <w:rsid w:val="00BD6AD6"/>
    <w:rsid w:val="00BD6CDE"/>
    <w:rsid w:val="00BD7313"/>
    <w:rsid w:val="00BD7596"/>
    <w:rsid w:val="00BD783D"/>
    <w:rsid w:val="00BD7B9C"/>
    <w:rsid w:val="00BD7DB8"/>
    <w:rsid w:val="00BE0862"/>
    <w:rsid w:val="00BE09AB"/>
    <w:rsid w:val="00BE1289"/>
    <w:rsid w:val="00BE1D26"/>
    <w:rsid w:val="00BE2115"/>
    <w:rsid w:val="00BE269B"/>
    <w:rsid w:val="00BE2794"/>
    <w:rsid w:val="00BE2D6F"/>
    <w:rsid w:val="00BE2EB2"/>
    <w:rsid w:val="00BE2FE3"/>
    <w:rsid w:val="00BE3432"/>
    <w:rsid w:val="00BE3647"/>
    <w:rsid w:val="00BE365D"/>
    <w:rsid w:val="00BE38E2"/>
    <w:rsid w:val="00BE3925"/>
    <w:rsid w:val="00BE3E44"/>
    <w:rsid w:val="00BE4867"/>
    <w:rsid w:val="00BE4C57"/>
    <w:rsid w:val="00BE539D"/>
    <w:rsid w:val="00BE5DB3"/>
    <w:rsid w:val="00BE5F83"/>
    <w:rsid w:val="00BE6E33"/>
    <w:rsid w:val="00BE7062"/>
    <w:rsid w:val="00BE790F"/>
    <w:rsid w:val="00BF02B8"/>
    <w:rsid w:val="00BF0700"/>
    <w:rsid w:val="00BF0DC3"/>
    <w:rsid w:val="00BF1B76"/>
    <w:rsid w:val="00BF1DA7"/>
    <w:rsid w:val="00BF1E98"/>
    <w:rsid w:val="00BF2512"/>
    <w:rsid w:val="00BF285A"/>
    <w:rsid w:val="00BF3A73"/>
    <w:rsid w:val="00BF3EA4"/>
    <w:rsid w:val="00BF40AA"/>
    <w:rsid w:val="00BF4B61"/>
    <w:rsid w:val="00BF5C66"/>
    <w:rsid w:val="00BF684A"/>
    <w:rsid w:val="00BF6BC0"/>
    <w:rsid w:val="00BF7453"/>
    <w:rsid w:val="00BF7B36"/>
    <w:rsid w:val="00C005E1"/>
    <w:rsid w:val="00C007DE"/>
    <w:rsid w:val="00C00B6B"/>
    <w:rsid w:val="00C00CB7"/>
    <w:rsid w:val="00C01251"/>
    <w:rsid w:val="00C01678"/>
    <w:rsid w:val="00C016CD"/>
    <w:rsid w:val="00C023A3"/>
    <w:rsid w:val="00C0245E"/>
    <w:rsid w:val="00C031FE"/>
    <w:rsid w:val="00C03C60"/>
    <w:rsid w:val="00C03FE2"/>
    <w:rsid w:val="00C041C4"/>
    <w:rsid w:val="00C04237"/>
    <w:rsid w:val="00C0468D"/>
    <w:rsid w:val="00C047FE"/>
    <w:rsid w:val="00C0495F"/>
    <w:rsid w:val="00C04ADC"/>
    <w:rsid w:val="00C05363"/>
    <w:rsid w:val="00C058E7"/>
    <w:rsid w:val="00C05C1F"/>
    <w:rsid w:val="00C06AB0"/>
    <w:rsid w:val="00C0713F"/>
    <w:rsid w:val="00C07177"/>
    <w:rsid w:val="00C07236"/>
    <w:rsid w:val="00C076AA"/>
    <w:rsid w:val="00C1033E"/>
    <w:rsid w:val="00C10727"/>
    <w:rsid w:val="00C10FE3"/>
    <w:rsid w:val="00C11567"/>
    <w:rsid w:val="00C11B6A"/>
    <w:rsid w:val="00C12822"/>
    <w:rsid w:val="00C1285E"/>
    <w:rsid w:val="00C1318A"/>
    <w:rsid w:val="00C13335"/>
    <w:rsid w:val="00C13A0D"/>
    <w:rsid w:val="00C14435"/>
    <w:rsid w:val="00C14808"/>
    <w:rsid w:val="00C1481F"/>
    <w:rsid w:val="00C14E1F"/>
    <w:rsid w:val="00C14E34"/>
    <w:rsid w:val="00C157C1"/>
    <w:rsid w:val="00C15A9B"/>
    <w:rsid w:val="00C15FBA"/>
    <w:rsid w:val="00C1629C"/>
    <w:rsid w:val="00C16494"/>
    <w:rsid w:val="00C16950"/>
    <w:rsid w:val="00C16B4E"/>
    <w:rsid w:val="00C17275"/>
    <w:rsid w:val="00C176DE"/>
    <w:rsid w:val="00C17ABE"/>
    <w:rsid w:val="00C17D7F"/>
    <w:rsid w:val="00C17F65"/>
    <w:rsid w:val="00C20090"/>
    <w:rsid w:val="00C2074F"/>
    <w:rsid w:val="00C20945"/>
    <w:rsid w:val="00C21007"/>
    <w:rsid w:val="00C21157"/>
    <w:rsid w:val="00C211B3"/>
    <w:rsid w:val="00C214C4"/>
    <w:rsid w:val="00C2153E"/>
    <w:rsid w:val="00C223C1"/>
    <w:rsid w:val="00C2242D"/>
    <w:rsid w:val="00C234E3"/>
    <w:rsid w:val="00C2375E"/>
    <w:rsid w:val="00C246A5"/>
    <w:rsid w:val="00C24A76"/>
    <w:rsid w:val="00C24BA0"/>
    <w:rsid w:val="00C25B88"/>
    <w:rsid w:val="00C25E89"/>
    <w:rsid w:val="00C25FB0"/>
    <w:rsid w:val="00C26AE9"/>
    <w:rsid w:val="00C26ED6"/>
    <w:rsid w:val="00C2755B"/>
    <w:rsid w:val="00C27675"/>
    <w:rsid w:val="00C27DA0"/>
    <w:rsid w:val="00C27F2B"/>
    <w:rsid w:val="00C3041C"/>
    <w:rsid w:val="00C30E9D"/>
    <w:rsid w:val="00C31538"/>
    <w:rsid w:val="00C319C3"/>
    <w:rsid w:val="00C31B7F"/>
    <w:rsid w:val="00C32013"/>
    <w:rsid w:val="00C329B8"/>
    <w:rsid w:val="00C33570"/>
    <w:rsid w:val="00C335FA"/>
    <w:rsid w:val="00C344AE"/>
    <w:rsid w:val="00C344BC"/>
    <w:rsid w:val="00C34638"/>
    <w:rsid w:val="00C3470B"/>
    <w:rsid w:val="00C34C18"/>
    <w:rsid w:val="00C34CF2"/>
    <w:rsid w:val="00C351DB"/>
    <w:rsid w:val="00C35DF4"/>
    <w:rsid w:val="00C35FDE"/>
    <w:rsid w:val="00C37919"/>
    <w:rsid w:val="00C402B8"/>
    <w:rsid w:val="00C403AE"/>
    <w:rsid w:val="00C4185F"/>
    <w:rsid w:val="00C4221B"/>
    <w:rsid w:val="00C427C4"/>
    <w:rsid w:val="00C4334F"/>
    <w:rsid w:val="00C44CDE"/>
    <w:rsid w:val="00C455C1"/>
    <w:rsid w:val="00C45717"/>
    <w:rsid w:val="00C459C3"/>
    <w:rsid w:val="00C45DBC"/>
    <w:rsid w:val="00C46323"/>
    <w:rsid w:val="00C46342"/>
    <w:rsid w:val="00C466F8"/>
    <w:rsid w:val="00C46DC1"/>
    <w:rsid w:val="00C50090"/>
    <w:rsid w:val="00C50A0C"/>
    <w:rsid w:val="00C50A45"/>
    <w:rsid w:val="00C51850"/>
    <w:rsid w:val="00C521DC"/>
    <w:rsid w:val="00C526B9"/>
    <w:rsid w:val="00C5296F"/>
    <w:rsid w:val="00C52E02"/>
    <w:rsid w:val="00C532D9"/>
    <w:rsid w:val="00C536F5"/>
    <w:rsid w:val="00C53784"/>
    <w:rsid w:val="00C54057"/>
    <w:rsid w:val="00C54143"/>
    <w:rsid w:val="00C5417A"/>
    <w:rsid w:val="00C54702"/>
    <w:rsid w:val="00C54870"/>
    <w:rsid w:val="00C54A38"/>
    <w:rsid w:val="00C55893"/>
    <w:rsid w:val="00C55CE4"/>
    <w:rsid w:val="00C5671C"/>
    <w:rsid w:val="00C5755B"/>
    <w:rsid w:val="00C57681"/>
    <w:rsid w:val="00C579E3"/>
    <w:rsid w:val="00C60049"/>
    <w:rsid w:val="00C61042"/>
    <w:rsid w:val="00C611C9"/>
    <w:rsid w:val="00C611FD"/>
    <w:rsid w:val="00C615D0"/>
    <w:rsid w:val="00C61991"/>
    <w:rsid w:val="00C61BB0"/>
    <w:rsid w:val="00C62122"/>
    <w:rsid w:val="00C62D4F"/>
    <w:rsid w:val="00C62E81"/>
    <w:rsid w:val="00C63B6C"/>
    <w:rsid w:val="00C64199"/>
    <w:rsid w:val="00C64CAC"/>
    <w:rsid w:val="00C651AC"/>
    <w:rsid w:val="00C6541B"/>
    <w:rsid w:val="00C65782"/>
    <w:rsid w:val="00C65852"/>
    <w:rsid w:val="00C659F9"/>
    <w:rsid w:val="00C65BEE"/>
    <w:rsid w:val="00C65D9E"/>
    <w:rsid w:val="00C6746C"/>
    <w:rsid w:val="00C6790B"/>
    <w:rsid w:val="00C67A73"/>
    <w:rsid w:val="00C67FAF"/>
    <w:rsid w:val="00C70833"/>
    <w:rsid w:val="00C715C9"/>
    <w:rsid w:val="00C71D13"/>
    <w:rsid w:val="00C71E6C"/>
    <w:rsid w:val="00C7211A"/>
    <w:rsid w:val="00C7219C"/>
    <w:rsid w:val="00C7255D"/>
    <w:rsid w:val="00C729F6"/>
    <w:rsid w:val="00C72D14"/>
    <w:rsid w:val="00C72F1F"/>
    <w:rsid w:val="00C730C2"/>
    <w:rsid w:val="00C731B6"/>
    <w:rsid w:val="00C731D5"/>
    <w:rsid w:val="00C737B3"/>
    <w:rsid w:val="00C738BB"/>
    <w:rsid w:val="00C73E9C"/>
    <w:rsid w:val="00C74F71"/>
    <w:rsid w:val="00C757C5"/>
    <w:rsid w:val="00C75AF0"/>
    <w:rsid w:val="00C766F4"/>
    <w:rsid w:val="00C76B85"/>
    <w:rsid w:val="00C76DDB"/>
    <w:rsid w:val="00C76FEE"/>
    <w:rsid w:val="00C77229"/>
    <w:rsid w:val="00C7729D"/>
    <w:rsid w:val="00C77CEF"/>
    <w:rsid w:val="00C77E81"/>
    <w:rsid w:val="00C80287"/>
    <w:rsid w:val="00C811B3"/>
    <w:rsid w:val="00C819BD"/>
    <w:rsid w:val="00C81B7F"/>
    <w:rsid w:val="00C81BD9"/>
    <w:rsid w:val="00C81DDF"/>
    <w:rsid w:val="00C82487"/>
    <w:rsid w:val="00C82E24"/>
    <w:rsid w:val="00C83309"/>
    <w:rsid w:val="00C834E7"/>
    <w:rsid w:val="00C8406D"/>
    <w:rsid w:val="00C8422E"/>
    <w:rsid w:val="00C842A5"/>
    <w:rsid w:val="00C84890"/>
    <w:rsid w:val="00C84F7F"/>
    <w:rsid w:val="00C852FC"/>
    <w:rsid w:val="00C85894"/>
    <w:rsid w:val="00C86D82"/>
    <w:rsid w:val="00C870E2"/>
    <w:rsid w:val="00C90441"/>
    <w:rsid w:val="00C904CA"/>
    <w:rsid w:val="00C90A43"/>
    <w:rsid w:val="00C9103D"/>
    <w:rsid w:val="00C91069"/>
    <w:rsid w:val="00C9113B"/>
    <w:rsid w:val="00C9183C"/>
    <w:rsid w:val="00C91BC2"/>
    <w:rsid w:val="00C91CF0"/>
    <w:rsid w:val="00C92065"/>
    <w:rsid w:val="00C93490"/>
    <w:rsid w:val="00C936F1"/>
    <w:rsid w:val="00C93760"/>
    <w:rsid w:val="00C9376F"/>
    <w:rsid w:val="00C93E0E"/>
    <w:rsid w:val="00C93E93"/>
    <w:rsid w:val="00C941BA"/>
    <w:rsid w:val="00C942E6"/>
    <w:rsid w:val="00C9469F"/>
    <w:rsid w:val="00C948A0"/>
    <w:rsid w:val="00C94C8E"/>
    <w:rsid w:val="00C954F1"/>
    <w:rsid w:val="00C959D9"/>
    <w:rsid w:val="00C95D20"/>
    <w:rsid w:val="00C95D4C"/>
    <w:rsid w:val="00C96500"/>
    <w:rsid w:val="00C9688A"/>
    <w:rsid w:val="00C9689D"/>
    <w:rsid w:val="00C96C85"/>
    <w:rsid w:val="00C96DF2"/>
    <w:rsid w:val="00C96F8F"/>
    <w:rsid w:val="00CA003E"/>
    <w:rsid w:val="00CA0223"/>
    <w:rsid w:val="00CA0455"/>
    <w:rsid w:val="00CA070A"/>
    <w:rsid w:val="00CA1377"/>
    <w:rsid w:val="00CA182E"/>
    <w:rsid w:val="00CA196E"/>
    <w:rsid w:val="00CA1EEE"/>
    <w:rsid w:val="00CA2481"/>
    <w:rsid w:val="00CA28D1"/>
    <w:rsid w:val="00CA2CC6"/>
    <w:rsid w:val="00CA2CE6"/>
    <w:rsid w:val="00CA308A"/>
    <w:rsid w:val="00CA399F"/>
    <w:rsid w:val="00CA3F45"/>
    <w:rsid w:val="00CA4512"/>
    <w:rsid w:val="00CA5565"/>
    <w:rsid w:val="00CA70B6"/>
    <w:rsid w:val="00CA75DC"/>
    <w:rsid w:val="00CA7680"/>
    <w:rsid w:val="00CA7DB7"/>
    <w:rsid w:val="00CA7EDE"/>
    <w:rsid w:val="00CB0821"/>
    <w:rsid w:val="00CB26B6"/>
    <w:rsid w:val="00CB4470"/>
    <w:rsid w:val="00CB47B2"/>
    <w:rsid w:val="00CB521B"/>
    <w:rsid w:val="00CB5BF9"/>
    <w:rsid w:val="00CB5DDC"/>
    <w:rsid w:val="00CB6524"/>
    <w:rsid w:val="00CB6700"/>
    <w:rsid w:val="00CB6729"/>
    <w:rsid w:val="00CB68A7"/>
    <w:rsid w:val="00CB7D2E"/>
    <w:rsid w:val="00CC1766"/>
    <w:rsid w:val="00CC1A11"/>
    <w:rsid w:val="00CC2096"/>
    <w:rsid w:val="00CC2362"/>
    <w:rsid w:val="00CC275B"/>
    <w:rsid w:val="00CC3002"/>
    <w:rsid w:val="00CC3178"/>
    <w:rsid w:val="00CC3E7D"/>
    <w:rsid w:val="00CC4E51"/>
    <w:rsid w:val="00CC5347"/>
    <w:rsid w:val="00CC5409"/>
    <w:rsid w:val="00CC5D18"/>
    <w:rsid w:val="00CC638B"/>
    <w:rsid w:val="00CC6500"/>
    <w:rsid w:val="00CC6602"/>
    <w:rsid w:val="00CC6B6D"/>
    <w:rsid w:val="00CC6F6E"/>
    <w:rsid w:val="00CC7F17"/>
    <w:rsid w:val="00CC7F94"/>
    <w:rsid w:val="00CD0471"/>
    <w:rsid w:val="00CD05CB"/>
    <w:rsid w:val="00CD0ED3"/>
    <w:rsid w:val="00CD112D"/>
    <w:rsid w:val="00CD1299"/>
    <w:rsid w:val="00CD1526"/>
    <w:rsid w:val="00CD1E5E"/>
    <w:rsid w:val="00CD200D"/>
    <w:rsid w:val="00CD24BD"/>
    <w:rsid w:val="00CD2D8D"/>
    <w:rsid w:val="00CD3090"/>
    <w:rsid w:val="00CD376A"/>
    <w:rsid w:val="00CD477B"/>
    <w:rsid w:val="00CD509D"/>
    <w:rsid w:val="00CD51DF"/>
    <w:rsid w:val="00CD58FF"/>
    <w:rsid w:val="00CD5A4B"/>
    <w:rsid w:val="00CD5CEB"/>
    <w:rsid w:val="00CD63AD"/>
    <w:rsid w:val="00CD66F2"/>
    <w:rsid w:val="00CD723A"/>
    <w:rsid w:val="00CD79DB"/>
    <w:rsid w:val="00CD7F22"/>
    <w:rsid w:val="00CE0CD0"/>
    <w:rsid w:val="00CE1164"/>
    <w:rsid w:val="00CE14D5"/>
    <w:rsid w:val="00CE18DB"/>
    <w:rsid w:val="00CE1D85"/>
    <w:rsid w:val="00CE1DEE"/>
    <w:rsid w:val="00CE2ED8"/>
    <w:rsid w:val="00CE2F4A"/>
    <w:rsid w:val="00CE3C3C"/>
    <w:rsid w:val="00CE4263"/>
    <w:rsid w:val="00CE475E"/>
    <w:rsid w:val="00CE547B"/>
    <w:rsid w:val="00CE555E"/>
    <w:rsid w:val="00CE59E3"/>
    <w:rsid w:val="00CE6CA1"/>
    <w:rsid w:val="00CE6F2A"/>
    <w:rsid w:val="00CE7037"/>
    <w:rsid w:val="00CE77C3"/>
    <w:rsid w:val="00CE7857"/>
    <w:rsid w:val="00CE7C85"/>
    <w:rsid w:val="00CE7FD4"/>
    <w:rsid w:val="00CF02B1"/>
    <w:rsid w:val="00CF0505"/>
    <w:rsid w:val="00CF05B5"/>
    <w:rsid w:val="00CF05EF"/>
    <w:rsid w:val="00CF09BA"/>
    <w:rsid w:val="00CF127F"/>
    <w:rsid w:val="00CF332B"/>
    <w:rsid w:val="00CF33A2"/>
    <w:rsid w:val="00CF35EF"/>
    <w:rsid w:val="00CF3CEE"/>
    <w:rsid w:val="00CF451D"/>
    <w:rsid w:val="00CF474E"/>
    <w:rsid w:val="00CF4D07"/>
    <w:rsid w:val="00CF500D"/>
    <w:rsid w:val="00CF5819"/>
    <w:rsid w:val="00CF6073"/>
    <w:rsid w:val="00CF6245"/>
    <w:rsid w:val="00CF677F"/>
    <w:rsid w:val="00CF7E85"/>
    <w:rsid w:val="00CF7EBD"/>
    <w:rsid w:val="00D0023B"/>
    <w:rsid w:val="00D002B2"/>
    <w:rsid w:val="00D009F0"/>
    <w:rsid w:val="00D01C64"/>
    <w:rsid w:val="00D01DED"/>
    <w:rsid w:val="00D01EB9"/>
    <w:rsid w:val="00D02FA8"/>
    <w:rsid w:val="00D03009"/>
    <w:rsid w:val="00D03D13"/>
    <w:rsid w:val="00D04D5C"/>
    <w:rsid w:val="00D04D5E"/>
    <w:rsid w:val="00D05205"/>
    <w:rsid w:val="00D0543D"/>
    <w:rsid w:val="00D0569E"/>
    <w:rsid w:val="00D05CDA"/>
    <w:rsid w:val="00D06144"/>
    <w:rsid w:val="00D0686F"/>
    <w:rsid w:val="00D06D7E"/>
    <w:rsid w:val="00D071F5"/>
    <w:rsid w:val="00D10047"/>
    <w:rsid w:val="00D110B2"/>
    <w:rsid w:val="00D112D7"/>
    <w:rsid w:val="00D113A3"/>
    <w:rsid w:val="00D11CBC"/>
    <w:rsid w:val="00D11E1E"/>
    <w:rsid w:val="00D12328"/>
    <w:rsid w:val="00D123F3"/>
    <w:rsid w:val="00D12C22"/>
    <w:rsid w:val="00D13675"/>
    <w:rsid w:val="00D138E0"/>
    <w:rsid w:val="00D13FB0"/>
    <w:rsid w:val="00D14305"/>
    <w:rsid w:val="00D14569"/>
    <w:rsid w:val="00D1554E"/>
    <w:rsid w:val="00D15A22"/>
    <w:rsid w:val="00D15BF4"/>
    <w:rsid w:val="00D16830"/>
    <w:rsid w:val="00D16A05"/>
    <w:rsid w:val="00D16B72"/>
    <w:rsid w:val="00D17E28"/>
    <w:rsid w:val="00D2015D"/>
    <w:rsid w:val="00D208EB"/>
    <w:rsid w:val="00D20AAD"/>
    <w:rsid w:val="00D20D71"/>
    <w:rsid w:val="00D20D85"/>
    <w:rsid w:val="00D21375"/>
    <w:rsid w:val="00D21505"/>
    <w:rsid w:val="00D21542"/>
    <w:rsid w:val="00D2167D"/>
    <w:rsid w:val="00D22301"/>
    <w:rsid w:val="00D2299C"/>
    <w:rsid w:val="00D233A5"/>
    <w:rsid w:val="00D233DD"/>
    <w:rsid w:val="00D23C67"/>
    <w:rsid w:val="00D23F95"/>
    <w:rsid w:val="00D241EC"/>
    <w:rsid w:val="00D24517"/>
    <w:rsid w:val="00D247CA"/>
    <w:rsid w:val="00D248C7"/>
    <w:rsid w:val="00D26589"/>
    <w:rsid w:val="00D266E0"/>
    <w:rsid w:val="00D268F6"/>
    <w:rsid w:val="00D269DA"/>
    <w:rsid w:val="00D26C0D"/>
    <w:rsid w:val="00D2731B"/>
    <w:rsid w:val="00D2790E"/>
    <w:rsid w:val="00D3039D"/>
    <w:rsid w:val="00D30D9C"/>
    <w:rsid w:val="00D31270"/>
    <w:rsid w:val="00D31EA8"/>
    <w:rsid w:val="00D32287"/>
    <w:rsid w:val="00D3289B"/>
    <w:rsid w:val="00D32901"/>
    <w:rsid w:val="00D32C65"/>
    <w:rsid w:val="00D32D18"/>
    <w:rsid w:val="00D33C9F"/>
    <w:rsid w:val="00D33F70"/>
    <w:rsid w:val="00D33F8B"/>
    <w:rsid w:val="00D34847"/>
    <w:rsid w:val="00D353FC"/>
    <w:rsid w:val="00D36C2B"/>
    <w:rsid w:val="00D36C69"/>
    <w:rsid w:val="00D37538"/>
    <w:rsid w:val="00D37C09"/>
    <w:rsid w:val="00D40205"/>
    <w:rsid w:val="00D40946"/>
    <w:rsid w:val="00D41046"/>
    <w:rsid w:val="00D4188A"/>
    <w:rsid w:val="00D41D94"/>
    <w:rsid w:val="00D421DA"/>
    <w:rsid w:val="00D42654"/>
    <w:rsid w:val="00D4273A"/>
    <w:rsid w:val="00D44738"/>
    <w:rsid w:val="00D45C70"/>
    <w:rsid w:val="00D4603D"/>
    <w:rsid w:val="00D46A44"/>
    <w:rsid w:val="00D478E4"/>
    <w:rsid w:val="00D47B6E"/>
    <w:rsid w:val="00D47C17"/>
    <w:rsid w:val="00D47CA2"/>
    <w:rsid w:val="00D50F86"/>
    <w:rsid w:val="00D512A3"/>
    <w:rsid w:val="00D51C6B"/>
    <w:rsid w:val="00D53808"/>
    <w:rsid w:val="00D53A61"/>
    <w:rsid w:val="00D53C7B"/>
    <w:rsid w:val="00D54060"/>
    <w:rsid w:val="00D541F4"/>
    <w:rsid w:val="00D54BD3"/>
    <w:rsid w:val="00D559D0"/>
    <w:rsid w:val="00D55E09"/>
    <w:rsid w:val="00D56957"/>
    <w:rsid w:val="00D57242"/>
    <w:rsid w:val="00D572EC"/>
    <w:rsid w:val="00D6008D"/>
    <w:rsid w:val="00D603E4"/>
    <w:rsid w:val="00D6079A"/>
    <w:rsid w:val="00D60D69"/>
    <w:rsid w:val="00D61059"/>
    <w:rsid w:val="00D61318"/>
    <w:rsid w:val="00D61DB0"/>
    <w:rsid w:val="00D620E6"/>
    <w:rsid w:val="00D6262F"/>
    <w:rsid w:val="00D62A89"/>
    <w:rsid w:val="00D62C0D"/>
    <w:rsid w:val="00D62DFD"/>
    <w:rsid w:val="00D6348A"/>
    <w:rsid w:val="00D63887"/>
    <w:rsid w:val="00D63D6E"/>
    <w:rsid w:val="00D63F5E"/>
    <w:rsid w:val="00D6433B"/>
    <w:rsid w:val="00D64389"/>
    <w:rsid w:val="00D647F6"/>
    <w:rsid w:val="00D647FF"/>
    <w:rsid w:val="00D64A4B"/>
    <w:rsid w:val="00D64CA0"/>
    <w:rsid w:val="00D65094"/>
    <w:rsid w:val="00D6521A"/>
    <w:rsid w:val="00D6528A"/>
    <w:rsid w:val="00D66010"/>
    <w:rsid w:val="00D66B24"/>
    <w:rsid w:val="00D676B6"/>
    <w:rsid w:val="00D67844"/>
    <w:rsid w:val="00D70CB2"/>
    <w:rsid w:val="00D70E0F"/>
    <w:rsid w:val="00D71CF7"/>
    <w:rsid w:val="00D72E74"/>
    <w:rsid w:val="00D72E82"/>
    <w:rsid w:val="00D72ECF"/>
    <w:rsid w:val="00D734D2"/>
    <w:rsid w:val="00D73966"/>
    <w:rsid w:val="00D73B39"/>
    <w:rsid w:val="00D73E41"/>
    <w:rsid w:val="00D7405A"/>
    <w:rsid w:val="00D743D5"/>
    <w:rsid w:val="00D747D6"/>
    <w:rsid w:val="00D74CFC"/>
    <w:rsid w:val="00D75077"/>
    <w:rsid w:val="00D75150"/>
    <w:rsid w:val="00D75513"/>
    <w:rsid w:val="00D756B9"/>
    <w:rsid w:val="00D75860"/>
    <w:rsid w:val="00D76642"/>
    <w:rsid w:val="00D76A7E"/>
    <w:rsid w:val="00D76BA5"/>
    <w:rsid w:val="00D77C4F"/>
    <w:rsid w:val="00D8000F"/>
    <w:rsid w:val="00D80589"/>
    <w:rsid w:val="00D80657"/>
    <w:rsid w:val="00D8071F"/>
    <w:rsid w:val="00D80759"/>
    <w:rsid w:val="00D80F36"/>
    <w:rsid w:val="00D81411"/>
    <w:rsid w:val="00D816CB"/>
    <w:rsid w:val="00D81B49"/>
    <w:rsid w:val="00D81CA4"/>
    <w:rsid w:val="00D8269C"/>
    <w:rsid w:val="00D828AB"/>
    <w:rsid w:val="00D82BCC"/>
    <w:rsid w:val="00D83FA7"/>
    <w:rsid w:val="00D842EF"/>
    <w:rsid w:val="00D84487"/>
    <w:rsid w:val="00D85407"/>
    <w:rsid w:val="00D859E4"/>
    <w:rsid w:val="00D869E0"/>
    <w:rsid w:val="00D86AEE"/>
    <w:rsid w:val="00D86E99"/>
    <w:rsid w:val="00D86F4D"/>
    <w:rsid w:val="00D872AE"/>
    <w:rsid w:val="00D87789"/>
    <w:rsid w:val="00D87AFC"/>
    <w:rsid w:val="00D87DCB"/>
    <w:rsid w:val="00D907CE"/>
    <w:rsid w:val="00D90B73"/>
    <w:rsid w:val="00D91D60"/>
    <w:rsid w:val="00D92A21"/>
    <w:rsid w:val="00D92D0B"/>
    <w:rsid w:val="00D9329E"/>
    <w:rsid w:val="00D932AD"/>
    <w:rsid w:val="00D932C8"/>
    <w:rsid w:val="00D939ED"/>
    <w:rsid w:val="00D9442F"/>
    <w:rsid w:val="00D94C55"/>
    <w:rsid w:val="00D952E2"/>
    <w:rsid w:val="00D9540A"/>
    <w:rsid w:val="00D95F24"/>
    <w:rsid w:val="00D9602F"/>
    <w:rsid w:val="00D96C43"/>
    <w:rsid w:val="00DA044A"/>
    <w:rsid w:val="00DA0CCE"/>
    <w:rsid w:val="00DA0CDD"/>
    <w:rsid w:val="00DA2248"/>
    <w:rsid w:val="00DA22FA"/>
    <w:rsid w:val="00DA2939"/>
    <w:rsid w:val="00DA2944"/>
    <w:rsid w:val="00DA29AF"/>
    <w:rsid w:val="00DA29F3"/>
    <w:rsid w:val="00DA2A51"/>
    <w:rsid w:val="00DA3599"/>
    <w:rsid w:val="00DA4417"/>
    <w:rsid w:val="00DA527D"/>
    <w:rsid w:val="00DA550E"/>
    <w:rsid w:val="00DA56E0"/>
    <w:rsid w:val="00DA6182"/>
    <w:rsid w:val="00DA63EB"/>
    <w:rsid w:val="00DA69F6"/>
    <w:rsid w:val="00DA6DCA"/>
    <w:rsid w:val="00DA6E74"/>
    <w:rsid w:val="00DA7121"/>
    <w:rsid w:val="00DA7339"/>
    <w:rsid w:val="00DA73AF"/>
    <w:rsid w:val="00DA750E"/>
    <w:rsid w:val="00DA753A"/>
    <w:rsid w:val="00DB02BC"/>
    <w:rsid w:val="00DB03C3"/>
    <w:rsid w:val="00DB06D9"/>
    <w:rsid w:val="00DB0769"/>
    <w:rsid w:val="00DB086C"/>
    <w:rsid w:val="00DB0994"/>
    <w:rsid w:val="00DB09F9"/>
    <w:rsid w:val="00DB1025"/>
    <w:rsid w:val="00DB12AA"/>
    <w:rsid w:val="00DB20E5"/>
    <w:rsid w:val="00DB2673"/>
    <w:rsid w:val="00DB26B5"/>
    <w:rsid w:val="00DB29ED"/>
    <w:rsid w:val="00DB3A92"/>
    <w:rsid w:val="00DB3D13"/>
    <w:rsid w:val="00DB4056"/>
    <w:rsid w:val="00DB42E8"/>
    <w:rsid w:val="00DB44EC"/>
    <w:rsid w:val="00DB47F2"/>
    <w:rsid w:val="00DB4BE7"/>
    <w:rsid w:val="00DB530C"/>
    <w:rsid w:val="00DB5312"/>
    <w:rsid w:val="00DB5693"/>
    <w:rsid w:val="00DB59D5"/>
    <w:rsid w:val="00DB634A"/>
    <w:rsid w:val="00DB643A"/>
    <w:rsid w:val="00DC0756"/>
    <w:rsid w:val="00DC0C65"/>
    <w:rsid w:val="00DC0C74"/>
    <w:rsid w:val="00DC1538"/>
    <w:rsid w:val="00DC15F6"/>
    <w:rsid w:val="00DC16A5"/>
    <w:rsid w:val="00DC177F"/>
    <w:rsid w:val="00DC24E3"/>
    <w:rsid w:val="00DC27E4"/>
    <w:rsid w:val="00DC281A"/>
    <w:rsid w:val="00DC2F48"/>
    <w:rsid w:val="00DC2F70"/>
    <w:rsid w:val="00DC2FB2"/>
    <w:rsid w:val="00DC3152"/>
    <w:rsid w:val="00DC37CD"/>
    <w:rsid w:val="00DC46BE"/>
    <w:rsid w:val="00DC47CF"/>
    <w:rsid w:val="00DC48D2"/>
    <w:rsid w:val="00DC4E3D"/>
    <w:rsid w:val="00DC6208"/>
    <w:rsid w:val="00DC6335"/>
    <w:rsid w:val="00DC640B"/>
    <w:rsid w:val="00DC67FA"/>
    <w:rsid w:val="00DC6B12"/>
    <w:rsid w:val="00DC6B61"/>
    <w:rsid w:val="00DC6D4F"/>
    <w:rsid w:val="00DC6F14"/>
    <w:rsid w:val="00DC74DB"/>
    <w:rsid w:val="00DC755D"/>
    <w:rsid w:val="00DC75BB"/>
    <w:rsid w:val="00DC7734"/>
    <w:rsid w:val="00DC7FBA"/>
    <w:rsid w:val="00DD0310"/>
    <w:rsid w:val="00DD0353"/>
    <w:rsid w:val="00DD09EC"/>
    <w:rsid w:val="00DD0B52"/>
    <w:rsid w:val="00DD1456"/>
    <w:rsid w:val="00DD2617"/>
    <w:rsid w:val="00DD27F2"/>
    <w:rsid w:val="00DD31F9"/>
    <w:rsid w:val="00DD46F2"/>
    <w:rsid w:val="00DD4FD2"/>
    <w:rsid w:val="00DD52CB"/>
    <w:rsid w:val="00DD591B"/>
    <w:rsid w:val="00DD59BE"/>
    <w:rsid w:val="00DD5AFE"/>
    <w:rsid w:val="00DD613C"/>
    <w:rsid w:val="00DD67BC"/>
    <w:rsid w:val="00DD6839"/>
    <w:rsid w:val="00DD7EC6"/>
    <w:rsid w:val="00DE0301"/>
    <w:rsid w:val="00DE0850"/>
    <w:rsid w:val="00DE1A92"/>
    <w:rsid w:val="00DE1CD1"/>
    <w:rsid w:val="00DE1F64"/>
    <w:rsid w:val="00DE2294"/>
    <w:rsid w:val="00DE2775"/>
    <w:rsid w:val="00DE3323"/>
    <w:rsid w:val="00DE3825"/>
    <w:rsid w:val="00DE4FA3"/>
    <w:rsid w:val="00DE54FF"/>
    <w:rsid w:val="00DE5989"/>
    <w:rsid w:val="00DE60C1"/>
    <w:rsid w:val="00DE664D"/>
    <w:rsid w:val="00DF00AB"/>
    <w:rsid w:val="00DF0298"/>
    <w:rsid w:val="00DF0C17"/>
    <w:rsid w:val="00DF1048"/>
    <w:rsid w:val="00DF131B"/>
    <w:rsid w:val="00DF1634"/>
    <w:rsid w:val="00DF1BBF"/>
    <w:rsid w:val="00DF1D24"/>
    <w:rsid w:val="00DF202A"/>
    <w:rsid w:val="00DF2ECE"/>
    <w:rsid w:val="00DF2F52"/>
    <w:rsid w:val="00DF31E3"/>
    <w:rsid w:val="00DF327C"/>
    <w:rsid w:val="00DF3D1A"/>
    <w:rsid w:val="00DF3E48"/>
    <w:rsid w:val="00DF421E"/>
    <w:rsid w:val="00DF5402"/>
    <w:rsid w:val="00DF5740"/>
    <w:rsid w:val="00DF577A"/>
    <w:rsid w:val="00DF6774"/>
    <w:rsid w:val="00DF6977"/>
    <w:rsid w:val="00DF6A86"/>
    <w:rsid w:val="00DF6A98"/>
    <w:rsid w:val="00DF6D51"/>
    <w:rsid w:val="00DF6F0C"/>
    <w:rsid w:val="00DF718B"/>
    <w:rsid w:val="00DF7378"/>
    <w:rsid w:val="00DF7843"/>
    <w:rsid w:val="00DF7851"/>
    <w:rsid w:val="00DF78B0"/>
    <w:rsid w:val="00DF7C1D"/>
    <w:rsid w:val="00E00D6F"/>
    <w:rsid w:val="00E0113C"/>
    <w:rsid w:val="00E013CB"/>
    <w:rsid w:val="00E01864"/>
    <w:rsid w:val="00E01996"/>
    <w:rsid w:val="00E0265F"/>
    <w:rsid w:val="00E02DBD"/>
    <w:rsid w:val="00E0315F"/>
    <w:rsid w:val="00E03189"/>
    <w:rsid w:val="00E031E1"/>
    <w:rsid w:val="00E0364A"/>
    <w:rsid w:val="00E03BE8"/>
    <w:rsid w:val="00E043D5"/>
    <w:rsid w:val="00E043F8"/>
    <w:rsid w:val="00E04434"/>
    <w:rsid w:val="00E04E62"/>
    <w:rsid w:val="00E05683"/>
    <w:rsid w:val="00E05D92"/>
    <w:rsid w:val="00E06770"/>
    <w:rsid w:val="00E07DB1"/>
    <w:rsid w:val="00E10163"/>
    <w:rsid w:val="00E11AA3"/>
    <w:rsid w:val="00E11B5F"/>
    <w:rsid w:val="00E11E3C"/>
    <w:rsid w:val="00E12FE3"/>
    <w:rsid w:val="00E1301F"/>
    <w:rsid w:val="00E1308F"/>
    <w:rsid w:val="00E13DE0"/>
    <w:rsid w:val="00E13E6F"/>
    <w:rsid w:val="00E14246"/>
    <w:rsid w:val="00E14C81"/>
    <w:rsid w:val="00E15D74"/>
    <w:rsid w:val="00E15E8C"/>
    <w:rsid w:val="00E161AF"/>
    <w:rsid w:val="00E16711"/>
    <w:rsid w:val="00E168EA"/>
    <w:rsid w:val="00E1732E"/>
    <w:rsid w:val="00E20224"/>
    <w:rsid w:val="00E207FF"/>
    <w:rsid w:val="00E2147B"/>
    <w:rsid w:val="00E214CA"/>
    <w:rsid w:val="00E2164C"/>
    <w:rsid w:val="00E21984"/>
    <w:rsid w:val="00E2213B"/>
    <w:rsid w:val="00E2456A"/>
    <w:rsid w:val="00E24CED"/>
    <w:rsid w:val="00E24D6B"/>
    <w:rsid w:val="00E2537F"/>
    <w:rsid w:val="00E25B2D"/>
    <w:rsid w:val="00E2639B"/>
    <w:rsid w:val="00E26450"/>
    <w:rsid w:val="00E265EF"/>
    <w:rsid w:val="00E26EC8"/>
    <w:rsid w:val="00E26F98"/>
    <w:rsid w:val="00E27B79"/>
    <w:rsid w:val="00E27E81"/>
    <w:rsid w:val="00E3062A"/>
    <w:rsid w:val="00E30E58"/>
    <w:rsid w:val="00E30F63"/>
    <w:rsid w:val="00E31110"/>
    <w:rsid w:val="00E313F9"/>
    <w:rsid w:val="00E3146C"/>
    <w:rsid w:val="00E31D52"/>
    <w:rsid w:val="00E31F92"/>
    <w:rsid w:val="00E32555"/>
    <w:rsid w:val="00E33002"/>
    <w:rsid w:val="00E3348D"/>
    <w:rsid w:val="00E334E6"/>
    <w:rsid w:val="00E3384F"/>
    <w:rsid w:val="00E33F7E"/>
    <w:rsid w:val="00E3415A"/>
    <w:rsid w:val="00E3436C"/>
    <w:rsid w:val="00E34BA5"/>
    <w:rsid w:val="00E35A3D"/>
    <w:rsid w:val="00E35AC5"/>
    <w:rsid w:val="00E35C4C"/>
    <w:rsid w:val="00E35D52"/>
    <w:rsid w:val="00E3650E"/>
    <w:rsid w:val="00E36900"/>
    <w:rsid w:val="00E36DA5"/>
    <w:rsid w:val="00E378D3"/>
    <w:rsid w:val="00E37C4B"/>
    <w:rsid w:val="00E37C4E"/>
    <w:rsid w:val="00E40316"/>
    <w:rsid w:val="00E40356"/>
    <w:rsid w:val="00E412B5"/>
    <w:rsid w:val="00E41CF2"/>
    <w:rsid w:val="00E41D0C"/>
    <w:rsid w:val="00E42994"/>
    <w:rsid w:val="00E43174"/>
    <w:rsid w:val="00E43279"/>
    <w:rsid w:val="00E43746"/>
    <w:rsid w:val="00E43867"/>
    <w:rsid w:val="00E438C8"/>
    <w:rsid w:val="00E43F4E"/>
    <w:rsid w:val="00E4425F"/>
    <w:rsid w:val="00E444B0"/>
    <w:rsid w:val="00E4451D"/>
    <w:rsid w:val="00E44E23"/>
    <w:rsid w:val="00E45371"/>
    <w:rsid w:val="00E45D0B"/>
    <w:rsid w:val="00E46905"/>
    <w:rsid w:val="00E46CA1"/>
    <w:rsid w:val="00E4700F"/>
    <w:rsid w:val="00E501BC"/>
    <w:rsid w:val="00E50652"/>
    <w:rsid w:val="00E50CD8"/>
    <w:rsid w:val="00E50CE7"/>
    <w:rsid w:val="00E514EE"/>
    <w:rsid w:val="00E51D7E"/>
    <w:rsid w:val="00E52342"/>
    <w:rsid w:val="00E52465"/>
    <w:rsid w:val="00E53D9B"/>
    <w:rsid w:val="00E53E99"/>
    <w:rsid w:val="00E547B0"/>
    <w:rsid w:val="00E54FD8"/>
    <w:rsid w:val="00E55D17"/>
    <w:rsid w:val="00E561DC"/>
    <w:rsid w:val="00E5621E"/>
    <w:rsid w:val="00E56406"/>
    <w:rsid w:val="00E56450"/>
    <w:rsid w:val="00E5673A"/>
    <w:rsid w:val="00E57325"/>
    <w:rsid w:val="00E57587"/>
    <w:rsid w:val="00E5767D"/>
    <w:rsid w:val="00E57C26"/>
    <w:rsid w:val="00E57CE3"/>
    <w:rsid w:val="00E6038C"/>
    <w:rsid w:val="00E609C1"/>
    <w:rsid w:val="00E62880"/>
    <w:rsid w:val="00E62DCD"/>
    <w:rsid w:val="00E631D3"/>
    <w:rsid w:val="00E63248"/>
    <w:rsid w:val="00E64A86"/>
    <w:rsid w:val="00E65379"/>
    <w:rsid w:val="00E65CAF"/>
    <w:rsid w:val="00E65EE5"/>
    <w:rsid w:val="00E662F2"/>
    <w:rsid w:val="00E666CB"/>
    <w:rsid w:val="00E672D3"/>
    <w:rsid w:val="00E67DAB"/>
    <w:rsid w:val="00E70048"/>
    <w:rsid w:val="00E702BD"/>
    <w:rsid w:val="00E702C2"/>
    <w:rsid w:val="00E70DC7"/>
    <w:rsid w:val="00E7196E"/>
    <w:rsid w:val="00E71A72"/>
    <w:rsid w:val="00E724CC"/>
    <w:rsid w:val="00E728B4"/>
    <w:rsid w:val="00E72E01"/>
    <w:rsid w:val="00E72E36"/>
    <w:rsid w:val="00E73133"/>
    <w:rsid w:val="00E73D67"/>
    <w:rsid w:val="00E73FCB"/>
    <w:rsid w:val="00E74064"/>
    <w:rsid w:val="00E74102"/>
    <w:rsid w:val="00E7475B"/>
    <w:rsid w:val="00E74C97"/>
    <w:rsid w:val="00E75067"/>
    <w:rsid w:val="00E75289"/>
    <w:rsid w:val="00E7626A"/>
    <w:rsid w:val="00E77109"/>
    <w:rsid w:val="00E773A6"/>
    <w:rsid w:val="00E80255"/>
    <w:rsid w:val="00E80989"/>
    <w:rsid w:val="00E81EE9"/>
    <w:rsid w:val="00E82324"/>
    <w:rsid w:val="00E8243D"/>
    <w:rsid w:val="00E82C26"/>
    <w:rsid w:val="00E82D60"/>
    <w:rsid w:val="00E8386C"/>
    <w:rsid w:val="00E8429A"/>
    <w:rsid w:val="00E84CB1"/>
    <w:rsid w:val="00E84CCA"/>
    <w:rsid w:val="00E84D0D"/>
    <w:rsid w:val="00E863DF"/>
    <w:rsid w:val="00E8672B"/>
    <w:rsid w:val="00E86AAE"/>
    <w:rsid w:val="00E87E24"/>
    <w:rsid w:val="00E904E0"/>
    <w:rsid w:val="00E91311"/>
    <w:rsid w:val="00E91550"/>
    <w:rsid w:val="00E91A22"/>
    <w:rsid w:val="00E91AAE"/>
    <w:rsid w:val="00E91DB4"/>
    <w:rsid w:val="00E92498"/>
    <w:rsid w:val="00E926C3"/>
    <w:rsid w:val="00E9293A"/>
    <w:rsid w:val="00E930CA"/>
    <w:rsid w:val="00E94704"/>
    <w:rsid w:val="00E9476B"/>
    <w:rsid w:val="00E94BAE"/>
    <w:rsid w:val="00E94DEB"/>
    <w:rsid w:val="00E96330"/>
    <w:rsid w:val="00E96551"/>
    <w:rsid w:val="00E96693"/>
    <w:rsid w:val="00E96C92"/>
    <w:rsid w:val="00E97C09"/>
    <w:rsid w:val="00EA0CB2"/>
    <w:rsid w:val="00EA18DB"/>
    <w:rsid w:val="00EA19D9"/>
    <w:rsid w:val="00EA2764"/>
    <w:rsid w:val="00EA2C6A"/>
    <w:rsid w:val="00EA2FF5"/>
    <w:rsid w:val="00EA399C"/>
    <w:rsid w:val="00EA3AF5"/>
    <w:rsid w:val="00EA3DBF"/>
    <w:rsid w:val="00EA444A"/>
    <w:rsid w:val="00EA5A38"/>
    <w:rsid w:val="00EA5B6D"/>
    <w:rsid w:val="00EA5EED"/>
    <w:rsid w:val="00EA5FC0"/>
    <w:rsid w:val="00EA62BD"/>
    <w:rsid w:val="00EA6660"/>
    <w:rsid w:val="00EA6AB8"/>
    <w:rsid w:val="00EA720A"/>
    <w:rsid w:val="00EA7667"/>
    <w:rsid w:val="00EA7957"/>
    <w:rsid w:val="00EA7AAD"/>
    <w:rsid w:val="00EB0237"/>
    <w:rsid w:val="00EB043F"/>
    <w:rsid w:val="00EB0563"/>
    <w:rsid w:val="00EB0A24"/>
    <w:rsid w:val="00EB0C73"/>
    <w:rsid w:val="00EB0CEA"/>
    <w:rsid w:val="00EB0E82"/>
    <w:rsid w:val="00EB0FED"/>
    <w:rsid w:val="00EB1A72"/>
    <w:rsid w:val="00EB1BB9"/>
    <w:rsid w:val="00EB2581"/>
    <w:rsid w:val="00EB2678"/>
    <w:rsid w:val="00EB288F"/>
    <w:rsid w:val="00EB299E"/>
    <w:rsid w:val="00EB3318"/>
    <w:rsid w:val="00EB396F"/>
    <w:rsid w:val="00EB3F5A"/>
    <w:rsid w:val="00EB46C8"/>
    <w:rsid w:val="00EB5100"/>
    <w:rsid w:val="00EB5433"/>
    <w:rsid w:val="00EB5D02"/>
    <w:rsid w:val="00EB5EA8"/>
    <w:rsid w:val="00EB6A39"/>
    <w:rsid w:val="00EB7101"/>
    <w:rsid w:val="00EB7670"/>
    <w:rsid w:val="00EB76AF"/>
    <w:rsid w:val="00EB790A"/>
    <w:rsid w:val="00EC0603"/>
    <w:rsid w:val="00EC070A"/>
    <w:rsid w:val="00EC0908"/>
    <w:rsid w:val="00EC10E9"/>
    <w:rsid w:val="00EC191B"/>
    <w:rsid w:val="00EC1FC1"/>
    <w:rsid w:val="00EC24D8"/>
    <w:rsid w:val="00EC2BD7"/>
    <w:rsid w:val="00EC2EB0"/>
    <w:rsid w:val="00EC308C"/>
    <w:rsid w:val="00EC3315"/>
    <w:rsid w:val="00EC3452"/>
    <w:rsid w:val="00EC37F9"/>
    <w:rsid w:val="00EC4B4A"/>
    <w:rsid w:val="00EC4D03"/>
    <w:rsid w:val="00EC555A"/>
    <w:rsid w:val="00EC5CE3"/>
    <w:rsid w:val="00EC6BB9"/>
    <w:rsid w:val="00EC748A"/>
    <w:rsid w:val="00EC7516"/>
    <w:rsid w:val="00EC7608"/>
    <w:rsid w:val="00EC7B54"/>
    <w:rsid w:val="00EC7C35"/>
    <w:rsid w:val="00EC7E33"/>
    <w:rsid w:val="00ED078E"/>
    <w:rsid w:val="00ED080A"/>
    <w:rsid w:val="00ED0B6B"/>
    <w:rsid w:val="00ED16F5"/>
    <w:rsid w:val="00ED18EA"/>
    <w:rsid w:val="00ED1C62"/>
    <w:rsid w:val="00ED346E"/>
    <w:rsid w:val="00ED3491"/>
    <w:rsid w:val="00ED3B2D"/>
    <w:rsid w:val="00ED3C79"/>
    <w:rsid w:val="00ED40A8"/>
    <w:rsid w:val="00ED56C0"/>
    <w:rsid w:val="00ED60C2"/>
    <w:rsid w:val="00ED61E2"/>
    <w:rsid w:val="00ED6A5F"/>
    <w:rsid w:val="00ED6BEA"/>
    <w:rsid w:val="00ED6D60"/>
    <w:rsid w:val="00ED71B8"/>
    <w:rsid w:val="00ED7515"/>
    <w:rsid w:val="00ED7675"/>
    <w:rsid w:val="00ED7AB5"/>
    <w:rsid w:val="00EE0123"/>
    <w:rsid w:val="00EE017F"/>
    <w:rsid w:val="00EE06FA"/>
    <w:rsid w:val="00EE10D0"/>
    <w:rsid w:val="00EE2A3C"/>
    <w:rsid w:val="00EE328F"/>
    <w:rsid w:val="00EE32FB"/>
    <w:rsid w:val="00EE421C"/>
    <w:rsid w:val="00EE4632"/>
    <w:rsid w:val="00EE4993"/>
    <w:rsid w:val="00EE5541"/>
    <w:rsid w:val="00EE560D"/>
    <w:rsid w:val="00EE6971"/>
    <w:rsid w:val="00EE6C68"/>
    <w:rsid w:val="00EE6CF7"/>
    <w:rsid w:val="00EE6FA2"/>
    <w:rsid w:val="00EE7302"/>
    <w:rsid w:val="00EE77F7"/>
    <w:rsid w:val="00EE78D3"/>
    <w:rsid w:val="00EF08AE"/>
    <w:rsid w:val="00EF0A12"/>
    <w:rsid w:val="00EF1812"/>
    <w:rsid w:val="00EF19CF"/>
    <w:rsid w:val="00EF2919"/>
    <w:rsid w:val="00EF34E2"/>
    <w:rsid w:val="00EF3A2F"/>
    <w:rsid w:val="00EF4E63"/>
    <w:rsid w:val="00EF4E8B"/>
    <w:rsid w:val="00EF4EE2"/>
    <w:rsid w:val="00EF50AA"/>
    <w:rsid w:val="00EF51A6"/>
    <w:rsid w:val="00EF56AD"/>
    <w:rsid w:val="00EF6CD8"/>
    <w:rsid w:val="00EF7594"/>
    <w:rsid w:val="00EF7DF8"/>
    <w:rsid w:val="00EF7FDC"/>
    <w:rsid w:val="00F0000C"/>
    <w:rsid w:val="00F004BA"/>
    <w:rsid w:val="00F0075A"/>
    <w:rsid w:val="00F00C57"/>
    <w:rsid w:val="00F00CDA"/>
    <w:rsid w:val="00F013E3"/>
    <w:rsid w:val="00F0188D"/>
    <w:rsid w:val="00F01D7F"/>
    <w:rsid w:val="00F026F3"/>
    <w:rsid w:val="00F02FD1"/>
    <w:rsid w:val="00F03784"/>
    <w:rsid w:val="00F03A84"/>
    <w:rsid w:val="00F04ADA"/>
    <w:rsid w:val="00F04C7B"/>
    <w:rsid w:val="00F0522E"/>
    <w:rsid w:val="00F05D36"/>
    <w:rsid w:val="00F05E31"/>
    <w:rsid w:val="00F06161"/>
    <w:rsid w:val="00F06CEB"/>
    <w:rsid w:val="00F07135"/>
    <w:rsid w:val="00F07F74"/>
    <w:rsid w:val="00F100CB"/>
    <w:rsid w:val="00F108AC"/>
    <w:rsid w:val="00F109AF"/>
    <w:rsid w:val="00F10B22"/>
    <w:rsid w:val="00F1215C"/>
    <w:rsid w:val="00F125F9"/>
    <w:rsid w:val="00F12D67"/>
    <w:rsid w:val="00F12F7A"/>
    <w:rsid w:val="00F13A29"/>
    <w:rsid w:val="00F147E7"/>
    <w:rsid w:val="00F14898"/>
    <w:rsid w:val="00F14A52"/>
    <w:rsid w:val="00F14B8F"/>
    <w:rsid w:val="00F14BD1"/>
    <w:rsid w:val="00F15015"/>
    <w:rsid w:val="00F15AF9"/>
    <w:rsid w:val="00F15FB4"/>
    <w:rsid w:val="00F16B9C"/>
    <w:rsid w:val="00F17143"/>
    <w:rsid w:val="00F172BF"/>
    <w:rsid w:val="00F1737A"/>
    <w:rsid w:val="00F17745"/>
    <w:rsid w:val="00F17EB7"/>
    <w:rsid w:val="00F2015A"/>
    <w:rsid w:val="00F20549"/>
    <w:rsid w:val="00F207B1"/>
    <w:rsid w:val="00F20881"/>
    <w:rsid w:val="00F2145B"/>
    <w:rsid w:val="00F21A54"/>
    <w:rsid w:val="00F21E5D"/>
    <w:rsid w:val="00F233B2"/>
    <w:rsid w:val="00F23431"/>
    <w:rsid w:val="00F23941"/>
    <w:rsid w:val="00F23E51"/>
    <w:rsid w:val="00F23EAC"/>
    <w:rsid w:val="00F2408F"/>
    <w:rsid w:val="00F2433A"/>
    <w:rsid w:val="00F24442"/>
    <w:rsid w:val="00F24E62"/>
    <w:rsid w:val="00F25195"/>
    <w:rsid w:val="00F26818"/>
    <w:rsid w:val="00F26B01"/>
    <w:rsid w:val="00F270B7"/>
    <w:rsid w:val="00F276C7"/>
    <w:rsid w:val="00F30498"/>
    <w:rsid w:val="00F3257A"/>
    <w:rsid w:val="00F33733"/>
    <w:rsid w:val="00F33AD7"/>
    <w:rsid w:val="00F33F88"/>
    <w:rsid w:val="00F33FF6"/>
    <w:rsid w:val="00F34CA2"/>
    <w:rsid w:val="00F35534"/>
    <w:rsid w:val="00F35867"/>
    <w:rsid w:val="00F35EC9"/>
    <w:rsid w:val="00F360FF"/>
    <w:rsid w:val="00F36A83"/>
    <w:rsid w:val="00F377D7"/>
    <w:rsid w:val="00F37D49"/>
    <w:rsid w:val="00F4005B"/>
    <w:rsid w:val="00F40445"/>
    <w:rsid w:val="00F40574"/>
    <w:rsid w:val="00F409E4"/>
    <w:rsid w:val="00F40D15"/>
    <w:rsid w:val="00F413E6"/>
    <w:rsid w:val="00F415F4"/>
    <w:rsid w:val="00F41F2C"/>
    <w:rsid w:val="00F42611"/>
    <w:rsid w:val="00F42876"/>
    <w:rsid w:val="00F42C85"/>
    <w:rsid w:val="00F43427"/>
    <w:rsid w:val="00F4396C"/>
    <w:rsid w:val="00F4396D"/>
    <w:rsid w:val="00F43C34"/>
    <w:rsid w:val="00F44063"/>
    <w:rsid w:val="00F4417D"/>
    <w:rsid w:val="00F453D9"/>
    <w:rsid w:val="00F45DA0"/>
    <w:rsid w:val="00F4624E"/>
    <w:rsid w:val="00F462F2"/>
    <w:rsid w:val="00F46361"/>
    <w:rsid w:val="00F46961"/>
    <w:rsid w:val="00F469F6"/>
    <w:rsid w:val="00F46A07"/>
    <w:rsid w:val="00F474E0"/>
    <w:rsid w:val="00F47E65"/>
    <w:rsid w:val="00F50606"/>
    <w:rsid w:val="00F5122E"/>
    <w:rsid w:val="00F51A7A"/>
    <w:rsid w:val="00F528D7"/>
    <w:rsid w:val="00F539B8"/>
    <w:rsid w:val="00F54D09"/>
    <w:rsid w:val="00F554EC"/>
    <w:rsid w:val="00F55596"/>
    <w:rsid w:val="00F55BA4"/>
    <w:rsid w:val="00F56F56"/>
    <w:rsid w:val="00F57628"/>
    <w:rsid w:val="00F57AE8"/>
    <w:rsid w:val="00F57B1B"/>
    <w:rsid w:val="00F602A5"/>
    <w:rsid w:val="00F60993"/>
    <w:rsid w:val="00F61443"/>
    <w:rsid w:val="00F61BA2"/>
    <w:rsid w:val="00F61EB8"/>
    <w:rsid w:val="00F6230D"/>
    <w:rsid w:val="00F62B7B"/>
    <w:rsid w:val="00F63E41"/>
    <w:rsid w:val="00F6456D"/>
    <w:rsid w:val="00F64D71"/>
    <w:rsid w:val="00F65B90"/>
    <w:rsid w:val="00F66224"/>
    <w:rsid w:val="00F66BF2"/>
    <w:rsid w:val="00F670A6"/>
    <w:rsid w:val="00F6775F"/>
    <w:rsid w:val="00F67C3E"/>
    <w:rsid w:val="00F7074C"/>
    <w:rsid w:val="00F70EBC"/>
    <w:rsid w:val="00F711ED"/>
    <w:rsid w:val="00F71668"/>
    <w:rsid w:val="00F72043"/>
    <w:rsid w:val="00F7266F"/>
    <w:rsid w:val="00F72BCD"/>
    <w:rsid w:val="00F72BE5"/>
    <w:rsid w:val="00F732BD"/>
    <w:rsid w:val="00F74558"/>
    <w:rsid w:val="00F745CF"/>
    <w:rsid w:val="00F747F5"/>
    <w:rsid w:val="00F74AE7"/>
    <w:rsid w:val="00F75C1A"/>
    <w:rsid w:val="00F76A65"/>
    <w:rsid w:val="00F76C65"/>
    <w:rsid w:val="00F76F7D"/>
    <w:rsid w:val="00F8046B"/>
    <w:rsid w:val="00F80CAE"/>
    <w:rsid w:val="00F8110D"/>
    <w:rsid w:val="00F8124A"/>
    <w:rsid w:val="00F81C02"/>
    <w:rsid w:val="00F81C88"/>
    <w:rsid w:val="00F820D0"/>
    <w:rsid w:val="00F82852"/>
    <w:rsid w:val="00F832C1"/>
    <w:rsid w:val="00F83D28"/>
    <w:rsid w:val="00F84188"/>
    <w:rsid w:val="00F84A46"/>
    <w:rsid w:val="00F86704"/>
    <w:rsid w:val="00F868CD"/>
    <w:rsid w:val="00F87E5C"/>
    <w:rsid w:val="00F9015E"/>
    <w:rsid w:val="00F902B4"/>
    <w:rsid w:val="00F9061A"/>
    <w:rsid w:val="00F91253"/>
    <w:rsid w:val="00F91DBE"/>
    <w:rsid w:val="00F920AD"/>
    <w:rsid w:val="00F92113"/>
    <w:rsid w:val="00F92D6E"/>
    <w:rsid w:val="00F93BEC"/>
    <w:rsid w:val="00F94272"/>
    <w:rsid w:val="00F942E0"/>
    <w:rsid w:val="00F946F4"/>
    <w:rsid w:val="00F94D77"/>
    <w:rsid w:val="00F952CA"/>
    <w:rsid w:val="00F95475"/>
    <w:rsid w:val="00F95D2C"/>
    <w:rsid w:val="00F95E07"/>
    <w:rsid w:val="00F96497"/>
    <w:rsid w:val="00F969F2"/>
    <w:rsid w:val="00F96A9C"/>
    <w:rsid w:val="00F96C37"/>
    <w:rsid w:val="00F96C54"/>
    <w:rsid w:val="00F976CB"/>
    <w:rsid w:val="00FA0114"/>
    <w:rsid w:val="00FA0439"/>
    <w:rsid w:val="00FA060D"/>
    <w:rsid w:val="00FA0849"/>
    <w:rsid w:val="00FA096F"/>
    <w:rsid w:val="00FA0C41"/>
    <w:rsid w:val="00FA0EAB"/>
    <w:rsid w:val="00FA115F"/>
    <w:rsid w:val="00FA1848"/>
    <w:rsid w:val="00FA1F9C"/>
    <w:rsid w:val="00FA2AFA"/>
    <w:rsid w:val="00FA2BDE"/>
    <w:rsid w:val="00FA2EB8"/>
    <w:rsid w:val="00FA3773"/>
    <w:rsid w:val="00FA3A84"/>
    <w:rsid w:val="00FA3A8D"/>
    <w:rsid w:val="00FA4EBC"/>
    <w:rsid w:val="00FA50A4"/>
    <w:rsid w:val="00FA537E"/>
    <w:rsid w:val="00FA542A"/>
    <w:rsid w:val="00FA56B4"/>
    <w:rsid w:val="00FA5F65"/>
    <w:rsid w:val="00FA65AB"/>
    <w:rsid w:val="00FA7060"/>
    <w:rsid w:val="00FA72D9"/>
    <w:rsid w:val="00FA7878"/>
    <w:rsid w:val="00FA78F1"/>
    <w:rsid w:val="00FA7FCE"/>
    <w:rsid w:val="00FB0554"/>
    <w:rsid w:val="00FB13B5"/>
    <w:rsid w:val="00FB1EF5"/>
    <w:rsid w:val="00FB211D"/>
    <w:rsid w:val="00FB23C3"/>
    <w:rsid w:val="00FB2957"/>
    <w:rsid w:val="00FB2FF1"/>
    <w:rsid w:val="00FB3E55"/>
    <w:rsid w:val="00FB560A"/>
    <w:rsid w:val="00FB5EA4"/>
    <w:rsid w:val="00FB601B"/>
    <w:rsid w:val="00FB6F0E"/>
    <w:rsid w:val="00FB7573"/>
    <w:rsid w:val="00FB777B"/>
    <w:rsid w:val="00FB7880"/>
    <w:rsid w:val="00FC03E4"/>
    <w:rsid w:val="00FC0743"/>
    <w:rsid w:val="00FC093B"/>
    <w:rsid w:val="00FC0A51"/>
    <w:rsid w:val="00FC0EEA"/>
    <w:rsid w:val="00FC1286"/>
    <w:rsid w:val="00FC1D61"/>
    <w:rsid w:val="00FC2325"/>
    <w:rsid w:val="00FC263A"/>
    <w:rsid w:val="00FC2C58"/>
    <w:rsid w:val="00FC31F5"/>
    <w:rsid w:val="00FC35C6"/>
    <w:rsid w:val="00FC3DA9"/>
    <w:rsid w:val="00FC482F"/>
    <w:rsid w:val="00FC4A7F"/>
    <w:rsid w:val="00FC4C8D"/>
    <w:rsid w:val="00FC520C"/>
    <w:rsid w:val="00FC57E1"/>
    <w:rsid w:val="00FC59D3"/>
    <w:rsid w:val="00FC5CC4"/>
    <w:rsid w:val="00FC6043"/>
    <w:rsid w:val="00FC7025"/>
    <w:rsid w:val="00FC7073"/>
    <w:rsid w:val="00FC7777"/>
    <w:rsid w:val="00FD044C"/>
    <w:rsid w:val="00FD0508"/>
    <w:rsid w:val="00FD0755"/>
    <w:rsid w:val="00FD0D6A"/>
    <w:rsid w:val="00FD0D7A"/>
    <w:rsid w:val="00FD1165"/>
    <w:rsid w:val="00FD139B"/>
    <w:rsid w:val="00FD1782"/>
    <w:rsid w:val="00FD1EDC"/>
    <w:rsid w:val="00FD2A4E"/>
    <w:rsid w:val="00FD2B77"/>
    <w:rsid w:val="00FD2E88"/>
    <w:rsid w:val="00FD2FE6"/>
    <w:rsid w:val="00FD3484"/>
    <w:rsid w:val="00FD37EE"/>
    <w:rsid w:val="00FD3B2A"/>
    <w:rsid w:val="00FD3B2C"/>
    <w:rsid w:val="00FD4EB3"/>
    <w:rsid w:val="00FD54F1"/>
    <w:rsid w:val="00FD5650"/>
    <w:rsid w:val="00FD6161"/>
    <w:rsid w:val="00FD65FC"/>
    <w:rsid w:val="00FD674A"/>
    <w:rsid w:val="00FD70B5"/>
    <w:rsid w:val="00FD7192"/>
    <w:rsid w:val="00FD7957"/>
    <w:rsid w:val="00FD7A2A"/>
    <w:rsid w:val="00FD7A3F"/>
    <w:rsid w:val="00FD7F88"/>
    <w:rsid w:val="00FE0156"/>
    <w:rsid w:val="00FE056C"/>
    <w:rsid w:val="00FE0DF9"/>
    <w:rsid w:val="00FE0FFF"/>
    <w:rsid w:val="00FE1AA8"/>
    <w:rsid w:val="00FE1D27"/>
    <w:rsid w:val="00FE25F4"/>
    <w:rsid w:val="00FE28F3"/>
    <w:rsid w:val="00FE298E"/>
    <w:rsid w:val="00FE2DAC"/>
    <w:rsid w:val="00FE30D6"/>
    <w:rsid w:val="00FE315C"/>
    <w:rsid w:val="00FE436B"/>
    <w:rsid w:val="00FE4512"/>
    <w:rsid w:val="00FE45A6"/>
    <w:rsid w:val="00FE52B9"/>
    <w:rsid w:val="00FE6448"/>
    <w:rsid w:val="00FE64EA"/>
    <w:rsid w:val="00FE6A61"/>
    <w:rsid w:val="00FE6F74"/>
    <w:rsid w:val="00FE76B2"/>
    <w:rsid w:val="00FE796F"/>
    <w:rsid w:val="00FE7F3E"/>
    <w:rsid w:val="00FF0B56"/>
    <w:rsid w:val="00FF0CF0"/>
    <w:rsid w:val="00FF125F"/>
    <w:rsid w:val="00FF1306"/>
    <w:rsid w:val="00FF176E"/>
    <w:rsid w:val="00FF2145"/>
    <w:rsid w:val="00FF2709"/>
    <w:rsid w:val="00FF2D77"/>
    <w:rsid w:val="00FF31D9"/>
    <w:rsid w:val="00FF31F4"/>
    <w:rsid w:val="00FF3374"/>
    <w:rsid w:val="00FF3BE4"/>
    <w:rsid w:val="00FF3F25"/>
    <w:rsid w:val="00FF3FD5"/>
    <w:rsid w:val="00FF426F"/>
    <w:rsid w:val="00FF45E0"/>
    <w:rsid w:val="00FF488D"/>
    <w:rsid w:val="00FF4BFC"/>
    <w:rsid w:val="00FF6B60"/>
    <w:rsid w:val="00FF7802"/>
    <w:rsid w:val="00FF78D8"/>
    <w:rsid w:val="00FF7963"/>
    <w:rsid w:val="00FF7BA0"/>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41"/>
    <o:shapelayout v:ext="edit">
      <o:idmap v:ext="edit" data="1"/>
    </o:shapelayout>
  </w:shapeDefaults>
  <w:decimalSymbol w:val=","/>
  <w:listSeparator w:val=";"/>
  <w14:docId w14:val="02950602"/>
  <w15:docId w15:val="{F8A6AD85-87C1-4254-9802-2307F34F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E3"/>
  </w:style>
  <w:style w:type="paragraph" w:styleId="Heading1">
    <w:name w:val="heading 1"/>
    <w:basedOn w:val="Normal"/>
    <w:next w:val="Normal"/>
    <w:link w:val="Heading1Char"/>
    <w:uiPriority w:val="9"/>
    <w:qFormat/>
    <w:rsid w:val="009C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C08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086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8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C08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0862"/>
    <w:rPr>
      <w:rFonts w:asciiTheme="majorHAnsi" w:eastAsiaTheme="majorEastAsia" w:hAnsiTheme="majorHAnsi" w:cstheme="majorBidi"/>
      <w:color w:val="1F4D78" w:themeColor="accent1" w:themeShade="7F"/>
      <w:szCs w:val="24"/>
    </w:rPr>
  </w:style>
  <w:style w:type="character" w:styleId="Hyperlink">
    <w:name w:val="Hyperlink"/>
    <w:basedOn w:val="DefaultParagraphFont"/>
    <w:uiPriority w:val="99"/>
    <w:unhideWhenUsed/>
    <w:rsid w:val="009C0862"/>
    <w:rPr>
      <w:color w:val="0563C1" w:themeColor="hyperlink"/>
      <w:u w:val="single"/>
    </w:rPr>
  </w:style>
  <w:style w:type="paragraph" w:styleId="Title">
    <w:name w:val="Title"/>
    <w:basedOn w:val="Normal"/>
    <w:link w:val="TitleChar"/>
    <w:uiPriority w:val="10"/>
    <w:qFormat/>
    <w:rsid w:val="009C0862"/>
    <w:pPr>
      <w:spacing w:before="120" w:after="120" w:line="276" w:lineRule="auto"/>
      <w:jc w:val="center"/>
    </w:pPr>
    <w:rPr>
      <w:rFonts w:eastAsia="Times New Roman" w:cs="Times New Roman"/>
      <w:b/>
      <w:sz w:val="28"/>
      <w:szCs w:val="28"/>
    </w:rPr>
  </w:style>
  <w:style w:type="character" w:customStyle="1" w:styleId="TitleChar">
    <w:name w:val="Title Char"/>
    <w:basedOn w:val="DefaultParagraphFont"/>
    <w:link w:val="Title"/>
    <w:uiPriority w:val="10"/>
    <w:rsid w:val="009C0862"/>
    <w:rPr>
      <w:rFonts w:eastAsia="Times New Roman" w:cs="Times New Roman"/>
      <w:b/>
      <w:sz w:val="28"/>
      <w:szCs w:val="28"/>
    </w:rPr>
  </w:style>
  <w:style w:type="paragraph" w:styleId="BodyText">
    <w:name w:val="Body Text"/>
    <w:basedOn w:val="Normal"/>
    <w:link w:val="BodyTextChar"/>
    <w:rsid w:val="009C0862"/>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9C0862"/>
    <w:rPr>
      <w:rFonts w:eastAsia="Times New Roman" w:cs="Times New Roman"/>
      <w:b/>
      <w:bCs/>
      <w:szCs w:val="24"/>
      <w:lang w:val="en-GB"/>
    </w:rPr>
  </w:style>
  <w:style w:type="paragraph" w:styleId="TOC1">
    <w:name w:val="toc 1"/>
    <w:basedOn w:val="Normal"/>
    <w:next w:val="Normal"/>
    <w:autoRedefine/>
    <w:uiPriority w:val="39"/>
    <w:unhideWhenUsed/>
    <w:qFormat/>
    <w:rsid w:val="009C0862"/>
    <w:pPr>
      <w:tabs>
        <w:tab w:val="left" w:pos="426"/>
        <w:tab w:val="right" w:leader="dot" w:pos="8902"/>
      </w:tabs>
      <w:spacing w:before="120" w:after="120"/>
      <w:ind w:right="-2"/>
    </w:pPr>
    <w:rPr>
      <w:rFonts w:eastAsia="Times New Roman" w:cs="Times New Roman"/>
      <w:b/>
      <w:bCs/>
      <w:noProof/>
      <w:szCs w:val="24"/>
    </w:rPr>
  </w:style>
  <w:style w:type="paragraph" w:styleId="TOC2">
    <w:name w:val="toc 2"/>
    <w:basedOn w:val="Normal"/>
    <w:next w:val="Normal"/>
    <w:autoRedefine/>
    <w:uiPriority w:val="39"/>
    <w:unhideWhenUsed/>
    <w:qFormat/>
    <w:rsid w:val="0090019B"/>
    <w:pPr>
      <w:tabs>
        <w:tab w:val="left" w:pos="720"/>
        <w:tab w:val="right" w:leader="dot" w:pos="8902"/>
      </w:tabs>
      <w:spacing w:before="240" w:after="120"/>
      <w:ind w:right="-2"/>
      <w:jc w:val="both"/>
    </w:pPr>
    <w:rPr>
      <w:rFonts w:eastAsia="Times New Roman" w:cs="Times New Roman"/>
      <w:bCs/>
      <w:i/>
      <w:noProof/>
      <w:sz w:val="28"/>
      <w:szCs w:val="28"/>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9C0862"/>
    <w:pPr>
      <w:ind w:left="720"/>
      <w:contextualSpacing/>
    </w:pPr>
  </w:style>
  <w:style w:type="paragraph" w:styleId="NoSpacing">
    <w:name w:val="No Spacing"/>
    <w:uiPriority w:val="1"/>
    <w:qFormat/>
    <w:rsid w:val="009C0862"/>
  </w:style>
  <w:style w:type="paragraph" w:styleId="Subtitle">
    <w:name w:val="Subtitle"/>
    <w:basedOn w:val="Normal"/>
    <w:next w:val="Normal"/>
    <w:link w:val="SubtitleChar"/>
    <w:uiPriority w:val="11"/>
    <w:qFormat/>
    <w:rsid w:val="009C086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C0862"/>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9C0862"/>
    <w:rPr>
      <w:i/>
      <w:iCs/>
      <w:color w:val="404040" w:themeColor="text1" w:themeTint="BF"/>
    </w:rPr>
  </w:style>
  <w:style w:type="character" w:styleId="Emphasis">
    <w:name w:val="Emphasis"/>
    <w:basedOn w:val="DefaultParagraphFont"/>
    <w:uiPriority w:val="20"/>
    <w:qFormat/>
    <w:rsid w:val="009C0862"/>
    <w:rPr>
      <w:i/>
      <w:iCs/>
    </w:rPr>
  </w:style>
  <w:style w:type="character" w:styleId="IntenseEmphasis">
    <w:name w:val="Intense Emphasis"/>
    <w:basedOn w:val="DefaultParagraphFont"/>
    <w:uiPriority w:val="21"/>
    <w:qFormat/>
    <w:rsid w:val="009C0862"/>
    <w:rPr>
      <w:i/>
      <w:iCs/>
      <w:color w:val="5B9BD5" w:themeColor="accent1"/>
    </w:rPr>
  </w:style>
  <w:style w:type="character" w:styleId="Strong">
    <w:name w:val="Strong"/>
    <w:basedOn w:val="DefaultParagraphFont"/>
    <w:uiPriority w:val="22"/>
    <w:qFormat/>
    <w:rsid w:val="009C0862"/>
    <w:rPr>
      <w:b/>
      <w:bCs/>
    </w:rPr>
  </w:style>
  <w:style w:type="paragraph" w:customStyle="1" w:styleId="1lmenis">
    <w:name w:val="1.līmenis"/>
    <w:basedOn w:val="Heading1"/>
    <w:link w:val="1lmenisChar"/>
    <w:autoRedefine/>
    <w:uiPriority w:val="99"/>
    <w:qFormat/>
    <w:rsid w:val="003A19D3"/>
    <w:pPr>
      <w:tabs>
        <w:tab w:val="left" w:pos="0"/>
      </w:tabs>
      <w:spacing w:before="120" w:after="120" w:line="276" w:lineRule="auto"/>
      <w:jc w:val="center"/>
    </w:pPr>
    <w:rPr>
      <w:rFonts w:ascii="Times New Roman" w:eastAsia="Times New Roman" w:hAnsi="Times New Roman" w:cs="Times New Roman"/>
      <w:b/>
      <w:color w:val="000000"/>
      <w:sz w:val="28"/>
      <w:szCs w:val="28"/>
    </w:rPr>
  </w:style>
  <w:style w:type="paragraph" w:customStyle="1" w:styleId="2lmenis">
    <w:name w:val="2.līmenis"/>
    <w:basedOn w:val="Heading2"/>
    <w:link w:val="2lmenisChar"/>
    <w:autoRedefine/>
    <w:qFormat/>
    <w:rsid w:val="00422702"/>
    <w:pPr>
      <w:spacing w:before="120" w:after="120"/>
      <w:jc w:val="center"/>
    </w:pPr>
    <w:rPr>
      <w:rFonts w:ascii="Times New Roman" w:eastAsia="Times New Roman" w:hAnsi="Times New Roman"/>
      <w:b/>
      <w:color w:val="auto"/>
      <w:sz w:val="28"/>
    </w:rPr>
  </w:style>
  <w:style w:type="character" w:customStyle="1" w:styleId="1lmenisChar">
    <w:name w:val="1.līmenis Char"/>
    <w:basedOn w:val="SubtitleChar"/>
    <w:link w:val="1lmenis"/>
    <w:uiPriority w:val="99"/>
    <w:rsid w:val="003A19D3"/>
    <w:rPr>
      <w:rFonts w:asciiTheme="minorHAnsi" w:eastAsia="Times New Roman" w:hAnsiTheme="minorHAnsi" w:cs="Times New Roman"/>
      <w:b/>
      <w:color w:val="000000"/>
      <w:spacing w:val="15"/>
      <w:sz w:val="28"/>
      <w:szCs w:val="28"/>
    </w:rPr>
  </w:style>
  <w:style w:type="paragraph" w:customStyle="1" w:styleId="3lmenis">
    <w:name w:val="3.līmenis"/>
    <w:basedOn w:val="Heading3"/>
    <w:link w:val="3lmenisChar"/>
    <w:autoRedefine/>
    <w:qFormat/>
    <w:rsid w:val="009C0862"/>
    <w:pPr>
      <w:numPr>
        <w:ilvl w:val="2"/>
        <w:numId w:val="3"/>
      </w:numPr>
      <w:spacing w:before="240" w:after="240"/>
      <w:ind w:left="0" w:firstLine="0"/>
      <w:jc w:val="center"/>
    </w:pPr>
    <w:rPr>
      <w:rFonts w:ascii="Times New Roman" w:hAnsi="Times New Roman"/>
      <w:b/>
      <w:color w:val="000000"/>
    </w:rPr>
  </w:style>
  <w:style w:type="character" w:customStyle="1" w:styleId="2lmenisChar">
    <w:name w:val="2.līmenis Char"/>
    <w:basedOn w:val="DefaultParagraphFont"/>
    <w:link w:val="2lmenis"/>
    <w:rsid w:val="00422702"/>
    <w:rPr>
      <w:rFonts w:eastAsia="Times New Roman" w:cstheme="majorBidi"/>
      <w:b/>
      <w:sz w:val="28"/>
      <w:szCs w:val="26"/>
    </w:rPr>
  </w:style>
  <w:style w:type="paragraph" w:styleId="TOCHeading">
    <w:name w:val="TOC Heading"/>
    <w:basedOn w:val="Heading1"/>
    <w:next w:val="Normal"/>
    <w:uiPriority w:val="39"/>
    <w:unhideWhenUsed/>
    <w:qFormat/>
    <w:rsid w:val="009C0862"/>
    <w:pPr>
      <w:spacing w:line="259" w:lineRule="auto"/>
      <w:outlineLvl w:val="9"/>
    </w:pPr>
    <w:rPr>
      <w:lang w:val="en-US"/>
    </w:rPr>
  </w:style>
  <w:style w:type="character" w:customStyle="1" w:styleId="3lmenisChar">
    <w:name w:val="3.līmenis Char"/>
    <w:basedOn w:val="2lmenisChar"/>
    <w:link w:val="3lmenis"/>
    <w:rsid w:val="009C0862"/>
    <w:rPr>
      <w:rFonts w:eastAsiaTheme="majorEastAsia" w:cstheme="majorBidi"/>
      <w:b/>
      <w:color w:val="000000"/>
      <w:sz w:val="28"/>
      <w:szCs w:val="24"/>
    </w:rPr>
  </w:style>
  <w:style w:type="paragraph" w:styleId="TOC3">
    <w:name w:val="toc 3"/>
    <w:basedOn w:val="Normal"/>
    <w:next w:val="Normal"/>
    <w:autoRedefine/>
    <w:uiPriority w:val="39"/>
    <w:unhideWhenUsed/>
    <w:rsid w:val="009C0862"/>
    <w:pPr>
      <w:tabs>
        <w:tab w:val="left" w:pos="1320"/>
        <w:tab w:val="right" w:leader="dot" w:pos="8902"/>
      </w:tabs>
      <w:spacing w:after="100"/>
      <w:ind w:left="480" w:right="-2"/>
    </w:pPr>
  </w:style>
  <w:style w:type="paragraph" w:styleId="BalloonText">
    <w:name w:val="Balloon Text"/>
    <w:basedOn w:val="Normal"/>
    <w:link w:val="BalloonTextChar"/>
    <w:uiPriority w:val="99"/>
    <w:semiHidden/>
    <w:unhideWhenUsed/>
    <w:rsid w:val="009C0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62"/>
    <w:rPr>
      <w:rFonts w:ascii="Segoe UI" w:hAnsi="Segoe UI" w:cs="Segoe UI"/>
      <w:sz w:val="18"/>
      <w:szCs w:val="18"/>
    </w:rPr>
  </w:style>
  <w:style w:type="paragraph" w:customStyle="1" w:styleId="Default">
    <w:name w:val="Default"/>
    <w:rsid w:val="009C0862"/>
    <w:pPr>
      <w:autoSpaceDE w:val="0"/>
      <w:autoSpaceDN w:val="0"/>
      <w:adjustRightInd w:val="0"/>
      <w:spacing w:before="120" w:after="120" w:line="360" w:lineRule="auto"/>
      <w:jc w:val="both"/>
    </w:pPr>
    <w:rPr>
      <w:rFonts w:eastAsia="Calibri" w:cs="Times New Roman"/>
      <w:color w:val="000000"/>
      <w:szCs w:val="24"/>
      <w:lang w:eastAsia="lv-LV"/>
    </w:rPr>
  </w:style>
  <w:style w:type="paragraph" w:styleId="Header">
    <w:name w:val="header"/>
    <w:basedOn w:val="Normal"/>
    <w:link w:val="HeaderChar"/>
    <w:uiPriority w:val="99"/>
    <w:unhideWhenUsed/>
    <w:rsid w:val="009C0862"/>
    <w:pPr>
      <w:tabs>
        <w:tab w:val="center" w:pos="4153"/>
        <w:tab w:val="right" w:pos="8306"/>
      </w:tabs>
    </w:pPr>
  </w:style>
  <w:style w:type="character" w:customStyle="1" w:styleId="HeaderChar">
    <w:name w:val="Header Char"/>
    <w:basedOn w:val="DefaultParagraphFont"/>
    <w:link w:val="Header"/>
    <w:uiPriority w:val="99"/>
    <w:rsid w:val="009C0862"/>
  </w:style>
  <w:style w:type="paragraph" w:styleId="Footer">
    <w:name w:val="footer"/>
    <w:basedOn w:val="Normal"/>
    <w:link w:val="FooterChar"/>
    <w:uiPriority w:val="99"/>
    <w:unhideWhenUsed/>
    <w:rsid w:val="009C0862"/>
    <w:pPr>
      <w:tabs>
        <w:tab w:val="center" w:pos="4153"/>
        <w:tab w:val="right" w:pos="8306"/>
      </w:tabs>
    </w:pPr>
  </w:style>
  <w:style w:type="character" w:customStyle="1" w:styleId="FooterChar">
    <w:name w:val="Footer Char"/>
    <w:basedOn w:val="DefaultParagraphFont"/>
    <w:link w:val="Footer"/>
    <w:uiPriority w:val="99"/>
    <w:rsid w:val="009C0862"/>
  </w:style>
  <w:style w:type="character" w:styleId="CommentReference">
    <w:name w:val="annotation reference"/>
    <w:basedOn w:val="DefaultParagraphFont"/>
    <w:uiPriority w:val="99"/>
    <w:unhideWhenUsed/>
    <w:rsid w:val="009C0862"/>
    <w:rPr>
      <w:sz w:val="16"/>
      <w:szCs w:val="16"/>
    </w:rPr>
  </w:style>
  <w:style w:type="paragraph" w:styleId="CommentText">
    <w:name w:val="annotation text"/>
    <w:basedOn w:val="Normal"/>
    <w:link w:val="CommentTextChar"/>
    <w:uiPriority w:val="99"/>
    <w:unhideWhenUsed/>
    <w:rsid w:val="009C0862"/>
    <w:rPr>
      <w:sz w:val="20"/>
      <w:szCs w:val="20"/>
    </w:rPr>
  </w:style>
  <w:style w:type="character" w:customStyle="1" w:styleId="CommentTextChar">
    <w:name w:val="Comment Text Char"/>
    <w:basedOn w:val="DefaultParagraphFont"/>
    <w:link w:val="CommentText"/>
    <w:uiPriority w:val="99"/>
    <w:rsid w:val="009C0862"/>
    <w:rPr>
      <w:sz w:val="20"/>
      <w:szCs w:val="20"/>
    </w:rPr>
  </w:style>
  <w:style w:type="paragraph" w:styleId="CommentSubject">
    <w:name w:val="annotation subject"/>
    <w:basedOn w:val="CommentText"/>
    <w:next w:val="CommentText"/>
    <w:link w:val="CommentSubjectChar"/>
    <w:uiPriority w:val="99"/>
    <w:unhideWhenUsed/>
    <w:rsid w:val="009C0862"/>
    <w:rPr>
      <w:b/>
      <w:bCs/>
    </w:rPr>
  </w:style>
  <w:style w:type="character" w:customStyle="1" w:styleId="CommentSubjectChar">
    <w:name w:val="Comment Subject Char"/>
    <w:basedOn w:val="CommentTextChar"/>
    <w:link w:val="CommentSubject"/>
    <w:uiPriority w:val="99"/>
    <w:rsid w:val="009C0862"/>
    <w:rPr>
      <w:b/>
      <w:bCs/>
      <w:sz w:val="20"/>
      <w:szCs w:val="20"/>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9C0862"/>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9C0862"/>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9C0862"/>
    <w:rPr>
      <w:vertAlign w:val="superscript"/>
    </w:rPr>
  </w:style>
  <w:style w:type="paragraph" w:styleId="NormalWeb">
    <w:name w:val="Normal (Web)"/>
    <w:basedOn w:val="Normal"/>
    <w:uiPriority w:val="99"/>
    <w:rsid w:val="009C0862"/>
    <w:pPr>
      <w:spacing w:before="100" w:beforeAutospacing="1" w:after="100" w:afterAutospacing="1" w:line="360" w:lineRule="auto"/>
    </w:pPr>
    <w:rPr>
      <w:rFonts w:eastAsia="Times New Roman" w:cs="Times New Roman"/>
      <w:szCs w:val="24"/>
      <w:lang w:val="en-GB"/>
    </w:rPr>
  </w:style>
  <w:style w:type="character" w:styleId="FollowedHyperlink">
    <w:name w:val="FollowedHyperlink"/>
    <w:basedOn w:val="DefaultParagraphFont"/>
    <w:uiPriority w:val="99"/>
    <w:semiHidden/>
    <w:unhideWhenUsed/>
    <w:rsid w:val="009C0862"/>
    <w:rPr>
      <w:color w:val="954F72" w:themeColor="followedHyperlink"/>
      <w:u w:val="single"/>
    </w:rPr>
  </w:style>
  <w:style w:type="paragraph" w:styleId="BodyTextIndent">
    <w:name w:val="Body Text Indent"/>
    <w:basedOn w:val="Normal"/>
    <w:link w:val="BodyTextIndentChar"/>
    <w:rsid w:val="009C0862"/>
    <w:pPr>
      <w:spacing w:before="120" w:after="120" w:line="276" w:lineRule="auto"/>
      <w:ind w:left="283"/>
      <w:jc w:val="both"/>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9C0862"/>
    <w:rPr>
      <w:rFonts w:eastAsia="Times New Roman" w:cs="Times New Roman"/>
      <w:szCs w:val="20"/>
      <w:lang w:val="x-none" w:eastAsia="x-none"/>
    </w:rPr>
  </w:style>
  <w:style w:type="paragraph" w:styleId="HTMLPreformatted">
    <w:name w:val="HTML Preformatted"/>
    <w:basedOn w:val="Normal"/>
    <w:link w:val="HTMLPreformattedChar"/>
    <w:uiPriority w:val="99"/>
    <w:unhideWhenUsed/>
    <w:rsid w:val="009C0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9C0862"/>
    <w:rPr>
      <w:rFonts w:ascii="Courier New" w:hAnsi="Courier New" w:cs="Courier New"/>
      <w:sz w:val="20"/>
      <w:szCs w:val="20"/>
      <w:lang w:eastAsia="lv-LV"/>
    </w:rPr>
  </w:style>
  <w:style w:type="paragraph" w:customStyle="1" w:styleId="naiskr">
    <w:name w:val="naiskr"/>
    <w:basedOn w:val="Normal"/>
    <w:rsid w:val="009C0862"/>
    <w:pPr>
      <w:spacing w:before="75" w:after="75"/>
    </w:pPr>
    <w:rPr>
      <w:rFonts w:eastAsia="Times New Roman" w:cs="Times New Roman"/>
      <w:szCs w:val="24"/>
      <w:lang w:eastAsia="lv-LV"/>
    </w:rPr>
  </w:style>
  <w:style w:type="paragraph" w:customStyle="1" w:styleId="FDUKam">
    <w:name w:val="FDUKam"/>
    <w:basedOn w:val="ListParagraph"/>
    <w:link w:val="FDUKamChar"/>
    <w:qFormat/>
    <w:rsid w:val="009C0862"/>
    <w:pPr>
      <w:numPr>
        <w:ilvl w:val="1"/>
        <w:numId w:val="1"/>
      </w:numPr>
      <w:spacing w:after="200" w:line="276" w:lineRule="auto"/>
      <w:jc w:val="both"/>
    </w:pPr>
    <w:rPr>
      <w:rFonts w:eastAsia="Calibri" w:cs="Times New Roman"/>
      <w:sz w:val="22"/>
    </w:rPr>
  </w:style>
  <w:style w:type="character" w:customStyle="1" w:styleId="FDUKamChar">
    <w:name w:val="FDUKam Char"/>
    <w:basedOn w:val="DefaultParagraphFont"/>
    <w:link w:val="FDUKam"/>
    <w:rsid w:val="009C0862"/>
    <w:rPr>
      <w:rFonts w:eastAsia="Calibri" w:cs="Times New Roman"/>
      <w:sz w:val="22"/>
    </w:rPr>
  </w:style>
  <w:style w:type="paragraph" w:styleId="Revision">
    <w:name w:val="Revision"/>
    <w:hidden/>
    <w:uiPriority w:val="99"/>
    <w:semiHidden/>
    <w:rsid w:val="009C0862"/>
  </w:style>
  <w:style w:type="character" w:styleId="BookTitle">
    <w:name w:val="Book Title"/>
    <w:qFormat/>
    <w:rsid w:val="009C0862"/>
    <w:rPr>
      <w:b/>
      <w:bCs/>
      <w:smallCaps/>
      <w:spacing w:val="5"/>
    </w:rPr>
  </w:style>
  <w:style w:type="paragraph" w:customStyle="1" w:styleId="CM1">
    <w:name w:val="CM1"/>
    <w:basedOn w:val="Normal"/>
    <w:uiPriority w:val="99"/>
    <w:rsid w:val="009C0862"/>
    <w:pPr>
      <w:autoSpaceDE w:val="0"/>
      <w:autoSpaceDN w:val="0"/>
    </w:pPr>
    <w:rPr>
      <w:rFonts w:ascii="EUAlbertina" w:hAnsi="EUAlbertina" w:cs="Times New Roman"/>
      <w:szCs w:val="24"/>
    </w:rPr>
  </w:style>
  <w:style w:type="table" w:styleId="TableGrid">
    <w:name w:val="Table Grid"/>
    <w:basedOn w:val="TableNormal"/>
    <w:uiPriority w:val="39"/>
    <w:rsid w:val="009C0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C0862"/>
  </w:style>
  <w:style w:type="paragraph" w:styleId="PlainText">
    <w:name w:val="Plain Text"/>
    <w:basedOn w:val="Normal"/>
    <w:link w:val="PlainTextChar"/>
    <w:uiPriority w:val="99"/>
    <w:unhideWhenUsed/>
    <w:rsid w:val="009C0862"/>
    <w:rPr>
      <w:rFonts w:ascii="Calibri" w:hAnsi="Calibri" w:cs="Consolas"/>
      <w:sz w:val="22"/>
      <w:szCs w:val="21"/>
    </w:rPr>
  </w:style>
  <w:style w:type="character" w:customStyle="1" w:styleId="PlainTextChar">
    <w:name w:val="Plain Text Char"/>
    <w:basedOn w:val="DefaultParagraphFont"/>
    <w:link w:val="PlainText"/>
    <w:uiPriority w:val="99"/>
    <w:rsid w:val="009C0862"/>
    <w:rPr>
      <w:rFonts w:ascii="Calibri" w:hAnsi="Calibri" w:cs="Consolas"/>
      <w:sz w:val="22"/>
      <w:szCs w:val="21"/>
    </w:rPr>
  </w:style>
  <w:style w:type="numbering" w:customStyle="1" w:styleId="WWNum1">
    <w:name w:val="WWNum1"/>
    <w:basedOn w:val="NoList"/>
    <w:rsid w:val="009C0862"/>
    <w:pPr>
      <w:numPr>
        <w:numId w:val="2"/>
      </w:numPr>
    </w:p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9C0862"/>
  </w:style>
  <w:style w:type="table" w:customStyle="1" w:styleId="TableGrid1">
    <w:name w:val="Table Grid1"/>
    <w:basedOn w:val="TableNormal"/>
    <w:next w:val="TableGrid"/>
    <w:uiPriority w:val="39"/>
    <w:rsid w:val="009C086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Normal"/>
    <w:qFormat/>
    <w:rsid w:val="009C0862"/>
    <w:pPr>
      <w:ind w:left="720"/>
      <w:contextualSpacing/>
    </w:pPr>
    <w:rPr>
      <w:rFonts w:eastAsia="Calibri" w:cs="Times New Roman"/>
      <w:sz w:val="28"/>
      <w:lang w:eastAsia="lv-LV"/>
    </w:rPr>
  </w:style>
  <w:style w:type="character" w:customStyle="1" w:styleId="xdtextbox1">
    <w:name w:val="xdtextbox1"/>
    <w:basedOn w:val="DefaultParagraphFont"/>
    <w:rsid w:val="00AF193C"/>
    <w:rPr>
      <w:color w:val="auto"/>
      <w:bdr w:val="single" w:sz="8" w:space="1" w:color="DCDCDC" w:frame="1"/>
      <w:shd w:val="clear" w:color="auto" w:fill="FFFFFF"/>
    </w:rPr>
  </w:style>
  <w:style w:type="table" w:customStyle="1" w:styleId="TableGrid2">
    <w:name w:val="Table Grid2"/>
    <w:basedOn w:val="TableNormal"/>
    <w:next w:val="TableGrid"/>
    <w:uiPriority w:val="39"/>
    <w:rsid w:val="001F775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85BC9"/>
    <w:pPr>
      <w:spacing w:after="120" w:line="480" w:lineRule="auto"/>
    </w:pPr>
  </w:style>
  <w:style w:type="character" w:customStyle="1" w:styleId="BodyText2Char">
    <w:name w:val="Body Text 2 Char"/>
    <w:basedOn w:val="DefaultParagraphFont"/>
    <w:link w:val="BodyText2"/>
    <w:uiPriority w:val="99"/>
    <w:semiHidden/>
    <w:rsid w:val="00685BC9"/>
  </w:style>
  <w:style w:type="paragraph" w:styleId="EndnoteText">
    <w:name w:val="endnote text"/>
    <w:basedOn w:val="Normal"/>
    <w:link w:val="EndnoteTextChar"/>
    <w:uiPriority w:val="99"/>
    <w:semiHidden/>
    <w:unhideWhenUsed/>
    <w:rsid w:val="00D72ECF"/>
    <w:rPr>
      <w:sz w:val="20"/>
      <w:szCs w:val="20"/>
    </w:rPr>
  </w:style>
  <w:style w:type="character" w:customStyle="1" w:styleId="EndnoteTextChar">
    <w:name w:val="Endnote Text Char"/>
    <w:basedOn w:val="DefaultParagraphFont"/>
    <w:link w:val="EndnoteText"/>
    <w:uiPriority w:val="99"/>
    <w:semiHidden/>
    <w:rsid w:val="00D72ECF"/>
    <w:rPr>
      <w:sz w:val="20"/>
      <w:szCs w:val="20"/>
    </w:rPr>
  </w:style>
  <w:style w:type="character" w:styleId="EndnoteReference">
    <w:name w:val="endnote reference"/>
    <w:basedOn w:val="DefaultParagraphFont"/>
    <w:uiPriority w:val="99"/>
    <w:semiHidden/>
    <w:unhideWhenUsed/>
    <w:rsid w:val="00D72ECF"/>
    <w:rPr>
      <w:vertAlign w:val="superscript"/>
    </w:rPr>
  </w:style>
  <w:style w:type="character" w:customStyle="1" w:styleId="apple-converted-space">
    <w:name w:val="apple-converted-space"/>
    <w:basedOn w:val="DefaultParagraphFont"/>
    <w:rsid w:val="00AD42C8"/>
  </w:style>
  <w:style w:type="paragraph" w:customStyle="1" w:styleId="CharCharCharChar">
    <w:name w:val="Char Char Char Char"/>
    <w:aliases w:val="Char2"/>
    <w:basedOn w:val="Normal"/>
    <w:next w:val="Normal"/>
    <w:link w:val="FootnoteReference"/>
    <w:uiPriority w:val="99"/>
    <w:rsid w:val="00770A3D"/>
    <w:pPr>
      <w:spacing w:after="160" w:line="240" w:lineRule="exact"/>
      <w:jc w:val="both"/>
      <w:textAlignment w:val="baseline"/>
    </w:pPr>
    <w:rPr>
      <w:vertAlign w:val="superscript"/>
    </w:rPr>
  </w:style>
  <w:style w:type="paragraph" w:styleId="Caption">
    <w:name w:val="caption"/>
    <w:basedOn w:val="Normal"/>
    <w:next w:val="Normal"/>
    <w:uiPriority w:val="35"/>
    <w:unhideWhenUsed/>
    <w:qFormat/>
    <w:rsid w:val="00E43F4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287">
      <w:bodyDiv w:val="1"/>
      <w:marLeft w:val="0"/>
      <w:marRight w:val="0"/>
      <w:marTop w:val="0"/>
      <w:marBottom w:val="0"/>
      <w:divBdr>
        <w:top w:val="none" w:sz="0" w:space="0" w:color="auto"/>
        <w:left w:val="none" w:sz="0" w:space="0" w:color="auto"/>
        <w:bottom w:val="none" w:sz="0" w:space="0" w:color="auto"/>
        <w:right w:val="none" w:sz="0" w:space="0" w:color="auto"/>
      </w:divBdr>
      <w:divsChild>
        <w:div w:id="1615551724">
          <w:marLeft w:val="720"/>
          <w:marRight w:val="0"/>
          <w:marTop w:val="96"/>
          <w:marBottom w:val="0"/>
          <w:divBdr>
            <w:top w:val="none" w:sz="0" w:space="0" w:color="auto"/>
            <w:left w:val="none" w:sz="0" w:space="0" w:color="auto"/>
            <w:bottom w:val="none" w:sz="0" w:space="0" w:color="auto"/>
            <w:right w:val="none" w:sz="0" w:space="0" w:color="auto"/>
          </w:divBdr>
        </w:div>
      </w:divsChild>
    </w:div>
    <w:div w:id="54477967">
      <w:bodyDiv w:val="1"/>
      <w:marLeft w:val="0"/>
      <w:marRight w:val="0"/>
      <w:marTop w:val="0"/>
      <w:marBottom w:val="0"/>
      <w:divBdr>
        <w:top w:val="none" w:sz="0" w:space="0" w:color="auto"/>
        <w:left w:val="none" w:sz="0" w:space="0" w:color="auto"/>
        <w:bottom w:val="none" w:sz="0" w:space="0" w:color="auto"/>
        <w:right w:val="none" w:sz="0" w:space="0" w:color="auto"/>
      </w:divBdr>
    </w:div>
    <w:div w:id="62608598">
      <w:bodyDiv w:val="1"/>
      <w:marLeft w:val="0"/>
      <w:marRight w:val="0"/>
      <w:marTop w:val="0"/>
      <w:marBottom w:val="0"/>
      <w:divBdr>
        <w:top w:val="none" w:sz="0" w:space="0" w:color="auto"/>
        <w:left w:val="none" w:sz="0" w:space="0" w:color="auto"/>
        <w:bottom w:val="none" w:sz="0" w:space="0" w:color="auto"/>
        <w:right w:val="none" w:sz="0" w:space="0" w:color="auto"/>
      </w:divBdr>
    </w:div>
    <w:div w:id="68580227">
      <w:bodyDiv w:val="1"/>
      <w:marLeft w:val="0"/>
      <w:marRight w:val="0"/>
      <w:marTop w:val="0"/>
      <w:marBottom w:val="0"/>
      <w:divBdr>
        <w:top w:val="none" w:sz="0" w:space="0" w:color="auto"/>
        <w:left w:val="none" w:sz="0" w:space="0" w:color="auto"/>
        <w:bottom w:val="none" w:sz="0" w:space="0" w:color="auto"/>
        <w:right w:val="none" w:sz="0" w:space="0" w:color="auto"/>
      </w:divBdr>
    </w:div>
    <w:div w:id="83692222">
      <w:bodyDiv w:val="1"/>
      <w:marLeft w:val="0"/>
      <w:marRight w:val="0"/>
      <w:marTop w:val="0"/>
      <w:marBottom w:val="0"/>
      <w:divBdr>
        <w:top w:val="none" w:sz="0" w:space="0" w:color="auto"/>
        <w:left w:val="none" w:sz="0" w:space="0" w:color="auto"/>
        <w:bottom w:val="none" w:sz="0" w:space="0" w:color="auto"/>
        <w:right w:val="none" w:sz="0" w:space="0" w:color="auto"/>
      </w:divBdr>
    </w:div>
    <w:div w:id="85082665">
      <w:bodyDiv w:val="1"/>
      <w:marLeft w:val="0"/>
      <w:marRight w:val="0"/>
      <w:marTop w:val="0"/>
      <w:marBottom w:val="0"/>
      <w:divBdr>
        <w:top w:val="none" w:sz="0" w:space="0" w:color="auto"/>
        <w:left w:val="none" w:sz="0" w:space="0" w:color="auto"/>
        <w:bottom w:val="none" w:sz="0" w:space="0" w:color="auto"/>
        <w:right w:val="none" w:sz="0" w:space="0" w:color="auto"/>
      </w:divBdr>
    </w:div>
    <w:div w:id="85393610">
      <w:bodyDiv w:val="1"/>
      <w:marLeft w:val="0"/>
      <w:marRight w:val="0"/>
      <w:marTop w:val="0"/>
      <w:marBottom w:val="0"/>
      <w:divBdr>
        <w:top w:val="none" w:sz="0" w:space="0" w:color="auto"/>
        <w:left w:val="none" w:sz="0" w:space="0" w:color="auto"/>
        <w:bottom w:val="none" w:sz="0" w:space="0" w:color="auto"/>
        <w:right w:val="none" w:sz="0" w:space="0" w:color="auto"/>
      </w:divBdr>
    </w:div>
    <w:div w:id="88041036">
      <w:bodyDiv w:val="1"/>
      <w:marLeft w:val="0"/>
      <w:marRight w:val="0"/>
      <w:marTop w:val="0"/>
      <w:marBottom w:val="0"/>
      <w:divBdr>
        <w:top w:val="none" w:sz="0" w:space="0" w:color="auto"/>
        <w:left w:val="none" w:sz="0" w:space="0" w:color="auto"/>
        <w:bottom w:val="none" w:sz="0" w:space="0" w:color="auto"/>
        <w:right w:val="none" w:sz="0" w:space="0" w:color="auto"/>
      </w:divBdr>
    </w:div>
    <w:div w:id="97986526">
      <w:bodyDiv w:val="1"/>
      <w:marLeft w:val="0"/>
      <w:marRight w:val="0"/>
      <w:marTop w:val="0"/>
      <w:marBottom w:val="0"/>
      <w:divBdr>
        <w:top w:val="none" w:sz="0" w:space="0" w:color="auto"/>
        <w:left w:val="none" w:sz="0" w:space="0" w:color="auto"/>
        <w:bottom w:val="none" w:sz="0" w:space="0" w:color="auto"/>
        <w:right w:val="none" w:sz="0" w:space="0" w:color="auto"/>
      </w:divBdr>
    </w:div>
    <w:div w:id="142042425">
      <w:bodyDiv w:val="1"/>
      <w:marLeft w:val="0"/>
      <w:marRight w:val="0"/>
      <w:marTop w:val="0"/>
      <w:marBottom w:val="0"/>
      <w:divBdr>
        <w:top w:val="none" w:sz="0" w:space="0" w:color="auto"/>
        <w:left w:val="none" w:sz="0" w:space="0" w:color="auto"/>
        <w:bottom w:val="none" w:sz="0" w:space="0" w:color="auto"/>
        <w:right w:val="none" w:sz="0" w:space="0" w:color="auto"/>
      </w:divBdr>
    </w:div>
    <w:div w:id="156843094">
      <w:bodyDiv w:val="1"/>
      <w:marLeft w:val="0"/>
      <w:marRight w:val="0"/>
      <w:marTop w:val="0"/>
      <w:marBottom w:val="0"/>
      <w:divBdr>
        <w:top w:val="none" w:sz="0" w:space="0" w:color="auto"/>
        <w:left w:val="none" w:sz="0" w:space="0" w:color="auto"/>
        <w:bottom w:val="none" w:sz="0" w:space="0" w:color="auto"/>
        <w:right w:val="none" w:sz="0" w:space="0" w:color="auto"/>
      </w:divBdr>
    </w:div>
    <w:div w:id="174737561">
      <w:bodyDiv w:val="1"/>
      <w:marLeft w:val="0"/>
      <w:marRight w:val="0"/>
      <w:marTop w:val="0"/>
      <w:marBottom w:val="0"/>
      <w:divBdr>
        <w:top w:val="none" w:sz="0" w:space="0" w:color="auto"/>
        <w:left w:val="none" w:sz="0" w:space="0" w:color="auto"/>
        <w:bottom w:val="none" w:sz="0" w:space="0" w:color="auto"/>
        <w:right w:val="none" w:sz="0" w:space="0" w:color="auto"/>
      </w:divBdr>
      <w:divsChild>
        <w:div w:id="305473259">
          <w:marLeft w:val="547"/>
          <w:marRight w:val="0"/>
          <w:marTop w:val="86"/>
          <w:marBottom w:val="0"/>
          <w:divBdr>
            <w:top w:val="none" w:sz="0" w:space="0" w:color="auto"/>
            <w:left w:val="none" w:sz="0" w:space="0" w:color="auto"/>
            <w:bottom w:val="none" w:sz="0" w:space="0" w:color="auto"/>
            <w:right w:val="none" w:sz="0" w:space="0" w:color="auto"/>
          </w:divBdr>
        </w:div>
      </w:divsChild>
    </w:div>
    <w:div w:id="191698201">
      <w:bodyDiv w:val="1"/>
      <w:marLeft w:val="0"/>
      <w:marRight w:val="0"/>
      <w:marTop w:val="0"/>
      <w:marBottom w:val="0"/>
      <w:divBdr>
        <w:top w:val="none" w:sz="0" w:space="0" w:color="auto"/>
        <w:left w:val="none" w:sz="0" w:space="0" w:color="auto"/>
        <w:bottom w:val="none" w:sz="0" w:space="0" w:color="auto"/>
        <w:right w:val="none" w:sz="0" w:space="0" w:color="auto"/>
      </w:divBdr>
    </w:div>
    <w:div w:id="200898502">
      <w:bodyDiv w:val="1"/>
      <w:marLeft w:val="0"/>
      <w:marRight w:val="0"/>
      <w:marTop w:val="0"/>
      <w:marBottom w:val="0"/>
      <w:divBdr>
        <w:top w:val="none" w:sz="0" w:space="0" w:color="auto"/>
        <w:left w:val="none" w:sz="0" w:space="0" w:color="auto"/>
        <w:bottom w:val="none" w:sz="0" w:space="0" w:color="auto"/>
        <w:right w:val="none" w:sz="0" w:space="0" w:color="auto"/>
      </w:divBdr>
    </w:div>
    <w:div w:id="203836607">
      <w:bodyDiv w:val="1"/>
      <w:marLeft w:val="0"/>
      <w:marRight w:val="0"/>
      <w:marTop w:val="0"/>
      <w:marBottom w:val="0"/>
      <w:divBdr>
        <w:top w:val="none" w:sz="0" w:space="0" w:color="auto"/>
        <w:left w:val="none" w:sz="0" w:space="0" w:color="auto"/>
        <w:bottom w:val="none" w:sz="0" w:space="0" w:color="auto"/>
        <w:right w:val="none" w:sz="0" w:space="0" w:color="auto"/>
      </w:divBdr>
    </w:div>
    <w:div w:id="209539261">
      <w:bodyDiv w:val="1"/>
      <w:marLeft w:val="0"/>
      <w:marRight w:val="0"/>
      <w:marTop w:val="0"/>
      <w:marBottom w:val="0"/>
      <w:divBdr>
        <w:top w:val="none" w:sz="0" w:space="0" w:color="auto"/>
        <w:left w:val="none" w:sz="0" w:space="0" w:color="auto"/>
        <w:bottom w:val="none" w:sz="0" w:space="0" w:color="auto"/>
        <w:right w:val="none" w:sz="0" w:space="0" w:color="auto"/>
      </w:divBdr>
      <w:divsChild>
        <w:div w:id="77943634">
          <w:marLeft w:val="1166"/>
          <w:marRight w:val="0"/>
          <w:marTop w:val="86"/>
          <w:marBottom w:val="0"/>
          <w:divBdr>
            <w:top w:val="none" w:sz="0" w:space="0" w:color="auto"/>
            <w:left w:val="none" w:sz="0" w:space="0" w:color="auto"/>
            <w:bottom w:val="none" w:sz="0" w:space="0" w:color="auto"/>
            <w:right w:val="none" w:sz="0" w:space="0" w:color="auto"/>
          </w:divBdr>
        </w:div>
        <w:div w:id="251015881">
          <w:marLeft w:val="547"/>
          <w:marRight w:val="0"/>
          <w:marTop w:val="86"/>
          <w:marBottom w:val="0"/>
          <w:divBdr>
            <w:top w:val="none" w:sz="0" w:space="0" w:color="auto"/>
            <w:left w:val="none" w:sz="0" w:space="0" w:color="auto"/>
            <w:bottom w:val="none" w:sz="0" w:space="0" w:color="auto"/>
            <w:right w:val="none" w:sz="0" w:space="0" w:color="auto"/>
          </w:divBdr>
        </w:div>
        <w:div w:id="1320042293">
          <w:marLeft w:val="1166"/>
          <w:marRight w:val="0"/>
          <w:marTop w:val="86"/>
          <w:marBottom w:val="0"/>
          <w:divBdr>
            <w:top w:val="none" w:sz="0" w:space="0" w:color="auto"/>
            <w:left w:val="none" w:sz="0" w:space="0" w:color="auto"/>
            <w:bottom w:val="none" w:sz="0" w:space="0" w:color="auto"/>
            <w:right w:val="none" w:sz="0" w:space="0" w:color="auto"/>
          </w:divBdr>
        </w:div>
        <w:div w:id="1438671319">
          <w:marLeft w:val="1166"/>
          <w:marRight w:val="0"/>
          <w:marTop w:val="86"/>
          <w:marBottom w:val="0"/>
          <w:divBdr>
            <w:top w:val="none" w:sz="0" w:space="0" w:color="auto"/>
            <w:left w:val="none" w:sz="0" w:space="0" w:color="auto"/>
            <w:bottom w:val="none" w:sz="0" w:space="0" w:color="auto"/>
            <w:right w:val="none" w:sz="0" w:space="0" w:color="auto"/>
          </w:divBdr>
        </w:div>
        <w:div w:id="1568612869">
          <w:marLeft w:val="1166"/>
          <w:marRight w:val="0"/>
          <w:marTop w:val="86"/>
          <w:marBottom w:val="0"/>
          <w:divBdr>
            <w:top w:val="none" w:sz="0" w:space="0" w:color="auto"/>
            <w:left w:val="none" w:sz="0" w:space="0" w:color="auto"/>
            <w:bottom w:val="none" w:sz="0" w:space="0" w:color="auto"/>
            <w:right w:val="none" w:sz="0" w:space="0" w:color="auto"/>
          </w:divBdr>
        </w:div>
      </w:divsChild>
    </w:div>
    <w:div w:id="232476090">
      <w:bodyDiv w:val="1"/>
      <w:marLeft w:val="0"/>
      <w:marRight w:val="0"/>
      <w:marTop w:val="0"/>
      <w:marBottom w:val="0"/>
      <w:divBdr>
        <w:top w:val="none" w:sz="0" w:space="0" w:color="auto"/>
        <w:left w:val="none" w:sz="0" w:space="0" w:color="auto"/>
        <w:bottom w:val="none" w:sz="0" w:space="0" w:color="auto"/>
        <w:right w:val="none" w:sz="0" w:space="0" w:color="auto"/>
      </w:divBdr>
    </w:div>
    <w:div w:id="251667735">
      <w:bodyDiv w:val="1"/>
      <w:marLeft w:val="0"/>
      <w:marRight w:val="0"/>
      <w:marTop w:val="0"/>
      <w:marBottom w:val="0"/>
      <w:divBdr>
        <w:top w:val="none" w:sz="0" w:space="0" w:color="auto"/>
        <w:left w:val="none" w:sz="0" w:space="0" w:color="auto"/>
        <w:bottom w:val="none" w:sz="0" w:space="0" w:color="auto"/>
        <w:right w:val="none" w:sz="0" w:space="0" w:color="auto"/>
      </w:divBdr>
    </w:div>
    <w:div w:id="253324938">
      <w:bodyDiv w:val="1"/>
      <w:marLeft w:val="0"/>
      <w:marRight w:val="0"/>
      <w:marTop w:val="0"/>
      <w:marBottom w:val="0"/>
      <w:divBdr>
        <w:top w:val="none" w:sz="0" w:space="0" w:color="auto"/>
        <w:left w:val="none" w:sz="0" w:space="0" w:color="auto"/>
        <w:bottom w:val="none" w:sz="0" w:space="0" w:color="auto"/>
        <w:right w:val="none" w:sz="0" w:space="0" w:color="auto"/>
      </w:divBdr>
    </w:div>
    <w:div w:id="262955722">
      <w:bodyDiv w:val="1"/>
      <w:marLeft w:val="0"/>
      <w:marRight w:val="0"/>
      <w:marTop w:val="0"/>
      <w:marBottom w:val="0"/>
      <w:divBdr>
        <w:top w:val="none" w:sz="0" w:space="0" w:color="auto"/>
        <w:left w:val="none" w:sz="0" w:space="0" w:color="auto"/>
        <w:bottom w:val="none" w:sz="0" w:space="0" w:color="auto"/>
        <w:right w:val="none" w:sz="0" w:space="0" w:color="auto"/>
      </w:divBdr>
    </w:div>
    <w:div w:id="272438629">
      <w:bodyDiv w:val="1"/>
      <w:marLeft w:val="0"/>
      <w:marRight w:val="0"/>
      <w:marTop w:val="0"/>
      <w:marBottom w:val="0"/>
      <w:divBdr>
        <w:top w:val="none" w:sz="0" w:space="0" w:color="auto"/>
        <w:left w:val="none" w:sz="0" w:space="0" w:color="auto"/>
        <w:bottom w:val="none" w:sz="0" w:space="0" w:color="auto"/>
        <w:right w:val="none" w:sz="0" w:space="0" w:color="auto"/>
      </w:divBdr>
    </w:div>
    <w:div w:id="277303520">
      <w:bodyDiv w:val="1"/>
      <w:marLeft w:val="0"/>
      <w:marRight w:val="0"/>
      <w:marTop w:val="0"/>
      <w:marBottom w:val="0"/>
      <w:divBdr>
        <w:top w:val="none" w:sz="0" w:space="0" w:color="auto"/>
        <w:left w:val="none" w:sz="0" w:space="0" w:color="auto"/>
        <w:bottom w:val="none" w:sz="0" w:space="0" w:color="auto"/>
        <w:right w:val="none" w:sz="0" w:space="0" w:color="auto"/>
      </w:divBdr>
    </w:div>
    <w:div w:id="290089296">
      <w:bodyDiv w:val="1"/>
      <w:marLeft w:val="0"/>
      <w:marRight w:val="0"/>
      <w:marTop w:val="0"/>
      <w:marBottom w:val="0"/>
      <w:divBdr>
        <w:top w:val="none" w:sz="0" w:space="0" w:color="auto"/>
        <w:left w:val="none" w:sz="0" w:space="0" w:color="auto"/>
        <w:bottom w:val="none" w:sz="0" w:space="0" w:color="auto"/>
        <w:right w:val="none" w:sz="0" w:space="0" w:color="auto"/>
      </w:divBdr>
    </w:div>
    <w:div w:id="306125710">
      <w:bodyDiv w:val="1"/>
      <w:marLeft w:val="0"/>
      <w:marRight w:val="0"/>
      <w:marTop w:val="0"/>
      <w:marBottom w:val="0"/>
      <w:divBdr>
        <w:top w:val="none" w:sz="0" w:space="0" w:color="auto"/>
        <w:left w:val="none" w:sz="0" w:space="0" w:color="auto"/>
        <w:bottom w:val="none" w:sz="0" w:space="0" w:color="auto"/>
        <w:right w:val="none" w:sz="0" w:space="0" w:color="auto"/>
      </w:divBdr>
    </w:div>
    <w:div w:id="317226762">
      <w:bodyDiv w:val="1"/>
      <w:marLeft w:val="0"/>
      <w:marRight w:val="0"/>
      <w:marTop w:val="0"/>
      <w:marBottom w:val="0"/>
      <w:divBdr>
        <w:top w:val="none" w:sz="0" w:space="0" w:color="auto"/>
        <w:left w:val="none" w:sz="0" w:space="0" w:color="auto"/>
        <w:bottom w:val="none" w:sz="0" w:space="0" w:color="auto"/>
        <w:right w:val="none" w:sz="0" w:space="0" w:color="auto"/>
      </w:divBdr>
    </w:div>
    <w:div w:id="337579337">
      <w:bodyDiv w:val="1"/>
      <w:marLeft w:val="0"/>
      <w:marRight w:val="0"/>
      <w:marTop w:val="0"/>
      <w:marBottom w:val="0"/>
      <w:divBdr>
        <w:top w:val="none" w:sz="0" w:space="0" w:color="auto"/>
        <w:left w:val="none" w:sz="0" w:space="0" w:color="auto"/>
        <w:bottom w:val="none" w:sz="0" w:space="0" w:color="auto"/>
        <w:right w:val="none" w:sz="0" w:space="0" w:color="auto"/>
      </w:divBdr>
    </w:div>
    <w:div w:id="340009543">
      <w:bodyDiv w:val="1"/>
      <w:marLeft w:val="0"/>
      <w:marRight w:val="0"/>
      <w:marTop w:val="0"/>
      <w:marBottom w:val="0"/>
      <w:divBdr>
        <w:top w:val="none" w:sz="0" w:space="0" w:color="auto"/>
        <w:left w:val="none" w:sz="0" w:space="0" w:color="auto"/>
        <w:bottom w:val="none" w:sz="0" w:space="0" w:color="auto"/>
        <w:right w:val="none" w:sz="0" w:space="0" w:color="auto"/>
      </w:divBdr>
    </w:div>
    <w:div w:id="342896755">
      <w:bodyDiv w:val="1"/>
      <w:marLeft w:val="0"/>
      <w:marRight w:val="0"/>
      <w:marTop w:val="0"/>
      <w:marBottom w:val="0"/>
      <w:divBdr>
        <w:top w:val="none" w:sz="0" w:space="0" w:color="auto"/>
        <w:left w:val="none" w:sz="0" w:space="0" w:color="auto"/>
        <w:bottom w:val="none" w:sz="0" w:space="0" w:color="auto"/>
        <w:right w:val="none" w:sz="0" w:space="0" w:color="auto"/>
      </w:divBdr>
      <w:divsChild>
        <w:div w:id="1365521339">
          <w:marLeft w:val="547"/>
          <w:marRight w:val="0"/>
          <w:marTop w:val="0"/>
          <w:marBottom w:val="0"/>
          <w:divBdr>
            <w:top w:val="none" w:sz="0" w:space="0" w:color="auto"/>
            <w:left w:val="none" w:sz="0" w:space="0" w:color="auto"/>
            <w:bottom w:val="none" w:sz="0" w:space="0" w:color="auto"/>
            <w:right w:val="none" w:sz="0" w:space="0" w:color="auto"/>
          </w:divBdr>
        </w:div>
      </w:divsChild>
    </w:div>
    <w:div w:id="360060065">
      <w:bodyDiv w:val="1"/>
      <w:marLeft w:val="0"/>
      <w:marRight w:val="0"/>
      <w:marTop w:val="0"/>
      <w:marBottom w:val="0"/>
      <w:divBdr>
        <w:top w:val="none" w:sz="0" w:space="0" w:color="auto"/>
        <w:left w:val="none" w:sz="0" w:space="0" w:color="auto"/>
        <w:bottom w:val="none" w:sz="0" w:space="0" w:color="auto"/>
        <w:right w:val="none" w:sz="0" w:space="0" w:color="auto"/>
      </w:divBdr>
    </w:div>
    <w:div w:id="377364110">
      <w:bodyDiv w:val="1"/>
      <w:marLeft w:val="0"/>
      <w:marRight w:val="0"/>
      <w:marTop w:val="0"/>
      <w:marBottom w:val="0"/>
      <w:divBdr>
        <w:top w:val="none" w:sz="0" w:space="0" w:color="auto"/>
        <w:left w:val="none" w:sz="0" w:space="0" w:color="auto"/>
        <w:bottom w:val="none" w:sz="0" w:space="0" w:color="auto"/>
        <w:right w:val="none" w:sz="0" w:space="0" w:color="auto"/>
      </w:divBdr>
    </w:div>
    <w:div w:id="465969678">
      <w:bodyDiv w:val="1"/>
      <w:marLeft w:val="0"/>
      <w:marRight w:val="0"/>
      <w:marTop w:val="0"/>
      <w:marBottom w:val="0"/>
      <w:divBdr>
        <w:top w:val="none" w:sz="0" w:space="0" w:color="auto"/>
        <w:left w:val="none" w:sz="0" w:space="0" w:color="auto"/>
        <w:bottom w:val="none" w:sz="0" w:space="0" w:color="auto"/>
        <w:right w:val="none" w:sz="0" w:space="0" w:color="auto"/>
      </w:divBdr>
    </w:div>
    <w:div w:id="472984788">
      <w:bodyDiv w:val="1"/>
      <w:marLeft w:val="0"/>
      <w:marRight w:val="0"/>
      <w:marTop w:val="0"/>
      <w:marBottom w:val="0"/>
      <w:divBdr>
        <w:top w:val="none" w:sz="0" w:space="0" w:color="auto"/>
        <w:left w:val="none" w:sz="0" w:space="0" w:color="auto"/>
        <w:bottom w:val="none" w:sz="0" w:space="0" w:color="auto"/>
        <w:right w:val="none" w:sz="0" w:space="0" w:color="auto"/>
      </w:divBdr>
    </w:div>
    <w:div w:id="504979561">
      <w:bodyDiv w:val="1"/>
      <w:marLeft w:val="0"/>
      <w:marRight w:val="0"/>
      <w:marTop w:val="0"/>
      <w:marBottom w:val="0"/>
      <w:divBdr>
        <w:top w:val="none" w:sz="0" w:space="0" w:color="auto"/>
        <w:left w:val="none" w:sz="0" w:space="0" w:color="auto"/>
        <w:bottom w:val="none" w:sz="0" w:space="0" w:color="auto"/>
        <w:right w:val="none" w:sz="0" w:space="0" w:color="auto"/>
      </w:divBdr>
    </w:div>
    <w:div w:id="546142302">
      <w:bodyDiv w:val="1"/>
      <w:marLeft w:val="0"/>
      <w:marRight w:val="0"/>
      <w:marTop w:val="0"/>
      <w:marBottom w:val="0"/>
      <w:divBdr>
        <w:top w:val="none" w:sz="0" w:space="0" w:color="auto"/>
        <w:left w:val="none" w:sz="0" w:space="0" w:color="auto"/>
        <w:bottom w:val="none" w:sz="0" w:space="0" w:color="auto"/>
        <w:right w:val="none" w:sz="0" w:space="0" w:color="auto"/>
      </w:divBdr>
    </w:div>
    <w:div w:id="557863038">
      <w:bodyDiv w:val="1"/>
      <w:marLeft w:val="0"/>
      <w:marRight w:val="0"/>
      <w:marTop w:val="0"/>
      <w:marBottom w:val="0"/>
      <w:divBdr>
        <w:top w:val="none" w:sz="0" w:space="0" w:color="auto"/>
        <w:left w:val="none" w:sz="0" w:space="0" w:color="auto"/>
        <w:bottom w:val="none" w:sz="0" w:space="0" w:color="auto"/>
        <w:right w:val="none" w:sz="0" w:space="0" w:color="auto"/>
      </w:divBdr>
    </w:div>
    <w:div w:id="578292036">
      <w:bodyDiv w:val="1"/>
      <w:marLeft w:val="0"/>
      <w:marRight w:val="0"/>
      <w:marTop w:val="0"/>
      <w:marBottom w:val="0"/>
      <w:divBdr>
        <w:top w:val="none" w:sz="0" w:space="0" w:color="auto"/>
        <w:left w:val="none" w:sz="0" w:space="0" w:color="auto"/>
        <w:bottom w:val="none" w:sz="0" w:space="0" w:color="auto"/>
        <w:right w:val="none" w:sz="0" w:space="0" w:color="auto"/>
      </w:divBdr>
    </w:div>
    <w:div w:id="581456308">
      <w:bodyDiv w:val="1"/>
      <w:marLeft w:val="0"/>
      <w:marRight w:val="0"/>
      <w:marTop w:val="0"/>
      <w:marBottom w:val="0"/>
      <w:divBdr>
        <w:top w:val="none" w:sz="0" w:space="0" w:color="auto"/>
        <w:left w:val="none" w:sz="0" w:space="0" w:color="auto"/>
        <w:bottom w:val="none" w:sz="0" w:space="0" w:color="auto"/>
        <w:right w:val="none" w:sz="0" w:space="0" w:color="auto"/>
      </w:divBdr>
    </w:div>
    <w:div w:id="653950442">
      <w:bodyDiv w:val="1"/>
      <w:marLeft w:val="0"/>
      <w:marRight w:val="0"/>
      <w:marTop w:val="0"/>
      <w:marBottom w:val="0"/>
      <w:divBdr>
        <w:top w:val="none" w:sz="0" w:space="0" w:color="auto"/>
        <w:left w:val="none" w:sz="0" w:space="0" w:color="auto"/>
        <w:bottom w:val="none" w:sz="0" w:space="0" w:color="auto"/>
        <w:right w:val="none" w:sz="0" w:space="0" w:color="auto"/>
      </w:divBdr>
      <w:divsChild>
        <w:div w:id="348875598">
          <w:marLeft w:val="547"/>
          <w:marRight w:val="0"/>
          <w:marTop w:val="115"/>
          <w:marBottom w:val="0"/>
          <w:divBdr>
            <w:top w:val="none" w:sz="0" w:space="0" w:color="auto"/>
            <w:left w:val="none" w:sz="0" w:space="0" w:color="auto"/>
            <w:bottom w:val="none" w:sz="0" w:space="0" w:color="auto"/>
            <w:right w:val="none" w:sz="0" w:space="0" w:color="auto"/>
          </w:divBdr>
        </w:div>
      </w:divsChild>
    </w:div>
    <w:div w:id="671103253">
      <w:bodyDiv w:val="1"/>
      <w:marLeft w:val="0"/>
      <w:marRight w:val="0"/>
      <w:marTop w:val="0"/>
      <w:marBottom w:val="0"/>
      <w:divBdr>
        <w:top w:val="none" w:sz="0" w:space="0" w:color="auto"/>
        <w:left w:val="none" w:sz="0" w:space="0" w:color="auto"/>
        <w:bottom w:val="none" w:sz="0" w:space="0" w:color="auto"/>
        <w:right w:val="none" w:sz="0" w:space="0" w:color="auto"/>
      </w:divBdr>
    </w:div>
    <w:div w:id="676035091">
      <w:bodyDiv w:val="1"/>
      <w:marLeft w:val="0"/>
      <w:marRight w:val="0"/>
      <w:marTop w:val="0"/>
      <w:marBottom w:val="0"/>
      <w:divBdr>
        <w:top w:val="none" w:sz="0" w:space="0" w:color="auto"/>
        <w:left w:val="none" w:sz="0" w:space="0" w:color="auto"/>
        <w:bottom w:val="none" w:sz="0" w:space="0" w:color="auto"/>
        <w:right w:val="none" w:sz="0" w:space="0" w:color="auto"/>
      </w:divBdr>
    </w:div>
    <w:div w:id="703679536">
      <w:bodyDiv w:val="1"/>
      <w:marLeft w:val="0"/>
      <w:marRight w:val="0"/>
      <w:marTop w:val="0"/>
      <w:marBottom w:val="0"/>
      <w:divBdr>
        <w:top w:val="none" w:sz="0" w:space="0" w:color="auto"/>
        <w:left w:val="none" w:sz="0" w:space="0" w:color="auto"/>
        <w:bottom w:val="none" w:sz="0" w:space="0" w:color="auto"/>
        <w:right w:val="none" w:sz="0" w:space="0" w:color="auto"/>
      </w:divBdr>
    </w:div>
    <w:div w:id="714230782">
      <w:bodyDiv w:val="1"/>
      <w:marLeft w:val="0"/>
      <w:marRight w:val="0"/>
      <w:marTop w:val="0"/>
      <w:marBottom w:val="0"/>
      <w:divBdr>
        <w:top w:val="none" w:sz="0" w:space="0" w:color="auto"/>
        <w:left w:val="none" w:sz="0" w:space="0" w:color="auto"/>
        <w:bottom w:val="none" w:sz="0" w:space="0" w:color="auto"/>
        <w:right w:val="none" w:sz="0" w:space="0" w:color="auto"/>
      </w:divBdr>
    </w:div>
    <w:div w:id="735317823">
      <w:bodyDiv w:val="1"/>
      <w:marLeft w:val="0"/>
      <w:marRight w:val="0"/>
      <w:marTop w:val="0"/>
      <w:marBottom w:val="0"/>
      <w:divBdr>
        <w:top w:val="none" w:sz="0" w:space="0" w:color="auto"/>
        <w:left w:val="none" w:sz="0" w:space="0" w:color="auto"/>
        <w:bottom w:val="none" w:sz="0" w:space="0" w:color="auto"/>
        <w:right w:val="none" w:sz="0" w:space="0" w:color="auto"/>
      </w:divBdr>
    </w:div>
    <w:div w:id="741298126">
      <w:bodyDiv w:val="1"/>
      <w:marLeft w:val="0"/>
      <w:marRight w:val="0"/>
      <w:marTop w:val="0"/>
      <w:marBottom w:val="0"/>
      <w:divBdr>
        <w:top w:val="none" w:sz="0" w:space="0" w:color="auto"/>
        <w:left w:val="none" w:sz="0" w:space="0" w:color="auto"/>
        <w:bottom w:val="none" w:sz="0" w:space="0" w:color="auto"/>
        <w:right w:val="none" w:sz="0" w:space="0" w:color="auto"/>
      </w:divBdr>
    </w:div>
    <w:div w:id="744033959">
      <w:bodyDiv w:val="1"/>
      <w:marLeft w:val="0"/>
      <w:marRight w:val="0"/>
      <w:marTop w:val="0"/>
      <w:marBottom w:val="0"/>
      <w:divBdr>
        <w:top w:val="none" w:sz="0" w:space="0" w:color="auto"/>
        <w:left w:val="none" w:sz="0" w:space="0" w:color="auto"/>
        <w:bottom w:val="none" w:sz="0" w:space="0" w:color="auto"/>
        <w:right w:val="none" w:sz="0" w:space="0" w:color="auto"/>
      </w:divBdr>
    </w:div>
    <w:div w:id="763764766">
      <w:bodyDiv w:val="1"/>
      <w:marLeft w:val="0"/>
      <w:marRight w:val="0"/>
      <w:marTop w:val="0"/>
      <w:marBottom w:val="0"/>
      <w:divBdr>
        <w:top w:val="none" w:sz="0" w:space="0" w:color="auto"/>
        <w:left w:val="none" w:sz="0" w:space="0" w:color="auto"/>
        <w:bottom w:val="none" w:sz="0" w:space="0" w:color="auto"/>
        <w:right w:val="none" w:sz="0" w:space="0" w:color="auto"/>
      </w:divBdr>
    </w:div>
    <w:div w:id="778641650">
      <w:bodyDiv w:val="1"/>
      <w:marLeft w:val="0"/>
      <w:marRight w:val="0"/>
      <w:marTop w:val="0"/>
      <w:marBottom w:val="0"/>
      <w:divBdr>
        <w:top w:val="none" w:sz="0" w:space="0" w:color="auto"/>
        <w:left w:val="none" w:sz="0" w:space="0" w:color="auto"/>
        <w:bottom w:val="none" w:sz="0" w:space="0" w:color="auto"/>
        <w:right w:val="none" w:sz="0" w:space="0" w:color="auto"/>
      </w:divBdr>
    </w:div>
    <w:div w:id="786460920">
      <w:bodyDiv w:val="1"/>
      <w:marLeft w:val="0"/>
      <w:marRight w:val="0"/>
      <w:marTop w:val="0"/>
      <w:marBottom w:val="0"/>
      <w:divBdr>
        <w:top w:val="none" w:sz="0" w:space="0" w:color="auto"/>
        <w:left w:val="none" w:sz="0" w:space="0" w:color="auto"/>
        <w:bottom w:val="none" w:sz="0" w:space="0" w:color="auto"/>
        <w:right w:val="none" w:sz="0" w:space="0" w:color="auto"/>
      </w:divBdr>
    </w:div>
    <w:div w:id="800074301">
      <w:bodyDiv w:val="1"/>
      <w:marLeft w:val="0"/>
      <w:marRight w:val="0"/>
      <w:marTop w:val="0"/>
      <w:marBottom w:val="0"/>
      <w:divBdr>
        <w:top w:val="none" w:sz="0" w:space="0" w:color="auto"/>
        <w:left w:val="none" w:sz="0" w:space="0" w:color="auto"/>
        <w:bottom w:val="none" w:sz="0" w:space="0" w:color="auto"/>
        <w:right w:val="none" w:sz="0" w:space="0" w:color="auto"/>
      </w:divBdr>
    </w:div>
    <w:div w:id="820390844">
      <w:bodyDiv w:val="1"/>
      <w:marLeft w:val="0"/>
      <w:marRight w:val="0"/>
      <w:marTop w:val="0"/>
      <w:marBottom w:val="0"/>
      <w:divBdr>
        <w:top w:val="none" w:sz="0" w:space="0" w:color="auto"/>
        <w:left w:val="none" w:sz="0" w:space="0" w:color="auto"/>
        <w:bottom w:val="none" w:sz="0" w:space="0" w:color="auto"/>
        <w:right w:val="none" w:sz="0" w:space="0" w:color="auto"/>
      </w:divBdr>
      <w:divsChild>
        <w:div w:id="61997521">
          <w:marLeft w:val="0"/>
          <w:marRight w:val="0"/>
          <w:marTop w:val="0"/>
          <w:marBottom w:val="0"/>
          <w:divBdr>
            <w:top w:val="none" w:sz="0" w:space="0" w:color="auto"/>
            <w:left w:val="none" w:sz="0" w:space="0" w:color="auto"/>
            <w:bottom w:val="none" w:sz="0" w:space="0" w:color="auto"/>
            <w:right w:val="none" w:sz="0" w:space="0" w:color="auto"/>
          </w:divBdr>
          <w:divsChild>
            <w:div w:id="2055618241">
              <w:marLeft w:val="0"/>
              <w:marRight w:val="0"/>
              <w:marTop w:val="0"/>
              <w:marBottom w:val="0"/>
              <w:divBdr>
                <w:top w:val="none" w:sz="0" w:space="0" w:color="auto"/>
                <w:left w:val="none" w:sz="0" w:space="0" w:color="auto"/>
                <w:bottom w:val="none" w:sz="0" w:space="0" w:color="auto"/>
                <w:right w:val="none" w:sz="0" w:space="0" w:color="auto"/>
              </w:divBdr>
              <w:divsChild>
                <w:div w:id="1289896424">
                  <w:marLeft w:val="0"/>
                  <w:marRight w:val="0"/>
                  <w:marTop w:val="0"/>
                  <w:marBottom w:val="0"/>
                  <w:divBdr>
                    <w:top w:val="none" w:sz="0" w:space="0" w:color="auto"/>
                    <w:left w:val="none" w:sz="0" w:space="0" w:color="auto"/>
                    <w:bottom w:val="none" w:sz="0" w:space="0" w:color="auto"/>
                    <w:right w:val="none" w:sz="0" w:space="0" w:color="auto"/>
                  </w:divBdr>
                  <w:divsChild>
                    <w:div w:id="1848596685">
                      <w:marLeft w:val="0"/>
                      <w:marRight w:val="0"/>
                      <w:marTop w:val="0"/>
                      <w:marBottom w:val="0"/>
                      <w:divBdr>
                        <w:top w:val="none" w:sz="0" w:space="0" w:color="auto"/>
                        <w:left w:val="none" w:sz="0" w:space="0" w:color="auto"/>
                        <w:bottom w:val="none" w:sz="0" w:space="0" w:color="auto"/>
                        <w:right w:val="none" w:sz="0" w:space="0" w:color="auto"/>
                      </w:divBdr>
                      <w:divsChild>
                        <w:div w:id="1637711280">
                          <w:marLeft w:val="0"/>
                          <w:marRight w:val="0"/>
                          <w:marTop w:val="0"/>
                          <w:marBottom w:val="0"/>
                          <w:divBdr>
                            <w:top w:val="none" w:sz="0" w:space="0" w:color="auto"/>
                            <w:left w:val="none" w:sz="0" w:space="0" w:color="auto"/>
                            <w:bottom w:val="none" w:sz="0" w:space="0" w:color="auto"/>
                            <w:right w:val="none" w:sz="0" w:space="0" w:color="auto"/>
                          </w:divBdr>
                          <w:divsChild>
                            <w:div w:id="1977030590">
                              <w:marLeft w:val="0"/>
                              <w:marRight w:val="0"/>
                              <w:marTop w:val="0"/>
                              <w:marBottom w:val="0"/>
                              <w:divBdr>
                                <w:top w:val="none" w:sz="0" w:space="0" w:color="auto"/>
                                <w:left w:val="none" w:sz="0" w:space="0" w:color="auto"/>
                                <w:bottom w:val="none" w:sz="0" w:space="0" w:color="auto"/>
                                <w:right w:val="none" w:sz="0" w:space="0" w:color="auto"/>
                              </w:divBdr>
                              <w:divsChild>
                                <w:div w:id="540089616">
                                  <w:marLeft w:val="0"/>
                                  <w:marRight w:val="0"/>
                                  <w:marTop w:val="0"/>
                                  <w:marBottom w:val="0"/>
                                  <w:divBdr>
                                    <w:top w:val="none" w:sz="0" w:space="0" w:color="auto"/>
                                    <w:left w:val="none" w:sz="0" w:space="0" w:color="auto"/>
                                    <w:bottom w:val="none" w:sz="0" w:space="0" w:color="auto"/>
                                    <w:right w:val="none" w:sz="0" w:space="0" w:color="auto"/>
                                  </w:divBdr>
                                  <w:divsChild>
                                    <w:div w:id="715348405">
                                      <w:marLeft w:val="0"/>
                                      <w:marRight w:val="0"/>
                                      <w:marTop w:val="0"/>
                                      <w:marBottom w:val="0"/>
                                      <w:divBdr>
                                        <w:top w:val="none" w:sz="0" w:space="0" w:color="auto"/>
                                        <w:left w:val="none" w:sz="0" w:space="0" w:color="auto"/>
                                        <w:bottom w:val="none" w:sz="0" w:space="0" w:color="auto"/>
                                        <w:right w:val="none" w:sz="0" w:space="0" w:color="auto"/>
                                      </w:divBdr>
                                      <w:divsChild>
                                        <w:div w:id="368384496">
                                          <w:marLeft w:val="0"/>
                                          <w:marRight w:val="0"/>
                                          <w:marTop w:val="0"/>
                                          <w:marBottom w:val="0"/>
                                          <w:divBdr>
                                            <w:top w:val="none" w:sz="0" w:space="0" w:color="auto"/>
                                            <w:left w:val="none" w:sz="0" w:space="0" w:color="auto"/>
                                            <w:bottom w:val="none" w:sz="0" w:space="0" w:color="auto"/>
                                            <w:right w:val="none" w:sz="0" w:space="0" w:color="auto"/>
                                          </w:divBdr>
                                          <w:divsChild>
                                            <w:div w:id="1546527960">
                                              <w:marLeft w:val="0"/>
                                              <w:marRight w:val="0"/>
                                              <w:marTop w:val="0"/>
                                              <w:marBottom w:val="0"/>
                                              <w:divBdr>
                                                <w:top w:val="none" w:sz="0" w:space="0" w:color="auto"/>
                                                <w:left w:val="none" w:sz="0" w:space="0" w:color="auto"/>
                                                <w:bottom w:val="none" w:sz="0" w:space="0" w:color="auto"/>
                                                <w:right w:val="none" w:sz="0" w:space="0" w:color="auto"/>
                                              </w:divBdr>
                                              <w:divsChild>
                                                <w:div w:id="91242413">
                                                  <w:marLeft w:val="0"/>
                                                  <w:marRight w:val="0"/>
                                                  <w:marTop w:val="0"/>
                                                  <w:marBottom w:val="0"/>
                                                  <w:divBdr>
                                                    <w:top w:val="none" w:sz="0" w:space="0" w:color="auto"/>
                                                    <w:left w:val="none" w:sz="0" w:space="0" w:color="auto"/>
                                                    <w:bottom w:val="none" w:sz="0" w:space="0" w:color="auto"/>
                                                    <w:right w:val="none" w:sz="0" w:space="0" w:color="auto"/>
                                                  </w:divBdr>
                                                  <w:divsChild>
                                                    <w:div w:id="1741637884">
                                                      <w:marLeft w:val="0"/>
                                                      <w:marRight w:val="0"/>
                                                      <w:marTop w:val="0"/>
                                                      <w:marBottom w:val="0"/>
                                                      <w:divBdr>
                                                        <w:top w:val="none" w:sz="0" w:space="0" w:color="auto"/>
                                                        <w:left w:val="none" w:sz="0" w:space="0" w:color="auto"/>
                                                        <w:bottom w:val="none" w:sz="0" w:space="0" w:color="auto"/>
                                                        <w:right w:val="none" w:sz="0" w:space="0" w:color="auto"/>
                                                      </w:divBdr>
                                                      <w:divsChild>
                                                        <w:div w:id="205065359">
                                                          <w:marLeft w:val="0"/>
                                                          <w:marRight w:val="0"/>
                                                          <w:marTop w:val="0"/>
                                                          <w:marBottom w:val="0"/>
                                                          <w:divBdr>
                                                            <w:top w:val="none" w:sz="0" w:space="0" w:color="auto"/>
                                                            <w:left w:val="none" w:sz="0" w:space="0" w:color="auto"/>
                                                            <w:bottom w:val="none" w:sz="0" w:space="0" w:color="auto"/>
                                                            <w:right w:val="none" w:sz="0" w:space="0" w:color="auto"/>
                                                          </w:divBdr>
                                                          <w:divsChild>
                                                            <w:div w:id="35786119">
                                                              <w:marLeft w:val="0"/>
                                                              <w:marRight w:val="0"/>
                                                              <w:marTop w:val="0"/>
                                                              <w:marBottom w:val="0"/>
                                                              <w:divBdr>
                                                                <w:top w:val="none" w:sz="0" w:space="0" w:color="auto"/>
                                                                <w:left w:val="none" w:sz="0" w:space="0" w:color="auto"/>
                                                                <w:bottom w:val="none" w:sz="0" w:space="0" w:color="auto"/>
                                                                <w:right w:val="none" w:sz="0" w:space="0" w:color="auto"/>
                                                              </w:divBdr>
                                                              <w:divsChild>
                                                                <w:div w:id="9410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5200219">
      <w:bodyDiv w:val="1"/>
      <w:marLeft w:val="0"/>
      <w:marRight w:val="0"/>
      <w:marTop w:val="0"/>
      <w:marBottom w:val="0"/>
      <w:divBdr>
        <w:top w:val="none" w:sz="0" w:space="0" w:color="auto"/>
        <w:left w:val="none" w:sz="0" w:space="0" w:color="auto"/>
        <w:bottom w:val="none" w:sz="0" w:space="0" w:color="auto"/>
        <w:right w:val="none" w:sz="0" w:space="0" w:color="auto"/>
      </w:divBdr>
    </w:div>
    <w:div w:id="882211453">
      <w:bodyDiv w:val="1"/>
      <w:marLeft w:val="0"/>
      <w:marRight w:val="0"/>
      <w:marTop w:val="0"/>
      <w:marBottom w:val="0"/>
      <w:divBdr>
        <w:top w:val="none" w:sz="0" w:space="0" w:color="auto"/>
        <w:left w:val="none" w:sz="0" w:space="0" w:color="auto"/>
        <w:bottom w:val="none" w:sz="0" w:space="0" w:color="auto"/>
        <w:right w:val="none" w:sz="0" w:space="0" w:color="auto"/>
      </w:divBdr>
      <w:divsChild>
        <w:div w:id="735670104">
          <w:marLeft w:val="547"/>
          <w:marRight w:val="0"/>
          <w:marTop w:val="240"/>
          <w:marBottom w:val="0"/>
          <w:divBdr>
            <w:top w:val="none" w:sz="0" w:space="0" w:color="auto"/>
            <w:left w:val="none" w:sz="0" w:space="0" w:color="auto"/>
            <w:bottom w:val="none" w:sz="0" w:space="0" w:color="auto"/>
            <w:right w:val="none" w:sz="0" w:space="0" w:color="auto"/>
          </w:divBdr>
        </w:div>
        <w:div w:id="1611667440">
          <w:marLeft w:val="547"/>
          <w:marRight w:val="0"/>
          <w:marTop w:val="240"/>
          <w:marBottom w:val="0"/>
          <w:divBdr>
            <w:top w:val="none" w:sz="0" w:space="0" w:color="auto"/>
            <w:left w:val="none" w:sz="0" w:space="0" w:color="auto"/>
            <w:bottom w:val="none" w:sz="0" w:space="0" w:color="auto"/>
            <w:right w:val="none" w:sz="0" w:space="0" w:color="auto"/>
          </w:divBdr>
        </w:div>
        <w:div w:id="1913544887">
          <w:marLeft w:val="547"/>
          <w:marRight w:val="0"/>
          <w:marTop w:val="240"/>
          <w:marBottom w:val="0"/>
          <w:divBdr>
            <w:top w:val="none" w:sz="0" w:space="0" w:color="auto"/>
            <w:left w:val="none" w:sz="0" w:space="0" w:color="auto"/>
            <w:bottom w:val="none" w:sz="0" w:space="0" w:color="auto"/>
            <w:right w:val="none" w:sz="0" w:space="0" w:color="auto"/>
          </w:divBdr>
        </w:div>
      </w:divsChild>
    </w:div>
    <w:div w:id="897084861">
      <w:bodyDiv w:val="1"/>
      <w:marLeft w:val="0"/>
      <w:marRight w:val="0"/>
      <w:marTop w:val="0"/>
      <w:marBottom w:val="0"/>
      <w:divBdr>
        <w:top w:val="none" w:sz="0" w:space="0" w:color="auto"/>
        <w:left w:val="none" w:sz="0" w:space="0" w:color="auto"/>
        <w:bottom w:val="none" w:sz="0" w:space="0" w:color="auto"/>
        <w:right w:val="none" w:sz="0" w:space="0" w:color="auto"/>
      </w:divBdr>
    </w:div>
    <w:div w:id="960569500">
      <w:bodyDiv w:val="1"/>
      <w:marLeft w:val="0"/>
      <w:marRight w:val="0"/>
      <w:marTop w:val="0"/>
      <w:marBottom w:val="0"/>
      <w:divBdr>
        <w:top w:val="none" w:sz="0" w:space="0" w:color="auto"/>
        <w:left w:val="none" w:sz="0" w:space="0" w:color="auto"/>
        <w:bottom w:val="none" w:sz="0" w:space="0" w:color="auto"/>
        <w:right w:val="none" w:sz="0" w:space="0" w:color="auto"/>
      </w:divBdr>
    </w:div>
    <w:div w:id="982469369">
      <w:bodyDiv w:val="1"/>
      <w:marLeft w:val="0"/>
      <w:marRight w:val="0"/>
      <w:marTop w:val="0"/>
      <w:marBottom w:val="0"/>
      <w:divBdr>
        <w:top w:val="none" w:sz="0" w:space="0" w:color="auto"/>
        <w:left w:val="none" w:sz="0" w:space="0" w:color="auto"/>
        <w:bottom w:val="none" w:sz="0" w:space="0" w:color="auto"/>
        <w:right w:val="none" w:sz="0" w:space="0" w:color="auto"/>
      </w:divBdr>
    </w:div>
    <w:div w:id="1000229341">
      <w:bodyDiv w:val="1"/>
      <w:marLeft w:val="0"/>
      <w:marRight w:val="0"/>
      <w:marTop w:val="0"/>
      <w:marBottom w:val="0"/>
      <w:divBdr>
        <w:top w:val="none" w:sz="0" w:space="0" w:color="auto"/>
        <w:left w:val="none" w:sz="0" w:space="0" w:color="auto"/>
        <w:bottom w:val="none" w:sz="0" w:space="0" w:color="auto"/>
        <w:right w:val="none" w:sz="0" w:space="0" w:color="auto"/>
      </w:divBdr>
      <w:divsChild>
        <w:div w:id="1091196465">
          <w:marLeft w:val="547"/>
          <w:marRight w:val="0"/>
          <w:marTop w:val="86"/>
          <w:marBottom w:val="0"/>
          <w:divBdr>
            <w:top w:val="none" w:sz="0" w:space="0" w:color="auto"/>
            <w:left w:val="none" w:sz="0" w:space="0" w:color="auto"/>
            <w:bottom w:val="none" w:sz="0" w:space="0" w:color="auto"/>
            <w:right w:val="none" w:sz="0" w:space="0" w:color="auto"/>
          </w:divBdr>
        </w:div>
      </w:divsChild>
    </w:div>
    <w:div w:id="1012875877">
      <w:bodyDiv w:val="1"/>
      <w:marLeft w:val="0"/>
      <w:marRight w:val="0"/>
      <w:marTop w:val="0"/>
      <w:marBottom w:val="0"/>
      <w:divBdr>
        <w:top w:val="none" w:sz="0" w:space="0" w:color="auto"/>
        <w:left w:val="none" w:sz="0" w:space="0" w:color="auto"/>
        <w:bottom w:val="none" w:sz="0" w:space="0" w:color="auto"/>
        <w:right w:val="none" w:sz="0" w:space="0" w:color="auto"/>
      </w:divBdr>
      <w:divsChild>
        <w:div w:id="639185818">
          <w:marLeft w:val="720"/>
          <w:marRight w:val="0"/>
          <w:marTop w:val="96"/>
          <w:marBottom w:val="0"/>
          <w:divBdr>
            <w:top w:val="none" w:sz="0" w:space="0" w:color="auto"/>
            <w:left w:val="none" w:sz="0" w:space="0" w:color="auto"/>
            <w:bottom w:val="none" w:sz="0" w:space="0" w:color="auto"/>
            <w:right w:val="none" w:sz="0" w:space="0" w:color="auto"/>
          </w:divBdr>
        </w:div>
      </w:divsChild>
    </w:div>
    <w:div w:id="1019893762">
      <w:bodyDiv w:val="1"/>
      <w:marLeft w:val="0"/>
      <w:marRight w:val="0"/>
      <w:marTop w:val="0"/>
      <w:marBottom w:val="0"/>
      <w:divBdr>
        <w:top w:val="none" w:sz="0" w:space="0" w:color="auto"/>
        <w:left w:val="none" w:sz="0" w:space="0" w:color="auto"/>
        <w:bottom w:val="none" w:sz="0" w:space="0" w:color="auto"/>
        <w:right w:val="none" w:sz="0" w:space="0" w:color="auto"/>
      </w:divBdr>
    </w:div>
    <w:div w:id="1021052243">
      <w:bodyDiv w:val="1"/>
      <w:marLeft w:val="0"/>
      <w:marRight w:val="0"/>
      <w:marTop w:val="0"/>
      <w:marBottom w:val="0"/>
      <w:divBdr>
        <w:top w:val="none" w:sz="0" w:space="0" w:color="auto"/>
        <w:left w:val="none" w:sz="0" w:space="0" w:color="auto"/>
        <w:bottom w:val="none" w:sz="0" w:space="0" w:color="auto"/>
        <w:right w:val="none" w:sz="0" w:space="0" w:color="auto"/>
      </w:divBdr>
    </w:div>
    <w:div w:id="1028457603">
      <w:bodyDiv w:val="1"/>
      <w:marLeft w:val="0"/>
      <w:marRight w:val="0"/>
      <w:marTop w:val="0"/>
      <w:marBottom w:val="0"/>
      <w:divBdr>
        <w:top w:val="none" w:sz="0" w:space="0" w:color="auto"/>
        <w:left w:val="none" w:sz="0" w:space="0" w:color="auto"/>
        <w:bottom w:val="none" w:sz="0" w:space="0" w:color="auto"/>
        <w:right w:val="none" w:sz="0" w:space="0" w:color="auto"/>
      </w:divBdr>
    </w:div>
    <w:div w:id="1060907231">
      <w:bodyDiv w:val="1"/>
      <w:marLeft w:val="0"/>
      <w:marRight w:val="0"/>
      <w:marTop w:val="0"/>
      <w:marBottom w:val="0"/>
      <w:divBdr>
        <w:top w:val="none" w:sz="0" w:space="0" w:color="auto"/>
        <w:left w:val="none" w:sz="0" w:space="0" w:color="auto"/>
        <w:bottom w:val="none" w:sz="0" w:space="0" w:color="auto"/>
        <w:right w:val="none" w:sz="0" w:space="0" w:color="auto"/>
      </w:divBdr>
    </w:div>
    <w:div w:id="1095204563">
      <w:bodyDiv w:val="1"/>
      <w:marLeft w:val="0"/>
      <w:marRight w:val="0"/>
      <w:marTop w:val="0"/>
      <w:marBottom w:val="0"/>
      <w:divBdr>
        <w:top w:val="none" w:sz="0" w:space="0" w:color="auto"/>
        <w:left w:val="none" w:sz="0" w:space="0" w:color="auto"/>
        <w:bottom w:val="none" w:sz="0" w:space="0" w:color="auto"/>
        <w:right w:val="none" w:sz="0" w:space="0" w:color="auto"/>
      </w:divBdr>
    </w:div>
    <w:div w:id="1097675705">
      <w:bodyDiv w:val="1"/>
      <w:marLeft w:val="0"/>
      <w:marRight w:val="0"/>
      <w:marTop w:val="0"/>
      <w:marBottom w:val="0"/>
      <w:divBdr>
        <w:top w:val="none" w:sz="0" w:space="0" w:color="auto"/>
        <w:left w:val="none" w:sz="0" w:space="0" w:color="auto"/>
        <w:bottom w:val="none" w:sz="0" w:space="0" w:color="auto"/>
        <w:right w:val="none" w:sz="0" w:space="0" w:color="auto"/>
      </w:divBdr>
    </w:div>
    <w:div w:id="1149590755">
      <w:bodyDiv w:val="1"/>
      <w:marLeft w:val="0"/>
      <w:marRight w:val="0"/>
      <w:marTop w:val="0"/>
      <w:marBottom w:val="0"/>
      <w:divBdr>
        <w:top w:val="none" w:sz="0" w:space="0" w:color="auto"/>
        <w:left w:val="none" w:sz="0" w:space="0" w:color="auto"/>
        <w:bottom w:val="none" w:sz="0" w:space="0" w:color="auto"/>
        <w:right w:val="none" w:sz="0" w:space="0" w:color="auto"/>
      </w:divBdr>
    </w:div>
    <w:div w:id="1161116842">
      <w:bodyDiv w:val="1"/>
      <w:marLeft w:val="0"/>
      <w:marRight w:val="0"/>
      <w:marTop w:val="0"/>
      <w:marBottom w:val="0"/>
      <w:divBdr>
        <w:top w:val="none" w:sz="0" w:space="0" w:color="auto"/>
        <w:left w:val="none" w:sz="0" w:space="0" w:color="auto"/>
        <w:bottom w:val="none" w:sz="0" w:space="0" w:color="auto"/>
        <w:right w:val="none" w:sz="0" w:space="0" w:color="auto"/>
      </w:divBdr>
    </w:div>
    <w:div w:id="1180192778">
      <w:bodyDiv w:val="1"/>
      <w:marLeft w:val="0"/>
      <w:marRight w:val="0"/>
      <w:marTop w:val="0"/>
      <w:marBottom w:val="0"/>
      <w:divBdr>
        <w:top w:val="none" w:sz="0" w:space="0" w:color="auto"/>
        <w:left w:val="none" w:sz="0" w:space="0" w:color="auto"/>
        <w:bottom w:val="none" w:sz="0" w:space="0" w:color="auto"/>
        <w:right w:val="none" w:sz="0" w:space="0" w:color="auto"/>
      </w:divBdr>
    </w:div>
    <w:div w:id="1202405452">
      <w:bodyDiv w:val="1"/>
      <w:marLeft w:val="0"/>
      <w:marRight w:val="0"/>
      <w:marTop w:val="0"/>
      <w:marBottom w:val="0"/>
      <w:divBdr>
        <w:top w:val="none" w:sz="0" w:space="0" w:color="auto"/>
        <w:left w:val="none" w:sz="0" w:space="0" w:color="auto"/>
        <w:bottom w:val="none" w:sz="0" w:space="0" w:color="auto"/>
        <w:right w:val="none" w:sz="0" w:space="0" w:color="auto"/>
      </w:divBdr>
    </w:div>
    <w:div w:id="1235896140">
      <w:bodyDiv w:val="1"/>
      <w:marLeft w:val="0"/>
      <w:marRight w:val="0"/>
      <w:marTop w:val="0"/>
      <w:marBottom w:val="0"/>
      <w:divBdr>
        <w:top w:val="none" w:sz="0" w:space="0" w:color="auto"/>
        <w:left w:val="none" w:sz="0" w:space="0" w:color="auto"/>
        <w:bottom w:val="none" w:sz="0" w:space="0" w:color="auto"/>
        <w:right w:val="none" w:sz="0" w:space="0" w:color="auto"/>
      </w:divBdr>
    </w:div>
    <w:div w:id="1239945888">
      <w:bodyDiv w:val="1"/>
      <w:marLeft w:val="0"/>
      <w:marRight w:val="0"/>
      <w:marTop w:val="0"/>
      <w:marBottom w:val="0"/>
      <w:divBdr>
        <w:top w:val="none" w:sz="0" w:space="0" w:color="auto"/>
        <w:left w:val="none" w:sz="0" w:space="0" w:color="auto"/>
        <w:bottom w:val="none" w:sz="0" w:space="0" w:color="auto"/>
        <w:right w:val="none" w:sz="0" w:space="0" w:color="auto"/>
      </w:divBdr>
    </w:div>
    <w:div w:id="1240287733">
      <w:bodyDiv w:val="1"/>
      <w:marLeft w:val="0"/>
      <w:marRight w:val="0"/>
      <w:marTop w:val="0"/>
      <w:marBottom w:val="0"/>
      <w:divBdr>
        <w:top w:val="none" w:sz="0" w:space="0" w:color="auto"/>
        <w:left w:val="none" w:sz="0" w:space="0" w:color="auto"/>
        <w:bottom w:val="none" w:sz="0" w:space="0" w:color="auto"/>
        <w:right w:val="none" w:sz="0" w:space="0" w:color="auto"/>
      </w:divBdr>
    </w:div>
    <w:div w:id="1252003223">
      <w:bodyDiv w:val="1"/>
      <w:marLeft w:val="0"/>
      <w:marRight w:val="0"/>
      <w:marTop w:val="0"/>
      <w:marBottom w:val="0"/>
      <w:divBdr>
        <w:top w:val="none" w:sz="0" w:space="0" w:color="auto"/>
        <w:left w:val="none" w:sz="0" w:space="0" w:color="auto"/>
        <w:bottom w:val="none" w:sz="0" w:space="0" w:color="auto"/>
        <w:right w:val="none" w:sz="0" w:space="0" w:color="auto"/>
      </w:divBdr>
    </w:div>
    <w:div w:id="1269464760">
      <w:bodyDiv w:val="1"/>
      <w:marLeft w:val="0"/>
      <w:marRight w:val="0"/>
      <w:marTop w:val="0"/>
      <w:marBottom w:val="0"/>
      <w:divBdr>
        <w:top w:val="none" w:sz="0" w:space="0" w:color="auto"/>
        <w:left w:val="none" w:sz="0" w:space="0" w:color="auto"/>
        <w:bottom w:val="none" w:sz="0" w:space="0" w:color="auto"/>
        <w:right w:val="none" w:sz="0" w:space="0" w:color="auto"/>
      </w:divBdr>
    </w:div>
    <w:div w:id="1294410834">
      <w:bodyDiv w:val="1"/>
      <w:marLeft w:val="0"/>
      <w:marRight w:val="0"/>
      <w:marTop w:val="0"/>
      <w:marBottom w:val="0"/>
      <w:divBdr>
        <w:top w:val="none" w:sz="0" w:space="0" w:color="auto"/>
        <w:left w:val="none" w:sz="0" w:space="0" w:color="auto"/>
        <w:bottom w:val="none" w:sz="0" w:space="0" w:color="auto"/>
        <w:right w:val="none" w:sz="0" w:space="0" w:color="auto"/>
      </w:divBdr>
    </w:div>
    <w:div w:id="1294826373">
      <w:bodyDiv w:val="1"/>
      <w:marLeft w:val="0"/>
      <w:marRight w:val="0"/>
      <w:marTop w:val="0"/>
      <w:marBottom w:val="0"/>
      <w:divBdr>
        <w:top w:val="none" w:sz="0" w:space="0" w:color="auto"/>
        <w:left w:val="none" w:sz="0" w:space="0" w:color="auto"/>
        <w:bottom w:val="none" w:sz="0" w:space="0" w:color="auto"/>
        <w:right w:val="none" w:sz="0" w:space="0" w:color="auto"/>
      </w:divBdr>
    </w:div>
    <w:div w:id="1345010169">
      <w:bodyDiv w:val="1"/>
      <w:marLeft w:val="0"/>
      <w:marRight w:val="0"/>
      <w:marTop w:val="0"/>
      <w:marBottom w:val="0"/>
      <w:divBdr>
        <w:top w:val="none" w:sz="0" w:space="0" w:color="auto"/>
        <w:left w:val="none" w:sz="0" w:space="0" w:color="auto"/>
        <w:bottom w:val="none" w:sz="0" w:space="0" w:color="auto"/>
        <w:right w:val="none" w:sz="0" w:space="0" w:color="auto"/>
      </w:divBdr>
    </w:div>
    <w:div w:id="1346521198">
      <w:bodyDiv w:val="1"/>
      <w:marLeft w:val="0"/>
      <w:marRight w:val="0"/>
      <w:marTop w:val="0"/>
      <w:marBottom w:val="0"/>
      <w:divBdr>
        <w:top w:val="none" w:sz="0" w:space="0" w:color="auto"/>
        <w:left w:val="none" w:sz="0" w:space="0" w:color="auto"/>
        <w:bottom w:val="none" w:sz="0" w:space="0" w:color="auto"/>
        <w:right w:val="none" w:sz="0" w:space="0" w:color="auto"/>
      </w:divBdr>
    </w:div>
    <w:div w:id="1358969810">
      <w:bodyDiv w:val="1"/>
      <w:marLeft w:val="0"/>
      <w:marRight w:val="0"/>
      <w:marTop w:val="0"/>
      <w:marBottom w:val="0"/>
      <w:divBdr>
        <w:top w:val="none" w:sz="0" w:space="0" w:color="auto"/>
        <w:left w:val="none" w:sz="0" w:space="0" w:color="auto"/>
        <w:bottom w:val="none" w:sz="0" w:space="0" w:color="auto"/>
        <w:right w:val="none" w:sz="0" w:space="0" w:color="auto"/>
      </w:divBdr>
    </w:div>
    <w:div w:id="1463957519">
      <w:bodyDiv w:val="1"/>
      <w:marLeft w:val="0"/>
      <w:marRight w:val="0"/>
      <w:marTop w:val="0"/>
      <w:marBottom w:val="0"/>
      <w:divBdr>
        <w:top w:val="none" w:sz="0" w:space="0" w:color="auto"/>
        <w:left w:val="none" w:sz="0" w:space="0" w:color="auto"/>
        <w:bottom w:val="none" w:sz="0" w:space="0" w:color="auto"/>
        <w:right w:val="none" w:sz="0" w:space="0" w:color="auto"/>
      </w:divBdr>
    </w:div>
    <w:div w:id="1478036351">
      <w:bodyDiv w:val="1"/>
      <w:marLeft w:val="0"/>
      <w:marRight w:val="0"/>
      <w:marTop w:val="0"/>
      <w:marBottom w:val="0"/>
      <w:divBdr>
        <w:top w:val="none" w:sz="0" w:space="0" w:color="auto"/>
        <w:left w:val="none" w:sz="0" w:space="0" w:color="auto"/>
        <w:bottom w:val="none" w:sz="0" w:space="0" w:color="auto"/>
        <w:right w:val="none" w:sz="0" w:space="0" w:color="auto"/>
      </w:divBdr>
    </w:div>
    <w:div w:id="1517037876">
      <w:bodyDiv w:val="1"/>
      <w:marLeft w:val="0"/>
      <w:marRight w:val="0"/>
      <w:marTop w:val="0"/>
      <w:marBottom w:val="0"/>
      <w:divBdr>
        <w:top w:val="none" w:sz="0" w:space="0" w:color="auto"/>
        <w:left w:val="none" w:sz="0" w:space="0" w:color="auto"/>
        <w:bottom w:val="none" w:sz="0" w:space="0" w:color="auto"/>
        <w:right w:val="none" w:sz="0" w:space="0" w:color="auto"/>
      </w:divBdr>
    </w:div>
    <w:div w:id="1544444352">
      <w:bodyDiv w:val="1"/>
      <w:marLeft w:val="0"/>
      <w:marRight w:val="0"/>
      <w:marTop w:val="0"/>
      <w:marBottom w:val="0"/>
      <w:divBdr>
        <w:top w:val="none" w:sz="0" w:space="0" w:color="auto"/>
        <w:left w:val="none" w:sz="0" w:space="0" w:color="auto"/>
        <w:bottom w:val="none" w:sz="0" w:space="0" w:color="auto"/>
        <w:right w:val="none" w:sz="0" w:space="0" w:color="auto"/>
      </w:divBdr>
    </w:div>
    <w:div w:id="1577401958">
      <w:bodyDiv w:val="1"/>
      <w:marLeft w:val="0"/>
      <w:marRight w:val="0"/>
      <w:marTop w:val="0"/>
      <w:marBottom w:val="0"/>
      <w:divBdr>
        <w:top w:val="none" w:sz="0" w:space="0" w:color="auto"/>
        <w:left w:val="none" w:sz="0" w:space="0" w:color="auto"/>
        <w:bottom w:val="none" w:sz="0" w:space="0" w:color="auto"/>
        <w:right w:val="none" w:sz="0" w:space="0" w:color="auto"/>
      </w:divBdr>
    </w:div>
    <w:div w:id="1578901316">
      <w:bodyDiv w:val="1"/>
      <w:marLeft w:val="0"/>
      <w:marRight w:val="0"/>
      <w:marTop w:val="0"/>
      <w:marBottom w:val="0"/>
      <w:divBdr>
        <w:top w:val="none" w:sz="0" w:space="0" w:color="auto"/>
        <w:left w:val="none" w:sz="0" w:space="0" w:color="auto"/>
        <w:bottom w:val="none" w:sz="0" w:space="0" w:color="auto"/>
        <w:right w:val="none" w:sz="0" w:space="0" w:color="auto"/>
      </w:divBdr>
    </w:div>
    <w:div w:id="1614745195">
      <w:bodyDiv w:val="1"/>
      <w:marLeft w:val="0"/>
      <w:marRight w:val="0"/>
      <w:marTop w:val="0"/>
      <w:marBottom w:val="0"/>
      <w:divBdr>
        <w:top w:val="none" w:sz="0" w:space="0" w:color="auto"/>
        <w:left w:val="none" w:sz="0" w:space="0" w:color="auto"/>
        <w:bottom w:val="none" w:sz="0" w:space="0" w:color="auto"/>
        <w:right w:val="none" w:sz="0" w:space="0" w:color="auto"/>
      </w:divBdr>
    </w:div>
    <w:div w:id="1633443328">
      <w:bodyDiv w:val="1"/>
      <w:marLeft w:val="0"/>
      <w:marRight w:val="0"/>
      <w:marTop w:val="0"/>
      <w:marBottom w:val="0"/>
      <w:divBdr>
        <w:top w:val="none" w:sz="0" w:space="0" w:color="auto"/>
        <w:left w:val="none" w:sz="0" w:space="0" w:color="auto"/>
        <w:bottom w:val="none" w:sz="0" w:space="0" w:color="auto"/>
        <w:right w:val="none" w:sz="0" w:space="0" w:color="auto"/>
      </w:divBdr>
    </w:div>
    <w:div w:id="1633904382">
      <w:bodyDiv w:val="1"/>
      <w:marLeft w:val="0"/>
      <w:marRight w:val="0"/>
      <w:marTop w:val="0"/>
      <w:marBottom w:val="0"/>
      <w:divBdr>
        <w:top w:val="none" w:sz="0" w:space="0" w:color="auto"/>
        <w:left w:val="none" w:sz="0" w:space="0" w:color="auto"/>
        <w:bottom w:val="none" w:sz="0" w:space="0" w:color="auto"/>
        <w:right w:val="none" w:sz="0" w:space="0" w:color="auto"/>
      </w:divBdr>
    </w:div>
    <w:div w:id="1639721248">
      <w:bodyDiv w:val="1"/>
      <w:marLeft w:val="0"/>
      <w:marRight w:val="0"/>
      <w:marTop w:val="0"/>
      <w:marBottom w:val="0"/>
      <w:divBdr>
        <w:top w:val="none" w:sz="0" w:space="0" w:color="auto"/>
        <w:left w:val="none" w:sz="0" w:space="0" w:color="auto"/>
        <w:bottom w:val="none" w:sz="0" w:space="0" w:color="auto"/>
        <w:right w:val="none" w:sz="0" w:space="0" w:color="auto"/>
      </w:divBdr>
    </w:div>
    <w:div w:id="1650790143">
      <w:bodyDiv w:val="1"/>
      <w:marLeft w:val="0"/>
      <w:marRight w:val="0"/>
      <w:marTop w:val="0"/>
      <w:marBottom w:val="0"/>
      <w:divBdr>
        <w:top w:val="none" w:sz="0" w:space="0" w:color="auto"/>
        <w:left w:val="none" w:sz="0" w:space="0" w:color="auto"/>
        <w:bottom w:val="none" w:sz="0" w:space="0" w:color="auto"/>
        <w:right w:val="none" w:sz="0" w:space="0" w:color="auto"/>
      </w:divBdr>
    </w:div>
    <w:div w:id="1706321369">
      <w:bodyDiv w:val="1"/>
      <w:marLeft w:val="0"/>
      <w:marRight w:val="0"/>
      <w:marTop w:val="0"/>
      <w:marBottom w:val="0"/>
      <w:divBdr>
        <w:top w:val="none" w:sz="0" w:space="0" w:color="auto"/>
        <w:left w:val="none" w:sz="0" w:space="0" w:color="auto"/>
        <w:bottom w:val="none" w:sz="0" w:space="0" w:color="auto"/>
        <w:right w:val="none" w:sz="0" w:space="0" w:color="auto"/>
      </w:divBdr>
      <w:divsChild>
        <w:div w:id="225140979">
          <w:marLeft w:val="0"/>
          <w:marRight w:val="0"/>
          <w:marTop w:val="0"/>
          <w:marBottom w:val="0"/>
          <w:divBdr>
            <w:top w:val="none" w:sz="0" w:space="0" w:color="auto"/>
            <w:left w:val="none" w:sz="0" w:space="0" w:color="auto"/>
            <w:bottom w:val="none" w:sz="0" w:space="0" w:color="auto"/>
            <w:right w:val="none" w:sz="0" w:space="0" w:color="auto"/>
          </w:divBdr>
          <w:divsChild>
            <w:div w:id="855656116">
              <w:marLeft w:val="0"/>
              <w:marRight w:val="0"/>
              <w:marTop w:val="0"/>
              <w:marBottom w:val="0"/>
              <w:divBdr>
                <w:top w:val="none" w:sz="0" w:space="0" w:color="auto"/>
                <w:left w:val="none" w:sz="0" w:space="0" w:color="auto"/>
                <w:bottom w:val="none" w:sz="0" w:space="0" w:color="auto"/>
                <w:right w:val="none" w:sz="0" w:space="0" w:color="auto"/>
              </w:divBdr>
              <w:divsChild>
                <w:div w:id="1367828575">
                  <w:marLeft w:val="0"/>
                  <w:marRight w:val="0"/>
                  <w:marTop w:val="0"/>
                  <w:marBottom w:val="0"/>
                  <w:divBdr>
                    <w:top w:val="none" w:sz="0" w:space="0" w:color="auto"/>
                    <w:left w:val="none" w:sz="0" w:space="0" w:color="auto"/>
                    <w:bottom w:val="none" w:sz="0" w:space="0" w:color="auto"/>
                    <w:right w:val="none" w:sz="0" w:space="0" w:color="auto"/>
                  </w:divBdr>
                  <w:divsChild>
                    <w:div w:id="34932962">
                      <w:marLeft w:val="0"/>
                      <w:marRight w:val="0"/>
                      <w:marTop w:val="0"/>
                      <w:marBottom w:val="0"/>
                      <w:divBdr>
                        <w:top w:val="none" w:sz="0" w:space="0" w:color="auto"/>
                        <w:left w:val="none" w:sz="0" w:space="0" w:color="auto"/>
                        <w:bottom w:val="none" w:sz="0" w:space="0" w:color="auto"/>
                        <w:right w:val="none" w:sz="0" w:space="0" w:color="auto"/>
                      </w:divBdr>
                      <w:divsChild>
                        <w:div w:id="2026247446">
                          <w:marLeft w:val="0"/>
                          <w:marRight w:val="0"/>
                          <w:marTop w:val="0"/>
                          <w:marBottom w:val="0"/>
                          <w:divBdr>
                            <w:top w:val="none" w:sz="0" w:space="0" w:color="auto"/>
                            <w:left w:val="none" w:sz="0" w:space="0" w:color="auto"/>
                            <w:bottom w:val="none" w:sz="0" w:space="0" w:color="auto"/>
                            <w:right w:val="none" w:sz="0" w:space="0" w:color="auto"/>
                          </w:divBdr>
                          <w:divsChild>
                            <w:div w:id="1344941342">
                              <w:marLeft w:val="0"/>
                              <w:marRight w:val="0"/>
                              <w:marTop w:val="0"/>
                              <w:marBottom w:val="0"/>
                              <w:divBdr>
                                <w:top w:val="none" w:sz="0" w:space="0" w:color="auto"/>
                                <w:left w:val="none" w:sz="0" w:space="0" w:color="auto"/>
                                <w:bottom w:val="none" w:sz="0" w:space="0" w:color="auto"/>
                                <w:right w:val="none" w:sz="0" w:space="0" w:color="auto"/>
                              </w:divBdr>
                              <w:divsChild>
                                <w:div w:id="698242286">
                                  <w:marLeft w:val="0"/>
                                  <w:marRight w:val="0"/>
                                  <w:marTop w:val="0"/>
                                  <w:marBottom w:val="0"/>
                                  <w:divBdr>
                                    <w:top w:val="none" w:sz="0" w:space="0" w:color="auto"/>
                                    <w:left w:val="none" w:sz="0" w:space="0" w:color="auto"/>
                                    <w:bottom w:val="none" w:sz="0" w:space="0" w:color="auto"/>
                                    <w:right w:val="none" w:sz="0" w:space="0" w:color="auto"/>
                                  </w:divBdr>
                                  <w:divsChild>
                                    <w:div w:id="93132275">
                                      <w:marLeft w:val="0"/>
                                      <w:marRight w:val="0"/>
                                      <w:marTop w:val="0"/>
                                      <w:marBottom w:val="0"/>
                                      <w:divBdr>
                                        <w:top w:val="none" w:sz="0" w:space="0" w:color="auto"/>
                                        <w:left w:val="none" w:sz="0" w:space="0" w:color="auto"/>
                                        <w:bottom w:val="none" w:sz="0" w:space="0" w:color="auto"/>
                                        <w:right w:val="none" w:sz="0" w:space="0" w:color="auto"/>
                                      </w:divBdr>
                                      <w:divsChild>
                                        <w:div w:id="529536232">
                                          <w:marLeft w:val="0"/>
                                          <w:marRight w:val="0"/>
                                          <w:marTop w:val="0"/>
                                          <w:marBottom w:val="0"/>
                                          <w:divBdr>
                                            <w:top w:val="none" w:sz="0" w:space="0" w:color="auto"/>
                                            <w:left w:val="none" w:sz="0" w:space="0" w:color="auto"/>
                                            <w:bottom w:val="none" w:sz="0" w:space="0" w:color="auto"/>
                                            <w:right w:val="none" w:sz="0" w:space="0" w:color="auto"/>
                                          </w:divBdr>
                                          <w:divsChild>
                                            <w:div w:id="1747917880">
                                              <w:marLeft w:val="0"/>
                                              <w:marRight w:val="0"/>
                                              <w:marTop w:val="0"/>
                                              <w:marBottom w:val="0"/>
                                              <w:divBdr>
                                                <w:top w:val="none" w:sz="0" w:space="0" w:color="auto"/>
                                                <w:left w:val="none" w:sz="0" w:space="0" w:color="auto"/>
                                                <w:bottom w:val="none" w:sz="0" w:space="0" w:color="auto"/>
                                                <w:right w:val="none" w:sz="0" w:space="0" w:color="auto"/>
                                              </w:divBdr>
                                              <w:divsChild>
                                                <w:div w:id="477111715">
                                                  <w:marLeft w:val="0"/>
                                                  <w:marRight w:val="0"/>
                                                  <w:marTop w:val="0"/>
                                                  <w:marBottom w:val="0"/>
                                                  <w:divBdr>
                                                    <w:top w:val="none" w:sz="0" w:space="0" w:color="auto"/>
                                                    <w:left w:val="none" w:sz="0" w:space="0" w:color="auto"/>
                                                    <w:bottom w:val="none" w:sz="0" w:space="0" w:color="auto"/>
                                                    <w:right w:val="none" w:sz="0" w:space="0" w:color="auto"/>
                                                  </w:divBdr>
                                                  <w:divsChild>
                                                    <w:div w:id="1139491705">
                                                      <w:marLeft w:val="0"/>
                                                      <w:marRight w:val="0"/>
                                                      <w:marTop w:val="0"/>
                                                      <w:marBottom w:val="0"/>
                                                      <w:divBdr>
                                                        <w:top w:val="none" w:sz="0" w:space="0" w:color="auto"/>
                                                        <w:left w:val="none" w:sz="0" w:space="0" w:color="auto"/>
                                                        <w:bottom w:val="none" w:sz="0" w:space="0" w:color="auto"/>
                                                        <w:right w:val="none" w:sz="0" w:space="0" w:color="auto"/>
                                                      </w:divBdr>
                                                      <w:divsChild>
                                                        <w:div w:id="5712063">
                                                          <w:marLeft w:val="0"/>
                                                          <w:marRight w:val="0"/>
                                                          <w:marTop w:val="0"/>
                                                          <w:marBottom w:val="0"/>
                                                          <w:divBdr>
                                                            <w:top w:val="none" w:sz="0" w:space="0" w:color="auto"/>
                                                            <w:left w:val="none" w:sz="0" w:space="0" w:color="auto"/>
                                                            <w:bottom w:val="none" w:sz="0" w:space="0" w:color="auto"/>
                                                            <w:right w:val="none" w:sz="0" w:space="0" w:color="auto"/>
                                                          </w:divBdr>
                                                          <w:divsChild>
                                                            <w:div w:id="1694846641">
                                                              <w:marLeft w:val="0"/>
                                                              <w:marRight w:val="0"/>
                                                              <w:marTop w:val="0"/>
                                                              <w:marBottom w:val="0"/>
                                                              <w:divBdr>
                                                                <w:top w:val="none" w:sz="0" w:space="0" w:color="auto"/>
                                                                <w:left w:val="none" w:sz="0" w:space="0" w:color="auto"/>
                                                                <w:bottom w:val="none" w:sz="0" w:space="0" w:color="auto"/>
                                                                <w:right w:val="none" w:sz="0" w:space="0" w:color="auto"/>
                                                              </w:divBdr>
                                                              <w:divsChild>
                                                                <w:div w:id="1104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7677336">
      <w:bodyDiv w:val="1"/>
      <w:marLeft w:val="0"/>
      <w:marRight w:val="0"/>
      <w:marTop w:val="0"/>
      <w:marBottom w:val="0"/>
      <w:divBdr>
        <w:top w:val="none" w:sz="0" w:space="0" w:color="auto"/>
        <w:left w:val="none" w:sz="0" w:space="0" w:color="auto"/>
        <w:bottom w:val="none" w:sz="0" w:space="0" w:color="auto"/>
        <w:right w:val="none" w:sz="0" w:space="0" w:color="auto"/>
      </w:divBdr>
    </w:div>
    <w:div w:id="1738474591">
      <w:bodyDiv w:val="1"/>
      <w:marLeft w:val="0"/>
      <w:marRight w:val="0"/>
      <w:marTop w:val="0"/>
      <w:marBottom w:val="0"/>
      <w:divBdr>
        <w:top w:val="none" w:sz="0" w:space="0" w:color="auto"/>
        <w:left w:val="none" w:sz="0" w:space="0" w:color="auto"/>
        <w:bottom w:val="none" w:sz="0" w:space="0" w:color="auto"/>
        <w:right w:val="none" w:sz="0" w:space="0" w:color="auto"/>
      </w:divBdr>
      <w:divsChild>
        <w:div w:id="740055832">
          <w:marLeft w:val="547"/>
          <w:marRight w:val="0"/>
          <w:marTop w:val="86"/>
          <w:marBottom w:val="0"/>
          <w:divBdr>
            <w:top w:val="none" w:sz="0" w:space="0" w:color="auto"/>
            <w:left w:val="none" w:sz="0" w:space="0" w:color="auto"/>
            <w:bottom w:val="none" w:sz="0" w:space="0" w:color="auto"/>
            <w:right w:val="none" w:sz="0" w:space="0" w:color="auto"/>
          </w:divBdr>
        </w:div>
        <w:div w:id="782771013">
          <w:marLeft w:val="547"/>
          <w:marRight w:val="0"/>
          <w:marTop w:val="86"/>
          <w:marBottom w:val="0"/>
          <w:divBdr>
            <w:top w:val="none" w:sz="0" w:space="0" w:color="auto"/>
            <w:left w:val="none" w:sz="0" w:space="0" w:color="auto"/>
            <w:bottom w:val="none" w:sz="0" w:space="0" w:color="auto"/>
            <w:right w:val="none" w:sz="0" w:space="0" w:color="auto"/>
          </w:divBdr>
        </w:div>
        <w:div w:id="1020860440">
          <w:marLeft w:val="547"/>
          <w:marRight w:val="0"/>
          <w:marTop w:val="86"/>
          <w:marBottom w:val="0"/>
          <w:divBdr>
            <w:top w:val="none" w:sz="0" w:space="0" w:color="auto"/>
            <w:left w:val="none" w:sz="0" w:space="0" w:color="auto"/>
            <w:bottom w:val="none" w:sz="0" w:space="0" w:color="auto"/>
            <w:right w:val="none" w:sz="0" w:space="0" w:color="auto"/>
          </w:divBdr>
        </w:div>
        <w:div w:id="1537350100">
          <w:marLeft w:val="547"/>
          <w:marRight w:val="0"/>
          <w:marTop w:val="86"/>
          <w:marBottom w:val="0"/>
          <w:divBdr>
            <w:top w:val="none" w:sz="0" w:space="0" w:color="auto"/>
            <w:left w:val="none" w:sz="0" w:space="0" w:color="auto"/>
            <w:bottom w:val="none" w:sz="0" w:space="0" w:color="auto"/>
            <w:right w:val="none" w:sz="0" w:space="0" w:color="auto"/>
          </w:divBdr>
        </w:div>
        <w:div w:id="1623612218">
          <w:marLeft w:val="547"/>
          <w:marRight w:val="0"/>
          <w:marTop w:val="86"/>
          <w:marBottom w:val="0"/>
          <w:divBdr>
            <w:top w:val="none" w:sz="0" w:space="0" w:color="auto"/>
            <w:left w:val="none" w:sz="0" w:space="0" w:color="auto"/>
            <w:bottom w:val="none" w:sz="0" w:space="0" w:color="auto"/>
            <w:right w:val="none" w:sz="0" w:space="0" w:color="auto"/>
          </w:divBdr>
        </w:div>
        <w:div w:id="2074548560">
          <w:marLeft w:val="547"/>
          <w:marRight w:val="0"/>
          <w:marTop w:val="86"/>
          <w:marBottom w:val="0"/>
          <w:divBdr>
            <w:top w:val="none" w:sz="0" w:space="0" w:color="auto"/>
            <w:left w:val="none" w:sz="0" w:space="0" w:color="auto"/>
            <w:bottom w:val="none" w:sz="0" w:space="0" w:color="auto"/>
            <w:right w:val="none" w:sz="0" w:space="0" w:color="auto"/>
          </w:divBdr>
        </w:div>
      </w:divsChild>
    </w:div>
    <w:div w:id="1782066748">
      <w:bodyDiv w:val="1"/>
      <w:marLeft w:val="0"/>
      <w:marRight w:val="0"/>
      <w:marTop w:val="0"/>
      <w:marBottom w:val="0"/>
      <w:divBdr>
        <w:top w:val="none" w:sz="0" w:space="0" w:color="auto"/>
        <w:left w:val="none" w:sz="0" w:space="0" w:color="auto"/>
        <w:bottom w:val="none" w:sz="0" w:space="0" w:color="auto"/>
        <w:right w:val="none" w:sz="0" w:space="0" w:color="auto"/>
      </w:divBdr>
      <w:divsChild>
        <w:div w:id="1301035516">
          <w:marLeft w:val="547"/>
          <w:marRight w:val="0"/>
          <w:marTop w:val="0"/>
          <w:marBottom w:val="0"/>
          <w:divBdr>
            <w:top w:val="none" w:sz="0" w:space="0" w:color="auto"/>
            <w:left w:val="none" w:sz="0" w:space="0" w:color="auto"/>
            <w:bottom w:val="none" w:sz="0" w:space="0" w:color="auto"/>
            <w:right w:val="none" w:sz="0" w:space="0" w:color="auto"/>
          </w:divBdr>
        </w:div>
        <w:div w:id="1342270401">
          <w:marLeft w:val="547"/>
          <w:marRight w:val="0"/>
          <w:marTop w:val="0"/>
          <w:marBottom w:val="0"/>
          <w:divBdr>
            <w:top w:val="none" w:sz="0" w:space="0" w:color="auto"/>
            <w:left w:val="none" w:sz="0" w:space="0" w:color="auto"/>
            <w:bottom w:val="none" w:sz="0" w:space="0" w:color="auto"/>
            <w:right w:val="none" w:sz="0" w:space="0" w:color="auto"/>
          </w:divBdr>
        </w:div>
      </w:divsChild>
    </w:div>
    <w:div w:id="1793552636">
      <w:bodyDiv w:val="1"/>
      <w:marLeft w:val="0"/>
      <w:marRight w:val="0"/>
      <w:marTop w:val="0"/>
      <w:marBottom w:val="0"/>
      <w:divBdr>
        <w:top w:val="none" w:sz="0" w:space="0" w:color="auto"/>
        <w:left w:val="none" w:sz="0" w:space="0" w:color="auto"/>
        <w:bottom w:val="none" w:sz="0" w:space="0" w:color="auto"/>
        <w:right w:val="none" w:sz="0" w:space="0" w:color="auto"/>
      </w:divBdr>
    </w:div>
    <w:div w:id="1847672355">
      <w:bodyDiv w:val="1"/>
      <w:marLeft w:val="0"/>
      <w:marRight w:val="0"/>
      <w:marTop w:val="0"/>
      <w:marBottom w:val="0"/>
      <w:divBdr>
        <w:top w:val="none" w:sz="0" w:space="0" w:color="auto"/>
        <w:left w:val="none" w:sz="0" w:space="0" w:color="auto"/>
        <w:bottom w:val="none" w:sz="0" w:space="0" w:color="auto"/>
        <w:right w:val="none" w:sz="0" w:space="0" w:color="auto"/>
      </w:divBdr>
    </w:div>
    <w:div w:id="1867713453">
      <w:bodyDiv w:val="1"/>
      <w:marLeft w:val="0"/>
      <w:marRight w:val="0"/>
      <w:marTop w:val="0"/>
      <w:marBottom w:val="0"/>
      <w:divBdr>
        <w:top w:val="none" w:sz="0" w:space="0" w:color="auto"/>
        <w:left w:val="none" w:sz="0" w:space="0" w:color="auto"/>
        <w:bottom w:val="none" w:sz="0" w:space="0" w:color="auto"/>
        <w:right w:val="none" w:sz="0" w:space="0" w:color="auto"/>
      </w:divBdr>
    </w:div>
    <w:div w:id="1917737355">
      <w:bodyDiv w:val="1"/>
      <w:marLeft w:val="0"/>
      <w:marRight w:val="0"/>
      <w:marTop w:val="0"/>
      <w:marBottom w:val="0"/>
      <w:divBdr>
        <w:top w:val="none" w:sz="0" w:space="0" w:color="auto"/>
        <w:left w:val="none" w:sz="0" w:space="0" w:color="auto"/>
        <w:bottom w:val="none" w:sz="0" w:space="0" w:color="auto"/>
        <w:right w:val="none" w:sz="0" w:space="0" w:color="auto"/>
      </w:divBdr>
    </w:div>
    <w:div w:id="1941135925">
      <w:bodyDiv w:val="1"/>
      <w:marLeft w:val="0"/>
      <w:marRight w:val="0"/>
      <w:marTop w:val="0"/>
      <w:marBottom w:val="0"/>
      <w:divBdr>
        <w:top w:val="none" w:sz="0" w:space="0" w:color="auto"/>
        <w:left w:val="none" w:sz="0" w:space="0" w:color="auto"/>
        <w:bottom w:val="none" w:sz="0" w:space="0" w:color="auto"/>
        <w:right w:val="none" w:sz="0" w:space="0" w:color="auto"/>
      </w:divBdr>
    </w:div>
    <w:div w:id="1943604025">
      <w:bodyDiv w:val="1"/>
      <w:marLeft w:val="0"/>
      <w:marRight w:val="0"/>
      <w:marTop w:val="0"/>
      <w:marBottom w:val="0"/>
      <w:divBdr>
        <w:top w:val="none" w:sz="0" w:space="0" w:color="auto"/>
        <w:left w:val="none" w:sz="0" w:space="0" w:color="auto"/>
        <w:bottom w:val="none" w:sz="0" w:space="0" w:color="auto"/>
        <w:right w:val="none" w:sz="0" w:space="0" w:color="auto"/>
      </w:divBdr>
    </w:div>
    <w:div w:id="1950156555">
      <w:bodyDiv w:val="1"/>
      <w:marLeft w:val="0"/>
      <w:marRight w:val="0"/>
      <w:marTop w:val="0"/>
      <w:marBottom w:val="0"/>
      <w:divBdr>
        <w:top w:val="none" w:sz="0" w:space="0" w:color="auto"/>
        <w:left w:val="none" w:sz="0" w:space="0" w:color="auto"/>
        <w:bottom w:val="none" w:sz="0" w:space="0" w:color="auto"/>
        <w:right w:val="none" w:sz="0" w:space="0" w:color="auto"/>
      </w:divBdr>
      <w:divsChild>
        <w:div w:id="562562775">
          <w:marLeft w:val="0"/>
          <w:marRight w:val="0"/>
          <w:marTop w:val="0"/>
          <w:marBottom w:val="0"/>
          <w:divBdr>
            <w:top w:val="none" w:sz="0" w:space="0" w:color="auto"/>
            <w:left w:val="none" w:sz="0" w:space="0" w:color="auto"/>
            <w:bottom w:val="none" w:sz="0" w:space="0" w:color="auto"/>
            <w:right w:val="none" w:sz="0" w:space="0" w:color="auto"/>
          </w:divBdr>
          <w:divsChild>
            <w:div w:id="1023482376">
              <w:marLeft w:val="0"/>
              <w:marRight w:val="0"/>
              <w:marTop w:val="0"/>
              <w:marBottom w:val="0"/>
              <w:divBdr>
                <w:top w:val="none" w:sz="0" w:space="0" w:color="auto"/>
                <w:left w:val="none" w:sz="0" w:space="0" w:color="auto"/>
                <w:bottom w:val="none" w:sz="0" w:space="0" w:color="auto"/>
                <w:right w:val="none" w:sz="0" w:space="0" w:color="auto"/>
              </w:divBdr>
              <w:divsChild>
                <w:div w:id="278335998">
                  <w:marLeft w:val="0"/>
                  <w:marRight w:val="0"/>
                  <w:marTop w:val="0"/>
                  <w:marBottom w:val="0"/>
                  <w:divBdr>
                    <w:top w:val="none" w:sz="0" w:space="0" w:color="auto"/>
                    <w:left w:val="none" w:sz="0" w:space="0" w:color="auto"/>
                    <w:bottom w:val="none" w:sz="0" w:space="0" w:color="auto"/>
                    <w:right w:val="none" w:sz="0" w:space="0" w:color="auto"/>
                  </w:divBdr>
                  <w:divsChild>
                    <w:div w:id="1410075205">
                      <w:marLeft w:val="0"/>
                      <w:marRight w:val="0"/>
                      <w:marTop w:val="0"/>
                      <w:marBottom w:val="0"/>
                      <w:divBdr>
                        <w:top w:val="none" w:sz="0" w:space="0" w:color="auto"/>
                        <w:left w:val="none" w:sz="0" w:space="0" w:color="auto"/>
                        <w:bottom w:val="none" w:sz="0" w:space="0" w:color="auto"/>
                        <w:right w:val="none" w:sz="0" w:space="0" w:color="auto"/>
                      </w:divBdr>
                      <w:divsChild>
                        <w:div w:id="1244023091">
                          <w:marLeft w:val="0"/>
                          <w:marRight w:val="0"/>
                          <w:marTop w:val="0"/>
                          <w:marBottom w:val="0"/>
                          <w:divBdr>
                            <w:top w:val="none" w:sz="0" w:space="0" w:color="auto"/>
                            <w:left w:val="none" w:sz="0" w:space="0" w:color="auto"/>
                            <w:bottom w:val="none" w:sz="0" w:space="0" w:color="auto"/>
                            <w:right w:val="none" w:sz="0" w:space="0" w:color="auto"/>
                          </w:divBdr>
                          <w:divsChild>
                            <w:div w:id="345180589">
                              <w:marLeft w:val="0"/>
                              <w:marRight w:val="0"/>
                              <w:marTop w:val="0"/>
                              <w:marBottom w:val="0"/>
                              <w:divBdr>
                                <w:top w:val="none" w:sz="0" w:space="0" w:color="auto"/>
                                <w:left w:val="none" w:sz="0" w:space="0" w:color="auto"/>
                                <w:bottom w:val="none" w:sz="0" w:space="0" w:color="auto"/>
                                <w:right w:val="none" w:sz="0" w:space="0" w:color="auto"/>
                              </w:divBdr>
                              <w:divsChild>
                                <w:div w:id="837160478">
                                  <w:marLeft w:val="0"/>
                                  <w:marRight w:val="0"/>
                                  <w:marTop w:val="0"/>
                                  <w:marBottom w:val="0"/>
                                  <w:divBdr>
                                    <w:top w:val="none" w:sz="0" w:space="0" w:color="auto"/>
                                    <w:left w:val="none" w:sz="0" w:space="0" w:color="auto"/>
                                    <w:bottom w:val="none" w:sz="0" w:space="0" w:color="auto"/>
                                    <w:right w:val="none" w:sz="0" w:space="0" w:color="auto"/>
                                  </w:divBdr>
                                  <w:divsChild>
                                    <w:div w:id="1642929996">
                                      <w:marLeft w:val="0"/>
                                      <w:marRight w:val="0"/>
                                      <w:marTop w:val="0"/>
                                      <w:marBottom w:val="0"/>
                                      <w:divBdr>
                                        <w:top w:val="none" w:sz="0" w:space="0" w:color="auto"/>
                                        <w:left w:val="none" w:sz="0" w:space="0" w:color="auto"/>
                                        <w:bottom w:val="none" w:sz="0" w:space="0" w:color="auto"/>
                                        <w:right w:val="none" w:sz="0" w:space="0" w:color="auto"/>
                                      </w:divBdr>
                                      <w:divsChild>
                                        <w:div w:id="1736005250">
                                          <w:marLeft w:val="0"/>
                                          <w:marRight w:val="0"/>
                                          <w:marTop w:val="0"/>
                                          <w:marBottom w:val="0"/>
                                          <w:divBdr>
                                            <w:top w:val="none" w:sz="0" w:space="0" w:color="auto"/>
                                            <w:left w:val="none" w:sz="0" w:space="0" w:color="auto"/>
                                            <w:bottom w:val="none" w:sz="0" w:space="0" w:color="auto"/>
                                            <w:right w:val="none" w:sz="0" w:space="0" w:color="auto"/>
                                          </w:divBdr>
                                          <w:divsChild>
                                            <w:div w:id="1398818647">
                                              <w:marLeft w:val="0"/>
                                              <w:marRight w:val="0"/>
                                              <w:marTop w:val="0"/>
                                              <w:marBottom w:val="0"/>
                                              <w:divBdr>
                                                <w:top w:val="none" w:sz="0" w:space="0" w:color="auto"/>
                                                <w:left w:val="none" w:sz="0" w:space="0" w:color="auto"/>
                                                <w:bottom w:val="none" w:sz="0" w:space="0" w:color="auto"/>
                                                <w:right w:val="none" w:sz="0" w:space="0" w:color="auto"/>
                                              </w:divBdr>
                                              <w:divsChild>
                                                <w:div w:id="210771378">
                                                  <w:marLeft w:val="0"/>
                                                  <w:marRight w:val="0"/>
                                                  <w:marTop w:val="0"/>
                                                  <w:marBottom w:val="0"/>
                                                  <w:divBdr>
                                                    <w:top w:val="none" w:sz="0" w:space="0" w:color="auto"/>
                                                    <w:left w:val="none" w:sz="0" w:space="0" w:color="auto"/>
                                                    <w:bottom w:val="none" w:sz="0" w:space="0" w:color="auto"/>
                                                    <w:right w:val="none" w:sz="0" w:space="0" w:color="auto"/>
                                                  </w:divBdr>
                                                  <w:divsChild>
                                                    <w:div w:id="670985190">
                                                      <w:marLeft w:val="0"/>
                                                      <w:marRight w:val="0"/>
                                                      <w:marTop w:val="0"/>
                                                      <w:marBottom w:val="0"/>
                                                      <w:divBdr>
                                                        <w:top w:val="none" w:sz="0" w:space="0" w:color="auto"/>
                                                        <w:left w:val="none" w:sz="0" w:space="0" w:color="auto"/>
                                                        <w:bottom w:val="none" w:sz="0" w:space="0" w:color="auto"/>
                                                        <w:right w:val="none" w:sz="0" w:space="0" w:color="auto"/>
                                                      </w:divBdr>
                                                      <w:divsChild>
                                                        <w:div w:id="304822170">
                                                          <w:marLeft w:val="0"/>
                                                          <w:marRight w:val="0"/>
                                                          <w:marTop w:val="0"/>
                                                          <w:marBottom w:val="0"/>
                                                          <w:divBdr>
                                                            <w:top w:val="none" w:sz="0" w:space="0" w:color="auto"/>
                                                            <w:left w:val="none" w:sz="0" w:space="0" w:color="auto"/>
                                                            <w:bottom w:val="none" w:sz="0" w:space="0" w:color="auto"/>
                                                            <w:right w:val="none" w:sz="0" w:space="0" w:color="auto"/>
                                                          </w:divBdr>
                                                          <w:divsChild>
                                                            <w:div w:id="1985507516">
                                                              <w:marLeft w:val="0"/>
                                                              <w:marRight w:val="0"/>
                                                              <w:marTop w:val="0"/>
                                                              <w:marBottom w:val="0"/>
                                                              <w:divBdr>
                                                                <w:top w:val="none" w:sz="0" w:space="0" w:color="auto"/>
                                                                <w:left w:val="none" w:sz="0" w:space="0" w:color="auto"/>
                                                                <w:bottom w:val="none" w:sz="0" w:space="0" w:color="auto"/>
                                                                <w:right w:val="none" w:sz="0" w:space="0" w:color="auto"/>
                                                              </w:divBdr>
                                                              <w:divsChild>
                                                                <w:div w:id="518204305">
                                                                  <w:marLeft w:val="0"/>
                                                                  <w:marRight w:val="0"/>
                                                                  <w:marTop w:val="0"/>
                                                                  <w:marBottom w:val="0"/>
                                                                  <w:divBdr>
                                                                    <w:top w:val="none" w:sz="0" w:space="0" w:color="auto"/>
                                                                    <w:left w:val="none" w:sz="0" w:space="0" w:color="auto"/>
                                                                    <w:bottom w:val="none" w:sz="0" w:space="0" w:color="auto"/>
                                                                    <w:right w:val="none" w:sz="0" w:space="0" w:color="auto"/>
                                                                  </w:divBdr>
                                                                  <w:divsChild>
                                                                    <w:div w:id="107626643">
                                                                      <w:marLeft w:val="0"/>
                                                                      <w:marRight w:val="0"/>
                                                                      <w:marTop w:val="0"/>
                                                                      <w:marBottom w:val="120"/>
                                                                      <w:divBdr>
                                                                        <w:top w:val="none" w:sz="0" w:space="0" w:color="auto"/>
                                                                        <w:left w:val="none" w:sz="0" w:space="0" w:color="auto"/>
                                                                        <w:bottom w:val="none" w:sz="0" w:space="0" w:color="auto"/>
                                                                        <w:right w:val="none" w:sz="0" w:space="0" w:color="auto"/>
                                                                      </w:divBdr>
                                                                      <w:divsChild>
                                                                        <w:div w:id="1857377546">
                                                                          <w:marLeft w:val="0"/>
                                                                          <w:marRight w:val="0"/>
                                                                          <w:marTop w:val="0"/>
                                                                          <w:marBottom w:val="0"/>
                                                                          <w:divBdr>
                                                                            <w:top w:val="none" w:sz="0" w:space="0" w:color="auto"/>
                                                                            <w:left w:val="none" w:sz="0" w:space="0" w:color="auto"/>
                                                                            <w:bottom w:val="none" w:sz="0" w:space="0" w:color="auto"/>
                                                                            <w:right w:val="none" w:sz="0" w:space="0" w:color="auto"/>
                                                                          </w:divBdr>
                                                                        </w:div>
                                                                      </w:divsChild>
                                                                    </w:div>
                                                                    <w:div w:id="166210437">
                                                                      <w:marLeft w:val="0"/>
                                                                      <w:marRight w:val="0"/>
                                                                      <w:marTop w:val="0"/>
                                                                      <w:marBottom w:val="0"/>
                                                                      <w:divBdr>
                                                                        <w:top w:val="none" w:sz="0" w:space="0" w:color="auto"/>
                                                                        <w:left w:val="none" w:sz="0" w:space="0" w:color="auto"/>
                                                                        <w:bottom w:val="none" w:sz="0" w:space="0" w:color="auto"/>
                                                                        <w:right w:val="none" w:sz="0" w:space="0" w:color="auto"/>
                                                                      </w:divBdr>
                                                                      <w:divsChild>
                                                                        <w:div w:id="232353616">
                                                                          <w:marLeft w:val="0"/>
                                                                          <w:marRight w:val="0"/>
                                                                          <w:marTop w:val="0"/>
                                                                          <w:marBottom w:val="0"/>
                                                                          <w:divBdr>
                                                                            <w:top w:val="none" w:sz="0" w:space="0" w:color="auto"/>
                                                                            <w:left w:val="none" w:sz="0" w:space="0" w:color="auto"/>
                                                                            <w:bottom w:val="none" w:sz="0" w:space="0" w:color="auto"/>
                                                                            <w:right w:val="none" w:sz="0" w:space="0" w:color="auto"/>
                                                                          </w:divBdr>
                                                                        </w:div>
                                                                      </w:divsChild>
                                                                    </w:div>
                                                                    <w:div w:id="392700283">
                                                                      <w:marLeft w:val="720"/>
                                                                      <w:marRight w:val="0"/>
                                                                      <w:marTop w:val="0"/>
                                                                      <w:marBottom w:val="0"/>
                                                                      <w:divBdr>
                                                                        <w:top w:val="none" w:sz="0" w:space="0" w:color="auto"/>
                                                                        <w:left w:val="none" w:sz="0" w:space="0" w:color="auto"/>
                                                                        <w:bottom w:val="none" w:sz="0" w:space="0" w:color="auto"/>
                                                                        <w:right w:val="none" w:sz="0" w:space="0" w:color="auto"/>
                                                                      </w:divBdr>
                                                                      <w:divsChild>
                                                                        <w:div w:id="65154582">
                                                                          <w:marLeft w:val="0"/>
                                                                          <w:marRight w:val="0"/>
                                                                          <w:marTop w:val="0"/>
                                                                          <w:marBottom w:val="0"/>
                                                                          <w:divBdr>
                                                                            <w:top w:val="none" w:sz="0" w:space="0" w:color="auto"/>
                                                                            <w:left w:val="none" w:sz="0" w:space="0" w:color="auto"/>
                                                                            <w:bottom w:val="none" w:sz="0" w:space="0" w:color="auto"/>
                                                                            <w:right w:val="none" w:sz="0" w:space="0" w:color="auto"/>
                                                                          </w:divBdr>
                                                                        </w:div>
                                                                      </w:divsChild>
                                                                    </w:div>
                                                                    <w:div w:id="556861874">
                                                                      <w:marLeft w:val="720"/>
                                                                      <w:marRight w:val="0"/>
                                                                      <w:marTop w:val="120"/>
                                                                      <w:marBottom w:val="120"/>
                                                                      <w:divBdr>
                                                                        <w:top w:val="none" w:sz="0" w:space="0" w:color="auto"/>
                                                                        <w:left w:val="none" w:sz="0" w:space="0" w:color="auto"/>
                                                                        <w:bottom w:val="none" w:sz="0" w:space="0" w:color="auto"/>
                                                                        <w:right w:val="none" w:sz="0" w:space="0" w:color="auto"/>
                                                                      </w:divBdr>
                                                                      <w:divsChild>
                                                                        <w:div w:id="1086724859">
                                                                          <w:marLeft w:val="0"/>
                                                                          <w:marRight w:val="0"/>
                                                                          <w:marTop w:val="0"/>
                                                                          <w:marBottom w:val="0"/>
                                                                          <w:divBdr>
                                                                            <w:top w:val="none" w:sz="0" w:space="0" w:color="auto"/>
                                                                            <w:left w:val="none" w:sz="0" w:space="0" w:color="auto"/>
                                                                            <w:bottom w:val="none" w:sz="0" w:space="0" w:color="auto"/>
                                                                            <w:right w:val="none" w:sz="0" w:space="0" w:color="auto"/>
                                                                          </w:divBdr>
                                                                        </w:div>
                                                                      </w:divsChild>
                                                                    </w:div>
                                                                    <w:div w:id="646589835">
                                                                      <w:marLeft w:val="0"/>
                                                                      <w:marRight w:val="0"/>
                                                                      <w:marTop w:val="0"/>
                                                                      <w:marBottom w:val="0"/>
                                                                      <w:divBdr>
                                                                        <w:top w:val="none" w:sz="0" w:space="0" w:color="auto"/>
                                                                        <w:left w:val="none" w:sz="0" w:space="0" w:color="auto"/>
                                                                        <w:bottom w:val="none" w:sz="0" w:space="0" w:color="auto"/>
                                                                        <w:right w:val="none" w:sz="0" w:space="0" w:color="auto"/>
                                                                      </w:divBdr>
                                                                      <w:divsChild>
                                                                        <w:div w:id="689261571">
                                                                          <w:marLeft w:val="0"/>
                                                                          <w:marRight w:val="0"/>
                                                                          <w:marTop w:val="0"/>
                                                                          <w:marBottom w:val="0"/>
                                                                          <w:divBdr>
                                                                            <w:top w:val="none" w:sz="0" w:space="0" w:color="auto"/>
                                                                            <w:left w:val="none" w:sz="0" w:space="0" w:color="auto"/>
                                                                            <w:bottom w:val="none" w:sz="0" w:space="0" w:color="auto"/>
                                                                            <w:right w:val="none" w:sz="0" w:space="0" w:color="auto"/>
                                                                          </w:divBdr>
                                                                        </w:div>
                                                                      </w:divsChild>
                                                                    </w:div>
                                                                    <w:div w:id="772240736">
                                                                      <w:marLeft w:val="0"/>
                                                                      <w:marRight w:val="0"/>
                                                                      <w:marTop w:val="0"/>
                                                                      <w:marBottom w:val="0"/>
                                                                      <w:divBdr>
                                                                        <w:top w:val="none" w:sz="0" w:space="0" w:color="auto"/>
                                                                        <w:left w:val="none" w:sz="0" w:space="0" w:color="auto"/>
                                                                        <w:bottom w:val="none" w:sz="0" w:space="0" w:color="auto"/>
                                                                        <w:right w:val="none" w:sz="0" w:space="0" w:color="auto"/>
                                                                      </w:divBdr>
                                                                      <w:divsChild>
                                                                        <w:div w:id="1589997086">
                                                                          <w:marLeft w:val="0"/>
                                                                          <w:marRight w:val="0"/>
                                                                          <w:marTop w:val="0"/>
                                                                          <w:marBottom w:val="0"/>
                                                                          <w:divBdr>
                                                                            <w:top w:val="none" w:sz="0" w:space="0" w:color="auto"/>
                                                                            <w:left w:val="none" w:sz="0" w:space="0" w:color="auto"/>
                                                                            <w:bottom w:val="none" w:sz="0" w:space="0" w:color="auto"/>
                                                                            <w:right w:val="none" w:sz="0" w:space="0" w:color="auto"/>
                                                                          </w:divBdr>
                                                                        </w:div>
                                                                      </w:divsChild>
                                                                    </w:div>
                                                                    <w:div w:id="908613572">
                                                                      <w:marLeft w:val="0"/>
                                                                      <w:marRight w:val="0"/>
                                                                      <w:marTop w:val="0"/>
                                                                      <w:marBottom w:val="0"/>
                                                                      <w:divBdr>
                                                                        <w:top w:val="none" w:sz="0" w:space="0" w:color="auto"/>
                                                                        <w:left w:val="none" w:sz="0" w:space="0" w:color="auto"/>
                                                                        <w:bottom w:val="none" w:sz="0" w:space="0" w:color="auto"/>
                                                                        <w:right w:val="none" w:sz="0" w:space="0" w:color="auto"/>
                                                                      </w:divBdr>
                                                                      <w:divsChild>
                                                                        <w:div w:id="138965378">
                                                                          <w:marLeft w:val="0"/>
                                                                          <w:marRight w:val="0"/>
                                                                          <w:marTop w:val="0"/>
                                                                          <w:marBottom w:val="0"/>
                                                                          <w:divBdr>
                                                                            <w:top w:val="none" w:sz="0" w:space="0" w:color="auto"/>
                                                                            <w:left w:val="none" w:sz="0" w:space="0" w:color="auto"/>
                                                                            <w:bottom w:val="none" w:sz="0" w:space="0" w:color="auto"/>
                                                                            <w:right w:val="none" w:sz="0" w:space="0" w:color="auto"/>
                                                                          </w:divBdr>
                                                                        </w:div>
                                                                      </w:divsChild>
                                                                    </w:div>
                                                                    <w:div w:id="951475785">
                                                                      <w:marLeft w:val="0"/>
                                                                      <w:marRight w:val="0"/>
                                                                      <w:marTop w:val="0"/>
                                                                      <w:marBottom w:val="0"/>
                                                                      <w:divBdr>
                                                                        <w:top w:val="none" w:sz="0" w:space="0" w:color="auto"/>
                                                                        <w:left w:val="none" w:sz="0" w:space="0" w:color="auto"/>
                                                                        <w:bottom w:val="none" w:sz="0" w:space="0" w:color="auto"/>
                                                                        <w:right w:val="none" w:sz="0" w:space="0" w:color="auto"/>
                                                                      </w:divBdr>
                                                                      <w:divsChild>
                                                                        <w:div w:id="230778255">
                                                                          <w:marLeft w:val="0"/>
                                                                          <w:marRight w:val="0"/>
                                                                          <w:marTop w:val="0"/>
                                                                          <w:marBottom w:val="0"/>
                                                                          <w:divBdr>
                                                                            <w:top w:val="none" w:sz="0" w:space="0" w:color="auto"/>
                                                                            <w:left w:val="none" w:sz="0" w:space="0" w:color="auto"/>
                                                                            <w:bottom w:val="none" w:sz="0" w:space="0" w:color="auto"/>
                                                                            <w:right w:val="none" w:sz="0" w:space="0" w:color="auto"/>
                                                                          </w:divBdr>
                                                                        </w:div>
                                                                      </w:divsChild>
                                                                    </w:div>
                                                                    <w:div w:id="1001809427">
                                                                      <w:marLeft w:val="0"/>
                                                                      <w:marRight w:val="0"/>
                                                                      <w:marTop w:val="0"/>
                                                                      <w:marBottom w:val="0"/>
                                                                      <w:divBdr>
                                                                        <w:top w:val="none" w:sz="0" w:space="0" w:color="auto"/>
                                                                        <w:left w:val="none" w:sz="0" w:space="0" w:color="auto"/>
                                                                        <w:bottom w:val="none" w:sz="0" w:space="0" w:color="auto"/>
                                                                        <w:right w:val="none" w:sz="0" w:space="0" w:color="auto"/>
                                                                      </w:divBdr>
                                                                      <w:divsChild>
                                                                        <w:div w:id="1953854300">
                                                                          <w:marLeft w:val="0"/>
                                                                          <w:marRight w:val="0"/>
                                                                          <w:marTop w:val="0"/>
                                                                          <w:marBottom w:val="0"/>
                                                                          <w:divBdr>
                                                                            <w:top w:val="none" w:sz="0" w:space="0" w:color="auto"/>
                                                                            <w:left w:val="none" w:sz="0" w:space="0" w:color="auto"/>
                                                                            <w:bottom w:val="none" w:sz="0" w:space="0" w:color="auto"/>
                                                                            <w:right w:val="none" w:sz="0" w:space="0" w:color="auto"/>
                                                                          </w:divBdr>
                                                                        </w:div>
                                                                      </w:divsChild>
                                                                    </w:div>
                                                                    <w:div w:id="1201437277">
                                                                      <w:marLeft w:val="0"/>
                                                                      <w:marRight w:val="0"/>
                                                                      <w:marTop w:val="0"/>
                                                                      <w:marBottom w:val="0"/>
                                                                      <w:divBdr>
                                                                        <w:top w:val="none" w:sz="0" w:space="0" w:color="auto"/>
                                                                        <w:left w:val="none" w:sz="0" w:space="0" w:color="auto"/>
                                                                        <w:bottom w:val="none" w:sz="0" w:space="0" w:color="auto"/>
                                                                        <w:right w:val="none" w:sz="0" w:space="0" w:color="auto"/>
                                                                      </w:divBdr>
                                                                      <w:divsChild>
                                                                        <w:div w:id="959451906">
                                                                          <w:marLeft w:val="0"/>
                                                                          <w:marRight w:val="0"/>
                                                                          <w:marTop w:val="0"/>
                                                                          <w:marBottom w:val="0"/>
                                                                          <w:divBdr>
                                                                            <w:top w:val="none" w:sz="0" w:space="0" w:color="auto"/>
                                                                            <w:left w:val="none" w:sz="0" w:space="0" w:color="auto"/>
                                                                            <w:bottom w:val="none" w:sz="0" w:space="0" w:color="auto"/>
                                                                            <w:right w:val="none" w:sz="0" w:space="0" w:color="auto"/>
                                                                          </w:divBdr>
                                                                        </w:div>
                                                                      </w:divsChild>
                                                                    </w:div>
                                                                    <w:div w:id="1285695955">
                                                                      <w:marLeft w:val="0"/>
                                                                      <w:marRight w:val="0"/>
                                                                      <w:marTop w:val="0"/>
                                                                      <w:marBottom w:val="0"/>
                                                                      <w:divBdr>
                                                                        <w:top w:val="none" w:sz="0" w:space="0" w:color="auto"/>
                                                                        <w:left w:val="none" w:sz="0" w:space="0" w:color="auto"/>
                                                                        <w:bottom w:val="none" w:sz="0" w:space="0" w:color="auto"/>
                                                                        <w:right w:val="none" w:sz="0" w:space="0" w:color="auto"/>
                                                                      </w:divBdr>
                                                                      <w:divsChild>
                                                                        <w:div w:id="1399595906">
                                                                          <w:marLeft w:val="0"/>
                                                                          <w:marRight w:val="0"/>
                                                                          <w:marTop w:val="0"/>
                                                                          <w:marBottom w:val="0"/>
                                                                          <w:divBdr>
                                                                            <w:top w:val="none" w:sz="0" w:space="0" w:color="auto"/>
                                                                            <w:left w:val="none" w:sz="0" w:space="0" w:color="auto"/>
                                                                            <w:bottom w:val="none" w:sz="0" w:space="0" w:color="auto"/>
                                                                            <w:right w:val="none" w:sz="0" w:space="0" w:color="auto"/>
                                                                          </w:divBdr>
                                                                        </w:div>
                                                                      </w:divsChild>
                                                                    </w:div>
                                                                    <w:div w:id="1331635912">
                                                                      <w:marLeft w:val="0"/>
                                                                      <w:marRight w:val="0"/>
                                                                      <w:marTop w:val="0"/>
                                                                      <w:marBottom w:val="0"/>
                                                                      <w:divBdr>
                                                                        <w:top w:val="none" w:sz="0" w:space="0" w:color="auto"/>
                                                                        <w:left w:val="none" w:sz="0" w:space="0" w:color="auto"/>
                                                                        <w:bottom w:val="none" w:sz="0" w:space="0" w:color="auto"/>
                                                                        <w:right w:val="none" w:sz="0" w:space="0" w:color="auto"/>
                                                                      </w:divBdr>
                                                                      <w:divsChild>
                                                                        <w:div w:id="628360431">
                                                                          <w:marLeft w:val="0"/>
                                                                          <w:marRight w:val="0"/>
                                                                          <w:marTop w:val="0"/>
                                                                          <w:marBottom w:val="0"/>
                                                                          <w:divBdr>
                                                                            <w:top w:val="none" w:sz="0" w:space="0" w:color="auto"/>
                                                                            <w:left w:val="none" w:sz="0" w:space="0" w:color="auto"/>
                                                                            <w:bottom w:val="none" w:sz="0" w:space="0" w:color="auto"/>
                                                                            <w:right w:val="none" w:sz="0" w:space="0" w:color="auto"/>
                                                                          </w:divBdr>
                                                                        </w:div>
                                                                      </w:divsChild>
                                                                    </w:div>
                                                                    <w:div w:id="1397052802">
                                                                      <w:marLeft w:val="0"/>
                                                                      <w:marRight w:val="0"/>
                                                                      <w:marTop w:val="0"/>
                                                                      <w:marBottom w:val="0"/>
                                                                      <w:divBdr>
                                                                        <w:top w:val="none" w:sz="0" w:space="0" w:color="auto"/>
                                                                        <w:left w:val="none" w:sz="0" w:space="0" w:color="auto"/>
                                                                        <w:bottom w:val="none" w:sz="0" w:space="0" w:color="auto"/>
                                                                        <w:right w:val="none" w:sz="0" w:space="0" w:color="auto"/>
                                                                      </w:divBdr>
                                                                      <w:divsChild>
                                                                        <w:div w:id="32653382">
                                                                          <w:marLeft w:val="0"/>
                                                                          <w:marRight w:val="0"/>
                                                                          <w:marTop w:val="0"/>
                                                                          <w:marBottom w:val="0"/>
                                                                          <w:divBdr>
                                                                            <w:top w:val="none" w:sz="0" w:space="0" w:color="auto"/>
                                                                            <w:left w:val="none" w:sz="0" w:space="0" w:color="auto"/>
                                                                            <w:bottom w:val="none" w:sz="0" w:space="0" w:color="auto"/>
                                                                            <w:right w:val="none" w:sz="0" w:space="0" w:color="auto"/>
                                                                          </w:divBdr>
                                                                        </w:div>
                                                                      </w:divsChild>
                                                                    </w:div>
                                                                    <w:div w:id="1477188717">
                                                                      <w:marLeft w:val="720"/>
                                                                      <w:marRight w:val="0"/>
                                                                      <w:marTop w:val="120"/>
                                                                      <w:marBottom w:val="120"/>
                                                                      <w:divBdr>
                                                                        <w:top w:val="none" w:sz="0" w:space="0" w:color="auto"/>
                                                                        <w:left w:val="none" w:sz="0" w:space="0" w:color="auto"/>
                                                                        <w:bottom w:val="none" w:sz="0" w:space="0" w:color="auto"/>
                                                                        <w:right w:val="none" w:sz="0" w:space="0" w:color="auto"/>
                                                                      </w:divBdr>
                                                                      <w:divsChild>
                                                                        <w:div w:id="2041708833">
                                                                          <w:marLeft w:val="0"/>
                                                                          <w:marRight w:val="0"/>
                                                                          <w:marTop w:val="0"/>
                                                                          <w:marBottom w:val="0"/>
                                                                          <w:divBdr>
                                                                            <w:top w:val="none" w:sz="0" w:space="0" w:color="auto"/>
                                                                            <w:left w:val="none" w:sz="0" w:space="0" w:color="auto"/>
                                                                            <w:bottom w:val="none" w:sz="0" w:space="0" w:color="auto"/>
                                                                            <w:right w:val="none" w:sz="0" w:space="0" w:color="auto"/>
                                                                          </w:divBdr>
                                                                        </w:div>
                                                                      </w:divsChild>
                                                                    </w:div>
                                                                    <w:div w:id="2074963119">
                                                                      <w:marLeft w:val="720"/>
                                                                      <w:marRight w:val="0"/>
                                                                      <w:marTop w:val="120"/>
                                                                      <w:marBottom w:val="120"/>
                                                                      <w:divBdr>
                                                                        <w:top w:val="none" w:sz="0" w:space="0" w:color="auto"/>
                                                                        <w:left w:val="none" w:sz="0" w:space="0" w:color="auto"/>
                                                                        <w:bottom w:val="none" w:sz="0" w:space="0" w:color="auto"/>
                                                                        <w:right w:val="none" w:sz="0" w:space="0" w:color="auto"/>
                                                                      </w:divBdr>
                                                                      <w:divsChild>
                                                                        <w:div w:id="1924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934927">
      <w:bodyDiv w:val="1"/>
      <w:marLeft w:val="0"/>
      <w:marRight w:val="0"/>
      <w:marTop w:val="0"/>
      <w:marBottom w:val="0"/>
      <w:divBdr>
        <w:top w:val="none" w:sz="0" w:space="0" w:color="auto"/>
        <w:left w:val="none" w:sz="0" w:space="0" w:color="auto"/>
        <w:bottom w:val="none" w:sz="0" w:space="0" w:color="auto"/>
        <w:right w:val="none" w:sz="0" w:space="0" w:color="auto"/>
      </w:divBdr>
    </w:div>
    <w:div w:id="2014914044">
      <w:bodyDiv w:val="1"/>
      <w:marLeft w:val="0"/>
      <w:marRight w:val="0"/>
      <w:marTop w:val="0"/>
      <w:marBottom w:val="0"/>
      <w:divBdr>
        <w:top w:val="none" w:sz="0" w:space="0" w:color="auto"/>
        <w:left w:val="none" w:sz="0" w:space="0" w:color="auto"/>
        <w:bottom w:val="none" w:sz="0" w:space="0" w:color="auto"/>
        <w:right w:val="none" w:sz="0" w:space="0" w:color="auto"/>
      </w:divBdr>
    </w:div>
    <w:div w:id="2030834162">
      <w:bodyDiv w:val="1"/>
      <w:marLeft w:val="0"/>
      <w:marRight w:val="0"/>
      <w:marTop w:val="0"/>
      <w:marBottom w:val="0"/>
      <w:divBdr>
        <w:top w:val="none" w:sz="0" w:space="0" w:color="auto"/>
        <w:left w:val="none" w:sz="0" w:space="0" w:color="auto"/>
        <w:bottom w:val="none" w:sz="0" w:space="0" w:color="auto"/>
        <w:right w:val="none" w:sz="0" w:space="0" w:color="auto"/>
      </w:divBdr>
      <w:divsChild>
        <w:div w:id="533536985">
          <w:marLeft w:val="1166"/>
          <w:marRight w:val="0"/>
          <w:marTop w:val="86"/>
          <w:marBottom w:val="0"/>
          <w:divBdr>
            <w:top w:val="none" w:sz="0" w:space="0" w:color="auto"/>
            <w:left w:val="none" w:sz="0" w:space="0" w:color="auto"/>
            <w:bottom w:val="none" w:sz="0" w:space="0" w:color="auto"/>
            <w:right w:val="none" w:sz="0" w:space="0" w:color="auto"/>
          </w:divBdr>
        </w:div>
        <w:div w:id="638799530">
          <w:marLeft w:val="1166"/>
          <w:marRight w:val="0"/>
          <w:marTop w:val="86"/>
          <w:marBottom w:val="0"/>
          <w:divBdr>
            <w:top w:val="none" w:sz="0" w:space="0" w:color="auto"/>
            <w:left w:val="none" w:sz="0" w:space="0" w:color="auto"/>
            <w:bottom w:val="none" w:sz="0" w:space="0" w:color="auto"/>
            <w:right w:val="none" w:sz="0" w:space="0" w:color="auto"/>
          </w:divBdr>
        </w:div>
        <w:div w:id="827867581">
          <w:marLeft w:val="547"/>
          <w:marRight w:val="0"/>
          <w:marTop w:val="86"/>
          <w:marBottom w:val="0"/>
          <w:divBdr>
            <w:top w:val="none" w:sz="0" w:space="0" w:color="auto"/>
            <w:left w:val="none" w:sz="0" w:space="0" w:color="auto"/>
            <w:bottom w:val="none" w:sz="0" w:space="0" w:color="auto"/>
            <w:right w:val="none" w:sz="0" w:space="0" w:color="auto"/>
          </w:divBdr>
        </w:div>
        <w:div w:id="1554459374">
          <w:marLeft w:val="1166"/>
          <w:marRight w:val="0"/>
          <w:marTop w:val="86"/>
          <w:marBottom w:val="0"/>
          <w:divBdr>
            <w:top w:val="none" w:sz="0" w:space="0" w:color="auto"/>
            <w:left w:val="none" w:sz="0" w:space="0" w:color="auto"/>
            <w:bottom w:val="none" w:sz="0" w:space="0" w:color="auto"/>
            <w:right w:val="none" w:sz="0" w:space="0" w:color="auto"/>
          </w:divBdr>
        </w:div>
        <w:div w:id="1834831712">
          <w:marLeft w:val="1166"/>
          <w:marRight w:val="0"/>
          <w:marTop w:val="86"/>
          <w:marBottom w:val="0"/>
          <w:divBdr>
            <w:top w:val="none" w:sz="0" w:space="0" w:color="auto"/>
            <w:left w:val="none" w:sz="0" w:space="0" w:color="auto"/>
            <w:bottom w:val="none" w:sz="0" w:space="0" w:color="auto"/>
            <w:right w:val="none" w:sz="0" w:space="0" w:color="auto"/>
          </w:divBdr>
        </w:div>
      </w:divsChild>
    </w:div>
    <w:div w:id="2035692664">
      <w:bodyDiv w:val="1"/>
      <w:marLeft w:val="0"/>
      <w:marRight w:val="0"/>
      <w:marTop w:val="0"/>
      <w:marBottom w:val="0"/>
      <w:divBdr>
        <w:top w:val="none" w:sz="0" w:space="0" w:color="auto"/>
        <w:left w:val="none" w:sz="0" w:space="0" w:color="auto"/>
        <w:bottom w:val="none" w:sz="0" w:space="0" w:color="auto"/>
        <w:right w:val="none" w:sz="0" w:space="0" w:color="auto"/>
      </w:divBdr>
    </w:div>
    <w:div w:id="2035693961">
      <w:bodyDiv w:val="1"/>
      <w:marLeft w:val="0"/>
      <w:marRight w:val="0"/>
      <w:marTop w:val="0"/>
      <w:marBottom w:val="0"/>
      <w:divBdr>
        <w:top w:val="none" w:sz="0" w:space="0" w:color="auto"/>
        <w:left w:val="none" w:sz="0" w:space="0" w:color="auto"/>
        <w:bottom w:val="none" w:sz="0" w:space="0" w:color="auto"/>
        <w:right w:val="none" w:sz="0" w:space="0" w:color="auto"/>
      </w:divBdr>
      <w:divsChild>
        <w:div w:id="1819104889">
          <w:marLeft w:val="0"/>
          <w:marRight w:val="0"/>
          <w:marTop w:val="0"/>
          <w:marBottom w:val="0"/>
          <w:divBdr>
            <w:top w:val="none" w:sz="0" w:space="0" w:color="auto"/>
            <w:left w:val="none" w:sz="0" w:space="0" w:color="auto"/>
            <w:bottom w:val="none" w:sz="0" w:space="0" w:color="auto"/>
            <w:right w:val="none" w:sz="0" w:space="0" w:color="auto"/>
          </w:divBdr>
          <w:divsChild>
            <w:div w:id="337466096">
              <w:marLeft w:val="0"/>
              <w:marRight w:val="0"/>
              <w:marTop w:val="0"/>
              <w:marBottom w:val="0"/>
              <w:divBdr>
                <w:top w:val="none" w:sz="0" w:space="0" w:color="auto"/>
                <w:left w:val="none" w:sz="0" w:space="0" w:color="auto"/>
                <w:bottom w:val="none" w:sz="0" w:space="0" w:color="auto"/>
                <w:right w:val="none" w:sz="0" w:space="0" w:color="auto"/>
              </w:divBdr>
              <w:divsChild>
                <w:div w:id="1676491060">
                  <w:marLeft w:val="0"/>
                  <w:marRight w:val="0"/>
                  <w:marTop w:val="0"/>
                  <w:marBottom w:val="0"/>
                  <w:divBdr>
                    <w:top w:val="none" w:sz="0" w:space="0" w:color="auto"/>
                    <w:left w:val="none" w:sz="0" w:space="0" w:color="auto"/>
                    <w:bottom w:val="none" w:sz="0" w:space="0" w:color="auto"/>
                    <w:right w:val="none" w:sz="0" w:space="0" w:color="auto"/>
                  </w:divBdr>
                  <w:divsChild>
                    <w:div w:id="985819513">
                      <w:marLeft w:val="0"/>
                      <w:marRight w:val="0"/>
                      <w:marTop w:val="0"/>
                      <w:marBottom w:val="900"/>
                      <w:divBdr>
                        <w:top w:val="none" w:sz="0" w:space="0" w:color="auto"/>
                        <w:left w:val="none" w:sz="0" w:space="0" w:color="auto"/>
                        <w:bottom w:val="none" w:sz="0" w:space="0" w:color="auto"/>
                        <w:right w:val="none" w:sz="0" w:space="0" w:color="auto"/>
                      </w:divBdr>
                      <w:divsChild>
                        <w:div w:id="2146653665">
                          <w:marLeft w:val="0"/>
                          <w:marRight w:val="0"/>
                          <w:marTop w:val="0"/>
                          <w:marBottom w:val="0"/>
                          <w:divBdr>
                            <w:top w:val="none" w:sz="0" w:space="0" w:color="auto"/>
                            <w:left w:val="none" w:sz="0" w:space="0" w:color="auto"/>
                            <w:bottom w:val="none" w:sz="0" w:space="0" w:color="auto"/>
                            <w:right w:val="none" w:sz="0" w:space="0" w:color="auto"/>
                          </w:divBdr>
                          <w:divsChild>
                            <w:div w:id="1868130872">
                              <w:marLeft w:val="0"/>
                              <w:marRight w:val="0"/>
                              <w:marTop w:val="0"/>
                              <w:marBottom w:val="0"/>
                              <w:divBdr>
                                <w:top w:val="none" w:sz="0" w:space="0" w:color="auto"/>
                                <w:left w:val="none" w:sz="0" w:space="0" w:color="auto"/>
                                <w:bottom w:val="none" w:sz="0" w:space="0" w:color="auto"/>
                                <w:right w:val="none" w:sz="0" w:space="0" w:color="auto"/>
                              </w:divBdr>
                              <w:divsChild>
                                <w:div w:id="968782278">
                                  <w:marLeft w:val="0"/>
                                  <w:marRight w:val="0"/>
                                  <w:marTop w:val="0"/>
                                  <w:marBottom w:val="0"/>
                                  <w:divBdr>
                                    <w:top w:val="none" w:sz="0" w:space="0" w:color="auto"/>
                                    <w:left w:val="none" w:sz="0" w:space="0" w:color="auto"/>
                                    <w:bottom w:val="none" w:sz="0" w:space="0" w:color="auto"/>
                                    <w:right w:val="none" w:sz="0" w:space="0" w:color="auto"/>
                                  </w:divBdr>
                                  <w:divsChild>
                                    <w:div w:id="21075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895899">
      <w:bodyDiv w:val="1"/>
      <w:marLeft w:val="0"/>
      <w:marRight w:val="0"/>
      <w:marTop w:val="0"/>
      <w:marBottom w:val="0"/>
      <w:divBdr>
        <w:top w:val="none" w:sz="0" w:space="0" w:color="auto"/>
        <w:left w:val="none" w:sz="0" w:space="0" w:color="auto"/>
        <w:bottom w:val="none" w:sz="0" w:space="0" w:color="auto"/>
        <w:right w:val="none" w:sz="0" w:space="0" w:color="auto"/>
      </w:divBdr>
      <w:divsChild>
        <w:div w:id="367990763">
          <w:marLeft w:val="1166"/>
          <w:marRight w:val="0"/>
          <w:marTop w:val="86"/>
          <w:marBottom w:val="0"/>
          <w:divBdr>
            <w:top w:val="none" w:sz="0" w:space="0" w:color="auto"/>
            <w:left w:val="none" w:sz="0" w:space="0" w:color="auto"/>
            <w:bottom w:val="none" w:sz="0" w:space="0" w:color="auto"/>
            <w:right w:val="none" w:sz="0" w:space="0" w:color="auto"/>
          </w:divBdr>
        </w:div>
        <w:div w:id="475222057">
          <w:marLeft w:val="547"/>
          <w:marRight w:val="0"/>
          <w:marTop w:val="86"/>
          <w:marBottom w:val="0"/>
          <w:divBdr>
            <w:top w:val="none" w:sz="0" w:space="0" w:color="auto"/>
            <w:left w:val="none" w:sz="0" w:space="0" w:color="auto"/>
            <w:bottom w:val="none" w:sz="0" w:space="0" w:color="auto"/>
            <w:right w:val="none" w:sz="0" w:space="0" w:color="auto"/>
          </w:divBdr>
        </w:div>
        <w:div w:id="934633065">
          <w:marLeft w:val="547"/>
          <w:marRight w:val="0"/>
          <w:marTop w:val="86"/>
          <w:marBottom w:val="0"/>
          <w:divBdr>
            <w:top w:val="none" w:sz="0" w:space="0" w:color="auto"/>
            <w:left w:val="none" w:sz="0" w:space="0" w:color="auto"/>
            <w:bottom w:val="none" w:sz="0" w:space="0" w:color="auto"/>
            <w:right w:val="none" w:sz="0" w:space="0" w:color="auto"/>
          </w:divBdr>
        </w:div>
        <w:div w:id="1065572310">
          <w:marLeft w:val="547"/>
          <w:marRight w:val="0"/>
          <w:marTop w:val="86"/>
          <w:marBottom w:val="0"/>
          <w:divBdr>
            <w:top w:val="none" w:sz="0" w:space="0" w:color="auto"/>
            <w:left w:val="none" w:sz="0" w:space="0" w:color="auto"/>
            <w:bottom w:val="none" w:sz="0" w:space="0" w:color="auto"/>
            <w:right w:val="none" w:sz="0" w:space="0" w:color="auto"/>
          </w:divBdr>
        </w:div>
        <w:div w:id="1149244546">
          <w:marLeft w:val="1166"/>
          <w:marRight w:val="0"/>
          <w:marTop w:val="86"/>
          <w:marBottom w:val="0"/>
          <w:divBdr>
            <w:top w:val="none" w:sz="0" w:space="0" w:color="auto"/>
            <w:left w:val="none" w:sz="0" w:space="0" w:color="auto"/>
            <w:bottom w:val="none" w:sz="0" w:space="0" w:color="auto"/>
            <w:right w:val="none" w:sz="0" w:space="0" w:color="auto"/>
          </w:divBdr>
        </w:div>
        <w:div w:id="1900284189">
          <w:marLeft w:val="547"/>
          <w:marRight w:val="0"/>
          <w:marTop w:val="86"/>
          <w:marBottom w:val="0"/>
          <w:divBdr>
            <w:top w:val="none" w:sz="0" w:space="0" w:color="auto"/>
            <w:left w:val="none" w:sz="0" w:space="0" w:color="auto"/>
            <w:bottom w:val="none" w:sz="0" w:space="0" w:color="auto"/>
            <w:right w:val="none" w:sz="0" w:space="0" w:color="auto"/>
          </w:divBdr>
        </w:div>
        <w:div w:id="1938908283">
          <w:marLeft w:val="547"/>
          <w:marRight w:val="0"/>
          <w:marTop w:val="86"/>
          <w:marBottom w:val="0"/>
          <w:divBdr>
            <w:top w:val="none" w:sz="0" w:space="0" w:color="auto"/>
            <w:left w:val="none" w:sz="0" w:space="0" w:color="auto"/>
            <w:bottom w:val="none" w:sz="0" w:space="0" w:color="auto"/>
            <w:right w:val="none" w:sz="0" w:space="0" w:color="auto"/>
          </w:divBdr>
        </w:div>
      </w:divsChild>
    </w:div>
    <w:div w:id="2066247854">
      <w:bodyDiv w:val="1"/>
      <w:marLeft w:val="0"/>
      <w:marRight w:val="0"/>
      <w:marTop w:val="0"/>
      <w:marBottom w:val="0"/>
      <w:divBdr>
        <w:top w:val="none" w:sz="0" w:space="0" w:color="auto"/>
        <w:left w:val="none" w:sz="0" w:space="0" w:color="auto"/>
        <w:bottom w:val="none" w:sz="0" w:space="0" w:color="auto"/>
        <w:right w:val="none" w:sz="0" w:space="0" w:color="auto"/>
      </w:divBdr>
    </w:div>
    <w:div w:id="20903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esfondi.lv/page.php?id=118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fondi.lv"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t.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277BE.D84A384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mailto:Ilze.Valaine@fm.gov.lv"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esfondi.lv/upload/Petijumi_un_izvertejumi/izvertejuma-zinojums_22122017.pdf" TargetMode="External"/><Relationship Id="rId18" Type="http://schemas.openxmlformats.org/officeDocument/2006/relationships/hyperlink" Target="http://www.esfondi.lv/2018.gads" TargetMode="External"/><Relationship Id="rId26" Type="http://schemas.openxmlformats.org/officeDocument/2006/relationships/hyperlink" Target="http://www.esfondi.lv/2018.gads" TargetMode="External"/><Relationship Id="rId39" Type="http://schemas.openxmlformats.org/officeDocument/2006/relationships/hyperlink" Target="http://www.esfondi.lv/upload/14-20_gads/ES_fondu_Komunikacijas_strategija_2015-2023_LV.pdf" TargetMode="External"/><Relationship Id="rId21" Type="http://schemas.openxmlformats.org/officeDocument/2006/relationships/hyperlink" Target="http://www.esfondi.lv/2018.gads" TargetMode="External"/><Relationship Id="rId34" Type="http://schemas.openxmlformats.org/officeDocument/2006/relationships/hyperlink" Target="http://www.swiss-contribution.lv" TargetMode="External"/><Relationship Id="rId7" Type="http://schemas.openxmlformats.org/officeDocument/2006/relationships/hyperlink" Target="http://www.esfondi.lv/zinojumi-Ministru-kabinetam" TargetMode="External"/><Relationship Id="rId12" Type="http://schemas.openxmlformats.org/officeDocument/2006/relationships/hyperlink" Target="http://www.esfondi.lv/upload/8.2.1.izvertejuma_zinojums_4v_24072017.pdf" TargetMode="External"/><Relationship Id="rId17" Type="http://schemas.openxmlformats.org/officeDocument/2006/relationships/hyperlink" Target="http://www.esfondi.lv/zinojumi-Ministru-kabinetam" TargetMode="External"/><Relationship Id="rId25" Type="http://schemas.openxmlformats.org/officeDocument/2006/relationships/hyperlink" Target="https://likumi.lv/ta/id/271368?&amp;search=on" TargetMode="External"/><Relationship Id="rId33" Type="http://schemas.openxmlformats.org/officeDocument/2006/relationships/hyperlink" Target="http://www.norwaygrants.lv" TargetMode="External"/><Relationship Id="rId38" Type="http://schemas.openxmlformats.org/officeDocument/2006/relationships/hyperlink" Target="http://www.esfondi.lv/vadlinijas--skaidrojumi" TargetMode="External"/><Relationship Id="rId2" Type="http://schemas.openxmlformats.org/officeDocument/2006/relationships/hyperlink" Target="http://www.esfondi.lv/iesniegtie-parskati-saeimas-tautsaimniecibas-agraras-vides-un-regionalas-politikas-komisijai" TargetMode="External"/><Relationship Id="rId16" Type="http://schemas.openxmlformats.org/officeDocument/2006/relationships/hyperlink" Target="https://komitejas.esfondi.lv/SitePages/Home.aspx" TargetMode="External"/><Relationship Id="rId20" Type="http://schemas.openxmlformats.org/officeDocument/2006/relationships/hyperlink" Target="http://www.esfondi.lv/2018.gads" TargetMode="External"/><Relationship Id="rId29" Type="http://schemas.openxmlformats.org/officeDocument/2006/relationships/hyperlink" Target="https://likumi.lv/ta/id/271368?&amp;search=on" TargetMode="External"/><Relationship Id="rId1" Type="http://schemas.openxmlformats.org/officeDocument/2006/relationships/hyperlink" Target="http://www.esfondi.lv/zinojumi-par-es-fondu-istenosanu-1" TargetMode="External"/><Relationship Id="rId6" Type="http://schemas.openxmlformats.org/officeDocument/2006/relationships/hyperlink" Target="http://www.esfondi.lv/2007.-2013.gada-planosanas-perioda-lielie-projekti" TargetMode="External"/><Relationship Id="rId11" Type="http://schemas.openxmlformats.org/officeDocument/2006/relationships/hyperlink" Target="http://www.esfondi.lv/es-fondu-izvertesana-1" TargetMode="External"/><Relationship Id="rId24" Type="http://schemas.openxmlformats.org/officeDocument/2006/relationships/hyperlink" Target="https://likumi.lv/doc.php?id=267471" TargetMode="External"/><Relationship Id="rId32" Type="http://schemas.openxmlformats.org/officeDocument/2006/relationships/hyperlink" Target="http://www.eeagrants.lv" TargetMode="External"/><Relationship Id="rId37" Type="http://schemas.openxmlformats.org/officeDocument/2006/relationships/hyperlink" Target="http://www.esfondi.lv/konstatetas-neatbilstibas" TargetMode="External"/><Relationship Id="rId5" Type="http://schemas.openxmlformats.org/officeDocument/2006/relationships/hyperlink" Target="http://www.esfondi.lv/gadskartejie-es-fondu-ieviesanas-zinojumi" TargetMode="External"/><Relationship Id="rId15" Type="http://schemas.openxmlformats.org/officeDocument/2006/relationships/hyperlink" Target="http://www.esfondi.lv/zinojumi-Ministru-kabinetam" TargetMode="External"/><Relationship Id="rId23" Type="http://schemas.openxmlformats.org/officeDocument/2006/relationships/hyperlink" Target="http://www.esfondi.lv/2018.gads" TargetMode="External"/><Relationship Id="rId28" Type="http://schemas.openxmlformats.org/officeDocument/2006/relationships/hyperlink" Target="https://likumi.lv/ta/id/271368?&amp;search=on" TargetMode="External"/><Relationship Id="rId36" Type="http://schemas.openxmlformats.org/officeDocument/2006/relationships/hyperlink" Target="http://www.esfondi.lv/vadlinijas--skaidrojumi" TargetMode="External"/><Relationship Id="rId10" Type="http://schemas.openxmlformats.org/officeDocument/2006/relationships/hyperlink" Target="http://www.esfondi.lv/zinojumi-Ministru-kabinetam" TargetMode="External"/><Relationship Id="rId19" Type="http://schemas.openxmlformats.org/officeDocument/2006/relationships/hyperlink" Target="http://www.esfondi.lv/2017.gads-un-ieprieks" TargetMode="External"/><Relationship Id="rId31" Type="http://schemas.openxmlformats.org/officeDocument/2006/relationships/hyperlink" Target="http://www.norwaygrants.lv/?id=23" TargetMode="External"/><Relationship Id="rId4" Type="http://schemas.openxmlformats.org/officeDocument/2006/relationships/hyperlink" Target="http://www.esfondi.lv/planosanas-dokumenti" TargetMode="External"/><Relationship Id="rId9" Type="http://schemas.openxmlformats.org/officeDocument/2006/relationships/hyperlink" Target="http://www.esfondi.lv/planosanas-dokumenti" TargetMode="External"/><Relationship Id="rId14" Type="http://schemas.openxmlformats.org/officeDocument/2006/relationships/hyperlink" Target="http://www.esfondi.lv/finansu-un-raditaju-plani-to-izpilde" TargetMode="External"/><Relationship Id="rId22" Type="http://schemas.openxmlformats.org/officeDocument/2006/relationships/hyperlink" Target="http://www.esfondi.lv/2017.gads-un-ieprieks" TargetMode="External"/><Relationship Id="rId27" Type="http://schemas.openxmlformats.org/officeDocument/2006/relationships/hyperlink" Target="https://likumi.lv/doc.php?id=267471" TargetMode="External"/><Relationship Id="rId30" Type="http://schemas.openxmlformats.org/officeDocument/2006/relationships/hyperlink" Target="http://www.eeagrants.lv/?id=23" TargetMode="External"/><Relationship Id="rId35" Type="http://schemas.openxmlformats.org/officeDocument/2006/relationships/hyperlink" Target="http://www.esfondi.lv/neatbilstibas-neatbilstosi-veiktie-izdevumi-es-fondu-projektos" TargetMode="External"/><Relationship Id="rId8" Type="http://schemas.openxmlformats.org/officeDocument/2006/relationships/hyperlink" Target="http://www.varam.gov.lv/lat/fondi/kohez/?doc=21604" TargetMode="External"/><Relationship Id="rId3" Type="http://schemas.openxmlformats.org/officeDocument/2006/relationships/hyperlink" Target="http://www.esfondi.lv/iesniegtie-parskati-saeimas-publisko-izdevumu-un-revizijas-komisija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oleObject" Target="file:///E:\IVN%20sada&#316;ai%20PGZ%20MK\Neatbilstibas_uz_31.12.2017_sagatavots_09.01.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IVN%20sada&#316;ai%20PGZ%20MK\Neatbilstibas_uz_31.12.2017_sagatavots_09.01.2018.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Kopā: 4 484,5 (101,5%)</a:t>
            </a:r>
          </a:p>
        </c:rich>
      </c:tx>
      <c:layout>
        <c:manualLayout>
          <c:xMode val="edge"/>
          <c:yMode val="edge"/>
          <c:x val="0.71999770836715093"/>
          <c:y val="3.3025823202213062E-3"/>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37717015138120791"/>
          <c:y val="5.8105408599823549E-2"/>
          <c:w val="0.54994037951522379"/>
          <c:h val="0.80346784083279232"/>
        </c:manualLayout>
      </c:layout>
      <c:barChart>
        <c:barDir val="bar"/>
        <c:grouping val="stacked"/>
        <c:varyColors val="0"/>
        <c:ser>
          <c:idx val="0"/>
          <c:order val="0"/>
          <c:tx>
            <c:strRef>
              <c:f>'janvāris 2018'!$O$3</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('janvāris 2018'!$D$3:$J$3,'janvāris 2018'!$O$3:$P$3)</c:f>
              <c:strCache>
                <c:ptCount val="9"/>
                <c:pt idx="0">
                  <c:v>Veikti maksājumi projektos</c:v>
                </c:pt>
                <c:pt idx="1">
                  <c:v>Iepirkumu līgumi</c:v>
                </c:pt>
                <c:pt idx="2">
                  <c:v>Projektu līgumi, skaits - 704</c:v>
                </c:pt>
                <c:pt idx="3">
                  <c:v>Apstiprināti projekti, skaits - 750</c:v>
                </c:pt>
                <c:pt idx="4">
                  <c:v>Apstrīdēti projekti, skaits - 101</c:v>
                </c:pt>
                <c:pt idx="5">
                  <c:v>Noraidīti/atsaukti/pārtraukti projekti, skaits - 379</c:v>
                </c:pt>
                <c:pt idx="6">
                  <c:v>Iesniegti projekti, skaits - 1491</c:v>
                </c:pt>
                <c:pt idx="7">
                  <c:v>Pieejamais ES fondu finansējums</c:v>
                </c:pt>
                <c:pt idx="8">
                  <c:v>Pieejamais ''virssaistību'' apjoms</c:v>
                </c:pt>
              </c:strCache>
              <c:extLst/>
            </c:strRef>
          </c:cat>
          <c:val>
            <c:numRef>
              <c:f>('janvāris 2018'!$D$4:$J$4,'janvāris 2018'!$O$4)</c:f>
              <c:numCache>
                <c:formatCode>General</c:formatCode>
                <c:ptCount val="8"/>
              </c:numCache>
              <c:extLst/>
            </c:numRef>
          </c:val>
          <c:extLst>
            <c:ext xmlns:c16="http://schemas.microsoft.com/office/drawing/2014/chart" uri="{C3380CC4-5D6E-409C-BE32-E72D297353CC}">
              <c16:uniqueId val="{00000000-517D-4212-863D-38025A427610}"/>
            </c:ext>
          </c:extLst>
        </c:ser>
        <c:ser>
          <c:idx val="1"/>
          <c:order val="1"/>
          <c:tx>
            <c:strRef>
              <c:f>'janvāris 2018'!$C$5:$C$9</c:f>
              <c:strCache>
                <c:ptCount val="1"/>
                <c:pt idx="0">
                  <c:v>Mil EUR Esošais mēnesis (31.12.)/ % 30.06.2017</c:v>
                </c:pt>
              </c:strCache>
            </c:strRef>
          </c:tx>
          <c:spPr>
            <a:solidFill>
              <a:schemeClr val="accent2"/>
            </a:solidFill>
            <a:ln>
              <a:noFill/>
            </a:ln>
            <a:effectLst/>
          </c:spPr>
          <c:invertIfNegative val="0"/>
          <c:dPt>
            <c:idx val="0"/>
            <c:invertIfNegative val="0"/>
            <c:bubble3D val="0"/>
            <c:spPr>
              <a:solidFill>
                <a:srgbClr val="FFD966"/>
              </a:solidFill>
              <a:ln>
                <a:noFill/>
              </a:ln>
              <a:effectLst/>
            </c:spPr>
            <c:extLst>
              <c:ext xmlns:c16="http://schemas.microsoft.com/office/drawing/2014/chart" uri="{C3380CC4-5D6E-409C-BE32-E72D297353CC}">
                <c16:uniqueId val="{00000002-517D-4212-863D-38025A427610}"/>
              </c:ext>
            </c:extLst>
          </c:dPt>
          <c:dPt>
            <c:idx val="2"/>
            <c:invertIfNegative val="0"/>
            <c:bubble3D val="0"/>
            <c:spPr>
              <a:solidFill>
                <a:srgbClr val="C9C9C9"/>
              </a:solidFill>
              <a:ln>
                <a:noFill/>
              </a:ln>
              <a:effectLst/>
            </c:spPr>
            <c:extLst>
              <c:ext xmlns:c16="http://schemas.microsoft.com/office/drawing/2014/chart" uri="{C3380CC4-5D6E-409C-BE32-E72D297353CC}">
                <c16:uniqueId val="{00000004-517D-4212-863D-38025A427610}"/>
              </c:ext>
            </c:extLst>
          </c:dPt>
          <c:dPt>
            <c:idx val="3"/>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6-517D-4212-863D-38025A427610}"/>
              </c:ext>
            </c:extLst>
          </c:dPt>
          <c:dPt>
            <c:idx val="5"/>
            <c:invertIfNegative val="0"/>
            <c:bubble3D val="0"/>
            <c:spPr>
              <a:solidFill>
                <a:schemeClr val="accent2">
                  <a:lumMod val="75000"/>
                </a:schemeClr>
              </a:solidFill>
              <a:ln>
                <a:noFill/>
              </a:ln>
              <a:effectLst/>
            </c:spPr>
            <c:extLst>
              <c:ext xmlns:c16="http://schemas.microsoft.com/office/drawing/2014/chart" uri="{C3380CC4-5D6E-409C-BE32-E72D297353CC}">
                <c16:uniqueId val="{00000008-517D-4212-863D-38025A427610}"/>
              </c:ext>
            </c:extLst>
          </c:dPt>
          <c:dPt>
            <c:idx val="6"/>
            <c:invertIfNegative val="0"/>
            <c:bubble3D val="0"/>
            <c:spPr>
              <a:solidFill>
                <a:srgbClr val="A9D18E"/>
              </a:solidFill>
              <a:ln>
                <a:noFill/>
              </a:ln>
              <a:effectLst/>
            </c:spPr>
            <c:extLst>
              <c:ext xmlns:c16="http://schemas.microsoft.com/office/drawing/2014/chart" uri="{C3380CC4-5D6E-409C-BE32-E72D297353CC}">
                <c16:uniqueId val="{0000000A-517D-4212-863D-38025A427610}"/>
              </c:ext>
            </c:extLst>
          </c:dPt>
          <c:dPt>
            <c:idx val="7"/>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C-517D-4212-863D-38025A427610}"/>
              </c:ext>
            </c:extLst>
          </c:dPt>
          <c:dLbls>
            <c:dLbl>
              <c:idx val="0"/>
              <c:layout>
                <c:manualLayout>
                  <c:x val="0.14566981216423022"/>
                  <c:y val="-6.33527679269239E-4"/>
                </c:manualLayout>
              </c:layout>
              <c:tx>
                <c:rich>
                  <a:bodyPr/>
                  <a:lstStyle/>
                  <a:p>
                    <a:fld id="{489F327E-AEEF-46CE-B86F-88FCE2FAE9F5}" type="VALUE">
                      <a:rPr lang="en-US"/>
                      <a:pPr/>
                      <a:t>[VALUE]</a:t>
                    </a:fld>
                    <a:r>
                      <a:rPr lang="en-US"/>
                      <a:t> (13,3%) </a:t>
                    </a:r>
                    <a:r>
                      <a:rPr lang="en-US">
                        <a:latin typeface="Times New Roman" panose="02020603050405020304" pitchFamily="18" charset="0"/>
                        <a:cs typeface="Times New Roman" panose="02020603050405020304" pitchFamily="18" charset="0"/>
                      </a:rPr>
                      <a:t>↑4,8%</a:t>
                    </a:r>
                  </a:p>
                </c:rich>
              </c:tx>
              <c:showLegendKey val="0"/>
              <c:showVal val="1"/>
              <c:showCatName val="0"/>
              <c:showSerName val="0"/>
              <c:showPercent val="0"/>
              <c:showBubbleSize val="0"/>
              <c:extLst>
                <c:ext xmlns:c15="http://schemas.microsoft.com/office/drawing/2012/chart" uri="{CE6537A1-D6FC-4f65-9D91-7224C49458BB}">
                  <c15:layout>
                    <c:manualLayout>
                      <c:w val="0.23425209871034886"/>
                      <c:h val="5.0725190839694657E-2"/>
                    </c:manualLayout>
                  </c15:layout>
                  <c15:dlblFieldTable/>
                  <c15:showDataLabelsRange val="0"/>
                </c:ext>
                <c:ext xmlns:c16="http://schemas.microsoft.com/office/drawing/2014/chart" uri="{C3380CC4-5D6E-409C-BE32-E72D297353CC}">
                  <c16:uniqueId val="{00000002-517D-4212-863D-38025A427610}"/>
                </c:ext>
              </c:extLst>
            </c:dLbl>
            <c:dLbl>
              <c:idx val="1"/>
              <c:layout>
                <c:manualLayout>
                  <c:x val="0.16086994694802342"/>
                  <c:y val="2.6478512033740572E-2"/>
                </c:manualLayout>
              </c:layout>
              <c:tx>
                <c:rich>
                  <a:bodyPr/>
                  <a:lstStyle/>
                  <a:p>
                    <a:fld id="{1FA9ACB7-D1A1-45F1-90A6-52AF47551073}" type="VALUE">
                      <a:rPr lang="en-US"/>
                      <a:pPr/>
                      <a:t>[VALUE]</a:t>
                    </a:fld>
                    <a:r>
                      <a:rPr lang="en-US"/>
                      <a:t> (24,6% no projektu līgumiem)</a:t>
                    </a:r>
                  </a:p>
                </c:rich>
              </c:tx>
              <c:showLegendKey val="0"/>
              <c:showVal val="1"/>
              <c:showCatName val="0"/>
              <c:showSerName val="0"/>
              <c:showPercent val="0"/>
              <c:showBubbleSize val="0"/>
              <c:extLst>
                <c:ext xmlns:c15="http://schemas.microsoft.com/office/drawing/2012/chart" uri="{CE6537A1-D6FC-4f65-9D91-7224C49458BB}">
                  <c15:layout>
                    <c:manualLayout>
                      <c:w val="0.26565397504163152"/>
                      <c:h val="0.11106301987093051"/>
                    </c:manualLayout>
                  </c15:layout>
                  <c15:dlblFieldTable/>
                  <c15:showDataLabelsRange val="0"/>
                </c:ext>
                <c:ext xmlns:c16="http://schemas.microsoft.com/office/drawing/2014/chart" uri="{C3380CC4-5D6E-409C-BE32-E72D297353CC}">
                  <c16:uniqueId val="{0000000D-517D-4212-863D-38025A427610}"/>
                </c:ext>
              </c:extLst>
            </c:dLbl>
            <c:dLbl>
              <c:idx val="2"/>
              <c:layout>
                <c:manualLayout>
                  <c:x val="0.24253791393703392"/>
                  <c:y val="-5.8228646991645124E-4"/>
                </c:manualLayout>
              </c:layout>
              <c:tx>
                <c:rich>
                  <a:bodyPr/>
                  <a:lstStyle/>
                  <a:p>
                    <a:fld id="{5FA50F4E-52FE-4052-AA61-C6665E5C0E21}" type="VALUE">
                      <a:rPr lang="en-US"/>
                      <a:pPr/>
                      <a:t>[VALUE]</a:t>
                    </a:fld>
                    <a:r>
                      <a:rPr lang="en-US"/>
                      <a:t> (54,7%) </a:t>
                    </a:r>
                    <a:r>
                      <a:rPr lang="en-US">
                        <a:latin typeface="Times New Roman" panose="02020603050405020304" pitchFamily="18" charset="0"/>
                        <a:cs typeface="Times New Roman" panose="02020603050405020304" pitchFamily="18" charset="0"/>
                      </a:rPr>
                      <a:t>↑12,6%</a:t>
                    </a:r>
                  </a:p>
                </c:rich>
              </c:tx>
              <c:showLegendKey val="0"/>
              <c:showVal val="1"/>
              <c:showCatName val="0"/>
              <c:showSerName val="0"/>
              <c:showPercent val="0"/>
              <c:showBubbleSize val="0"/>
              <c:extLst>
                <c:ext xmlns:c15="http://schemas.microsoft.com/office/drawing/2012/chart" uri="{CE6537A1-D6FC-4f65-9D91-7224C49458BB}">
                  <c15:layout>
                    <c:manualLayout>
                      <c:w val="0.27009705585941873"/>
                      <c:h val="5.6350003005349515E-2"/>
                    </c:manualLayout>
                  </c15:layout>
                  <c15:dlblFieldTable/>
                  <c15:showDataLabelsRange val="0"/>
                </c:ext>
                <c:ext xmlns:c16="http://schemas.microsoft.com/office/drawing/2014/chart" uri="{C3380CC4-5D6E-409C-BE32-E72D297353CC}">
                  <c16:uniqueId val="{00000004-517D-4212-863D-38025A427610}"/>
                </c:ext>
              </c:extLst>
            </c:dLbl>
            <c:dLbl>
              <c:idx val="3"/>
              <c:layout>
                <c:manualLayout>
                  <c:x val="0.24574290136343474"/>
                  <c:y val="2.3061549558213621E-3"/>
                </c:manualLayout>
              </c:layout>
              <c:tx>
                <c:rich>
                  <a:bodyPr/>
                  <a:lstStyle/>
                  <a:p>
                    <a:fld id="{5C685BE9-56FF-4DE9-BE00-C617ED8DBE3A}" type="VALUE">
                      <a:rPr lang="en-US"/>
                      <a:pPr/>
                      <a:t>[VALUE]</a:t>
                    </a:fld>
                    <a:r>
                      <a:rPr lang="en-US" baseline="0"/>
                      <a:t> (57,2%) </a:t>
                    </a:r>
                    <a:r>
                      <a:rPr lang="en-US" baseline="0">
                        <a:latin typeface="Times New Roman" panose="02020603050405020304" pitchFamily="18" charset="0"/>
                        <a:cs typeface="Times New Roman" panose="02020603050405020304" pitchFamily="18" charset="0"/>
                      </a:rPr>
                      <a:t>↑13,6%</a:t>
                    </a:r>
                  </a:p>
                </c:rich>
              </c:tx>
              <c:showLegendKey val="0"/>
              <c:showVal val="1"/>
              <c:showCatName val="0"/>
              <c:showSerName val="0"/>
              <c:showPercent val="0"/>
              <c:showBubbleSize val="0"/>
              <c:extLst>
                <c:ext xmlns:c15="http://schemas.microsoft.com/office/drawing/2012/chart" uri="{CE6537A1-D6FC-4f65-9D91-7224C49458BB}">
                  <c15:layout>
                    <c:manualLayout>
                      <c:w val="0.27143679303343615"/>
                      <c:h val="6.4237843361182892E-2"/>
                    </c:manualLayout>
                  </c15:layout>
                  <c15:dlblFieldTable/>
                  <c15:showDataLabelsRange val="0"/>
                </c:ext>
                <c:ext xmlns:c16="http://schemas.microsoft.com/office/drawing/2014/chart" uri="{C3380CC4-5D6E-409C-BE32-E72D297353CC}">
                  <c16:uniqueId val="{00000006-517D-4212-863D-38025A427610}"/>
                </c:ext>
              </c:extLst>
            </c:dLbl>
            <c:dLbl>
              <c:idx val="4"/>
              <c:layout>
                <c:manualLayout>
                  <c:x val="0.26430547465879412"/>
                  <c:y val="2.2386848590491004E-2"/>
                </c:manualLayout>
              </c:layout>
              <c:tx>
                <c:rich>
                  <a:bodyPr/>
                  <a:lstStyle/>
                  <a:p>
                    <a:fld id="{B47A0D2E-FDBB-49DB-A366-D7D3237E8174}" type="VALUE">
                      <a:rPr lang="en-US"/>
                      <a:pPr/>
                      <a:t>[VALUE]</a:t>
                    </a:fld>
                    <a:r>
                      <a:rPr lang="en-US"/>
                      <a:t> (11,9% no</a:t>
                    </a:r>
                    <a:r>
                      <a:rPr lang="en-US" baseline="0"/>
                      <a:t> </a:t>
                    </a:r>
                    <a:r>
                      <a:rPr lang="en-US"/>
                      <a:t>noraidītiem/atsauktiem/pārtrauktiem</a:t>
                    </a:r>
                  </a:p>
                  <a:p>
                    <a:r>
                      <a:rPr lang="en-US"/>
                      <a:t>projektiem)</a:t>
                    </a:r>
                  </a:p>
                </c:rich>
              </c:tx>
              <c:showLegendKey val="0"/>
              <c:showVal val="1"/>
              <c:showCatName val="0"/>
              <c:showSerName val="0"/>
              <c:showPercent val="0"/>
              <c:showBubbleSize val="0"/>
              <c:extLst>
                <c:ext xmlns:c15="http://schemas.microsoft.com/office/drawing/2012/chart" uri="{CE6537A1-D6FC-4f65-9D91-7224C49458BB}">
                  <c15:layout>
                    <c:manualLayout>
                      <c:w val="0.53401902923307554"/>
                      <c:h val="0.11015387389553405"/>
                    </c:manualLayout>
                  </c15:layout>
                  <c15:dlblFieldTable/>
                  <c15:showDataLabelsRange val="0"/>
                </c:ext>
                <c:ext xmlns:c16="http://schemas.microsoft.com/office/drawing/2014/chart" uri="{C3380CC4-5D6E-409C-BE32-E72D297353CC}">
                  <c16:uniqueId val="{0000000E-517D-4212-863D-38025A427610}"/>
                </c:ext>
              </c:extLst>
            </c:dLbl>
            <c:dLbl>
              <c:idx val="5"/>
              <c:layout>
                <c:manualLayout>
                  <c:x val="0.24830709963481443"/>
                  <c:y val="2.8409569032878173E-3"/>
                </c:manualLayout>
              </c:layout>
              <c:tx>
                <c:rich>
                  <a:bodyPr/>
                  <a:lstStyle/>
                  <a:p>
                    <a:fld id="{3A7F3F90-B631-4989-9B3D-A825AC04F2D3}" type="VALUE">
                      <a:rPr lang="en-US"/>
                      <a:pPr/>
                      <a:t>[VALUE]</a:t>
                    </a:fld>
                    <a:r>
                      <a:rPr lang="en-US"/>
                      <a:t> (15,5% no iesniegtajiem projektiem)</a:t>
                    </a:r>
                  </a:p>
                </c:rich>
              </c:tx>
              <c:showLegendKey val="0"/>
              <c:showVal val="1"/>
              <c:showCatName val="0"/>
              <c:showSerName val="0"/>
              <c:showPercent val="0"/>
              <c:showBubbleSize val="0"/>
              <c:extLst>
                <c:ext xmlns:c15="http://schemas.microsoft.com/office/drawing/2012/chart" uri="{CE6537A1-D6FC-4f65-9D91-7224C49458BB}">
                  <c15:layout>
                    <c:manualLayout>
                      <c:w val="0.43194241057206623"/>
                      <c:h val="6.7479112820821058E-2"/>
                    </c:manualLayout>
                  </c15:layout>
                  <c15:dlblFieldTable/>
                  <c15:showDataLabelsRange val="0"/>
                </c:ext>
                <c:ext xmlns:c16="http://schemas.microsoft.com/office/drawing/2014/chart" uri="{C3380CC4-5D6E-409C-BE32-E72D297353CC}">
                  <c16:uniqueId val="{00000008-517D-4212-863D-38025A427610}"/>
                </c:ext>
              </c:extLst>
            </c:dLbl>
            <c:dLbl>
              <c:idx val="6"/>
              <c:layout>
                <c:manualLayout>
                  <c:x val="0.29937353355028606"/>
                  <c:y val="3.0008414978662017E-4"/>
                </c:manualLayout>
              </c:layout>
              <c:tx>
                <c:rich>
                  <a:bodyPr/>
                  <a:lstStyle/>
                  <a:p>
                    <a:fld id="{24243CAE-B4D2-401D-B9BA-E772618E40DC}" type="VALUE">
                      <a:rPr lang="en-US"/>
                      <a:pPr/>
                      <a:t>[VALUE]</a:t>
                    </a:fld>
                    <a:r>
                      <a:rPr lang="en-US"/>
                      <a:t> (83,1%) </a:t>
                    </a:r>
                    <a:r>
                      <a:rPr lang="en-US">
                        <a:latin typeface="Times New Roman" panose="02020603050405020304" pitchFamily="18" charset="0"/>
                        <a:cs typeface="Times New Roman" panose="02020603050405020304" pitchFamily="18" charset="0"/>
                      </a:rPr>
                      <a:t>↑15,6%</a:t>
                    </a:r>
                  </a:p>
                </c:rich>
              </c:tx>
              <c:showLegendKey val="0"/>
              <c:showVal val="1"/>
              <c:showCatName val="0"/>
              <c:showSerName val="0"/>
              <c:showPercent val="0"/>
              <c:showBubbleSize val="0"/>
              <c:extLst>
                <c:ext xmlns:c15="http://schemas.microsoft.com/office/drawing/2012/chart" uri="{CE6537A1-D6FC-4f65-9D91-7224C49458BB}">
                  <c15:layout>
                    <c:manualLayout>
                      <c:w val="0.26199786982310158"/>
                      <c:h val="6.0421049468053128E-2"/>
                    </c:manualLayout>
                  </c15:layout>
                  <c15:dlblFieldTable/>
                  <c15:showDataLabelsRange val="0"/>
                </c:ext>
                <c:ext xmlns:c16="http://schemas.microsoft.com/office/drawing/2014/chart" uri="{C3380CC4-5D6E-409C-BE32-E72D297353CC}">
                  <c16:uniqueId val="{0000000A-517D-4212-863D-38025A427610}"/>
                </c:ext>
              </c:extLst>
            </c:dLbl>
            <c:dLbl>
              <c:idx val="7"/>
              <c:layout>
                <c:manualLayout>
                  <c:x val="2.5780869553140274E-3"/>
                  <c:y val="-5.3820099777604137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517D-4212-863D-38025A42761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('janvāris 2018'!$D$3:$J$3,'janvāris 2018'!$O$3:$P$3)</c:f>
              <c:strCache>
                <c:ptCount val="9"/>
                <c:pt idx="0">
                  <c:v>Veikti maksājumi projektos</c:v>
                </c:pt>
                <c:pt idx="1">
                  <c:v>Iepirkumu līgumi</c:v>
                </c:pt>
                <c:pt idx="2">
                  <c:v>Projektu līgumi, skaits - 704</c:v>
                </c:pt>
                <c:pt idx="3">
                  <c:v>Apstiprināti projekti, skaits - 750</c:v>
                </c:pt>
                <c:pt idx="4">
                  <c:v>Apstrīdēti projekti, skaits - 101</c:v>
                </c:pt>
                <c:pt idx="5">
                  <c:v>Noraidīti/atsaukti/pārtraukti projekti, skaits - 379</c:v>
                </c:pt>
                <c:pt idx="6">
                  <c:v>Iesniegti projekti, skaits - 1491</c:v>
                </c:pt>
                <c:pt idx="7">
                  <c:v>Pieejamais ES fondu finansējums</c:v>
                </c:pt>
                <c:pt idx="8">
                  <c:v>Pieejamais ''virssaistību'' apjoms</c:v>
                </c:pt>
              </c:strCache>
              <c:extLst/>
            </c:strRef>
          </c:cat>
          <c:val>
            <c:numRef>
              <c:f>('janvāris 2018'!$D$5:$J$5,'janvāris 2018'!$O$5)</c:f>
              <c:numCache>
                <c:formatCode>#,##0</c:formatCode>
                <c:ptCount val="8"/>
                <c:pt idx="0">
                  <c:v>587858703.82999992</c:v>
                </c:pt>
                <c:pt idx="1">
                  <c:v>593515100.95566785</c:v>
                </c:pt>
                <c:pt idx="2">
                  <c:v>2417341740.8199997</c:v>
                </c:pt>
                <c:pt idx="3">
                  <c:v>2528426528.7800007</c:v>
                </c:pt>
                <c:pt idx="4">
                  <c:v>67696056</c:v>
                </c:pt>
                <c:pt idx="5">
                  <c:v>568316653.15999997</c:v>
                </c:pt>
                <c:pt idx="6">
                  <c:v>3669661974.0099988</c:v>
                </c:pt>
                <c:pt idx="7">
                  <c:v>4418233214</c:v>
                </c:pt>
              </c:numCache>
              <c:extLst/>
            </c:numRef>
          </c:val>
          <c:extLst>
            <c:ext xmlns:c16="http://schemas.microsoft.com/office/drawing/2014/chart" uri="{C3380CC4-5D6E-409C-BE32-E72D297353CC}">
              <c16:uniqueId val="{0000000F-517D-4212-863D-38025A427610}"/>
            </c:ext>
          </c:extLst>
        </c:ser>
        <c:ser>
          <c:idx val="2"/>
          <c:order val="2"/>
          <c:tx>
            <c:strRef>
              <c:f>'janvāris 2018'!$P$3</c:f>
              <c:strCache>
                <c:ptCount val="1"/>
                <c:pt idx="0">
                  <c:v>Pieejamais ''virssaistību'' apjoms</c:v>
                </c:pt>
              </c:strCache>
            </c:strRef>
          </c:tx>
          <c:spPr>
            <a:solidFill>
              <a:srgbClr val="FF0000"/>
            </a:solidFill>
            <a:ln>
              <a:noFill/>
            </a:ln>
            <a:effectLst/>
          </c:spPr>
          <c:invertIfNegative val="0"/>
          <c:dLbls>
            <c:dLbl>
              <c:idx val="7"/>
              <c:layout>
                <c:manualLayout>
                  <c:x val="7.2524103376946536E-2"/>
                  <c:y val="0"/>
                </c:manualLayout>
              </c:layout>
              <c:tx>
                <c:rich>
                  <a:bodyPr/>
                  <a:lstStyle/>
                  <a:p>
                    <a:fld id="{2A33641C-09A9-41A5-88F1-67B7E35E633C}" type="VALUE">
                      <a:rPr lang="en-US"/>
                      <a:pPr/>
                      <a:t>[VALUE]</a:t>
                    </a:fld>
                    <a:r>
                      <a:rPr lang="en-US"/>
                      <a:t> (1,5%)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517D-4212-863D-38025A42761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('janvāris 2018'!$D$3:$J$3,'janvāris 2018'!$O$3:$P$3)</c:f>
              <c:strCache>
                <c:ptCount val="9"/>
                <c:pt idx="0">
                  <c:v>Veikti maksājumi projektos</c:v>
                </c:pt>
                <c:pt idx="1">
                  <c:v>Iepirkumu līgumi</c:v>
                </c:pt>
                <c:pt idx="2">
                  <c:v>Projektu līgumi, skaits - 704</c:v>
                </c:pt>
                <c:pt idx="3">
                  <c:v>Apstiprināti projekti, skaits - 750</c:v>
                </c:pt>
                <c:pt idx="4">
                  <c:v>Apstrīdēti projekti, skaits - 101</c:v>
                </c:pt>
                <c:pt idx="5">
                  <c:v>Noraidīti/atsaukti/pārtraukti projekti, skaits - 379</c:v>
                </c:pt>
                <c:pt idx="6">
                  <c:v>Iesniegti projekti, skaits - 1491</c:v>
                </c:pt>
                <c:pt idx="7">
                  <c:v>Pieejamais ES fondu finansējums</c:v>
                </c:pt>
                <c:pt idx="8">
                  <c:v>Pieejamais ''virssaistību'' apjoms</c:v>
                </c:pt>
              </c:strCache>
              <c:extLst/>
            </c:strRef>
          </c:cat>
          <c:val>
            <c:numRef>
              <c:f>('janvāris 2018'!$D$6:$J$6,'janvāris 2018'!$O$6)</c:f>
              <c:numCache>
                <c:formatCode>General</c:formatCode>
                <c:ptCount val="8"/>
                <c:pt idx="7" formatCode="#,##0">
                  <c:v>66269088</c:v>
                </c:pt>
              </c:numCache>
              <c:extLst/>
            </c:numRef>
          </c:val>
          <c:extLst>
            <c:ext xmlns:c16="http://schemas.microsoft.com/office/drawing/2014/chart" uri="{C3380CC4-5D6E-409C-BE32-E72D297353CC}">
              <c16:uniqueId val="{00000011-517D-4212-863D-38025A427610}"/>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('janvāris 2018'!$D$3:$J$3,'janvāris 2018'!$O$3:$P$3)</c:f>
              <c:strCache>
                <c:ptCount val="9"/>
                <c:pt idx="0">
                  <c:v>Veikti maksājumi projektos</c:v>
                </c:pt>
                <c:pt idx="1">
                  <c:v>Iepirkumu līgumi</c:v>
                </c:pt>
                <c:pt idx="2">
                  <c:v>Projektu līgumi, skaits - 704</c:v>
                </c:pt>
                <c:pt idx="3">
                  <c:v>Apstiprināti projekti, skaits - 750</c:v>
                </c:pt>
                <c:pt idx="4">
                  <c:v>Apstrīdēti projekti, skaits - 101</c:v>
                </c:pt>
                <c:pt idx="5">
                  <c:v>Noraidīti/atsaukti/pārtraukti projekti, skaits - 379</c:v>
                </c:pt>
                <c:pt idx="6">
                  <c:v>Iesniegti projekti, skaits - 1491</c:v>
                </c:pt>
                <c:pt idx="7">
                  <c:v>Pieejamais ES fondu finansējums</c:v>
                </c:pt>
                <c:pt idx="8">
                  <c:v>Pieejamais ''virssaistību'' apjoms</c:v>
                </c:pt>
              </c:strCache>
              <c:extLst/>
            </c:strRef>
          </c:cat>
          <c:val>
            <c:numRef>
              <c:f>'Ikmēneša ziņojumam - lielais gr'!#REF!</c:f>
              <c:numCache>
                <c:formatCode>General</c:formatCode>
                <c:ptCount val="1"/>
                <c:pt idx="0">
                  <c:v>1</c:v>
                </c:pt>
              </c:numCache>
            </c:numRef>
          </c:val>
          <c:extLst>
            <c:ext xmlns:c16="http://schemas.microsoft.com/office/drawing/2014/chart" uri="{C3380CC4-5D6E-409C-BE32-E72D297353CC}">
              <c16:uniqueId val="{00000012-517D-4212-863D-38025A427610}"/>
            </c:ext>
          </c:extLst>
        </c:ser>
        <c:ser>
          <c:idx val="4"/>
          <c:order val="4"/>
          <c:tx>
            <c:strRef>
              <c:f>'janvāris 2018'!$C$7</c:f>
              <c:strCache>
                <c:ptCount val="1"/>
                <c:pt idx="0">
                  <c:v>Esošais mēnesis (31.12.)/ %</c:v>
                </c:pt>
              </c:strCache>
            </c:strRef>
          </c:tx>
          <c:spPr>
            <a:solidFill>
              <a:schemeClr val="accent5"/>
            </a:solidFill>
            <a:ln>
              <a:noFill/>
            </a:ln>
            <a:effectLst/>
          </c:spPr>
          <c:invertIfNegative val="0"/>
          <c:cat>
            <c:strRef>
              <c:f>('janvāris 2018'!$D$3:$J$3,'janvāris 2018'!$O$3:$P$3)</c:f>
              <c:strCache>
                <c:ptCount val="9"/>
                <c:pt idx="0">
                  <c:v>Veikti maksājumi projektos</c:v>
                </c:pt>
                <c:pt idx="1">
                  <c:v>Iepirkumu līgumi</c:v>
                </c:pt>
                <c:pt idx="2">
                  <c:v>Projektu līgumi, skaits - 704</c:v>
                </c:pt>
                <c:pt idx="3">
                  <c:v>Apstiprināti projekti, skaits - 750</c:v>
                </c:pt>
                <c:pt idx="4">
                  <c:v>Apstrīdēti projekti, skaits - 101</c:v>
                </c:pt>
                <c:pt idx="5">
                  <c:v>Noraidīti/atsaukti/pārtraukti projekti, skaits - 379</c:v>
                </c:pt>
                <c:pt idx="6">
                  <c:v>Iesniegti projekti, skaits - 1491</c:v>
                </c:pt>
                <c:pt idx="7">
                  <c:v>Pieejamais ES fondu finansējums</c:v>
                </c:pt>
                <c:pt idx="8">
                  <c:v>Pieejamais ''virssaistību'' apjoms</c:v>
                </c:pt>
              </c:strCache>
              <c:extLst/>
            </c:strRef>
          </c:cat>
          <c:val>
            <c:numRef>
              <c:f>('janvāris 2018'!$D$7:$J$7,'janvāris 2018'!$O$7)</c:f>
              <c:numCache>
                <c:formatCode>0.0%</c:formatCode>
                <c:ptCount val="8"/>
                <c:pt idx="0">
                  <c:v>0.13305289136102175</c:v>
                </c:pt>
                <c:pt idx="1">
                  <c:v>0.24552387067719203</c:v>
                </c:pt>
                <c:pt idx="2">
                  <c:v>0.54712859727734586</c:v>
                </c:pt>
                <c:pt idx="3">
                  <c:v>0.57227095228205871</c:v>
                </c:pt>
                <c:pt idx="4">
                  <c:v>0.11911679100654704</c:v>
                </c:pt>
                <c:pt idx="5">
                  <c:v>0.15486893811611094</c:v>
                </c:pt>
                <c:pt idx="6">
                  <c:v>0.8305722663941747</c:v>
                </c:pt>
              </c:numCache>
              <c:extLst/>
            </c:numRef>
          </c:val>
          <c:extLst>
            <c:ext xmlns:c16="http://schemas.microsoft.com/office/drawing/2014/chart" uri="{C3380CC4-5D6E-409C-BE32-E72D297353CC}">
              <c16:uniqueId val="{00000013-517D-4212-863D-38025A427610}"/>
            </c:ext>
          </c:extLst>
        </c:ser>
        <c:ser>
          <c:idx val="5"/>
          <c:order val="5"/>
          <c:tx>
            <c:strRef>
              <c:f>'janvāris 2018'!$C$8</c:f>
              <c:strCache>
                <c:ptCount val="1"/>
              </c:strCache>
            </c:strRef>
          </c:tx>
          <c:spPr>
            <a:solidFill>
              <a:schemeClr val="accent6"/>
            </a:solidFill>
            <a:ln>
              <a:noFill/>
            </a:ln>
            <a:effectLst/>
          </c:spPr>
          <c:invertIfNegative val="0"/>
          <c:cat>
            <c:strRef>
              <c:f>('janvāris 2018'!$D$3:$J$3,'janvāris 2018'!$O$3:$P$3)</c:f>
              <c:strCache>
                <c:ptCount val="9"/>
                <c:pt idx="0">
                  <c:v>Veikti maksājumi projektos</c:v>
                </c:pt>
                <c:pt idx="1">
                  <c:v>Iepirkumu līgumi</c:v>
                </c:pt>
                <c:pt idx="2">
                  <c:v>Projektu līgumi, skaits - 704</c:v>
                </c:pt>
                <c:pt idx="3">
                  <c:v>Apstiprināti projekti, skaits - 750</c:v>
                </c:pt>
                <c:pt idx="4">
                  <c:v>Apstrīdēti projekti, skaits - 101</c:v>
                </c:pt>
                <c:pt idx="5">
                  <c:v>Noraidīti/atsaukti/pārtraukti projekti, skaits - 379</c:v>
                </c:pt>
                <c:pt idx="6">
                  <c:v>Iesniegti projekti, skaits - 1491</c:v>
                </c:pt>
                <c:pt idx="7">
                  <c:v>Pieejamais ES fondu finansējums</c:v>
                </c:pt>
                <c:pt idx="8">
                  <c:v>Pieejamais ''virssaistību'' apjoms</c:v>
                </c:pt>
              </c:strCache>
              <c:extLst/>
            </c:strRef>
          </c:cat>
          <c:val>
            <c:numRef>
              <c:f>('janvāris 2018'!$D$8:$J$8,'janvāris 2018'!$O$8)</c:f>
              <c:numCache>
                <c:formatCode>General</c:formatCode>
                <c:ptCount val="8"/>
              </c:numCache>
              <c:extLst/>
            </c:numRef>
          </c:val>
          <c:extLst>
            <c:ext xmlns:c16="http://schemas.microsoft.com/office/drawing/2014/chart" uri="{C3380CC4-5D6E-409C-BE32-E72D297353CC}">
              <c16:uniqueId val="{00000014-517D-4212-863D-38025A427610}"/>
            </c:ext>
          </c:extLst>
        </c:ser>
        <c:ser>
          <c:idx val="6"/>
          <c:order val="6"/>
          <c:tx>
            <c:strRef>
              <c:f>'janvāris 2018'!$C$9</c:f>
              <c:strCache>
                <c:ptCount val="1"/>
                <c:pt idx="0">
                  <c:v>30.06.2017</c:v>
                </c:pt>
              </c:strCache>
            </c:strRef>
          </c:tx>
          <c:spPr>
            <a:solidFill>
              <a:schemeClr val="accent1">
                <a:lumMod val="60000"/>
              </a:schemeClr>
            </a:solidFill>
            <a:ln>
              <a:noFill/>
            </a:ln>
            <a:effectLst/>
          </c:spPr>
          <c:invertIfNegative val="0"/>
          <c:cat>
            <c:strRef>
              <c:f>('janvāris 2018'!$D$3:$J$3,'janvāris 2018'!$O$3:$P$3)</c:f>
              <c:strCache>
                <c:ptCount val="9"/>
                <c:pt idx="0">
                  <c:v>Veikti maksājumi projektos</c:v>
                </c:pt>
                <c:pt idx="1">
                  <c:v>Iepirkumu līgumi</c:v>
                </c:pt>
                <c:pt idx="2">
                  <c:v>Projektu līgumi, skaits - 704</c:v>
                </c:pt>
                <c:pt idx="3">
                  <c:v>Apstiprināti projekti, skaits - 750</c:v>
                </c:pt>
                <c:pt idx="4">
                  <c:v>Apstrīdēti projekti, skaits - 101</c:v>
                </c:pt>
                <c:pt idx="5">
                  <c:v>Noraidīti/atsaukti/pārtraukti projekti, skaits - 379</c:v>
                </c:pt>
                <c:pt idx="6">
                  <c:v>Iesniegti projekti, skaits - 1491</c:v>
                </c:pt>
                <c:pt idx="7">
                  <c:v>Pieejamais ES fondu finansējums</c:v>
                </c:pt>
                <c:pt idx="8">
                  <c:v>Pieejamais ''virssaistību'' apjoms</c:v>
                </c:pt>
              </c:strCache>
              <c:extLst/>
            </c:strRef>
          </c:cat>
          <c:val>
            <c:numRef>
              <c:f>('janvāris 2018'!$D$9:$J$9,'janvāris 2018'!$O$9)</c:f>
              <c:numCache>
                <c:formatCode>General</c:formatCode>
                <c:ptCount val="8"/>
                <c:pt idx="0" formatCode="0.0%">
                  <c:v>8.4591273397638278E-2</c:v>
                </c:pt>
                <c:pt idx="2" formatCode="0.0%">
                  <c:v>0.42081905361367827</c:v>
                </c:pt>
                <c:pt idx="3" formatCode="0.0%">
                  <c:v>0.43642792067652947</c:v>
                </c:pt>
                <c:pt idx="4" formatCode="0.0%">
                  <c:v>0.32564751555805138</c:v>
                </c:pt>
                <c:pt idx="5" formatCode="0.0%">
                  <c:v>6.8230246906259354E-2</c:v>
                </c:pt>
                <c:pt idx="6" formatCode="0.0%">
                  <c:v>0.6745435131573384</c:v>
                </c:pt>
                <c:pt idx="7" formatCode="0.0%">
                  <c:v>1.4999001815932661E-2</c:v>
                </c:pt>
              </c:numCache>
              <c:extLst/>
            </c:numRef>
          </c:val>
          <c:extLst>
            <c:ext xmlns:c16="http://schemas.microsoft.com/office/drawing/2014/chart" uri="{C3380CC4-5D6E-409C-BE32-E72D297353CC}">
              <c16:uniqueId val="{00000015-517D-4212-863D-38025A427610}"/>
            </c:ext>
          </c:extLst>
        </c:ser>
        <c:dLbls>
          <c:showLegendKey val="0"/>
          <c:showVal val="0"/>
          <c:showCatName val="0"/>
          <c:showSerName val="0"/>
          <c:showPercent val="0"/>
          <c:showBubbleSize val="0"/>
        </c:dLbls>
        <c:gapWidth val="150"/>
        <c:overlap val="100"/>
        <c:axId val="90197904"/>
        <c:axId val="90201040"/>
      </c:barChart>
      <c:catAx>
        <c:axId val="90197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0201040"/>
        <c:crosses val="autoZero"/>
        <c:auto val="1"/>
        <c:lblAlgn val="ctr"/>
        <c:lblOffset val="100"/>
        <c:noMultiLvlLbl val="0"/>
      </c:catAx>
      <c:valAx>
        <c:axId val="90201040"/>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90197904"/>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0.05"/>
          <c:y val="0.92334321053420121"/>
          <c:w val="0.9"/>
          <c:h val="6.551469649803287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Maksājumi_nozare!$G$3</c:f>
              <c:strCache>
                <c:ptCount val="1"/>
                <c:pt idx="0">
                  <c:v>02.02.2017. maksājumu plāns 2017.gadam, kumulatīvi, milj. euro</c:v>
                </c:pt>
              </c:strCache>
            </c:strRef>
          </c:tx>
          <c:spPr>
            <a:ln w="28575" cap="rnd">
              <a:solidFill>
                <a:srgbClr val="C00000"/>
              </a:solidFill>
              <a:round/>
            </a:ln>
            <a:effectLst/>
          </c:spPr>
          <c:marker>
            <c:symbol val="none"/>
          </c:marker>
          <c:dLbls>
            <c:dLbl>
              <c:idx val="0"/>
              <c:layout>
                <c:manualLayout>
                  <c:x val="-2.6672564414464247E-2"/>
                  <c:y val="-4.7856253617844596E-2"/>
                </c:manualLayout>
              </c:layout>
              <c:tx>
                <c:rich>
                  <a:bodyPr/>
                  <a:lstStyle/>
                  <a:p>
                    <a:fld id="{EC4ED1B6-9366-46E1-A20D-4064C0D368FE}" type="VALUE">
                      <a:rPr lang="en-US"/>
                      <a:pPr/>
                      <a:t>[VALUE]</a:t>
                    </a:fld>
                    <a:endParaRPr lang="lv-LV"/>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CD4-479D-97ED-FAB4FFEAAE14}"/>
                </c:ext>
              </c:extLst>
            </c:dLbl>
            <c:dLbl>
              <c:idx val="1"/>
              <c:layout>
                <c:manualLayout>
                  <c:x val="-2.9257161200173718E-2"/>
                  <c:y val="4.4860071503407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D4-479D-97ED-FAB4FFEAAE14}"/>
                </c:ext>
              </c:extLst>
            </c:dLbl>
            <c:dLbl>
              <c:idx val="4"/>
              <c:layout>
                <c:manualLayout>
                  <c:x val="-3.7769784172661913E-2"/>
                  <c:y val="5.31000291630212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D4-479D-97ED-FAB4FFEAAE14}"/>
                </c:ext>
              </c:extLst>
            </c:dLbl>
            <c:spPr>
              <a:noFill/>
              <a:ln>
                <a:noFill/>
              </a:ln>
              <a:effectLst/>
            </c:spPr>
            <c:txPr>
              <a:bodyPr rot="0" spcFirstLastPara="1" vertOverflow="ellipsis" vert="horz" wrap="square" anchor="ctr" anchorCtr="1"/>
              <a:lstStyle/>
              <a:p>
                <a:pPr>
                  <a:defRPr sz="11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Maksājumi_nozare!$H$3:$S$3</c:f>
              <c:numCache>
                <c:formatCode>#,##0</c:formatCode>
                <c:ptCount val="12"/>
                <c:pt idx="0">
                  <c:v>21006825.32</c:v>
                </c:pt>
                <c:pt idx="1">
                  <c:v>36710583.60047432</c:v>
                </c:pt>
                <c:pt idx="2">
                  <c:v>60312620.56062109</c:v>
                </c:pt>
                <c:pt idx="3">
                  <c:v>75786566.037745759</c:v>
                </c:pt>
                <c:pt idx="4">
                  <c:v>102467589.03988157</c:v>
                </c:pt>
                <c:pt idx="5">
                  <c:v>138707583.76979274</c:v>
                </c:pt>
                <c:pt idx="6">
                  <c:v>163512483.14626953</c:v>
                </c:pt>
                <c:pt idx="7">
                  <c:v>207800114.46574247</c:v>
                </c:pt>
                <c:pt idx="8">
                  <c:v>257462013.94002852</c:v>
                </c:pt>
                <c:pt idx="9">
                  <c:v>289271057.25654769</c:v>
                </c:pt>
                <c:pt idx="10">
                  <c:v>351636291.78088665</c:v>
                </c:pt>
                <c:pt idx="11">
                  <c:v>435614585.53199911</c:v>
                </c:pt>
              </c:numCache>
            </c:numRef>
          </c:val>
          <c:smooth val="0"/>
          <c:extLst>
            <c:ext xmlns:c16="http://schemas.microsoft.com/office/drawing/2014/chart" uri="{C3380CC4-5D6E-409C-BE32-E72D297353CC}">
              <c16:uniqueId val="{00000003-FCD4-479D-97ED-FAB4FFEAAE14}"/>
            </c:ext>
          </c:extLst>
        </c:ser>
        <c:ser>
          <c:idx val="1"/>
          <c:order val="1"/>
          <c:tx>
            <c:strRef>
              <c:f>Maksājumi_nozare!$G$4</c:f>
              <c:strCache>
                <c:ptCount val="1"/>
                <c:pt idx="0">
                  <c:v>01.01.2018. maksājumu plāna 2017.gadā izpilde, kumulatīvi, milj. euro</c:v>
                </c:pt>
              </c:strCache>
            </c:strRef>
          </c:tx>
          <c:spPr>
            <a:ln w="25400" cap="rnd">
              <a:solidFill>
                <a:srgbClr val="4472C4"/>
              </a:solidFill>
              <a:prstDash val="sysDash"/>
              <a:round/>
            </a:ln>
            <a:effectLst/>
          </c:spPr>
          <c:marker>
            <c:symbol val="circle"/>
            <c:size val="5"/>
            <c:spPr>
              <a:solidFill>
                <a:srgbClr val="0070C0"/>
              </a:solidFill>
              <a:ln w="9525">
                <a:noFill/>
              </a:ln>
              <a:effectLst/>
            </c:spPr>
          </c:marker>
          <c:dLbls>
            <c:dLbl>
              <c:idx val="0"/>
              <c:layout>
                <c:manualLayout>
                  <c:x val="-3.2973621103117509E-2"/>
                  <c:y val="4.25134358205224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D4-479D-97ED-FAB4FFEAAE14}"/>
                </c:ext>
              </c:extLst>
            </c:dLbl>
            <c:dLbl>
              <c:idx val="1"/>
              <c:layout>
                <c:manualLayout>
                  <c:x val="-3.2973621103117509E-2"/>
                  <c:y val="-6.1543047859758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D4-479D-97ED-FAB4FFEAAE14}"/>
                </c:ext>
              </c:extLst>
            </c:dLbl>
            <c:dLbl>
              <c:idx val="2"/>
              <c:layout>
                <c:manualLayout>
                  <c:x val="-3.0575539568345324E-2"/>
                  <c:y val="4.25134358205224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D4-479D-97ED-FAB4FFEAAE14}"/>
                </c:ext>
              </c:extLst>
            </c:dLbl>
            <c:dLbl>
              <c:idx val="3"/>
              <c:layout>
                <c:manualLayout>
                  <c:x val="-3.2973621103117509E-2"/>
                  <c:y val="4.78044411115277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D4-479D-97ED-FAB4FFEAAE14}"/>
                </c:ext>
              </c:extLst>
            </c:dLbl>
            <c:dLbl>
              <c:idx val="4"/>
              <c:layout>
                <c:manualLayout>
                  <c:x val="-3.9268679544553375E-2"/>
                  <c:y val="-5.64479440069991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D4-479D-97ED-FAB4FFEAAE14}"/>
                </c:ext>
              </c:extLst>
            </c:dLbl>
            <c:dLbl>
              <c:idx val="5"/>
              <c:layout>
                <c:manualLayout>
                  <c:x val="-4.1666761079325515E-2"/>
                  <c:y val="3.72224305295171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D4-479D-97ED-FAB4FFEAAE1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Maksājumi_nozare!$H$4:$S$4</c:f>
              <c:numCache>
                <c:formatCode>#,##0</c:formatCode>
                <c:ptCount val="12"/>
                <c:pt idx="0">
                  <c:v>21006825.32</c:v>
                </c:pt>
                <c:pt idx="1">
                  <c:v>40619639.560000002</c:v>
                </c:pt>
                <c:pt idx="2">
                  <c:v>59687997.010000005</c:v>
                </c:pt>
                <c:pt idx="3">
                  <c:v>71661962.220000029</c:v>
                </c:pt>
                <c:pt idx="4">
                  <c:v>102826937.11000001</c:v>
                </c:pt>
                <c:pt idx="5">
                  <c:v>132330830.84</c:v>
                </c:pt>
                <c:pt idx="6">
                  <c:v>154496332.89000002</c:v>
                </c:pt>
                <c:pt idx="7">
                  <c:v>178056802.94</c:v>
                </c:pt>
                <c:pt idx="8">
                  <c:v>198754639.81999999</c:v>
                </c:pt>
                <c:pt idx="9">
                  <c:v>232304445.44</c:v>
                </c:pt>
                <c:pt idx="10">
                  <c:v>277612414.5999999</c:v>
                </c:pt>
                <c:pt idx="11">
                  <c:v>346445560.22000003</c:v>
                </c:pt>
              </c:numCache>
            </c:numRef>
          </c:val>
          <c:smooth val="0"/>
          <c:extLst>
            <c:ext xmlns:c16="http://schemas.microsoft.com/office/drawing/2014/chart" uri="{C3380CC4-5D6E-409C-BE32-E72D297353CC}">
              <c16:uniqueId val="{0000000A-FCD4-479D-97ED-FAB4FFEAAE14}"/>
            </c:ext>
          </c:extLst>
        </c:ser>
        <c:dLbls>
          <c:showLegendKey val="0"/>
          <c:showVal val="0"/>
          <c:showCatName val="0"/>
          <c:showSerName val="0"/>
          <c:showPercent val="0"/>
          <c:showBubbleSize val="0"/>
        </c:dLbls>
        <c:smooth val="0"/>
        <c:axId val="264643144"/>
        <c:axId val="264645104"/>
      </c:lineChart>
      <c:catAx>
        <c:axId val="264643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4645104"/>
        <c:crosses val="autoZero"/>
        <c:auto val="1"/>
        <c:lblAlgn val="ctr"/>
        <c:lblOffset val="100"/>
        <c:noMultiLvlLbl val="0"/>
      </c:catAx>
      <c:valAx>
        <c:axId val="264645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4643144"/>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593901826101529E-2"/>
          <c:y val="4.0028875654214043E-2"/>
          <c:w val="0.88015298385353691"/>
          <c:h val="0.54713737393545891"/>
        </c:manualLayout>
      </c:layout>
      <c:barChart>
        <c:barDir val="col"/>
        <c:grouping val="stacked"/>
        <c:varyColors val="0"/>
        <c:ser>
          <c:idx val="1"/>
          <c:order val="0"/>
          <c:tx>
            <c:strRef>
              <c:f>'Grafiks MKZ'!$E$5</c:f>
              <c:strCache>
                <c:ptCount val="1"/>
                <c:pt idx="0">
                  <c:v>Kumulatīvi izpilde līdz 2017.gada beigām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'Grafiks MKZ'!$C$6:$C$15</c:f>
              <c:strCache>
                <c:ptCount val="10"/>
                <c:pt idx="0">
                  <c:v>P&amp;A&amp;I</c:v>
                </c:pt>
                <c:pt idx="1">
                  <c:v>IKT</c:v>
                </c:pt>
                <c:pt idx="2">
                  <c:v>MVK konkurētspēja</c:v>
                </c:pt>
                <c:pt idx="3">
                  <c:v>Videi draudzīga ekonomika</c:v>
                </c:pt>
                <c:pt idx="4">
                  <c:v>Vide un teritoriālā attīstība</c:v>
                </c:pt>
                <c:pt idx="5">
                  <c:v>Transports</c:v>
                </c:pt>
                <c:pt idx="6">
                  <c:v>Nodarbinātība</c:v>
                </c:pt>
                <c:pt idx="7">
                  <c:v>Izglītība</c:v>
                </c:pt>
                <c:pt idx="8">
                  <c:v>Sociālā iekļaušana</c:v>
                </c:pt>
                <c:pt idx="9">
                  <c:v>Atbalsts ES fondu vadībai</c:v>
                </c:pt>
              </c:strCache>
            </c:strRef>
          </c:cat>
          <c:val>
            <c:numRef>
              <c:f>'Grafiks MKZ'!$E$6:$E$15</c:f>
              <c:numCache>
                <c:formatCode>#\ ##0_ ;\-#\ ##0\ </c:formatCode>
                <c:ptCount val="10"/>
                <c:pt idx="0">
                  <c:v>280767060.27999997</c:v>
                </c:pt>
                <c:pt idx="1">
                  <c:v>80014115</c:v>
                </c:pt>
                <c:pt idx="2">
                  <c:v>264725152.53000003</c:v>
                </c:pt>
                <c:pt idx="3">
                  <c:v>252822404.18000001</c:v>
                </c:pt>
                <c:pt idx="4">
                  <c:v>236427474.13</c:v>
                </c:pt>
                <c:pt idx="5">
                  <c:v>552220327.01999998</c:v>
                </c:pt>
                <c:pt idx="6">
                  <c:v>163120388.81999999</c:v>
                </c:pt>
                <c:pt idx="7">
                  <c:v>292788841.77999997</c:v>
                </c:pt>
                <c:pt idx="8">
                  <c:v>250023258.77999997</c:v>
                </c:pt>
                <c:pt idx="9">
                  <c:v>44432718.299999997</c:v>
                </c:pt>
              </c:numCache>
            </c:numRef>
          </c:val>
          <c:extLst>
            <c:ext xmlns:c16="http://schemas.microsoft.com/office/drawing/2014/chart" uri="{C3380CC4-5D6E-409C-BE32-E72D297353CC}">
              <c16:uniqueId val="{00000000-ECB5-4E8B-AC56-8CF4AE340D17}"/>
            </c:ext>
          </c:extLst>
        </c:ser>
        <c:ser>
          <c:idx val="2"/>
          <c:order val="2"/>
          <c:tx>
            <c:strRef>
              <c:f>'Grafiks MKZ'!$F$5</c:f>
              <c:strCache>
                <c:ptCount val="1"/>
                <c:pt idx="0">
                  <c:v>2018.gada prognoze</c:v>
                </c:pt>
              </c:strCache>
            </c:strRef>
          </c:tx>
          <c:spPr>
            <a:solidFill>
              <a:schemeClr val="accent3"/>
            </a:solidFill>
            <a:ln>
              <a:noFill/>
            </a:ln>
            <a:effectLst/>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1-ECB5-4E8B-AC56-8CF4AE340D17}"/>
                </c:ext>
              </c:extLst>
            </c:dLbl>
            <c:dLbl>
              <c:idx val="9"/>
              <c:layout>
                <c:manualLayout>
                  <c:x val="0"/>
                  <c:y val="-1.8047283883775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B5-4E8B-AC56-8CF4AE340D1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'Grafiks MKZ'!$C$6:$C$15</c:f>
              <c:strCache>
                <c:ptCount val="10"/>
                <c:pt idx="0">
                  <c:v>P&amp;A&amp;I</c:v>
                </c:pt>
                <c:pt idx="1">
                  <c:v>IKT</c:v>
                </c:pt>
                <c:pt idx="2">
                  <c:v>MVK konkurētspēja</c:v>
                </c:pt>
                <c:pt idx="3">
                  <c:v>Videi draudzīga ekonomika</c:v>
                </c:pt>
                <c:pt idx="4">
                  <c:v>Vide un teritoriālā attīstība</c:v>
                </c:pt>
                <c:pt idx="5">
                  <c:v>Transports</c:v>
                </c:pt>
                <c:pt idx="6">
                  <c:v>Nodarbinātība</c:v>
                </c:pt>
                <c:pt idx="7">
                  <c:v>Izglītība</c:v>
                </c:pt>
                <c:pt idx="8">
                  <c:v>Sociālā iekļaušana</c:v>
                </c:pt>
                <c:pt idx="9">
                  <c:v>Atbalsts ES fondu vadībai</c:v>
                </c:pt>
              </c:strCache>
            </c:strRef>
          </c:cat>
          <c:val>
            <c:numRef>
              <c:f>'Grafiks MKZ'!$F$6:$F$15</c:f>
              <c:numCache>
                <c:formatCode>#\ ##0_ ;\-#\ ##0\ </c:formatCode>
                <c:ptCount val="10"/>
                <c:pt idx="0">
                  <c:v>133185320.15000001</c:v>
                </c:pt>
                <c:pt idx="1">
                  <c:v>49232498.519999996</c:v>
                </c:pt>
                <c:pt idx="2">
                  <c:v>23748526.030000001</c:v>
                </c:pt>
                <c:pt idx="3">
                  <c:v>201071927.33000001</c:v>
                </c:pt>
                <c:pt idx="4">
                  <c:v>253184593.55500001</c:v>
                </c:pt>
                <c:pt idx="5">
                  <c:v>499892170.85000002</c:v>
                </c:pt>
                <c:pt idx="6">
                  <c:v>2770061</c:v>
                </c:pt>
                <c:pt idx="7">
                  <c:v>167085130.35000002</c:v>
                </c:pt>
                <c:pt idx="8">
                  <c:v>87207529.219999999</c:v>
                </c:pt>
                <c:pt idx="9">
                  <c:v>43509345.950000003</c:v>
                </c:pt>
              </c:numCache>
            </c:numRef>
          </c:val>
          <c:extLst>
            <c:ext xmlns:c16="http://schemas.microsoft.com/office/drawing/2014/chart" uri="{C3380CC4-5D6E-409C-BE32-E72D297353CC}">
              <c16:uniqueId val="{00000003-ECB5-4E8B-AC56-8CF4AE340D17}"/>
            </c:ext>
          </c:extLst>
        </c:ser>
        <c:dLbls>
          <c:showLegendKey val="0"/>
          <c:showVal val="0"/>
          <c:showCatName val="0"/>
          <c:showSerName val="0"/>
          <c:showPercent val="0"/>
          <c:showBubbleSize val="0"/>
        </c:dLbls>
        <c:gapWidth val="150"/>
        <c:overlap val="100"/>
        <c:axId val="117392552"/>
        <c:axId val="117392944"/>
      </c:barChart>
      <c:lineChart>
        <c:grouping val="stacked"/>
        <c:varyColors val="0"/>
        <c:ser>
          <c:idx val="0"/>
          <c:order val="1"/>
          <c:tx>
            <c:strRef>
              <c:f>'Grafiks MKZ'!$D$5</c:f>
              <c:strCache>
                <c:ptCount val="1"/>
                <c:pt idx="0">
                  <c:v>Plānots kumulatīvi līdz 2017.gada beigām </c:v>
                </c:pt>
              </c:strCache>
            </c:strRef>
          </c:tx>
          <c:spPr>
            <a:ln w="28575" cap="rnd">
              <a:solidFill>
                <a:schemeClr val="accent1"/>
              </a:solidFill>
              <a:round/>
            </a:ln>
            <a:effectLst/>
          </c:spPr>
          <c:marker>
            <c:symbol val="none"/>
          </c:marker>
          <c:dLbls>
            <c:dLbl>
              <c:idx val="1"/>
              <c:layout>
                <c:manualLayout>
                  <c:x val="-1.9074865995311524E-2"/>
                  <c:y val="-6.24512099921935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B5-4E8B-AC56-8CF4AE340D17}"/>
                </c:ext>
              </c:extLst>
            </c:dLbl>
            <c:dLbl>
              <c:idx val="2"/>
              <c:layout>
                <c:manualLayout>
                  <c:x val="-2.8612298992967231E-2"/>
                  <c:y val="-4.6838407494145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B5-4E8B-AC56-8CF4AE340D17}"/>
                </c:ext>
              </c:extLst>
            </c:dLbl>
            <c:dLbl>
              <c:idx val="3"/>
              <c:layout>
                <c:manualLayout>
                  <c:x val="-1.3352406196718042E-2"/>
                  <c:y val="-7.1818891491022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B5-4E8B-AC56-8CF4AE340D17}"/>
                </c:ext>
              </c:extLst>
            </c:dLbl>
            <c:dLbl>
              <c:idx val="4"/>
              <c:layout>
                <c:manualLayout>
                  <c:x val="-4.9594651587809936E-2"/>
                  <c:y val="-7.49414519906323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B5-4E8B-AC56-8CF4AE340D17}"/>
                </c:ext>
              </c:extLst>
            </c:dLbl>
            <c:dLbl>
              <c:idx val="6"/>
              <c:layout>
                <c:manualLayout>
                  <c:x val="-1.9074865995311489E-2"/>
                  <c:y val="-6.8696330991412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CB5-4E8B-AC56-8CF4AE340D17}"/>
                </c:ext>
              </c:extLst>
            </c:dLbl>
            <c:dLbl>
              <c:idx val="7"/>
              <c:layout>
                <c:manualLayout>
                  <c:x val="1.525989279624919E-2"/>
                  <c:y val="-2.8103044496487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B5-4E8B-AC56-8CF4AE340D17}"/>
                </c:ext>
              </c:extLst>
            </c:dLbl>
            <c:dLbl>
              <c:idx val="8"/>
              <c:layout>
                <c:manualLayout>
                  <c:x val="1.46652349748311E-2"/>
                  <c:y val="-1.5125897568164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CB5-4E8B-AC56-8CF4AE340D17}"/>
                </c:ext>
              </c:extLst>
            </c:dLbl>
            <c:dLbl>
              <c:idx val="9"/>
              <c:layout>
                <c:manualLayout>
                  <c:x val="7.6299463981244556E-3"/>
                  <c:y val="-1.873536299765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CB5-4E8B-AC56-8CF4AE340D1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'Grafiks MKZ'!$C$6:$C$15</c:f>
              <c:strCache>
                <c:ptCount val="10"/>
                <c:pt idx="0">
                  <c:v>P&amp;A&amp;I</c:v>
                </c:pt>
                <c:pt idx="1">
                  <c:v>IKT</c:v>
                </c:pt>
                <c:pt idx="2">
                  <c:v>MVK konkurētspēja</c:v>
                </c:pt>
                <c:pt idx="3">
                  <c:v>Videi draudzīga ekonomika</c:v>
                </c:pt>
                <c:pt idx="4">
                  <c:v>Vide un teritoriālā attīstība</c:v>
                </c:pt>
                <c:pt idx="5">
                  <c:v>Transports</c:v>
                </c:pt>
                <c:pt idx="6">
                  <c:v>Nodarbinātība</c:v>
                </c:pt>
                <c:pt idx="7">
                  <c:v>Izglītība</c:v>
                </c:pt>
                <c:pt idx="8">
                  <c:v>Sociālā iekļaušana</c:v>
                </c:pt>
                <c:pt idx="9">
                  <c:v>Atbalsts ES fondu vadībai</c:v>
                </c:pt>
              </c:strCache>
            </c:strRef>
          </c:cat>
          <c:val>
            <c:numRef>
              <c:f>'Grafiks MKZ'!$D$6:$D$15</c:f>
              <c:numCache>
                <c:formatCode>#\ ##0_ ;\-#\ ##0\ </c:formatCode>
                <c:ptCount val="10"/>
                <c:pt idx="0">
                  <c:v>275724056.96999997</c:v>
                </c:pt>
                <c:pt idx="1">
                  <c:v>106243272</c:v>
                </c:pt>
                <c:pt idx="2">
                  <c:v>292373124.26999998</c:v>
                </c:pt>
                <c:pt idx="3">
                  <c:v>361579703.74000001</c:v>
                </c:pt>
                <c:pt idx="4">
                  <c:v>439131103.21000004</c:v>
                </c:pt>
                <c:pt idx="5">
                  <c:v>719259342</c:v>
                </c:pt>
                <c:pt idx="6">
                  <c:v>163195644</c:v>
                </c:pt>
                <c:pt idx="7">
                  <c:v>364228088.05000001</c:v>
                </c:pt>
                <c:pt idx="8">
                  <c:v>308941568.81999999</c:v>
                </c:pt>
                <c:pt idx="9">
                  <c:v>44352331</c:v>
                </c:pt>
              </c:numCache>
            </c:numRef>
          </c:val>
          <c:smooth val="0"/>
          <c:extLst>
            <c:ext xmlns:c16="http://schemas.microsoft.com/office/drawing/2014/chart" uri="{C3380CC4-5D6E-409C-BE32-E72D297353CC}">
              <c16:uniqueId val="{0000000C-ECB5-4E8B-AC56-8CF4AE340D17}"/>
            </c:ext>
          </c:extLst>
        </c:ser>
        <c:dLbls>
          <c:showLegendKey val="0"/>
          <c:showVal val="0"/>
          <c:showCatName val="0"/>
          <c:showSerName val="0"/>
          <c:showPercent val="0"/>
          <c:showBubbleSize val="0"/>
        </c:dLbls>
        <c:marker val="1"/>
        <c:smooth val="0"/>
        <c:axId val="117392552"/>
        <c:axId val="117392944"/>
      </c:lineChart>
      <c:catAx>
        <c:axId val="117392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5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7392944"/>
        <c:crosses val="autoZero"/>
        <c:auto val="1"/>
        <c:lblAlgn val="ctr"/>
        <c:lblOffset val="100"/>
        <c:noMultiLvlLbl val="0"/>
      </c:catAx>
      <c:valAx>
        <c:axId val="117392944"/>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7392552"/>
        <c:crosses val="autoZero"/>
        <c:crossBetween val="between"/>
        <c:dispUnits>
          <c:builtInUnit val="millions"/>
        </c:dispUnits>
      </c:valAx>
      <c:spPr>
        <a:noFill/>
        <a:ln>
          <a:noFill/>
        </a:ln>
        <a:effectLst/>
      </c:spPr>
    </c:plotArea>
    <c:legend>
      <c:legendPos val="b"/>
      <c:layout>
        <c:manualLayout>
          <c:xMode val="edge"/>
          <c:yMode val="edge"/>
          <c:x val="1.5777544949423489E-2"/>
          <c:y val="0.83707878420990556"/>
          <c:w val="0.98107923489060334"/>
          <c:h val="0.1622331453289508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257922125894497"/>
          <c:y val="1.8036592972485967E-2"/>
          <c:w val="0.49716129422385008"/>
          <c:h val="0.80660832635523383"/>
        </c:manualLayout>
      </c:layout>
      <c:barChart>
        <c:barDir val="bar"/>
        <c:grouping val="clustered"/>
        <c:varyColors val="0"/>
        <c:ser>
          <c:idx val="3"/>
          <c:order val="0"/>
          <c:tx>
            <c:strRef>
              <c:f>'MK ziņojumam '!$S$2</c:f>
              <c:strCache>
                <c:ptCount val="1"/>
                <c:pt idx="0">
                  <c:v>Izmaksātais finansējums programmā (kopā 67,6 milj. euro jeb 90,0%) uz 31.12.2017.</c:v>
                </c:pt>
              </c:strCache>
            </c:strRef>
          </c:tx>
          <c:spPr>
            <a:solidFill>
              <a:schemeClr val="accent4"/>
            </a:solidFill>
            <a:ln>
              <a:noFill/>
            </a:ln>
            <a:effectLst/>
          </c:spPr>
          <c:invertIfNegative val="0"/>
          <c:dLbls>
            <c:dLbl>
              <c:idx val="0"/>
              <c:layout/>
              <c:tx>
                <c:rich>
                  <a:bodyPr/>
                  <a:lstStyle/>
                  <a:p>
                    <a:fld id="{D69701B6-BA31-447E-B5A3-121911C382FD}" type="VALUE">
                      <a:rPr lang="en-US"/>
                      <a:pPr/>
                      <a:t>[VALUE]</a:t>
                    </a:fld>
                    <a:r>
                      <a:rPr lang="en-US"/>
                      <a:t> (93%)</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6DD3-4168-9043-D5D44B1EA35F}"/>
                </c:ext>
              </c:extLst>
            </c:dLbl>
            <c:dLbl>
              <c:idx val="1"/>
              <c:layout/>
              <c:tx>
                <c:rich>
                  <a:bodyPr/>
                  <a:lstStyle/>
                  <a:p>
                    <a:fld id="{4D7ACC23-41E3-4C4A-8E8D-DC38E4E03766}" type="VALUE">
                      <a:rPr lang="en-US"/>
                      <a:pPr/>
                      <a:t>[VALUE]</a:t>
                    </a:fld>
                    <a:r>
                      <a:rPr lang="en-US"/>
                      <a:t> (98%)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DD3-4168-9043-D5D44B1EA35F}"/>
                </c:ext>
              </c:extLst>
            </c:dLbl>
            <c:dLbl>
              <c:idx val="2"/>
              <c:layout/>
              <c:tx>
                <c:rich>
                  <a:bodyPr/>
                  <a:lstStyle/>
                  <a:p>
                    <a:fld id="{1C0CF76B-FEB2-4DCC-89AE-B82578449F98}" type="VALUE">
                      <a:rPr lang="en-US"/>
                      <a:pPr/>
                      <a:t>[VALUE]</a:t>
                    </a:fld>
                    <a:r>
                      <a:rPr lang="en-US"/>
                      <a:t> 93%)</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6DD3-4168-9043-D5D44B1EA35F}"/>
                </c:ext>
              </c:extLst>
            </c:dLbl>
            <c:dLbl>
              <c:idx val="3"/>
              <c:layout/>
              <c:tx>
                <c:rich>
                  <a:bodyPr/>
                  <a:lstStyle/>
                  <a:p>
                    <a:fld id="{A036B028-54E2-479D-951D-CB388764E9CA}" type="VALUE">
                      <a:rPr lang="en-US"/>
                      <a:pPr/>
                      <a:t>[VALUE]</a:t>
                    </a:fld>
                    <a:r>
                      <a:rPr lang="en-US"/>
                      <a:t> (98%)</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DD3-4168-9043-D5D44B1EA35F}"/>
                </c:ext>
              </c:extLst>
            </c:dLbl>
            <c:dLbl>
              <c:idx val="4"/>
              <c:layout/>
              <c:tx>
                <c:rich>
                  <a:bodyPr/>
                  <a:lstStyle/>
                  <a:p>
                    <a:fld id="{B43581EC-5639-46B5-A831-CC0ED6B4AB18}" type="VALUE">
                      <a:rPr lang="en-US"/>
                      <a:pPr/>
                      <a:t>[VALUE]</a:t>
                    </a:fld>
                    <a:r>
                      <a:rPr lang="en-US"/>
                      <a:t> (92%)</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6DD3-4168-9043-D5D44B1EA35F}"/>
                </c:ext>
              </c:extLst>
            </c:dLbl>
            <c:dLbl>
              <c:idx val="5"/>
              <c:layout/>
              <c:tx>
                <c:rich>
                  <a:bodyPr/>
                  <a:lstStyle/>
                  <a:p>
                    <a:fld id="{4D39D66C-E5D9-4FE2-AA18-EF1C462C9287}" type="VALUE">
                      <a:rPr lang="en-US"/>
                      <a:pPr/>
                      <a:t>[VALUE]</a:t>
                    </a:fld>
                    <a:r>
                      <a:rPr lang="en-US"/>
                      <a:t> (77%)</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6DD3-4168-9043-D5D44B1EA35F}"/>
                </c:ext>
              </c:extLst>
            </c:dLbl>
            <c:dLbl>
              <c:idx val="6"/>
              <c:layout/>
              <c:tx>
                <c:rich>
                  <a:bodyPr/>
                  <a:lstStyle/>
                  <a:p>
                    <a:fld id="{46DD4D4C-9895-4D29-BCA4-E5752AAA3BE2}" type="VALUE">
                      <a:rPr lang="en-US"/>
                      <a:pPr/>
                      <a:t>[VALUE]</a:t>
                    </a:fld>
                    <a:r>
                      <a:rPr lang="en-US"/>
                      <a:t> (79%)</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6DD3-4168-9043-D5D44B1EA35F}"/>
                </c:ext>
              </c:extLst>
            </c:dLbl>
            <c:dLbl>
              <c:idx val="7"/>
              <c:layout>
                <c:manualLayout>
                  <c:x val="0"/>
                  <c:y val="2.878111958555188E-3"/>
                </c:manualLayout>
              </c:layout>
              <c:tx>
                <c:rich>
                  <a:bodyPr/>
                  <a:lstStyle/>
                  <a:p>
                    <a:fld id="{2A0C4818-841D-4346-9628-AB06611A6236}" type="VALUE">
                      <a:rPr lang="en-US"/>
                      <a:pPr/>
                      <a:t>[VALUE]</a:t>
                    </a:fld>
                    <a:r>
                      <a:rPr lang="en-US"/>
                      <a:t> (97%)</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6DD3-4168-9043-D5D44B1EA35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'MK ziņojumam '!$A$3:$A$10</c:f>
              <c:strCache>
                <c:ptCount val="8"/>
                <c:pt idx="0">
                  <c:v>FM, Tehniskās palīdzības fonds 2011.-2017.gadam</c:v>
                </c:pt>
                <c:pt idx="1">
                  <c:v>VARAM, Kapacitātes stiprināšana un institucionālā sadarbība ar Norvēģijas valsts iestādēm, vietējām un reģionālām iestādēm</c:v>
                </c:pt>
                <c:pt idx="2">
                  <c:v>IZM, Pētniecība un stipendijas</c:v>
                </c:pt>
                <c:pt idx="3">
                  <c:v>SIF, NVO fonds</c:v>
                </c:pt>
                <c:pt idx="4">
                  <c:v>VARAM, Nacionālā klimata politika</c:v>
                </c:pt>
                <c:pt idx="5">
                  <c:v>KM, Kultūras un dabas mantojuma saglabāšana un atjaunināšana</c:v>
                </c:pt>
                <c:pt idx="6">
                  <c:v>EM, Inovācijas "zaļās" ražošanas jomā</c:v>
                </c:pt>
                <c:pt idx="7">
                  <c:v>TM, Latvijas korekcijas dienestu un Valsts policijas īslaicīgās aizturēšanas vietu reforma</c:v>
                </c:pt>
              </c:strCache>
            </c:strRef>
          </c:cat>
          <c:val>
            <c:numRef>
              <c:f>'MK ziņojumam '!$S$3:$S$10</c:f>
              <c:numCache>
                <c:formatCode>General</c:formatCode>
                <c:ptCount val="8"/>
                <c:pt idx="0" formatCode="0.0">
                  <c:v>1.4</c:v>
                </c:pt>
                <c:pt idx="1">
                  <c:v>5.5</c:v>
                </c:pt>
                <c:pt idx="2" formatCode="0.0">
                  <c:v>5.7</c:v>
                </c:pt>
                <c:pt idx="3">
                  <c:v>10.7</c:v>
                </c:pt>
                <c:pt idx="4" formatCode="0.0">
                  <c:v>10.3</c:v>
                </c:pt>
                <c:pt idx="5" formatCode="0.0">
                  <c:v>9.1</c:v>
                </c:pt>
                <c:pt idx="6">
                  <c:v>9.9</c:v>
                </c:pt>
                <c:pt idx="7">
                  <c:v>15</c:v>
                </c:pt>
              </c:numCache>
            </c:numRef>
          </c:val>
          <c:extLst>
            <c:ext xmlns:c16="http://schemas.microsoft.com/office/drawing/2014/chart" uri="{C3380CC4-5D6E-409C-BE32-E72D297353CC}">
              <c16:uniqueId val="{00000008-6DD3-4168-9043-D5D44B1EA35F}"/>
            </c:ext>
          </c:extLst>
        </c:ser>
        <c:ser>
          <c:idx val="0"/>
          <c:order val="3"/>
          <c:tx>
            <c:strRef>
              <c:f>'MK ziņojumam '!$B$2</c:f>
              <c:strCache>
                <c:ptCount val="1"/>
                <c:pt idx="0">
                  <c:v>Programmas kopējais finansējums (kopā 75,1  milj.euro jeb 100%, t.sk. EEZ/NOR FI finansējums 67,1 milj. euro (t.sk., TP))</c:v>
                </c:pt>
              </c:strCache>
            </c:strRef>
          </c:tx>
          <c:spPr>
            <a:solidFill>
              <a:schemeClr val="accent5"/>
            </a:solidFill>
            <a:ln>
              <a:noFill/>
            </a:ln>
            <a:effectLst/>
          </c:spPr>
          <c:invertIfNegative val="0"/>
          <c:dLbls>
            <c:dLbl>
              <c:idx val="0"/>
              <c:layout/>
              <c:tx>
                <c:rich>
                  <a:bodyPr/>
                  <a:lstStyle/>
                  <a:p>
                    <a:fld id="{7405B3CC-DC71-4F6E-ABA7-3C77B8091FBF}" type="VALUE">
                      <a:rPr lang="en-US"/>
                      <a:pPr/>
                      <a:t>[VALUE]</a:t>
                    </a:fld>
                    <a:r>
                      <a:rPr lang="en-US"/>
                      <a:t> </a:t>
                    </a:r>
                  </a:p>
                </c:rich>
              </c:tx>
              <c:dLblPos val="outEnd"/>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6DD3-4168-9043-D5D44B1EA35F}"/>
                </c:ext>
              </c:extLst>
            </c:dLbl>
            <c:dLbl>
              <c:idx val="1"/>
              <c:layout/>
              <c:tx>
                <c:rich>
                  <a:bodyPr/>
                  <a:lstStyle/>
                  <a:p>
                    <a:fld id="{D0396C5F-82BA-412E-AF4F-20596BF170B0}" type="VALUE">
                      <a:rPr lang="en-US"/>
                      <a:pPr/>
                      <a:t>[VALUE]</a:t>
                    </a:fld>
                    <a:r>
                      <a:rPr lang="en-US"/>
                      <a:t> </a:t>
                    </a:r>
                  </a:p>
                </c:rich>
              </c:tx>
              <c:dLblPos val="outEnd"/>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6DD3-4168-9043-D5D44B1EA35F}"/>
                </c:ext>
              </c:extLst>
            </c:dLbl>
            <c:dLbl>
              <c:idx val="2"/>
              <c:layout/>
              <c:tx>
                <c:rich>
                  <a:bodyPr/>
                  <a:lstStyle/>
                  <a:p>
                    <a:fld id="{0A88568E-540B-43E3-8D58-D791DA84656F}" type="VALUE">
                      <a:rPr lang="en-US"/>
                      <a:pPr/>
                      <a:t>[VALUE]</a:t>
                    </a:fld>
                    <a:r>
                      <a:rPr lang="en-US"/>
                      <a:t> </a:t>
                    </a:r>
                  </a:p>
                </c:rich>
              </c:tx>
              <c:dLblPos val="outEnd"/>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6DD3-4168-9043-D5D44B1EA35F}"/>
                </c:ext>
              </c:extLst>
            </c:dLbl>
            <c:dLbl>
              <c:idx val="3"/>
              <c:layout/>
              <c:tx>
                <c:rich>
                  <a:bodyPr/>
                  <a:lstStyle/>
                  <a:p>
                    <a:fld id="{8BD7873B-26D6-4B57-9C4D-1F4ACD4494C1}" type="VALUE">
                      <a:rPr lang="en-US"/>
                      <a:pPr/>
                      <a:t>[VALUE]</a:t>
                    </a:fld>
                    <a:r>
                      <a:rPr lang="en-US"/>
                      <a:t> </a:t>
                    </a:r>
                  </a:p>
                </c:rich>
              </c:tx>
              <c:dLblPos val="outEnd"/>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C-6DD3-4168-9043-D5D44B1EA35F}"/>
                </c:ext>
              </c:extLst>
            </c:dLbl>
            <c:dLbl>
              <c:idx val="4"/>
              <c:layout>
                <c:manualLayout>
                  <c:x val="-3.9994285330988404E-3"/>
                  <c:y val="0"/>
                </c:manualLayout>
              </c:layout>
              <c:tx>
                <c:rich>
                  <a:bodyPr/>
                  <a:lstStyle/>
                  <a:p>
                    <a:fld id="{9820CE6E-B104-4B0E-B44D-DBA4C2C4889A}" type="VALUE">
                      <a:rPr lang="en-US"/>
                      <a:pPr/>
                      <a:t>[VALUE]</a:t>
                    </a:fld>
                    <a:r>
                      <a:rPr lang="en-US"/>
                      <a:t> </a:t>
                    </a:r>
                  </a:p>
                </c:rich>
              </c:tx>
              <c:dLblPos val="outEnd"/>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6DD3-4168-9043-D5D44B1EA35F}"/>
                </c:ext>
              </c:extLst>
            </c:dLbl>
            <c:dLbl>
              <c:idx val="5"/>
              <c:layout/>
              <c:tx>
                <c:rich>
                  <a:bodyPr/>
                  <a:lstStyle/>
                  <a:p>
                    <a:fld id="{6CC16EEE-8B9C-406D-9EDF-82687D082DB6}" type="VALUE">
                      <a:rPr lang="en-US"/>
                      <a:pPr/>
                      <a:t>[VALUE]</a:t>
                    </a:fld>
                    <a:r>
                      <a:rPr lang="en-US"/>
                      <a:t> </a:t>
                    </a:r>
                  </a:p>
                </c:rich>
              </c:tx>
              <c:dLblPos val="outEnd"/>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6DD3-4168-9043-D5D44B1EA35F}"/>
                </c:ext>
              </c:extLst>
            </c:dLbl>
            <c:dLbl>
              <c:idx val="6"/>
              <c:layout>
                <c:manualLayout>
                  <c:x val="-8.7767416346682895E-3"/>
                  <c:y val="1.1512447834220752E-2"/>
                </c:manualLayout>
              </c:layout>
              <c:tx>
                <c:rich>
                  <a:bodyPr/>
                  <a:lstStyle/>
                  <a:p>
                    <a:fld id="{96D378C0-C86D-41B2-8F51-AA853B750663}" type="VALUE">
                      <a:rPr lang="en-US"/>
                      <a:pPr/>
                      <a:t>[VALUE]</a:t>
                    </a:fld>
                    <a:r>
                      <a:rPr lang="en-US"/>
                      <a:t> </a:t>
                    </a:r>
                  </a:p>
                  <a:p>
                    <a:endParaRPr lang="lv-LV"/>
                  </a:p>
                </c:rich>
              </c:tx>
              <c:dLblPos val="outEnd"/>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6DD3-4168-9043-D5D44B1EA35F}"/>
                </c:ext>
              </c:extLst>
            </c:dLbl>
            <c:dLbl>
              <c:idx val="7"/>
              <c:layout>
                <c:manualLayout>
                  <c:x val="-4.3883708173342254E-3"/>
                  <c:y val="-6.5955970454557451E-18"/>
                </c:manualLayout>
              </c:layout>
              <c:tx>
                <c:rich>
                  <a:bodyPr/>
                  <a:lstStyle/>
                  <a:p>
                    <a:fld id="{9F0BD22A-1EC7-4425-A973-6C936332ADB0}" type="VALUE">
                      <a:rPr lang="en-US"/>
                      <a:pPr/>
                      <a:t>[VALUE]</a:t>
                    </a:fld>
                    <a:r>
                      <a:rPr lang="en-US"/>
                      <a:t> </a:t>
                    </a:r>
                  </a:p>
                </c:rich>
              </c:tx>
              <c:dLblPos val="outEnd"/>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0-6DD3-4168-9043-D5D44B1EA35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'MK ziņojumam '!$A$3:$A$10</c:f>
              <c:strCache>
                <c:ptCount val="8"/>
                <c:pt idx="0">
                  <c:v>FM, Tehniskās palīdzības fonds 2011.-2017.gadam</c:v>
                </c:pt>
                <c:pt idx="1">
                  <c:v>VARAM, Kapacitātes stiprināšana un institucionālā sadarbība ar Norvēģijas valsts iestādēm, vietējām un reģionālām iestādēm</c:v>
                </c:pt>
                <c:pt idx="2">
                  <c:v>IZM, Pētniecība un stipendijas</c:v>
                </c:pt>
                <c:pt idx="3">
                  <c:v>SIF, NVO fonds</c:v>
                </c:pt>
                <c:pt idx="4">
                  <c:v>VARAM, Nacionālā klimata politika</c:v>
                </c:pt>
                <c:pt idx="5">
                  <c:v>KM, Kultūras un dabas mantojuma saglabāšana un atjaunināšana</c:v>
                </c:pt>
                <c:pt idx="6">
                  <c:v>EM, Inovācijas "zaļās" ražošanas jomā</c:v>
                </c:pt>
                <c:pt idx="7">
                  <c:v>TM, Latvijas korekcijas dienestu un Valsts policijas īslaicīgās aizturēšanas vietu reforma</c:v>
                </c:pt>
              </c:strCache>
            </c:strRef>
          </c:cat>
          <c:val>
            <c:numRef>
              <c:f>'MK ziņojumam '!$B$3:$B$10</c:f>
              <c:numCache>
                <c:formatCode>General</c:formatCode>
                <c:ptCount val="8"/>
                <c:pt idx="0">
                  <c:v>1.5</c:v>
                </c:pt>
                <c:pt idx="1">
                  <c:v>5.6</c:v>
                </c:pt>
                <c:pt idx="2">
                  <c:v>6.1</c:v>
                </c:pt>
                <c:pt idx="3">
                  <c:v>10.9</c:v>
                </c:pt>
                <c:pt idx="4">
                  <c:v>11.2</c:v>
                </c:pt>
                <c:pt idx="5">
                  <c:v>11.8</c:v>
                </c:pt>
                <c:pt idx="6">
                  <c:v>12.6</c:v>
                </c:pt>
                <c:pt idx="7">
                  <c:v>15.4</c:v>
                </c:pt>
              </c:numCache>
            </c:numRef>
          </c:val>
          <c:extLst>
            <c:ext xmlns:c16="http://schemas.microsoft.com/office/drawing/2014/chart" uri="{C3380CC4-5D6E-409C-BE32-E72D297353CC}">
              <c16:uniqueId val="{00000011-6DD3-4168-9043-D5D44B1EA35F}"/>
            </c:ext>
          </c:extLst>
        </c:ser>
        <c:dLbls>
          <c:dLblPos val="outEnd"/>
          <c:showLegendKey val="0"/>
          <c:showVal val="1"/>
          <c:showCatName val="0"/>
          <c:showSerName val="0"/>
          <c:showPercent val="0"/>
          <c:showBubbleSize val="0"/>
        </c:dLbls>
        <c:gapWidth val="219"/>
        <c:overlap val="-32"/>
        <c:axId val="263999832"/>
        <c:axId val="264000224"/>
        <c:extLst>
          <c:ext xmlns:c15="http://schemas.microsoft.com/office/drawing/2012/chart" uri="{02D57815-91ED-43cb-92C2-25804820EDAC}">
            <c15:filteredBarSeries>
              <c15:ser>
                <c:idx val="2"/>
                <c:order val="1"/>
                <c:tx>
                  <c:strRef>
                    <c:extLst>
                      <c:ext uri="{02D57815-91ED-43cb-92C2-25804820EDAC}">
                        <c15:formulaRef>
                          <c15:sqref>'MK ziņojumam '!$H$2</c15:sqref>
                        </c15:formulaRef>
                      </c:ext>
                    </c:extLst>
                    <c:strCache>
                      <c:ptCount val="1"/>
                      <c:pt idx="0">
                        <c:v>Projektiem kontraktētais finansējums (67,6 milj. euro jeb kopā vidēji no projektiem pieejamā finansējuma - 100%)</c:v>
                      </c:pt>
                    </c:strCache>
                  </c:strRef>
                </c:tx>
                <c:spPr>
                  <a:solidFill>
                    <a:srgbClr val="FF0000"/>
                  </a:solidFill>
                  <a:ln>
                    <a:noFill/>
                  </a:ln>
                  <a:effectLst/>
                </c:spPr>
                <c:invertIfNegative val="0"/>
                <c:dLbls>
                  <c:dLbl>
                    <c:idx val="0"/>
                    <c:tx>
                      <c:rich>
                        <a:bodyPr/>
                        <a:lstStyle/>
                        <a:p>
                          <a:fld id="{0DDA7E17-6B53-4B62-AFF0-7F0C54EFACE6}" type="VALUE">
                            <a:rPr lang="en-US"/>
                            <a:pPr/>
                            <a:t>[VALUE]</a:t>
                          </a:fld>
                          <a:r>
                            <a:rPr lang="en-US"/>
                            <a:t> (100%)</a:t>
                          </a:r>
                        </a:p>
                      </c:rich>
                    </c:tx>
                    <c:dLblPos val="outEnd"/>
                    <c:showLegendKey val="0"/>
                    <c:showVal val="1"/>
                    <c:showCatName val="0"/>
                    <c:showSerName val="0"/>
                    <c:showPercent val="0"/>
                    <c:showBubbleSize val="0"/>
                    <c:extLst>
                      <c:ext uri="{CE6537A1-D6FC-4f65-9D91-7224C49458BB}">
                        <c15:dlblFieldTable/>
                        <c15:showDataLabelsRange val="0"/>
                      </c:ext>
                      <c:ext xmlns:c16="http://schemas.microsoft.com/office/drawing/2014/chart" uri="{C3380CC4-5D6E-409C-BE32-E72D297353CC}">
                        <c16:uniqueId val="{00000012-6DD3-4168-9043-D5D44B1EA35F}"/>
                      </c:ext>
                    </c:extLst>
                  </c:dLbl>
                  <c:dLbl>
                    <c:idx val="1"/>
                    <c:tx>
                      <c:rich>
                        <a:bodyPr/>
                        <a:lstStyle/>
                        <a:p>
                          <a:fld id="{948FEEC6-3466-4A64-99AE-18E17BDD65C4}" type="VALUE">
                            <a:rPr lang="en-US"/>
                            <a:pPr/>
                            <a:t>[VALUE]</a:t>
                          </a:fld>
                          <a:r>
                            <a:rPr lang="en-US"/>
                            <a:t> (100%)</a:t>
                          </a:r>
                        </a:p>
                      </c:rich>
                    </c:tx>
                    <c:dLblPos val="outEnd"/>
                    <c:showLegendKey val="0"/>
                    <c:showVal val="1"/>
                    <c:showCatName val="0"/>
                    <c:showSerName val="0"/>
                    <c:showPercent val="0"/>
                    <c:showBubbleSize val="0"/>
                    <c:extLst>
                      <c:ext uri="{CE6537A1-D6FC-4f65-9D91-7224C49458BB}">
                        <c15:dlblFieldTable/>
                        <c15:showDataLabelsRange val="0"/>
                      </c:ext>
                      <c:ext xmlns:c16="http://schemas.microsoft.com/office/drawing/2014/chart" uri="{C3380CC4-5D6E-409C-BE32-E72D297353CC}">
                        <c16:uniqueId val="{00000013-6DD3-4168-9043-D5D44B1EA35F}"/>
                      </c:ext>
                    </c:extLst>
                  </c:dLbl>
                  <c:dLbl>
                    <c:idx val="2"/>
                    <c:tx>
                      <c:rich>
                        <a:bodyPr/>
                        <a:lstStyle/>
                        <a:p>
                          <a:fld id="{6C80D311-2CAE-4297-A818-C206D2DC8BEC}" type="VALUE">
                            <a:rPr lang="en-US"/>
                            <a:pPr/>
                            <a:t>[VALUE]</a:t>
                          </a:fld>
                          <a:r>
                            <a:rPr lang="en-US"/>
                            <a:t> (100%)</a:t>
                          </a:r>
                        </a:p>
                      </c:rich>
                    </c:tx>
                    <c:dLblPos val="outEnd"/>
                    <c:showLegendKey val="0"/>
                    <c:showVal val="1"/>
                    <c:showCatName val="0"/>
                    <c:showSerName val="0"/>
                    <c:showPercent val="0"/>
                    <c:showBubbleSize val="0"/>
                    <c:extLst>
                      <c:ext uri="{CE6537A1-D6FC-4f65-9D91-7224C49458BB}">
                        <c15:dlblFieldTable/>
                        <c15:showDataLabelsRange val="0"/>
                      </c:ext>
                      <c:ext xmlns:c16="http://schemas.microsoft.com/office/drawing/2014/chart" uri="{C3380CC4-5D6E-409C-BE32-E72D297353CC}">
                        <c16:uniqueId val="{00000014-6DD3-4168-9043-D5D44B1EA35F}"/>
                      </c:ext>
                    </c:extLst>
                  </c:dLbl>
                  <c:dLbl>
                    <c:idx val="3"/>
                    <c:layout>
                      <c:manualLayout>
                        <c:x val="-3.2956795457671278E-3"/>
                        <c:y val="0"/>
                      </c:manualLayout>
                    </c:layout>
                    <c:tx>
                      <c:rich>
                        <a:bodyPr/>
                        <a:lstStyle/>
                        <a:p>
                          <a:fld id="{BFB636C0-ED54-4A04-8992-9F5098FC280D}" type="VALUE">
                            <a:rPr lang="en-US"/>
                            <a:pPr/>
                            <a:t>[VALUE]</a:t>
                          </a:fld>
                          <a:r>
                            <a:rPr lang="en-US"/>
                            <a:t> (100%)</a:t>
                          </a:r>
                        </a:p>
                      </c:rich>
                    </c:tx>
                    <c:dLblPos val="outEnd"/>
                    <c:showLegendKey val="0"/>
                    <c:showVal val="1"/>
                    <c:showCatName val="0"/>
                    <c:showSerName val="0"/>
                    <c:showPercent val="0"/>
                    <c:showBubbleSize val="0"/>
                    <c:extLst>
                      <c:ext uri="{CE6537A1-D6FC-4f65-9D91-7224C49458BB}">
                        <c15:dlblFieldTable/>
                        <c15:showDataLabelsRange val="0"/>
                      </c:ext>
                      <c:ext xmlns:c16="http://schemas.microsoft.com/office/drawing/2014/chart" uri="{C3380CC4-5D6E-409C-BE32-E72D297353CC}">
                        <c16:uniqueId val="{00000015-6DD3-4168-9043-D5D44B1EA35F}"/>
                      </c:ext>
                    </c:extLst>
                  </c:dLbl>
                  <c:dLbl>
                    <c:idx val="4"/>
                    <c:layout>
                      <c:manualLayout>
                        <c:x val="-1.2196230465000999E-16"/>
                        <c:y val="-2.2948907822640106E-4"/>
                      </c:manualLayout>
                    </c:layout>
                    <c:tx>
                      <c:rich>
                        <a:bodyPr/>
                        <a:lstStyle/>
                        <a:p>
                          <a:fld id="{AC1202AF-AB30-4BE9-BDAA-E205F3E7A16A}" type="VALUE">
                            <a:rPr lang="en-US"/>
                            <a:pPr/>
                            <a:t>[VALUE]</a:t>
                          </a:fld>
                          <a:r>
                            <a:rPr lang="en-US"/>
                            <a:t> (100%)</a:t>
                          </a:r>
                        </a:p>
                      </c:rich>
                    </c:tx>
                    <c:dLblPos val="outEnd"/>
                    <c:showLegendKey val="0"/>
                    <c:showVal val="1"/>
                    <c:showCatName val="0"/>
                    <c:showSerName val="0"/>
                    <c:showPercent val="0"/>
                    <c:showBubbleSize val="0"/>
                    <c:extLst>
                      <c:ext uri="{CE6537A1-D6FC-4f65-9D91-7224C49458BB}">
                        <c15:dlblFieldTable/>
                        <c15:showDataLabelsRange val="0"/>
                      </c:ext>
                      <c:ext xmlns:c16="http://schemas.microsoft.com/office/drawing/2014/chart" uri="{C3380CC4-5D6E-409C-BE32-E72D297353CC}">
                        <c16:uniqueId val="{00000016-6DD3-4168-9043-D5D44B1EA35F}"/>
                      </c:ext>
                    </c:extLst>
                  </c:dLbl>
                  <c:dLbl>
                    <c:idx val="5"/>
                    <c:layout>
                      <c:manualLayout>
                        <c:x val="1.6709989103148957E-4"/>
                        <c:y val="9.9464097104522424E-4"/>
                      </c:manualLayout>
                    </c:layout>
                    <c:tx>
                      <c:rich>
                        <a:bodyPr/>
                        <a:lstStyle/>
                        <a:p>
                          <a:fld id="{431211F6-26AE-46FC-95B8-B7D75C7B48FB}" type="VALUE">
                            <a:rPr lang="en-US"/>
                            <a:pPr/>
                            <a:t>[VALUE]</a:t>
                          </a:fld>
                          <a:r>
                            <a:rPr lang="en-US"/>
                            <a:t> (100%)</a:t>
                          </a:r>
                        </a:p>
                      </c:rich>
                    </c:tx>
                    <c:dLblPos val="outEnd"/>
                    <c:showLegendKey val="0"/>
                    <c:showVal val="1"/>
                    <c:showCatName val="0"/>
                    <c:showSerName val="0"/>
                    <c:showPercent val="0"/>
                    <c:showBubbleSize val="0"/>
                    <c:extLst>
                      <c:ext uri="{CE6537A1-D6FC-4f65-9D91-7224C49458BB}">
                        <c15:dlblFieldTable/>
                        <c15:showDataLabelsRange val="0"/>
                      </c:ext>
                      <c:ext xmlns:c16="http://schemas.microsoft.com/office/drawing/2014/chart" uri="{C3380CC4-5D6E-409C-BE32-E72D297353CC}">
                        <c16:uniqueId val="{00000017-6DD3-4168-9043-D5D44B1EA35F}"/>
                      </c:ext>
                    </c:extLst>
                  </c:dLbl>
                  <c:dLbl>
                    <c:idx val="6"/>
                    <c:tx>
                      <c:rich>
                        <a:bodyPr/>
                        <a:lstStyle/>
                        <a:p>
                          <a:fld id="{2F676E5E-D4B0-4768-B17D-60A739A861C2}" type="VALUE">
                            <a:rPr lang="en-US"/>
                            <a:pPr/>
                            <a:t>[VALUE]</a:t>
                          </a:fld>
                          <a:r>
                            <a:rPr lang="en-US"/>
                            <a:t> (100%)</a:t>
                          </a:r>
                        </a:p>
                      </c:rich>
                    </c:tx>
                    <c:dLblPos val="outEnd"/>
                    <c:showLegendKey val="0"/>
                    <c:showVal val="1"/>
                    <c:showCatName val="0"/>
                    <c:showSerName val="0"/>
                    <c:showPercent val="0"/>
                    <c:showBubbleSize val="0"/>
                    <c:extLst>
                      <c:ext uri="{CE6537A1-D6FC-4f65-9D91-7224C49458BB}">
                        <c15:dlblFieldTable/>
                        <c15:showDataLabelsRange val="0"/>
                      </c:ext>
                      <c:ext xmlns:c16="http://schemas.microsoft.com/office/drawing/2014/chart" uri="{C3380CC4-5D6E-409C-BE32-E72D297353CC}">
                        <c16:uniqueId val="{00000018-6DD3-4168-9043-D5D44B1EA35F}"/>
                      </c:ext>
                    </c:extLst>
                  </c:dLbl>
                  <c:dLbl>
                    <c:idx val="7"/>
                    <c:layout>
                      <c:manualLayout>
                        <c:x val="8.1510872047109908E-5"/>
                        <c:y val="-3.0897311447333382E-3"/>
                      </c:manualLayout>
                    </c:layout>
                    <c:tx>
                      <c:rich>
                        <a:bodyPr/>
                        <a:lstStyle/>
                        <a:p>
                          <a:fld id="{1E3BDF3D-E7D4-4EBE-B081-82C7F7AD06EC}" type="VALUE">
                            <a:rPr lang="en-US"/>
                            <a:pPr/>
                            <a:t>[VALUE]</a:t>
                          </a:fld>
                          <a:r>
                            <a:rPr lang="en-US"/>
                            <a:t> (100%)</a:t>
                          </a:r>
                        </a:p>
                      </c:rich>
                    </c:tx>
                    <c:dLblPos val="outEnd"/>
                    <c:showLegendKey val="0"/>
                    <c:showVal val="1"/>
                    <c:showCatName val="0"/>
                    <c:showSerName val="0"/>
                    <c:showPercent val="0"/>
                    <c:showBubbleSize val="0"/>
                    <c:extLst>
                      <c:ext uri="{CE6537A1-D6FC-4f65-9D91-7224C49458BB}">
                        <c15:dlblFieldTable/>
                        <c15:showDataLabelsRange val="0"/>
                      </c:ext>
                      <c:ext xmlns:c16="http://schemas.microsoft.com/office/drawing/2014/chart" uri="{C3380CC4-5D6E-409C-BE32-E72D297353CC}">
                        <c16:uniqueId val="{00000019-6DD3-4168-9043-D5D44B1EA35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'MK ziņojumam '!$A$3:$A$10</c15:sqref>
                        </c15:formulaRef>
                      </c:ext>
                    </c:extLst>
                    <c:strCache>
                      <c:ptCount val="8"/>
                      <c:pt idx="0">
                        <c:v>FM, Tehniskās palīdzības fonds 2011.-2017.gadam</c:v>
                      </c:pt>
                      <c:pt idx="1">
                        <c:v>VARAM, Kapacitātes stiprināšana un institucionālā sadarbība ar Norvēģijas valsts iestādēm, vietējām un reģionālām iestādēm</c:v>
                      </c:pt>
                      <c:pt idx="2">
                        <c:v>IZM, Pētniecība un stipendijas</c:v>
                      </c:pt>
                      <c:pt idx="3">
                        <c:v>SIF, NVO fonds</c:v>
                      </c:pt>
                      <c:pt idx="4">
                        <c:v>VARAM, Nacionālā klimata politika</c:v>
                      </c:pt>
                      <c:pt idx="5">
                        <c:v>KM, Kultūras un dabas mantojuma saglabāšana un atjaunināšana</c:v>
                      </c:pt>
                      <c:pt idx="6">
                        <c:v>EM, Inovācijas "zaļās" ražošanas jomā</c:v>
                      </c:pt>
                      <c:pt idx="7">
                        <c:v>TM, Latvijas korekcijas dienestu un Valsts policijas īslaicīgās aizturēšanas vietu reforma</c:v>
                      </c:pt>
                    </c:strCache>
                  </c:strRef>
                </c:cat>
                <c:val>
                  <c:numRef>
                    <c:extLst>
                      <c:ext uri="{02D57815-91ED-43cb-92C2-25804820EDAC}">
                        <c15:formulaRef>
                          <c15:sqref>'MK ziņojumam '!$H$3:$H$10</c15:sqref>
                        </c15:formulaRef>
                      </c:ext>
                    </c:extLst>
                    <c:numCache>
                      <c:formatCode>General</c:formatCode>
                      <c:ptCount val="8"/>
                      <c:pt idx="0">
                        <c:v>1.5</c:v>
                      </c:pt>
                      <c:pt idx="1">
                        <c:v>5.0999999999999996</c:v>
                      </c:pt>
                      <c:pt idx="2">
                        <c:v>5.5</c:v>
                      </c:pt>
                      <c:pt idx="3">
                        <c:v>9.6</c:v>
                      </c:pt>
                      <c:pt idx="4">
                        <c:v>10.199999999999999</c:v>
                      </c:pt>
                      <c:pt idx="5">
                        <c:v>10.7</c:v>
                      </c:pt>
                      <c:pt idx="6">
                        <c:v>11.5</c:v>
                      </c:pt>
                      <c:pt idx="7">
                        <c:v>13.5</c:v>
                      </c:pt>
                    </c:numCache>
                  </c:numRef>
                </c:val>
                <c:extLst>
                  <c:ext xmlns:c16="http://schemas.microsoft.com/office/drawing/2014/chart" uri="{C3380CC4-5D6E-409C-BE32-E72D297353CC}">
                    <c16:uniqueId val="{0000001A-6DD3-4168-9043-D5D44B1EA35F}"/>
                  </c:ext>
                </c:extLst>
              </c15:ser>
            </c15:filteredBarSeries>
            <c15:filteredBarSeries>
              <c15:ser>
                <c:idx val="1"/>
                <c:order val="2"/>
                <c:tx>
                  <c:strRef>
                    <c:extLst xmlns:c15="http://schemas.microsoft.com/office/drawing/2012/chart">
                      <c:ext xmlns:c15="http://schemas.microsoft.com/office/drawing/2012/chart" uri="{02D57815-91ED-43cb-92C2-25804820EDAC}">
                        <c15:formulaRef>
                          <c15:sqref>'MK ziņojumam '!$F$2</c15:sqref>
                        </c15:formulaRef>
                      </c:ext>
                    </c:extLst>
                    <c:strCache>
                      <c:ptCount val="1"/>
                      <c:pt idx="0">
                        <c:v>Projektu īstenošanai pieejamais finansējums (67,6 milj. euro jeb kopā vidēji no programmas budžeta - 90%)</c:v>
                      </c:pt>
                    </c:strCache>
                  </c:strRef>
                </c:tx>
                <c:spPr>
                  <a:solidFill>
                    <a:schemeClr val="accent6">
                      <a:lumMod val="75000"/>
                    </a:schemeClr>
                  </a:solidFill>
                  <a:ln>
                    <a:noFill/>
                  </a:ln>
                  <a:effectLst/>
                </c:spPr>
                <c:invertIfNegative val="0"/>
                <c:dLbls>
                  <c:dLbl>
                    <c:idx val="0"/>
                    <c:tx>
                      <c:rich>
                        <a:bodyPr/>
                        <a:lstStyle/>
                        <a:p>
                          <a:fld id="{DD92DA6D-847F-4E71-99CE-92B917BE01C3}" type="VALUE">
                            <a:rPr lang="en-US"/>
                            <a:pPr/>
                            <a:t>[VALUE]</a:t>
                          </a:fld>
                          <a:r>
                            <a:rPr lang="en-US"/>
                            <a:t> (100%)</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1B-6DD3-4168-9043-D5D44B1EA35F}"/>
                      </c:ext>
                    </c:extLst>
                  </c:dLbl>
                  <c:dLbl>
                    <c:idx val="1"/>
                    <c:tx>
                      <c:rich>
                        <a:bodyPr/>
                        <a:lstStyle/>
                        <a:p>
                          <a:fld id="{5E23CD5A-6F55-4D05-A5ED-F878CB639274}" type="VALUE">
                            <a:rPr lang="en-US"/>
                            <a:pPr/>
                            <a:t>[VALUE]</a:t>
                          </a:fld>
                          <a:r>
                            <a:rPr lang="en-US"/>
                            <a:t> (91%)</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1C-6DD3-4168-9043-D5D44B1EA35F}"/>
                      </c:ext>
                    </c:extLst>
                  </c:dLbl>
                  <c:dLbl>
                    <c:idx val="2"/>
                    <c:tx>
                      <c:rich>
                        <a:bodyPr/>
                        <a:lstStyle/>
                        <a:p>
                          <a:fld id="{ED1F4FB2-A66D-474C-A396-50766E0D841D}" type="VALUE">
                            <a:rPr lang="en-US"/>
                            <a:pPr/>
                            <a:t>[VALUE]</a:t>
                          </a:fld>
                          <a:r>
                            <a:rPr lang="en-US"/>
                            <a:t> (90%)</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1D-6DD3-4168-9043-D5D44B1EA35F}"/>
                      </c:ext>
                    </c:extLst>
                  </c:dLbl>
                  <c:dLbl>
                    <c:idx val="3"/>
                    <c:tx>
                      <c:rich>
                        <a:bodyPr/>
                        <a:lstStyle/>
                        <a:p>
                          <a:fld id="{DF8FAF34-C6B9-435D-8DF0-FBF84FC54473}" type="VALUE">
                            <a:rPr lang="en-US"/>
                            <a:pPr/>
                            <a:t>[VALUE]</a:t>
                          </a:fld>
                          <a:r>
                            <a:rPr lang="en-US"/>
                            <a:t> (88%)</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1E-6DD3-4168-9043-D5D44B1EA35F}"/>
                      </c:ext>
                    </c:extLst>
                  </c:dLbl>
                  <c:dLbl>
                    <c:idx val="4"/>
                    <c:tx>
                      <c:rich>
                        <a:bodyPr/>
                        <a:lstStyle/>
                        <a:p>
                          <a:fld id="{97EA8E7B-C716-4118-98D0-C6D7BA0EC7DD}" type="VALUE">
                            <a:rPr lang="en-US"/>
                            <a:pPr/>
                            <a:t>[VALUE]</a:t>
                          </a:fld>
                          <a:r>
                            <a:rPr lang="en-US"/>
                            <a:t> (91%)</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1F-6DD3-4168-9043-D5D44B1EA35F}"/>
                      </c:ext>
                    </c:extLst>
                  </c:dLbl>
                  <c:dLbl>
                    <c:idx val="5"/>
                    <c:tx>
                      <c:rich>
                        <a:bodyPr/>
                        <a:lstStyle/>
                        <a:p>
                          <a:fld id="{14F6C305-D2A1-4172-AA40-08F7ACA46C70}" type="VALUE">
                            <a:rPr lang="en-US"/>
                            <a:pPr/>
                            <a:t>[VALUE]</a:t>
                          </a:fld>
                          <a:r>
                            <a:rPr lang="en-US"/>
                            <a:t> (89%)</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20-6DD3-4168-9043-D5D44B1EA35F}"/>
                      </c:ext>
                    </c:extLst>
                  </c:dLbl>
                  <c:dLbl>
                    <c:idx val="6"/>
                    <c:tx>
                      <c:rich>
                        <a:bodyPr/>
                        <a:lstStyle/>
                        <a:p>
                          <a:fld id="{15DF5F69-8693-48A7-9D06-C2DCCFC4C95F}" type="VALUE">
                            <a:rPr lang="en-US"/>
                            <a:pPr/>
                            <a:t>[VALUE]</a:t>
                          </a:fld>
                          <a:r>
                            <a:rPr lang="en-US"/>
                            <a:t> (91%)</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21-6DD3-4168-9043-D5D44B1EA35F}"/>
                      </c:ext>
                    </c:extLst>
                  </c:dLbl>
                  <c:dLbl>
                    <c:idx val="7"/>
                    <c:tx>
                      <c:rich>
                        <a:bodyPr/>
                        <a:lstStyle/>
                        <a:p>
                          <a:fld id="{4C8C8CE2-A172-4630-81B9-902325C84F23}" type="VALUE">
                            <a:rPr lang="en-US"/>
                            <a:pPr/>
                            <a:t>[VALUE]</a:t>
                          </a:fld>
                          <a:r>
                            <a:rPr lang="en-US"/>
                            <a:t> (88%)</a:t>
                          </a:r>
                        </a:p>
                      </c:rich>
                    </c:tx>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22-6DD3-4168-9043-D5D44B1EA35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'MK ziņojumam '!$A$3:$A$10</c15:sqref>
                        </c15:formulaRef>
                      </c:ext>
                    </c:extLst>
                    <c:strCache>
                      <c:ptCount val="8"/>
                      <c:pt idx="0">
                        <c:v>FM, Tehniskās palīdzības fonds 2011.-2017.gadam</c:v>
                      </c:pt>
                      <c:pt idx="1">
                        <c:v>VARAM, Kapacitātes stiprināšana un institucionālā sadarbība ar Norvēģijas valsts iestādēm, vietējām un reģionālām iestādēm</c:v>
                      </c:pt>
                      <c:pt idx="2">
                        <c:v>IZM, Pētniecība un stipendijas</c:v>
                      </c:pt>
                      <c:pt idx="3">
                        <c:v>SIF, NVO fonds</c:v>
                      </c:pt>
                      <c:pt idx="4">
                        <c:v>VARAM, Nacionālā klimata politika</c:v>
                      </c:pt>
                      <c:pt idx="5">
                        <c:v>KM, Kultūras un dabas mantojuma saglabāšana un atjaunināšana</c:v>
                      </c:pt>
                      <c:pt idx="6">
                        <c:v>EM, Inovācijas "zaļās" ražošanas jomā</c:v>
                      </c:pt>
                      <c:pt idx="7">
                        <c:v>TM, Latvijas korekcijas dienestu un Valsts policijas īslaicīgās aizturēšanas vietu reforma</c:v>
                      </c:pt>
                    </c:strCache>
                  </c:strRef>
                </c:cat>
                <c:val>
                  <c:numRef>
                    <c:extLst xmlns:c15="http://schemas.microsoft.com/office/drawing/2012/chart">
                      <c:ext xmlns:c15="http://schemas.microsoft.com/office/drawing/2012/chart" uri="{02D57815-91ED-43cb-92C2-25804820EDAC}">
                        <c15:formulaRef>
                          <c15:sqref>'MK ziņojumam '!$F$3:$F$10</c15:sqref>
                        </c15:formulaRef>
                      </c:ext>
                    </c:extLst>
                    <c:numCache>
                      <c:formatCode>General</c:formatCode>
                      <c:ptCount val="8"/>
                      <c:pt idx="0">
                        <c:v>1.5</c:v>
                      </c:pt>
                      <c:pt idx="1">
                        <c:v>5.0999999999999996</c:v>
                      </c:pt>
                      <c:pt idx="2">
                        <c:v>5.5</c:v>
                      </c:pt>
                      <c:pt idx="3">
                        <c:v>9.6</c:v>
                      </c:pt>
                      <c:pt idx="4">
                        <c:v>10.199999999999999</c:v>
                      </c:pt>
                      <c:pt idx="5">
                        <c:v>10.7</c:v>
                      </c:pt>
                      <c:pt idx="6">
                        <c:v>11.5</c:v>
                      </c:pt>
                      <c:pt idx="7">
                        <c:v>13.5</c:v>
                      </c:pt>
                    </c:numCache>
                  </c:numRef>
                </c:val>
                <c:extLst xmlns:c15="http://schemas.microsoft.com/office/drawing/2012/chart">
                  <c:ext xmlns:c16="http://schemas.microsoft.com/office/drawing/2014/chart" uri="{C3380CC4-5D6E-409C-BE32-E72D297353CC}">
                    <c16:uniqueId val="{00000023-6DD3-4168-9043-D5D44B1EA35F}"/>
                  </c:ext>
                </c:extLst>
              </c15:ser>
            </c15:filteredBarSeries>
          </c:ext>
        </c:extLst>
      </c:barChart>
      <c:catAx>
        <c:axId val="263999832"/>
        <c:scaling>
          <c:orientation val="minMax"/>
        </c:scaling>
        <c:delete val="0"/>
        <c:axPos val="l"/>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t" anchorCtr="0"/>
          <a:lstStyle/>
          <a:p>
            <a:pPr>
              <a:defRPr sz="8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4000224"/>
        <c:crosses val="autoZero"/>
        <c:auto val="1"/>
        <c:lblAlgn val="ctr"/>
        <c:lblOffset val="100"/>
        <c:noMultiLvlLbl val="0"/>
      </c:catAx>
      <c:valAx>
        <c:axId val="264000224"/>
        <c:scaling>
          <c:orientation val="minMax"/>
          <c:max val="16"/>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3999832"/>
        <c:crosses val="autoZero"/>
        <c:crossBetween val="between"/>
      </c:valAx>
      <c:spPr>
        <a:noFill/>
        <a:ln>
          <a:noFill/>
        </a:ln>
        <a:effectLst/>
      </c:spPr>
    </c:plotArea>
    <c:legend>
      <c:legendPos val="b"/>
      <c:layout>
        <c:manualLayout>
          <c:xMode val="edge"/>
          <c:yMode val="edge"/>
          <c:x val="2.5144500930801093E-2"/>
          <c:y val="0.87517265838963976"/>
          <c:w val="0.94412014460891236"/>
          <c:h val="0.1223628166064793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085263461628504E-2"/>
          <c:y val="5.3207860158465868E-2"/>
          <c:w val="0.92690016458099833"/>
          <c:h val="0.75399155484537539"/>
        </c:manualLayout>
      </c:layout>
      <c:barChart>
        <c:barDir val="col"/>
        <c:grouping val="clustered"/>
        <c:varyColors val="0"/>
        <c:ser>
          <c:idx val="12"/>
          <c:order val="12"/>
          <c:tx>
            <c:strRef>
              <c:f>'Investīciju plāns_izpilde_2017'!$Q$5</c:f>
              <c:strCache>
                <c:ptCount val="1"/>
                <c:pt idx="0">
                  <c:v>Investīciju plāns 2017.gadam (13,1 milj. euro)</c:v>
                </c:pt>
              </c:strCache>
            </c:strRef>
          </c:tx>
          <c:spPr>
            <a:solidFill>
              <a:srgbClr val="0070C0"/>
            </a:solidFill>
            <a:ln>
              <a:noFill/>
            </a:ln>
            <a:effectLst/>
          </c:spPr>
          <c:invertIfNegative val="0"/>
          <c:dLbls>
            <c:dLbl>
              <c:idx val="1"/>
              <c:layout>
                <c:manualLayout>
                  <c:x val="4.7967382180117519E-3"/>
                  <c:y val="1.22249388753056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0A9-4BEE-B5CF-231487C4E087}"/>
                </c:ext>
              </c:extLst>
            </c:dLbl>
            <c:dLbl>
              <c:idx val="6"/>
              <c:layout>
                <c:manualLayout>
                  <c:x val="-1.9133052310379792E-2"/>
                  <c:y val="8.12911902293188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0A9-4BEE-B5CF-231487C4E087}"/>
                </c:ext>
              </c:extLst>
            </c:dLbl>
            <c:numFmt formatCode="#,##0.0" sourceLinked="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'Investīciju plāns_izpilde_2017'!$B$6:$D$13</c:f>
              <c:strCache>
                <c:ptCount val="7"/>
                <c:pt idx="0">
                  <c:v>EM</c:v>
                </c:pt>
                <c:pt idx="1">
                  <c:v>VARAM </c:v>
                </c:pt>
                <c:pt idx="2">
                  <c:v>KM</c:v>
                </c:pt>
                <c:pt idx="3">
                  <c:v>SIF</c:v>
                </c:pt>
                <c:pt idx="4">
                  <c:v>IZM</c:v>
                </c:pt>
                <c:pt idx="5">
                  <c:v>TM</c:v>
                </c:pt>
                <c:pt idx="6">
                  <c:v>FM</c:v>
                </c:pt>
              </c:strCache>
            </c:strRef>
          </c:cat>
          <c:val>
            <c:numRef>
              <c:f>'Investīciju plāns_izpilde_2017'!$Q$6:$Q$13</c:f>
              <c:numCache>
                <c:formatCode>#,##0</c:formatCode>
                <c:ptCount val="7"/>
                <c:pt idx="0">
                  <c:v>5069834</c:v>
                </c:pt>
                <c:pt idx="1">
                  <c:v>2417810</c:v>
                </c:pt>
                <c:pt idx="2">
                  <c:v>2480994</c:v>
                </c:pt>
                <c:pt idx="3">
                  <c:v>353976</c:v>
                </c:pt>
                <c:pt idx="4">
                  <c:v>1174157</c:v>
                </c:pt>
                <c:pt idx="5">
                  <c:v>1410453</c:v>
                </c:pt>
                <c:pt idx="6">
                  <c:v>224617</c:v>
                </c:pt>
              </c:numCache>
            </c:numRef>
          </c:val>
          <c:extLst>
            <c:ext xmlns:c16="http://schemas.microsoft.com/office/drawing/2014/chart" uri="{C3380CC4-5D6E-409C-BE32-E72D297353CC}">
              <c16:uniqueId val="{00000002-80A9-4BEE-B5CF-231487C4E087}"/>
            </c:ext>
          </c:extLst>
        </c:ser>
        <c:ser>
          <c:idx val="13"/>
          <c:order val="13"/>
          <c:tx>
            <c:strRef>
              <c:f>'Investīciju plāns_izpilde_2017'!$R$5</c:f>
              <c:strCache>
                <c:ptCount val="1"/>
                <c:pt idx="0">
                  <c:v>Investīciju plāna izpilde (6,5 milj. euro)</c:v>
                </c:pt>
              </c:strCache>
            </c:strRef>
          </c:tx>
          <c:spPr>
            <a:solidFill>
              <a:srgbClr val="C00000"/>
            </a:solidFill>
            <a:ln>
              <a:noFill/>
            </a:ln>
            <a:effectLst/>
          </c:spPr>
          <c:invertIfNegative val="0"/>
          <c:dLbls>
            <c:dLbl>
              <c:idx val="0"/>
              <c:layout>
                <c:manualLayout>
                  <c:x val="3.2586150800539164E-2"/>
                  <c:y val="1.2225031771194991E-2"/>
                </c:manualLayout>
              </c:layout>
              <c:tx>
                <c:rich>
                  <a:bodyPr/>
                  <a:lstStyle/>
                  <a:p>
                    <a:fld id="{8642428A-5441-4190-BC18-651F142DD304}" type="VALUE">
                      <a:rPr lang="en-US" sz="900" b="1">
                        <a:solidFill>
                          <a:sysClr val="windowText" lastClr="000000"/>
                        </a:solidFill>
                      </a:rPr>
                      <a:pPr/>
                      <a:t>[VALUE]</a:t>
                    </a:fld>
                    <a:r>
                      <a:rPr lang="en-US" sz="900" b="1">
                        <a:solidFill>
                          <a:sysClr val="windowText" lastClr="000000"/>
                        </a:solidFill>
                      </a:rPr>
                      <a:t> (52%)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0A9-4BEE-B5CF-231487C4E087}"/>
                </c:ext>
              </c:extLst>
            </c:dLbl>
            <c:dLbl>
              <c:idx val="1"/>
              <c:layout>
                <c:manualLayout>
                  <c:x val="3.2877296981359765E-2"/>
                  <c:y val="1.2305475874195433E-2"/>
                </c:manualLayout>
              </c:layout>
              <c:tx>
                <c:rich>
                  <a:bodyPr/>
                  <a:lstStyle/>
                  <a:p>
                    <a:fld id="{A30667F6-7F0C-4758-98FF-5AF616FB479F}" type="VALUE">
                      <a:rPr lang="en-US" sz="900" b="1">
                        <a:solidFill>
                          <a:sysClr val="windowText" lastClr="000000"/>
                        </a:solidFill>
                      </a:rPr>
                      <a:pPr/>
                      <a:t>[VALUE]</a:t>
                    </a:fld>
                    <a:r>
                      <a:rPr lang="en-US" sz="900" b="1">
                        <a:solidFill>
                          <a:sysClr val="windowText" lastClr="000000"/>
                        </a:solidFill>
                      </a:rPr>
                      <a:t> (58%)</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80A9-4BEE-B5CF-231487C4E087}"/>
                </c:ext>
              </c:extLst>
            </c:dLbl>
            <c:dLbl>
              <c:idx val="2"/>
              <c:layout>
                <c:manualLayout>
                  <c:x val="3.2864644167950048E-2"/>
                  <c:y val="1.2305475874195433E-2"/>
                </c:manualLayout>
              </c:layout>
              <c:tx>
                <c:rich>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fld id="{DD2CC561-B1F2-4E02-96A8-EDD8868B5A35}" type="VALUE">
                      <a:rPr lang="en-US" sz="900" b="1">
                        <a:solidFill>
                          <a:srgbClr val="C00000"/>
                        </a:solidFill>
                      </a:rPr>
                      <a:pPr>
                        <a:defRPr b="1">
                          <a:solidFill>
                            <a:srgbClr val="C00000"/>
                          </a:solidFill>
                          <a:latin typeface="Times New Roman" panose="02020603050405020304" pitchFamily="18" charset="0"/>
                          <a:cs typeface="Times New Roman" panose="02020603050405020304" pitchFamily="18" charset="0"/>
                        </a:defRPr>
                      </a:pPr>
                      <a:t>[VALUE]</a:t>
                    </a:fld>
                    <a:r>
                      <a:rPr lang="en-US" sz="900" b="1">
                        <a:solidFill>
                          <a:srgbClr val="C00000"/>
                        </a:solidFill>
                      </a:rPr>
                      <a:t> (9%)</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80A9-4BEE-B5CF-231487C4E087}"/>
                </c:ext>
              </c:extLst>
            </c:dLbl>
            <c:dLbl>
              <c:idx val="3"/>
              <c:layout>
                <c:manualLayout>
                  <c:x val="3.9333716944034695E-2"/>
                  <c:y val="1.6299841487661677E-2"/>
                </c:manualLayout>
              </c:layout>
              <c:tx>
                <c:rich>
                  <a:bodyPr/>
                  <a:lstStyle/>
                  <a:p>
                    <a:r>
                      <a:rPr lang="en-US" sz="900" b="1">
                        <a:solidFill>
                          <a:sysClr val="windowText" lastClr="000000"/>
                        </a:solidFill>
                      </a:rPr>
                      <a:t>0,08 (22%)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0A9-4BEE-B5CF-231487C4E087}"/>
                </c:ext>
              </c:extLst>
            </c:dLbl>
            <c:dLbl>
              <c:idx val="4"/>
              <c:layout>
                <c:manualLayout>
                  <c:x val="2.9794180988028721E-2"/>
                  <c:y val="2.0375043740052591E-2"/>
                </c:manualLayout>
              </c:layout>
              <c:tx>
                <c:rich>
                  <a:bodyPr/>
                  <a:lstStyle/>
                  <a:p>
                    <a:fld id="{EDE49F91-D355-4264-979E-B0ADE81605C3}" type="VALUE">
                      <a:rPr lang="en-US"/>
                      <a:pPr/>
                      <a:t>[VALUE]</a:t>
                    </a:fld>
                    <a:r>
                      <a:rPr lang="en-US"/>
                      <a:t> (68%)</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80A9-4BEE-B5CF-231487C4E087}"/>
                </c:ext>
              </c:extLst>
            </c:dLbl>
            <c:dLbl>
              <c:idx val="5"/>
              <c:layout>
                <c:manualLayout>
                  <c:x val="3.7211612533198796E-2"/>
                  <c:y val="2.0375043740052591E-2"/>
                </c:manualLayout>
              </c:layout>
              <c:tx>
                <c:rich>
                  <a:bodyPr/>
                  <a:lstStyle/>
                  <a:p>
                    <a:fld id="{C236EE4A-C7CE-4DAD-9D77-36A865A44FEA}" type="VALUE">
                      <a:rPr lang="en-US" b="1">
                        <a:solidFill>
                          <a:sysClr val="windowText" lastClr="000000"/>
                        </a:solidFill>
                      </a:rPr>
                      <a:pPr/>
                      <a:t>[VALUE]</a:t>
                    </a:fld>
                    <a:r>
                      <a:rPr lang="en-US" b="1">
                        <a:solidFill>
                          <a:sysClr val="windowText" lastClr="000000"/>
                        </a:solidFill>
                      </a:rPr>
                      <a:t> (81%)</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80A9-4BEE-B5CF-231487C4E087}"/>
                </c:ext>
              </c:extLst>
            </c:dLbl>
            <c:dLbl>
              <c:idx val="6"/>
              <c:layout>
                <c:manualLayout>
                  <c:x val="2.6072563119707615E-2"/>
                  <c:y val="1.6339892829536073E-2"/>
                </c:manualLayout>
              </c:layout>
              <c:tx>
                <c:rich>
                  <a:bodyPr/>
                  <a:lstStyle/>
                  <a:p>
                    <a:r>
                      <a:rPr lang="en-US" sz="900"/>
                      <a:t>0,08 (84%)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0A9-4BEE-B5CF-231487C4E087}"/>
                </c:ext>
              </c:extLst>
            </c:dLbl>
            <c:dLbl>
              <c:idx val="7"/>
              <c:layout>
                <c:manualLayout>
                  <c:x val="2.3952089785257258E-2"/>
                  <c:y val="3.0234308750856438E-3"/>
                </c:manualLayout>
              </c:layout>
              <c:tx>
                <c:rich>
                  <a:bodyPr/>
                  <a:lstStyle/>
                  <a:p>
                    <a:r>
                      <a:rPr lang="en-US"/>
                      <a:t>0,08 (81%)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0A9-4BEE-B5CF-231487C4E08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'Investīciju plāns_izpilde_2017'!$B$6:$D$13</c:f>
              <c:strCache>
                <c:ptCount val="7"/>
                <c:pt idx="0">
                  <c:v>EM</c:v>
                </c:pt>
                <c:pt idx="1">
                  <c:v>VARAM </c:v>
                </c:pt>
                <c:pt idx="2">
                  <c:v>KM</c:v>
                </c:pt>
                <c:pt idx="3">
                  <c:v>SIF</c:v>
                </c:pt>
                <c:pt idx="4">
                  <c:v>IZM</c:v>
                </c:pt>
                <c:pt idx="5">
                  <c:v>TM</c:v>
                </c:pt>
                <c:pt idx="6">
                  <c:v>FM</c:v>
                </c:pt>
              </c:strCache>
            </c:strRef>
          </c:cat>
          <c:val>
            <c:numRef>
              <c:f>'Investīciju plāns_izpilde_2017'!$R$6:$R$13</c:f>
              <c:numCache>
                <c:formatCode>#,##0</c:formatCode>
                <c:ptCount val="7"/>
                <c:pt idx="0">
                  <c:v>2631588.2999999998</c:v>
                </c:pt>
                <c:pt idx="1">
                  <c:v>1393047.4950000001</c:v>
                </c:pt>
                <c:pt idx="2">
                  <c:v>233395.55</c:v>
                </c:pt>
                <c:pt idx="3">
                  <c:v>77921.850000000006</c:v>
                </c:pt>
                <c:pt idx="4">
                  <c:v>801076.5</c:v>
                </c:pt>
                <c:pt idx="5">
                  <c:v>1137260.05</c:v>
                </c:pt>
                <c:pt idx="6">
                  <c:v>189085</c:v>
                </c:pt>
              </c:numCache>
            </c:numRef>
          </c:val>
          <c:extLst>
            <c:ext xmlns:c16="http://schemas.microsoft.com/office/drawing/2014/chart" uri="{C3380CC4-5D6E-409C-BE32-E72D297353CC}">
              <c16:uniqueId val="{0000000B-80A9-4BEE-B5CF-231487C4E087}"/>
            </c:ext>
          </c:extLst>
        </c:ser>
        <c:ser>
          <c:idx val="14"/>
          <c:order val="14"/>
          <c:tx>
            <c:strRef>
              <c:f>'Investīciju plāns_izpilde_2017'!$S$5</c:f>
              <c:strCache>
                <c:ptCount val="1"/>
                <c:pt idx="0">
                  <c:v>Izpilde %</c:v>
                </c:pt>
              </c:strCache>
            </c:strRef>
          </c:tx>
          <c:spPr>
            <a:solidFill>
              <a:schemeClr val="accent3">
                <a:lumMod val="80000"/>
                <a:lumOff val="20000"/>
              </a:schemeClr>
            </a:solidFill>
            <a:ln>
              <a:noFill/>
            </a:ln>
            <a:effectLst/>
          </c:spPr>
          <c:invertIfNegative val="0"/>
          <c:cat>
            <c:strRef>
              <c:f>'Investīciju plāns_izpilde_2017'!$B$6:$D$13</c:f>
              <c:strCache>
                <c:ptCount val="7"/>
                <c:pt idx="0">
                  <c:v>EM</c:v>
                </c:pt>
                <c:pt idx="1">
                  <c:v>VARAM </c:v>
                </c:pt>
                <c:pt idx="2">
                  <c:v>KM</c:v>
                </c:pt>
                <c:pt idx="3">
                  <c:v>SIF</c:v>
                </c:pt>
                <c:pt idx="4">
                  <c:v>IZM</c:v>
                </c:pt>
                <c:pt idx="5">
                  <c:v>TM</c:v>
                </c:pt>
                <c:pt idx="6">
                  <c:v>FM</c:v>
                </c:pt>
              </c:strCache>
            </c:strRef>
          </c:cat>
          <c:val>
            <c:numRef>
              <c:f>'Investīciju plāns_izpilde_2017'!$S$6:$S$13</c:f>
              <c:numCache>
                <c:formatCode>0.0%</c:formatCode>
                <c:ptCount val="7"/>
                <c:pt idx="0">
                  <c:v>0.51906794186949712</c:v>
                </c:pt>
                <c:pt idx="1">
                  <c:v>0.57616086251607868</c:v>
                </c:pt>
                <c:pt idx="2">
                  <c:v>9.4073403643862089E-2</c:v>
                </c:pt>
                <c:pt idx="3">
                  <c:v>0.22013314461997424</c:v>
                </c:pt>
                <c:pt idx="4">
                  <c:v>0.68225671694671153</c:v>
                </c:pt>
                <c:pt idx="5">
                  <c:v>0.80630836334142297</c:v>
                </c:pt>
                <c:pt idx="6">
                  <c:v>0.84181072670367785</c:v>
                </c:pt>
              </c:numCache>
            </c:numRef>
          </c:val>
          <c:extLst>
            <c:ext xmlns:c16="http://schemas.microsoft.com/office/drawing/2014/chart" uri="{C3380CC4-5D6E-409C-BE32-E72D297353CC}">
              <c16:uniqueId val="{0000000C-80A9-4BEE-B5CF-231487C4E087}"/>
            </c:ext>
          </c:extLst>
        </c:ser>
        <c:dLbls>
          <c:showLegendKey val="0"/>
          <c:showVal val="0"/>
          <c:showCatName val="0"/>
          <c:showSerName val="0"/>
          <c:showPercent val="0"/>
          <c:showBubbleSize val="0"/>
        </c:dLbls>
        <c:gapWidth val="219"/>
        <c:overlap val="-27"/>
        <c:axId val="264001400"/>
        <c:axId val="264001792"/>
      </c:barChart>
      <c:barChart>
        <c:barDir val="col"/>
        <c:grouping val="clustered"/>
        <c:varyColors val="0"/>
        <c:ser>
          <c:idx val="0"/>
          <c:order val="0"/>
          <c:tx>
            <c:strRef>
              <c:f>'Investīciju plāns_izpilde_2017'!$E$5</c:f>
              <c:strCache>
                <c:ptCount val="1"/>
                <c:pt idx="0">
                  <c:v>Plānots kopā*</c:v>
                </c:pt>
              </c:strCache>
            </c:strRef>
          </c:tx>
          <c:spPr>
            <a:solidFill>
              <a:schemeClr val="accent1"/>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plāns_izpilde_2017'!$E$6:$E$13</c:f>
            </c:numRef>
          </c:val>
          <c:extLst>
            <c:ext xmlns:c16="http://schemas.microsoft.com/office/drawing/2014/chart" uri="{C3380CC4-5D6E-409C-BE32-E72D297353CC}">
              <c16:uniqueId val="{0000000D-80A9-4BEE-B5CF-231487C4E087}"/>
            </c:ext>
          </c:extLst>
        </c:ser>
        <c:ser>
          <c:idx val="1"/>
          <c:order val="1"/>
          <c:tx>
            <c:strRef>
              <c:f>'Investīciju plāns_izpilde_2017'!$F$5</c:f>
              <c:strCache>
                <c:ptCount val="1"/>
                <c:pt idx="0">
                  <c:v>Veiktie maksājumi līdz 31.12.2015.</c:v>
                </c:pt>
              </c:strCache>
            </c:strRef>
          </c:tx>
          <c:spPr>
            <a:solidFill>
              <a:schemeClr val="accent2"/>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plāns_izpilde_2017'!$F$6:$F$13</c:f>
            </c:numRef>
          </c:val>
          <c:extLst>
            <c:ext xmlns:c16="http://schemas.microsoft.com/office/drawing/2014/chart" uri="{C3380CC4-5D6E-409C-BE32-E72D297353CC}">
              <c16:uniqueId val="{0000000E-80A9-4BEE-B5CF-231487C4E087}"/>
            </c:ext>
          </c:extLst>
        </c:ser>
        <c:ser>
          <c:idx val="2"/>
          <c:order val="2"/>
          <c:tx>
            <c:strRef>
              <c:f>'Investīciju plāns_izpilde_2017'!$G$5</c:f>
              <c:strCache>
                <c:ptCount val="1"/>
                <c:pt idx="0">
                  <c:v>Izpilde (%)</c:v>
                </c:pt>
              </c:strCache>
            </c:strRef>
          </c:tx>
          <c:spPr>
            <a:solidFill>
              <a:schemeClr val="accent3"/>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plāns_izpilde_2017'!$G$6:$G$13</c:f>
            </c:numRef>
          </c:val>
          <c:extLst>
            <c:ext xmlns:c16="http://schemas.microsoft.com/office/drawing/2014/chart" uri="{C3380CC4-5D6E-409C-BE32-E72D297353CC}">
              <c16:uniqueId val="{0000000F-80A9-4BEE-B5CF-231487C4E087}"/>
            </c:ext>
          </c:extLst>
        </c:ser>
        <c:ser>
          <c:idx val="3"/>
          <c:order val="3"/>
          <c:tx>
            <c:strRef>
              <c:f>'Investīciju plāns_izpilde_2017'!$H$5</c:f>
              <c:strCache>
                <c:ptCount val="1"/>
                <c:pt idx="0">
                  <c:v>Investīciju plāns 2016.gadam (29,9 milj. euro)</c:v>
                </c:pt>
              </c:strCache>
            </c:strRef>
          </c:tx>
          <c:spPr>
            <a:solidFill>
              <a:schemeClr val="accent4"/>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plāns_izpilde_2017'!$H$6:$H$13</c:f>
            </c:numRef>
          </c:val>
          <c:extLst>
            <c:ext xmlns:c16="http://schemas.microsoft.com/office/drawing/2014/chart" uri="{C3380CC4-5D6E-409C-BE32-E72D297353CC}">
              <c16:uniqueId val="{00000010-80A9-4BEE-B5CF-231487C4E087}"/>
            </c:ext>
          </c:extLst>
        </c:ser>
        <c:ser>
          <c:idx val="4"/>
          <c:order val="4"/>
          <c:tx>
            <c:strRef>
              <c:f>'Investīciju plāns_izpilde_2017'!$I$5</c:f>
              <c:strCache>
                <c:ptCount val="1"/>
                <c:pt idx="0">
                  <c:v>Investīciju plāna izpilde (xxx milj. euro)</c:v>
                </c:pt>
              </c:strCache>
            </c:strRef>
          </c:tx>
          <c:spPr>
            <a:solidFill>
              <a:schemeClr val="accent5"/>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plāns_izpilde_2017'!$I$6:$I$13</c:f>
            </c:numRef>
          </c:val>
          <c:extLst>
            <c:ext xmlns:c16="http://schemas.microsoft.com/office/drawing/2014/chart" uri="{C3380CC4-5D6E-409C-BE32-E72D297353CC}">
              <c16:uniqueId val="{00000011-80A9-4BEE-B5CF-231487C4E087}"/>
            </c:ext>
          </c:extLst>
        </c:ser>
        <c:ser>
          <c:idx val="5"/>
          <c:order val="5"/>
          <c:tx>
            <c:strRef>
              <c:f>'Investīciju plāns_izpilde_2017'!$J$5</c:f>
              <c:strCache>
                <c:ptCount val="1"/>
                <c:pt idx="0">
                  <c:v>Investīciju plāna izpilde %</c:v>
                </c:pt>
              </c:strCache>
            </c:strRef>
          </c:tx>
          <c:spPr>
            <a:solidFill>
              <a:schemeClr val="accent6"/>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plāns_izpilde_2017'!$J$6:$J$13</c:f>
            </c:numRef>
          </c:val>
          <c:extLst>
            <c:ext xmlns:c16="http://schemas.microsoft.com/office/drawing/2014/chart" uri="{C3380CC4-5D6E-409C-BE32-E72D297353CC}">
              <c16:uniqueId val="{00000012-80A9-4BEE-B5CF-231487C4E087}"/>
            </c:ext>
          </c:extLst>
        </c:ser>
        <c:ser>
          <c:idx val="6"/>
          <c:order val="6"/>
          <c:tx>
            <c:strRef>
              <c:f>'Investīciju plāns_izpilde_2017'!$K$5</c:f>
              <c:strCache>
                <c:ptCount val="1"/>
                <c:pt idx="0">
                  <c:v>EEZ/NOR FI daļa</c:v>
                </c:pt>
              </c:strCache>
            </c:strRef>
          </c:tx>
          <c:spPr>
            <a:solidFill>
              <a:schemeClr val="accent1">
                <a:lumMod val="60000"/>
              </a:schemeClr>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plāns_izpilde_2017'!$K$6:$K$13</c:f>
            </c:numRef>
          </c:val>
          <c:extLst>
            <c:ext xmlns:c16="http://schemas.microsoft.com/office/drawing/2014/chart" uri="{C3380CC4-5D6E-409C-BE32-E72D297353CC}">
              <c16:uniqueId val="{00000013-80A9-4BEE-B5CF-231487C4E087}"/>
            </c:ext>
          </c:extLst>
        </c:ser>
        <c:ser>
          <c:idx val="7"/>
          <c:order val="7"/>
          <c:tx>
            <c:strRef>
              <c:f>'Investīciju plāns_izpilde_2017'!$L$5</c:f>
              <c:strCache>
                <c:ptCount val="1"/>
                <c:pt idx="0">
                  <c:v>1.ceturksnis, grants</c:v>
                </c:pt>
              </c:strCache>
            </c:strRef>
          </c:tx>
          <c:spPr>
            <a:solidFill>
              <a:schemeClr val="accent2">
                <a:lumMod val="60000"/>
              </a:schemeClr>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plāns_izpilde_2017'!$L$6:$L$13</c:f>
            </c:numRef>
          </c:val>
          <c:extLst>
            <c:ext xmlns:c16="http://schemas.microsoft.com/office/drawing/2014/chart" uri="{C3380CC4-5D6E-409C-BE32-E72D297353CC}">
              <c16:uniqueId val="{00000014-80A9-4BEE-B5CF-231487C4E087}"/>
            </c:ext>
          </c:extLst>
        </c:ser>
        <c:ser>
          <c:idx val="8"/>
          <c:order val="8"/>
          <c:tx>
            <c:strRef>
              <c:f>'Investīciju plāns_izpilde_2017'!$M$5</c:f>
              <c:strCache>
                <c:ptCount val="1"/>
                <c:pt idx="0">
                  <c:v>2.ceturksnis, grants</c:v>
                </c:pt>
              </c:strCache>
            </c:strRef>
          </c:tx>
          <c:spPr>
            <a:solidFill>
              <a:schemeClr val="accent3">
                <a:lumMod val="60000"/>
              </a:schemeClr>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plāns_izpilde_2017'!$M$6:$M$13</c:f>
            </c:numRef>
          </c:val>
          <c:extLst>
            <c:ext xmlns:c16="http://schemas.microsoft.com/office/drawing/2014/chart" uri="{C3380CC4-5D6E-409C-BE32-E72D297353CC}">
              <c16:uniqueId val="{00000015-80A9-4BEE-B5CF-231487C4E087}"/>
            </c:ext>
          </c:extLst>
        </c:ser>
        <c:ser>
          <c:idx val="9"/>
          <c:order val="9"/>
          <c:tx>
            <c:strRef>
              <c:f>'Investīciju plāns_izpilde_2017'!$N$5</c:f>
              <c:strCache>
                <c:ptCount val="1"/>
                <c:pt idx="0">
                  <c:v>Kopā 1. un 2.ceturksnis, grants</c:v>
                </c:pt>
              </c:strCache>
            </c:strRef>
          </c:tx>
          <c:spPr>
            <a:solidFill>
              <a:schemeClr val="accent4">
                <a:lumMod val="60000"/>
              </a:schemeClr>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plāns_izpilde_2017'!$N$6:$N$13</c:f>
            </c:numRef>
          </c:val>
          <c:extLst>
            <c:ext xmlns:c16="http://schemas.microsoft.com/office/drawing/2014/chart" uri="{C3380CC4-5D6E-409C-BE32-E72D297353CC}">
              <c16:uniqueId val="{00000016-80A9-4BEE-B5CF-231487C4E087}"/>
            </c:ext>
          </c:extLst>
        </c:ser>
        <c:ser>
          <c:idx val="10"/>
          <c:order val="10"/>
          <c:tx>
            <c:strRef>
              <c:f>'Investīciju plāns_izpilde_2017'!$O$5</c:f>
              <c:strCache>
                <c:ptCount val="1"/>
                <c:pt idx="0">
                  <c:v>Nac. finansējums %</c:v>
                </c:pt>
              </c:strCache>
            </c:strRef>
          </c:tx>
          <c:spPr>
            <a:solidFill>
              <a:schemeClr val="accent5">
                <a:lumMod val="60000"/>
              </a:schemeClr>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plāns_izpilde_2017'!$O$6:$O$13</c:f>
            </c:numRef>
          </c:val>
          <c:extLst>
            <c:ext xmlns:c16="http://schemas.microsoft.com/office/drawing/2014/chart" uri="{C3380CC4-5D6E-409C-BE32-E72D297353CC}">
              <c16:uniqueId val="{00000017-80A9-4BEE-B5CF-231487C4E087}"/>
            </c:ext>
          </c:extLst>
        </c:ser>
        <c:ser>
          <c:idx val="11"/>
          <c:order val="11"/>
          <c:tx>
            <c:strRef>
              <c:f>'Investīciju plāns_izpilde_2017'!$P$5</c:f>
              <c:strCache>
                <c:ptCount val="1"/>
                <c:pt idx="0">
                  <c:v>Nac. finansējums</c:v>
                </c:pt>
              </c:strCache>
            </c:strRef>
          </c:tx>
          <c:spPr>
            <a:solidFill>
              <a:schemeClr val="accent6">
                <a:lumMod val="60000"/>
              </a:schemeClr>
            </a:solidFill>
            <a:ln>
              <a:noFill/>
            </a:ln>
            <a:effectLst/>
          </c:spPr>
          <c:invertIfNegative val="0"/>
          <c:cat>
            <c:strRef>
              <c:f>'Investīciju plāns_izpilde_2017'!$B$6:$D$13</c:f>
              <c:strCache>
                <c:ptCount val="8"/>
                <c:pt idx="0">
                  <c:v>KOPĀ: </c:v>
                </c:pt>
                <c:pt idx="1">
                  <c:v>EM</c:v>
                </c:pt>
                <c:pt idx="2">
                  <c:v>VARAM </c:v>
                </c:pt>
                <c:pt idx="3">
                  <c:v>KM</c:v>
                </c:pt>
                <c:pt idx="4">
                  <c:v>SIF</c:v>
                </c:pt>
                <c:pt idx="5">
                  <c:v>IZM</c:v>
                </c:pt>
                <c:pt idx="6">
                  <c:v>TM</c:v>
                </c:pt>
                <c:pt idx="7">
                  <c:v>FM</c:v>
                </c:pt>
              </c:strCache>
            </c:strRef>
          </c:cat>
          <c:val>
            <c:numRef>
              <c:f>'Investīciju plāns_izpilde_2017'!$P$6:$P$13</c:f>
            </c:numRef>
          </c:val>
          <c:extLst>
            <c:ext xmlns:c16="http://schemas.microsoft.com/office/drawing/2014/chart" uri="{C3380CC4-5D6E-409C-BE32-E72D297353CC}">
              <c16:uniqueId val="{00000018-80A9-4BEE-B5CF-231487C4E087}"/>
            </c:ext>
          </c:extLst>
        </c:ser>
        <c:dLbls>
          <c:showLegendKey val="0"/>
          <c:showVal val="0"/>
          <c:showCatName val="0"/>
          <c:showSerName val="0"/>
          <c:showPercent val="0"/>
          <c:showBubbleSize val="0"/>
        </c:dLbls>
        <c:gapWidth val="219"/>
        <c:overlap val="-27"/>
        <c:axId val="264001400"/>
        <c:axId val="264001792"/>
      </c:barChart>
      <c:catAx>
        <c:axId val="264001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4001792"/>
        <c:crossesAt val="0"/>
        <c:auto val="1"/>
        <c:lblAlgn val="ctr"/>
        <c:lblOffset val="100"/>
        <c:noMultiLvlLbl val="0"/>
      </c:catAx>
      <c:valAx>
        <c:axId val="26400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4001400"/>
        <c:crosses val="autoZero"/>
        <c:crossBetween val="between"/>
        <c:dispUnits>
          <c:builtInUnit val="millions"/>
        </c:dispUnits>
      </c:valAx>
      <c:spPr>
        <a:noFill/>
        <a:ln>
          <a:noFill/>
        </a:ln>
        <a:effectLst/>
      </c:spPr>
    </c:plotArea>
    <c:legend>
      <c:legendPos val="b"/>
      <c:legendEntry>
        <c:idx val="2"/>
        <c:delete val="1"/>
      </c:legendEntry>
      <c:layout>
        <c:manualLayout>
          <c:xMode val="edge"/>
          <c:yMode val="edge"/>
          <c:x val="9.4459106390331754E-2"/>
          <c:y val="0.86898106257500207"/>
          <c:w val="0.82400068740657928"/>
          <c:h val="0.1279469803438384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0496596291997364E-2"/>
          <c:y val="0.30525985661503652"/>
          <c:w val="0.65798785793419778"/>
          <c:h val="0.6283228469791019"/>
        </c:manualLayout>
      </c:layout>
      <c:pie3DChart>
        <c:varyColors val="1"/>
        <c:ser>
          <c:idx val="0"/>
          <c:order val="0"/>
          <c:tx>
            <c:strRef>
              <c:f>PIVOT_Neatb.2.pusg!$A$89</c:f>
              <c:strCache>
                <c:ptCount val="1"/>
                <c:pt idx="0">
                  <c:v>Neatbilstību veids</c:v>
                </c:pt>
              </c:strCache>
            </c:strRef>
          </c:tx>
          <c:dPt>
            <c:idx val="0"/>
            <c:bubble3D val="0"/>
            <c:spPr>
              <a:solidFill>
                <a:srgbClr val="FF0000"/>
              </a:solidFill>
              <a:ln w="25400">
                <a:solidFill>
                  <a:srgbClr val="FF0000"/>
                </a:solidFill>
              </a:ln>
              <a:effectLst/>
              <a:sp3d contourW="25400">
                <a:contourClr>
                  <a:srgbClr val="FF0000"/>
                </a:contourClr>
              </a:sp3d>
            </c:spPr>
            <c:extLst>
              <c:ext xmlns:c16="http://schemas.microsoft.com/office/drawing/2014/chart" uri="{C3380CC4-5D6E-409C-BE32-E72D297353CC}">
                <c16:uniqueId val="{00000001-4350-4158-96D8-0B6900A51CFC}"/>
              </c:ext>
            </c:extLst>
          </c:dPt>
          <c:dPt>
            <c:idx val="1"/>
            <c:bubble3D val="0"/>
            <c:spPr>
              <a:solidFill>
                <a:srgbClr val="FFFF00"/>
              </a:solidFill>
              <a:ln w="25400">
                <a:solidFill>
                  <a:srgbClr val="FFFF00"/>
                </a:solidFill>
              </a:ln>
              <a:effectLst/>
              <a:sp3d contourW="25400">
                <a:contourClr>
                  <a:srgbClr val="FFFF00"/>
                </a:contourClr>
              </a:sp3d>
            </c:spPr>
            <c:extLst>
              <c:ext xmlns:c16="http://schemas.microsoft.com/office/drawing/2014/chart" uri="{C3380CC4-5D6E-409C-BE32-E72D297353CC}">
                <c16:uniqueId val="{00000003-4350-4158-96D8-0B6900A51CFC}"/>
              </c:ext>
            </c:extLst>
          </c:dPt>
          <c:dPt>
            <c:idx val="2"/>
            <c:bubble3D val="0"/>
            <c:spPr>
              <a:solidFill>
                <a:srgbClr val="0033CC"/>
              </a:solidFill>
              <a:ln w="25400">
                <a:solidFill>
                  <a:srgbClr val="0033CC"/>
                </a:solidFill>
              </a:ln>
              <a:effectLst/>
              <a:sp3d contourW="25400">
                <a:contourClr>
                  <a:srgbClr val="0033CC"/>
                </a:contourClr>
              </a:sp3d>
            </c:spPr>
            <c:extLst>
              <c:ext xmlns:c16="http://schemas.microsoft.com/office/drawing/2014/chart" uri="{C3380CC4-5D6E-409C-BE32-E72D297353CC}">
                <c16:uniqueId val="{00000005-4350-4158-96D8-0B6900A51CFC}"/>
              </c:ext>
            </c:extLst>
          </c:dPt>
          <c:dPt>
            <c:idx val="3"/>
            <c:bubble3D val="0"/>
            <c:spPr>
              <a:solidFill>
                <a:srgbClr val="CC00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4350-4158-96D8-0B6900A51CFC}"/>
              </c:ext>
            </c:extLst>
          </c:dPt>
          <c:dPt>
            <c:idx val="4"/>
            <c:bubble3D val="0"/>
            <c:spPr>
              <a:solidFill>
                <a:srgbClr val="00CC00"/>
              </a:solidFill>
              <a:ln w="25400">
                <a:solidFill>
                  <a:schemeClr val="lt1"/>
                </a:solidFill>
              </a:ln>
              <a:effectLst/>
              <a:sp3d contourW="25400">
                <a:contourClr>
                  <a:schemeClr val="lt1"/>
                </a:contourClr>
              </a:sp3d>
            </c:spPr>
            <c:extLst>
              <c:ext xmlns:c16="http://schemas.microsoft.com/office/drawing/2014/chart" uri="{C3380CC4-5D6E-409C-BE32-E72D297353CC}">
                <c16:uniqueId val="{00000009-4350-4158-96D8-0B6900A51CFC}"/>
              </c:ext>
            </c:extLst>
          </c:dPt>
          <c:dLbls>
            <c:dLbl>
              <c:idx val="0"/>
              <c:layout>
                <c:manualLayout>
                  <c:x val="-0.1846758982008897"/>
                  <c:y val="-0.24638067091865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350-4158-96D8-0B6900A51CFC}"/>
                </c:ext>
              </c:extLst>
            </c:dLbl>
            <c:dLbl>
              <c:idx val="1"/>
              <c:layout>
                <c:manualLayout>
                  <c:x val="-1.4402506250436825E-2"/>
                  <c:y val="-2.17122061854426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350-4158-96D8-0B6900A51CFC}"/>
                </c:ext>
              </c:extLst>
            </c:dLbl>
            <c:dLbl>
              <c:idx val="2"/>
              <c:layout>
                <c:manualLayout>
                  <c:x val="-3.4186793154674967E-2"/>
                  <c:y val="-1.06876599644473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350-4158-96D8-0B6900A51CFC}"/>
                </c:ext>
              </c:extLst>
            </c:dLbl>
            <c:dLbl>
              <c:idx val="3"/>
              <c:layout>
                <c:manualLayout>
                  <c:x val="-2.6405957931888775E-2"/>
                  <c:y val="-3.44038494970069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350-4158-96D8-0B6900A51CFC}"/>
                </c:ext>
              </c:extLst>
            </c:dLbl>
            <c:dLbl>
              <c:idx val="4"/>
              <c:layout>
                <c:manualLayout>
                  <c:x val="8.0479432775380944E-2"/>
                  <c:y val="-6.487007394917112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350-4158-96D8-0B6900A51CF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PIVOT_Neatb.2.pusg!$A$90:$A$94</c:f>
              <c:strCache>
                <c:ptCount val="5"/>
                <c:pt idx="0">
                  <c:v>Iepirkuma vai konkurences normu pārkāpumi [17 neatbilstības]</c:v>
                </c:pt>
                <c:pt idx="1">
                  <c:v>Cita neatbilstība (ar finansiālu ietekmi) 
[13 neatbilstības]</c:v>
                </c:pt>
                <c:pt idx="2">
                  <c:v>Noteikto ieviešanas nosacījumu neizpilde 
[8 neatbilstības]</c:v>
                </c:pt>
                <c:pt idx="3">
                  <c:v>Personāla vai administratīvo izmaksu pārkāpums [13 neatbilstības]</c:v>
                </c:pt>
                <c:pt idx="4">
                  <c:v>Aizdomas par krāpšanu vai organizēto noziedzību [1 neatbilstība]</c:v>
                </c:pt>
              </c:strCache>
            </c:strRef>
          </c:cat>
          <c:val>
            <c:numRef>
              <c:f>PIVOT_Neatb.2.pusg!$B$90:$B$94</c:f>
              <c:numCache>
                <c:formatCode>#\ ##0.0</c:formatCode>
                <c:ptCount val="5"/>
                <c:pt idx="0">
                  <c:v>222833.47</c:v>
                </c:pt>
                <c:pt idx="1">
                  <c:v>36123.97</c:v>
                </c:pt>
                <c:pt idx="2">
                  <c:v>28493.8</c:v>
                </c:pt>
                <c:pt idx="3">
                  <c:v>5361.0999999999995</c:v>
                </c:pt>
                <c:pt idx="4">
                  <c:v>2799.94</c:v>
                </c:pt>
              </c:numCache>
            </c:numRef>
          </c:val>
          <c:extLst>
            <c:ext xmlns:c16="http://schemas.microsoft.com/office/drawing/2014/chart" uri="{C3380CC4-5D6E-409C-BE32-E72D297353CC}">
              <c16:uniqueId val="{0000000A-4350-4158-96D8-0B6900A51CF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9501086800240199"/>
          <c:y val="0.18823330729771381"/>
          <c:w val="0.40092289215727739"/>
          <c:h val="0.8086715501044943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10013046682471"/>
          <c:y val="4.0877257648359748E-2"/>
          <c:w val="0.83164675521281373"/>
          <c:h val="0.79348365757122274"/>
        </c:manualLayout>
      </c:layout>
      <c:barChart>
        <c:barDir val="col"/>
        <c:grouping val="clustered"/>
        <c:varyColors val="0"/>
        <c:ser>
          <c:idx val="0"/>
          <c:order val="0"/>
          <c:tx>
            <c:strRef>
              <c:f>PIVOT_Neatb.2.pusg!$L$32</c:f>
              <c:strCache>
                <c:ptCount val="1"/>
                <c:pt idx="0">
                  <c:v>Neatbilstoši veiktie izdevumi, euro</c:v>
                </c:pt>
              </c:strCache>
            </c:strRef>
          </c:tx>
          <c:spPr>
            <a:solidFill>
              <a:srgbClr val="FF990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PIVOT_Neatb.2.pusg!$J$33:$J$36</c:f>
              <c:strCache>
                <c:ptCount val="4"/>
                <c:pt idx="0">
                  <c:v>Valsts iestādes</c:v>
                </c:pt>
                <c:pt idx="1">
                  <c:v>Pašvaldības</c:v>
                </c:pt>
                <c:pt idx="2">
                  <c:v>Komersanti</c:v>
                </c:pt>
                <c:pt idx="3">
                  <c:v>NVO</c:v>
                </c:pt>
              </c:strCache>
            </c:strRef>
          </c:cat>
          <c:val>
            <c:numRef>
              <c:f>PIVOT_Neatb.2.pusg!$L$33:$L$36</c:f>
              <c:numCache>
                <c:formatCode>#,##0.00</c:formatCode>
                <c:ptCount val="4"/>
                <c:pt idx="0">
                  <c:v>63267.31</c:v>
                </c:pt>
                <c:pt idx="1">
                  <c:v>124544.51</c:v>
                </c:pt>
                <c:pt idx="2">
                  <c:v>103201.45999999999</c:v>
                </c:pt>
                <c:pt idx="3">
                  <c:v>4599</c:v>
                </c:pt>
              </c:numCache>
            </c:numRef>
          </c:val>
          <c:extLst>
            <c:ext xmlns:c16="http://schemas.microsoft.com/office/drawing/2014/chart" uri="{C3380CC4-5D6E-409C-BE32-E72D297353CC}">
              <c16:uniqueId val="{00000000-62CD-4EBC-ADFC-449C6610A753}"/>
            </c:ext>
          </c:extLst>
        </c:ser>
        <c:dLbls>
          <c:showLegendKey val="0"/>
          <c:showVal val="0"/>
          <c:showCatName val="0"/>
          <c:showSerName val="0"/>
          <c:showPercent val="0"/>
          <c:showBubbleSize val="0"/>
        </c:dLbls>
        <c:gapWidth val="219"/>
        <c:overlap val="-27"/>
        <c:axId val="264002576"/>
        <c:axId val="119550616"/>
      </c:barChart>
      <c:catAx>
        <c:axId val="26400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9550616"/>
        <c:crossesAt val="0"/>
        <c:auto val="1"/>
        <c:lblAlgn val="ctr"/>
        <c:lblOffset val="100"/>
        <c:noMultiLvlLbl val="0"/>
      </c:catAx>
      <c:valAx>
        <c:axId val="119550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400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0.71771</cdr:x>
      <cdr:y>0.6549</cdr:y>
    </cdr:from>
    <cdr:to>
      <cdr:x>1</cdr:x>
      <cdr:y>0.94819</cdr:y>
    </cdr:to>
    <cdr:sp macro="" textlink="">
      <cdr:nvSpPr>
        <cdr:cNvPr id="2" name="Text Box 1"/>
        <cdr:cNvSpPr txBox="1"/>
      </cdr:nvSpPr>
      <cdr:spPr>
        <a:xfrm xmlns:a="http://schemas.openxmlformats.org/drawingml/2006/main">
          <a:off x="4189228" y="2360428"/>
          <a:ext cx="1647692" cy="10570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b="1" u="sng">
              <a:effectLst/>
              <a:latin typeface="Times New Roman" panose="02020603050405020304" pitchFamily="18" charset="0"/>
              <a:ea typeface="+mn-ea"/>
              <a:cs typeface="Times New Roman" panose="02020603050405020304" pitchFamily="18" charset="0"/>
            </a:rPr>
            <a:t>Februārī</a:t>
          </a:r>
          <a:r>
            <a:rPr lang="lv-LV" sz="1100" b="1" u="sng" baseline="0">
              <a:effectLst/>
              <a:latin typeface="Times New Roman" panose="02020603050405020304" pitchFamily="18" charset="0"/>
              <a:ea typeface="+mn-ea"/>
              <a:cs typeface="Times New Roman" panose="02020603050405020304" pitchFamily="18" charset="0"/>
            </a:rPr>
            <a:t> uz</a:t>
          </a:r>
          <a:r>
            <a:rPr lang="lv-LV" sz="1100" b="0" u="none" baseline="0">
              <a:effectLst/>
              <a:latin typeface="Times New Roman" panose="02020603050405020304" pitchFamily="18" charset="0"/>
              <a:ea typeface="+mn-ea"/>
              <a:cs typeface="Times New Roman" panose="02020603050405020304" pitchFamily="18" charset="0"/>
            </a:rPr>
            <a:t> </a:t>
          </a:r>
          <a:r>
            <a:rPr lang="lv-LV" sz="1100" b="1" u="sng" baseline="0">
              <a:effectLst/>
              <a:latin typeface="Times New Roman" panose="02020603050405020304" pitchFamily="18" charset="0"/>
              <a:ea typeface="+mn-ea"/>
              <a:cs typeface="Times New Roman" panose="02020603050405020304" pitchFamily="18" charset="0"/>
            </a:rPr>
            <a:t>19.02.18.</a:t>
          </a:r>
          <a:endParaRPr lang="lv-LV">
            <a:effectLst/>
            <a:latin typeface="Times New Roman" panose="02020603050405020304" pitchFamily="18" charset="0"/>
            <a:cs typeface="Times New Roman" panose="02020603050405020304" pitchFamily="18" charset="0"/>
          </a:endParaRPr>
        </a:p>
        <a:p xmlns:a="http://schemas.openxmlformats.org/drawingml/2006/main">
          <a:r>
            <a:rPr lang="lv-LV" sz="1100">
              <a:effectLst/>
              <a:latin typeface="Times New Roman" panose="02020603050405020304" pitchFamily="18" charset="0"/>
              <a:ea typeface="+mn-ea"/>
              <a:cs typeface="Times New Roman" panose="02020603050405020304" pitchFamily="18" charset="0"/>
            </a:rPr>
            <a:t>Apstiprināti:</a:t>
          </a:r>
          <a:r>
            <a:rPr lang="lv-LV" sz="1100" baseline="0">
              <a:effectLst/>
              <a:latin typeface="Times New Roman" panose="02020603050405020304" pitchFamily="18" charset="0"/>
              <a:ea typeface="+mn-ea"/>
              <a:cs typeface="Times New Roman" panose="02020603050405020304" pitchFamily="18" charset="0"/>
            </a:rPr>
            <a:t> +124,8</a:t>
          </a:r>
          <a:endParaRPr lang="lv-LV">
            <a:effectLst/>
            <a:latin typeface="Times New Roman" panose="02020603050405020304" pitchFamily="18" charset="0"/>
            <a:cs typeface="Times New Roman" panose="02020603050405020304" pitchFamily="18" charset="0"/>
          </a:endParaRPr>
        </a:p>
        <a:p xmlns:a="http://schemas.openxmlformats.org/drawingml/2006/main">
          <a:r>
            <a:rPr lang="lv-LV" sz="1100" baseline="0">
              <a:effectLst/>
              <a:latin typeface="Times New Roman" panose="02020603050405020304" pitchFamily="18" charset="0"/>
              <a:ea typeface="+mn-ea"/>
              <a:cs typeface="Times New Roman" panose="02020603050405020304" pitchFamily="18" charset="0"/>
            </a:rPr>
            <a:t>Projektu līgumi: +132,4</a:t>
          </a:r>
          <a:endParaRPr lang="lv-LV">
            <a:effectLst/>
            <a:latin typeface="Times New Roman" panose="02020603050405020304" pitchFamily="18" charset="0"/>
            <a:cs typeface="Times New Roman" panose="02020603050405020304" pitchFamily="18" charset="0"/>
          </a:endParaRPr>
        </a:p>
        <a:p xmlns:a="http://schemas.openxmlformats.org/drawingml/2006/main">
          <a:r>
            <a:rPr lang="lv-LV" sz="1100" baseline="0">
              <a:effectLst/>
              <a:latin typeface="Times New Roman" panose="02020603050405020304" pitchFamily="18" charset="0"/>
              <a:ea typeface="+mn-ea"/>
              <a:cs typeface="Times New Roman" panose="02020603050405020304" pitchFamily="18" charset="0"/>
            </a:rPr>
            <a:t>Maksājumi: +51</a:t>
          </a:r>
          <a:endParaRPr lang="lv-LV">
            <a:effectLst/>
            <a:latin typeface="Times New Roman" panose="02020603050405020304" pitchFamily="18" charset="0"/>
            <a:cs typeface="Times New Roman" panose="02020603050405020304" pitchFamily="18" charset="0"/>
          </a:endParaRPr>
        </a:p>
        <a:p xmlns:a="http://schemas.openxmlformats.org/drawingml/2006/main">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8020-0277-4028-B318-101C26EB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6169</TotalTime>
  <Pages>61</Pages>
  <Words>82980</Words>
  <Characters>47299</Characters>
  <Application>Microsoft Office Word</Application>
  <DocSecurity>0</DocSecurity>
  <Lines>394</Lines>
  <Paragraphs>260</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Eiropas Ekonomikas zonas finanšu instrumenta, Norvēģijas finanšu instrumenta un Latvijas un Šveices sadarbības programmas investīciju progresu</vt:lpstr>
    </vt:vector>
  </TitlesOfParts>
  <Company>Finanšu ministrija</Company>
  <LinksUpToDate>false</LinksUpToDate>
  <CharactersWithSpaces>130019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Eiropas Ekonomikas zonas finanšu instrumenta, Norvēģijas finanšu instrumenta un Latvijas un Šveices sadarbības programmas investīciju progresu</dc:title>
  <dc:subject>Informatīvais ziņojums</dc:subject>
  <dc:creator>Ilze Valaine</dc:creator>
  <cp:keywords/>
  <dc:description>67083925,_x000d_
Ilze.Valaine@fm.gov.lv</dc:description>
  <cp:lastModifiedBy>Ieva Ziepniece</cp:lastModifiedBy>
  <cp:revision>850</cp:revision>
  <cp:lastPrinted>2018-02-20T07:09:00Z</cp:lastPrinted>
  <dcterms:created xsi:type="dcterms:W3CDTF">2017-07-28T09:42:00Z</dcterms:created>
  <dcterms:modified xsi:type="dcterms:W3CDTF">2018-02-26T13:05:00Z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-1761477578</vt:i4>
  </property>
</Properties>
</file>