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42872" w14:textId="67CEECE5" w:rsidR="003B2C87" w:rsidRDefault="000952B3" w:rsidP="003B2C87">
      <w:pPr>
        <w:contextualSpacing/>
        <w:jc w:val="center"/>
        <w:rPr>
          <w:b/>
        </w:rPr>
      </w:pPr>
      <w:r w:rsidRPr="00123090">
        <w:rPr>
          <w:b/>
        </w:rPr>
        <w:t xml:space="preserve">Ministru kabineta noteikumu </w:t>
      </w:r>
      <w:r w:rsidR="00E7485C" w:rsidRPr="00123090">
        <w:rPr>
          <w:b/>
        </w:rPr>
        <w:t xml:space="preserve">projekta </w:t>
      </w:r>
      <w:r w:rsidR="00707FCE" w:rsidRPr="00123090">
        <w:rPr>
          <w:rFonts w:eastAsia="Times New Roman"/>
          <w:b/>
        </w:rPr>
        <w:t>“Grozījumi Ministru kabineta 2016. gada 12. jūlija noteikumos Nr.460 “</w:t>
      </w:r>
      <w:r w:rsidR="00707FCE" w:rsidRPr="00123090">
        <w:rPr>
          <w:rFonts w:eastAsia="Times New Roman"/>
          <w:b/>
          <w:bCs/>
        </w:rPr>
        <w:t>Darbības programmas “Izaugsme un nodarbinātība” 8.3.4. specifiskā atbalsta mērķa “Samazināt priekšlaicīgu mācību pārtraukšanu, īstenojot preventīvus un intervences pasākumus” īstenošanas noteikumi</w:t>
      </w:r>
      <w:r w:rsidR="00707FCE" w:rsidRPr="00123090">
        <w:rPr>
          <w:rFonts w:eastAsia="Times New Roman"/>
          <w:b/>
        </w:rPr>
        <w:t>”</w:t>
      </w:r>
      <w:r w:rsidR="00707FCE" w:rsidRPr="00123090">
        <w:rPr>
          <w:rFonts w:eastAsia="Times New Roman"/>
          <w:b/>
          <w:bCs/>
        </w:rPr>
        <w:t xml:space="preserve"> </w:t>
      </w:r>
      <w:r w:rsidRPr="00123090">
        <w:rPr>
          <w:b/>
        </w:rPr>
        <w:t>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3B2C87" w:rsidRPr="003B2C87" w14:paraId="1BCBC98B" w14:textId="77777777" w:rsidTr="00802CF4">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6982CC" w14:textId="77777777" w:rsidR="003B2C87" w:rsidRPr="003B2C87" w:rsidRDefault="003B2C87" w:rsidP="003B2C87">
            <w:pPr>
              <w:tabs>
                <w:tab w:val="left" w:pos="2268"/>
                <w:tab w:val="left" w:pos="2410"/>
              </w:tabs>
              <w:ind w:left="1080"/>
              <w:contextualSpacing/>
              <w:jc w:val="center"/>
              <w:rPr>
                <w:rFonts w:eastAsia="Times New Roman"/>
                <w:b/>
                <w:lang w:eastAsia="en-US"/>
              </w:rPr>
            </w:pPr>
            <w:r w:rsidRPr="003B2C87">
              <w:rPr>
                <w:rFonts w:eastAsia="Times New Roman"/>
                <w:b/>
                <w:bCs/>
              </w:rPr>
              <w:t>Tiesību akta projekta anotācijas kopsavilkums</w:t>
            </w:r>
          </w:p>
        </w:tc>
      </w:tr>
      <w:tr w:rsidR="003B2C87" w:rsidRPr="003B2C87" w14:paraId="0DAB2B5C" w14:textId="77777777" w:rsidTr="00802CF4">
        <w:tc>
          <w:tcPr>
            <w:tcW w:w="3193" w:type="dxa"/>
            <w:tcBorders>
              <w:top w:val="single" w:sz="4" w:space="0" w:color="auto"/>
              <w:left w:val="single" w:sz="4" w:space="0" w:color="auto"/>
              <w:bottom w:val="single" w:sz="4" w:space="0" w:color="auto"/>
              <w:right w:val="single" w:sz="4" w:space="0" w:color="auto"/>
            </w:tcBorders>
            <w:shd w:val="clear" w:color="auto" w:fill="auto"/>
          </w:tcPr>
          <w:p w14:paraId="73FF8F84" w14:textId="77777777" w:rsidR="003B2C87" w:rsidRPr="003B2C87" w:rsidRDefault="003B2C87" w:rsidP="003B2C87">
            <w:pPr>
              <w:tabs>
                <w:tab w:val="left" w:pos="1904"/>
              </w:tabs>
              <w:rPr>
                <w:lang w:eastAsia="en-US"/>
              </w:rPr>
            </w:pPr>
            <w:r w:rsidRPr="003B2C87">
              <w:t>Mērķis, risinājums un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44AF21A9" w14:textId="3CA6D890" w:rsidR="003B2C87" w:rsidRPr="003B2C87" w:rsidRDefault="003B2C87" w:rsidP="003B2C87">
            <w:pPr>
              <w:jc w:val="both"/>
              <w:rPr>
                <w:rFonts w:eastAsia="Times New Roman"/>
              </w:rPr>
            </w:pPr>
            <w:r>
              <w:t>Nav attiecināms.</w:t>
            </w:r>
          </w:p>
        </w:tc>
      </w:tr>
    </w:tbl>
    <w:p w14:paraId="09307562" w14:textId="77777777" w:rsidR="003B2C87" w:rsidRPr="00F77072" w:rsidRDefault="003B2C87" w:rsidP="00F77072">
      <w:pPr>
        <w:contextualSpacing/>
        <w:jc w:val="center"/>
        <w:rPr>
          <w:rFonts w:eastAsia="Times New Roman"/>
          <w:b/>
          <w:bC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0952B3" w:rsidRPr="00123090" w14:paraId="0EB1F1C6" w14:textId="77777777" w:rsidTr="000653B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62004B" w14:textId="77777777" w:rsidR="000952B3" w:rsidRPr="00123090" w:rsidRDefault="000952B3" w:rsidP="00123090">
            <w:pPr>
              <w:pStyle w:val="ListParagraph"/>
              <w:tabs>
                <w:tab w:val="left" w:pos="2268"/>
                <w:tab w:val="left" w:pos="2410"/>
              </w:tabs>
              <w:ind w:left="1080"/>
              <w:jc w:val="center"/>
              <w:rPr>
                <w:b/>
                <w:sz w:val="24"/>
                <w:szCs w:val="24"/>
                <w:lang w:eastAsia="en-US"/>
              </w:rPr>
            </w:pPr>
            <w:r w:rsidRPr="00123090">
              <w:rPr>
                <w:b/>
                <w:bCs/>
                <w:sz w:val="24"/>
                <w:szCs w:val="24"/>
              </w:rPr>
              <w:t>I. Tiesību akta projekta izstrādes nepieciešamība</w:t>
            </w:r>
          </w:p>
        </w:tc>
      </w:tr>
      <w:tr w:rsidR="000952B3" w:rsidRPr="00123090" w14:paraId="5FE00C0C" w14:textId="77777777" w:rsidTr="000653B0">
        <w:tc>
          <w:tcPr>
            <w:tcW w:w="814" w:type="dxa"/>
            <w:tcBorders>
              <w:top w:val="single" w:sz="4" w:space="0" w:color="auto"/>
              <w:left w:val="single" w:sz="4" w:space="0" w:color="auto"/>
              <w:bottom w:val="single" w:sz="4" w:space="0" w:color="auto"/>
              <w:right w:val="single" w:sz="4" w:space="0" w:color="auto"/>
            </w:tcBorders>
            <w:shd w:val="clear" w:color="auto" w:fill="auto"/>
          </w:tcPr>
          <w:p w14:paraId="5B94F911" w14:textId="77777777" w:rsidR="000952B3" w:rsidRPr="00123090" w:rsidRDefault="000952B3" w:rsidP="00123090">
            <w:pPr>
              <w:jc w:val="center"/>
              <w:rPr>
                <w:lang w:eastAsia="en-US"/>
              </w:rPr>
            </w:pPr>
            <w:r w:rsidRPr="00123090">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7D23ED98" w14:textId="77777777" w:rsidR="000952B3" w:rsidRPr="00123090" w:rsidRDefault="000952B3" w:rsidP="00123090">
            <w:pPr>
              <w:tabs>
                <w:tab w:val="left" w:pos="1904"/>
              </w:tabs>
              <w:rPr>
                <w:lang w:eastAsia="en-US"/>
              </w:rPr>
            </w:pPr>
            <w:r w:rsidRPr="00123090">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665EDA0D" w14:textId="77777777" w:rsidR="000952B3" w:rsidRPr="00123090" w:rsidRDefault="00055596" w:rsidP="00123090">
            <w:pPr>
              <w:jc w:val="both"/>
              <w:rPr>
                <w:rFonts w:eastAsia="Times New Roman"/>
              </w:rPr>
            </w:pPr>
            <w:r w:rsidRPr="00123090">
              <w:rPr>
                <w:rFonts w:eastAsia="Times New Roman"/>
              </w:rPr>
              <w:t>Eiropas Savienības struktūrfondu un Kohēzijas fonda 2014.-2020.gada plānošanas perioda vadības likuma 20.panta 6. un 13.punkts.</w:t>
            </w:r>
          </w:p>
        </w:tc>
      </w:tr>
      <w:tr w:rsidR="00055596" w:rsidRPr="00123090" w14:paraId="75E41560" w14:textId="77777777" w:rsidTr="00AB41A3">
        <w:tc>
          <w:tcPr>
            <w:tcW w:w="814" w:type="dxa"/>
            <w:tcBorders>
              <w:top w:val="single" w:sz="4" w:space="0" w:color="auto"/>
              <w:left w:val="single" w:sz="4" w:space="0" w:color="auto"/>
              <w:bottom w:val="single" w:sz="4" w:space="0" w:color="auto"/>
              <w:right w:val="single" w:sz="4" w:space="0" w:color="auto"/>
            </w:tcBorders>
            <w:shd w:val="clear" w:color="auto" w:fill="auto"/>
          </w:tcPr>
          <w:p w14:paraId="313B14B5" w14:textId="77777777" w:rsidR="00055596" w:rsidRPr="00123090" w:rsidRDefault="00055596" w:rsidP="00123090">
            <w:pPr>
              <w:jc w:val="center"/>
              <w:rPr>
                <w:lang w:eastAsia="en-US"/>
              </w:rPr>
            </w:pPr>
            <w:r w:rsidRPr="00123090">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2963042" w14:textId="77777777" w:rsidR="00055596" w:rsidRPr="00123090" w:rsidRDefault="00055596" w:rsidP="00123090">
            <w:pPr>
              <w:jc w:val="both"/>
              <w:rPr>
                <w:lang w:eastAsia="en-US"/>
              </w:rPr>
            </w:pPr>
            <w:r w:rsidRPr="00123090">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16C618EA" w14:textId="55357F96" w:rsidR="00E03C09" w:rsidRDefault="00E03C09" w:rsidP="00123090">
            <w:pPr>
              <w:jc w:val="both"/>
              <w:rPr>
                <w:rFonts w:eastAsia="Times New Roman"/>
              </w:rPr>
            </w:pPr>
            <w:r w:rsidRPr="00123090">
              <w:rPr>
                <w:rFonts w:eastAsia="Times New Roman"/>
              </w:rPr>
              <w:t xml:space="preserve">Sākotnēji bija plānots, ka faktiskais atbalsts priekšlaicīgas mācību pamešanas (turpmāk – PMP) riska grupas bērniem tiks uzsākts ar 2017.gada septembri. Ņemot vērā to, ka lielākā daļa pašvaldību skolu individuālie atbalsta pasākumu plāni tika saskaņoti 2017.gada oktobrī, </w:t>
            </w:r>
            <w:r w:rsidR="00384521">
              <w:rPr>
                <w:rFonts w:eastAsia="Times New Roman"/>
              </w:rPr>
              <w:t>faktiskā atbalsta sniegšana sākā</w:t>
            </w:r>
            <w:r w:rsidRPr="00123090">
              <w:rPr>
                <w:rFonts w:eastAsia="Times New Roman"/>
              </w:rPr>
              <w:t>s ar 2017.gada novembri, veidojot attiecīgu izmaksu ietaupījumu. Papildus tam, ņemot vērā līdzšinējo Izglītības kvalitātes valsts dienesta (turpmāk – IKVD) kā 8.3.4.</w:t>
            </w:r>
            <w:r w:rsidR="00A714E2" w:rsidRPr="00123090">
              <w:rPr>
                <w:rFonts w:eastAsia="Times New Roman"/>
              </w:rPr>
              <w:t>specifiskā atbalsta mērķa “Samazināt priekšlaicīgu mācību pārtraukšanu, īstenojot preventīvus un intervences pasākumus”</w:t>
            </w:r>
            <w:r w:rsidRPr="00123090">
              <w:rPr>
                <w:rFonts w:eastAsia="Times New Roman"/>
              </w:rPr>
              <w:t xml:space="preserve"> </w:t>
            </w:r>
            <w:r w:rsidR="00A714E2" w:rsidRPr="00123090">
              <w:rPr>
                <w:rFonts w:eastAsia="Times New Roman"/>
              </w:rPr>
              <w:t>(turpmāk – 8.3.4.SAM) f</w:t>
            </w:r>
            <w:r w:rsidRPr="00123090">
              <w:rPr>
                <w:rFonts w:eastAsia="Times New Roman"/>
              </w:rPr>
              <w:t>inansējuma saņēmēja sadarbības pieredzi ar pašvaldībām un izglītības iestādēm, plānots optimizēt līdz projekta īstenošanas beigām plānoto finansējumu gan PMP risku novēršanas sistēmas izveidei, gan individuālā atbalsta sniegšanai izglītojamajiem atbilstoši pakāpeniskai izglītības iestāžu iesaistei projektā.</w:t>
            </w:r>
            <w:r w:rsidR="005E7517">
              <w:rPr>
                <w:rFonts w:eastAsia="Times New Roman"/>
              </w:rPr>
              <w:t xml:space="preserve"> </w:t>
            </w:r>
          </w:p>
          <w:p w14:paraId="37BA1A5E" w14:textId="67B54860" w:rsidR="005E7517" w:rsidRPr="00F77072" w:rsidRDefault="005E7517" w:rsidP="00123090">
            <w:pPr>
              <w:jc w:val="both"/>
              <w:rPr>
                <w:rFonts w:eastAsia="Times New Roman"/>
              </w:rPr>
            </w:pPr>
            <w:r w:rsidRPr="00F77072">
              <w:rPr>
                <w:rFonts w:eastAsia="Times New Roman"/>
              </w:rPr>
              <w:t xml:space="preserve">Izmaksu ietaupījums </w:t>
            </w:r>
            <w:r w:rsidR="0020036C" w:rsidRPr="00F77072">
              <w:rPr>
                <w:rFonts w:eastAsia="Times New Roman"/>
              </w:rPr>
              <w:t xml:space="preserve">proporcionāli projekta darbību īstenošanas periodam </w:t>
            </w:r>
            <w:r w:rsidRPr="00F77072">
              <w:rPr>
                <w:rFonts w:eastAsia="Times New Roman"/>
              </w:rPr>
              <w:t>ir izveidojies šād</w:t>
            </w:r>
            <w:r w:rsidR="0020036C" w:rsidRPr="00F77072">
              <w:rPr>
                <w:rFonts w:eastAsia="Times New Roman"/>
              </w:rPr>
              <w:t>ās</w:t>
            </w:r>
            <w:r w:rsidRPr="00F77072">
              <w:rPr>
                <w:rFonts w:eastAsia="Times New Roman"/>
              </w:rPr>
              <w:t xml:space="preserve"> Ministru kabineta 2016. gada 12. jūlija noteikumos Nr.460 “Darbības programmas “Izaugsme un nodarbinātība” 8.3.4. specifiskā atbalsta mērķa “Samazināt priekšlaicīgu mācību pārtraukšanu, īstenojot preventīvus un intervences pasākumus” īstenošanas noteikumi”</w:t>
            </w:r>
            <w:r w:rsidR="00D43565" w:rsidRPr="00F77072">
              <w:rPr>
                <w:rFonts w:eastAsia="Times New Roman"/>
              </w:rPr>
              <w:t xml:space="preserve"> (turpmāk – MK noteikumi Nr.460)</w:t>
            </w:r>
            <w:r w:rsidRPr="00F77072">
              <w:rPr>
                <w:rFonts w:eastAsia="Times New Roman"/>
              </w:rPr>
              <w:t xml:space="preserve"> </w:t>
            </w:r>
            <w:r w:rsidR="001D61FF" w:rsidRPr="00F77072">
              <w:rPr>
                <w:rFonts w:eastAsia="Times New Roman"/>
              </w:rPr>
              <w:t xml:space="preserve">minētajās </w:t>
            </w:r>
            <w:r w:rsidR="0020036C" w:rsidRPr="00F77072">
              <w:rPr>
                <w:rFonts w:eastAsia="Times New Roman"/>
              </w:rPr>
              <w:t>atbalstāmajās darbībās:</w:t>
            </w:r>
          </w:p>
          <w:p w14:paraId="6FEBAAFB" w14:textId="5073A2C2" w:rsidR="0020036C" w:rsidRPr="00F77072" w:rsidRDefault="0020036C" w:rsidP="00123090">
            <w:pPr>
              <w:jc w:val="both"/>
              <w:rPr>
                <w:rFonts w:eastAsia="Times New Roman"/>
              </w:rPr>
            </w:pPr>
            <w:r w:rsidRPr="00F77072">
              <w:rPr>
                <w:rFonts w:eastAsia="Times New Roman"/>
              </w:rPr>
              <w:t>1. individuālo mācību līdzekļu nodrošināšan</w:t>
            </w:r>
            <w:r w:rsidR="00DE119B" w:rsidRPr="00F77072">
              <w:rPr>
                <w:rFonts w:eastAsia="Times New Roman"/>
              </w:rPr>
              <w:t>a</w:t>
            </w:r>
            <w:r w:rsidRPr="00F77072">
              <w:rPr>
                <w:rFonts w:eastAsia="Times New Roman"/>
              </w:rPr>
              <w:t xml:space="preserve"> profesionālās izglītības iestāžu izglītojamiem;</w:t>
            </w:r>
          </w:p>
          <w:p w14:paraId="3A0D7DE1" w14:textId="458A1C21" w:rsidR="0020036C" w:rsidRPr="00F77072" w:rsidRDefault="0020036C" w:rsidP="00123090">
            <w:pPr>
              <w:jc w:val="both"/>
              <w:rPr>
                <w:rFonts w:eastAsia="Times New Roman"/>
              </w:rPr>
            </w:pPr>
            <w:r w:rsidRPr="00F77072">
              <w:rPr>
                <w:rFonts w:eastAsia="Times New Roman"/>
              </w:rPr>
              <w:t>2. indi</w:t>
            </w:r>
            <w:r w:rsidR="00DE119B" w:rsidRPr="00F77072">
              <w:rPr>
                <w:rFonts w:eastAsia="Times New Roman"/>
              </w:rPr>
              <w:t xml:space="preserve">viduālas lietošanas priekšmetu </w:t>
            </w:r>
            <w:r w:rsidRPr="00F77072">
              <w:rPr>
                <w:rFonts w:eastAsia="Times New Roman"/>
              </w:rPr>
              <w:t xml:space="preserve">(apģērbu, apavus, higiēnas preces) </w:t>
            </w:r>
            <w:r w:rsidR="00DE119B" w:rsidRPr="00F77072">
              <w:rPr>
                <w:rFonts w:eastAsia="Times New Roman"/>
              </w:rPr>
              <w:t xml:space="preserve">nodrošināšana </w:t>
            </w:r>
            <w:r w:rsidRPr="00F77072">
              <w:rPr>
                <w:rFonts w:eastAsia="Times New Roman"/>
              </w:rPr>
              <w:t>trūcīgiem vispārējās vidējās un profesionālās izglītības iestāžu izglītojamiem;</w:t>
            </w:r>
          </w:p>
          <w:p w14:paraId="06ACBA8D" w14:textId="1A2D1E30" w:rsidR="0020036C" w:rsidRPr="00F77072" w:rsidRDefault="0020036C" w:rsidP="00123090">
            <w:pPr>
              <w:jc w:val="both"/>
              <w:rPr>
                <w:rFonts w:eastAsia="Times New Roman"/>
              </w:rPr>
            </w:pPr>
            <w:r w:rsidRPr="00F77072">
              <w:rPr>
                <w:rFonts w:eastAsia="Times New Roman"/>
              </w:rPr>
              <w:t>3. s</w:t>
            </w:r>
            <w:r w:rsidR="00DE119B" w:rsidRPr="00F77072">
              <w:rPr>
                <w:rFonts w:eastAsia="Times New Roman"/>
              </w:rPr>
              <w:t>peciālā transporta nodrošināšana</w:t>
            </w:r>
            <w:r w:rsidRPr="00F77072">
              <w:rPr>
                <w:rFonts w:eastAsia="Times New Roman"/>
              </w:rPr>
              <w:t xml:space="preserve"> izglītojamiem ar invaliditāti;</w:t>
            </w:r>
          </w:p>
          <w:p w14:paraId="5B965AB7" w14:textId="52689045" w:rsidR="0020036C" w:rsidRPr="00F77072" w:rsidRDefault="0020036C" w:rsidP="00123090">
            <w:pPr>
              <w:jc w:val="both"/>
              <w:rPr>
                <w:rFonts w:eastAsia="Times New Roman"/>
              </w:rPr>
            </w:pPr>
            <w:r w:rsidRPr="00F77072">
              <w:rPr>
                <w:rFonts w:eastAsia="Times New Roman"/>
              </w:rPr>
              <w:t>4. individuālā PMP riska mazināšanas plānā ietverto atbalsta pasākumu īstenošana, tostarp nepieciešamo speciālistu konsultācijas un atbalsts</w:t>
            </w:r>
            <w:r w:rsidR="0080547C" w:rsidRPr="00F77072">
              <w:rPr>
                <w:rFonts w:eastAsia="Times New Roman"/>
              </w:rPr>
              <w:t>;</w:t>
            </w:r>
          </w:p>
          <w:p w14:paraId="107381F5" w14:textId="07F59C4C" w:rsidR="0080547C" w:rsidRDefault="0080547C" w:rsidP="00123090">
            <w:pPr>
              <w:jc w:val="both"/>
              <w:rPr>
                <w:rFonts w:eastAsia="Times New Roman"/>
              </w:rPr>
            </w:pPr>
            <w:r w:rsidRPr="00F77072">
              <w:rPr>
                <w:rFonts w:eastAsia="Times New Roman"/>
              </w:rPr>
              <w:t>5. PMP ri</w:t>
            </w:r>
            <w:r w:rsidR="00DE119B" w:rsidRPr="00F77072">
              <w:rPr>
                <w:rFonts w:eastAsia="Times New Roman"/>
              </w:rPr>
              <w:t>ska grupas izglītojamo iesaiste</w:t>
            </w:r>
            <w:r w:rsidRPr="00F77072">
              <w:rPr>
                <w:rFonts w:eastAsia="Times New Roman"/>
              </w:rPr>
              <w:t xml:space="preserve"> jauniešu aktivitātēs un iniciatīvu projektos ārpus formālās izglītības.</w:t>
            </w:r>
          </w:p>
          <w:p w14:paraId="4BCE929A" w14:textId="110ECB73" w:rsidR="0020036C" w:rsidRPr="00F77072" w:rsidRDefault="00895115" w:rsidP="00123090">
            <w:pPr>
              <w:jc w:val="both"/>
              <w:rPr>
                <w:rFonts w:eastAsia="Times New Roman"/>
              </w:rPr>
            </w:pPr>
            <w:r w:rsidRPr="00895115">
              <w:rPr>
                <w:rFonts w:eastAsia="Times New Roman"/>
              </w:rPr>
              <w:t>I</w:t>
            </w:r>
            <w:r w:rsidR="00D43565" w:rsidRPr="00895115">
              <w:rPr>
                <w:rFonts w:eastAsia="Times New Roman"/>
              </w:rPr>
              <w:t>zv</w:t>
            </w:r>
            <w:r w:rsidR="00D43565" w:rsidRPr="00F77072">
              <w:rPr>
                <w:rFonts w:eastAsia="Times New Roman"/>
              </w:rPr>
              <w:t xml:space="preserve">ērtējot </w:t>
            </w:r>
            <w:r w:rsidR="001C0D50" w:rsidRPr="00F77072">
              <w:rPr>
                <w:rFonts w:eastAsia="Times New Roman"/>
              </w:rPr>
              <w:t xml:space="preserve">izmaksu </w:t>
            </w:r>
            <w:r w:rsidR="00D43565" w:rsidRPr="00F77072">
              <w:rPr>
                <w:rFonts w:eastAsia="Times New Roman"/>
              </w:rPr>
              <w:t>optimiz</w:t>
            </w:r>
            <w:r w:rsidR="001C0D50" w:rsidRPr="00F77072">
              <w:rPr>
                <w:rFonts w:eastAsia="Times New Roman"/>
              </w:rPr>
              <w:t xml:space="preserve">āciju </w:t>
            </w:r>
            <w:r w:rsidR="00D43565" w:rsidRPr="00F77072">
              <w:rPr>
                <w:rFonts w:eastAsia="Times New Roman"/>
              </w:rPr>
              <w:t xml:space="preserve">PMP sistēmas izveidei, </w:t>
            </w:r>
            <w:r>
              <w:rPr>
                <w:rFonts w:eastAsia="Times New Roman"/>
              </w:rPr>
              <w:t xml:space="preserve">papildu </w:t>
            </w:r>
            <w:r w:rsidR="0080547C" w:rsidRPr="00F77072">
              <w:rPr>
                <w:rFonts w:eastAsia="Times New Roman"/>
              </w:rPr>
              <w:t xml:space="preserve">izmaksu ietaupījums </w:t>
            </w:r>
            <w:r w:rsidR="00D43565" w:rsidRPr="00F77072">
              <w:rPr>
                <w:rFonts w:eastAsia="Times New Roman"/>
              </w:rPr>
              <w:t>ir izveidojies šādā</w:t>
            </w:r>
            <w:r w:rsidR="0080547C" w:rsidRPr="00F77072">
              <w:rPr>
                <w:rFonts w:eastAsia="Times New Roman"/>
              </w:rPr>
              <w:t>s</w:t>
            </w:r>
            <w:r w:rsidR="00D43565" w:rsidRPr="00F77072">
              <w:rPr>
                <w:rFonts w:eastAsia="Times New Roman"/>
              </w:rPr>
              <w:t xml:space="preserve"> MK noteikumu Nr.460 atbalstāmajās darbībās:</w:t>
            </w:r>
          </w:p>
          <w:p w14:paraId="51472106" w14:textId="5A164857" w:rsidR="0020036C" w:rsidRPr="00F77072" w:rsidRDefault="00D43565" w:rsidP="00123090">
            <w:pPr>
              <w:jc w:val="both"/>
              <w:rPr>
                <w:rFonts w:eastAsia="Times New Roman"/>
              </w:rPr>
            </w:pPr>
            <w:r w:rsidRPr="00F77072">
              <w:rPr>
                <w:rFonts w:eastAsia="Times New Roman"/>
              </w:rPr>
              <w:lastRenderedPageBreak/>
              <w:t>1. PMP</w:t>
            </w:r>
            <w:r w:rsidR="0020036C" w:rsidRPr="00F77072">
              <w:rPr>
                <w:rFonts w:eastAsia="Times New Roman"/>
              </w:rPr>
              <w:t xml:space="preserve"> risku novēršanas vadlīniju pilnveide pašvaldībām un izglītības iestādēm koordinētai </w:t>
            </w:r>
            <w:r w:rsidRPr="00F77072">
              <w:rPr>
                <w:rFonts w:eastAsia="Times New Roman"/>
              </w:rPr>
              <w:t>PMP</w:t>
            </w:r>
            <w:r w:rsidR="0020036C" w:rsidRPr="00F77072">
              <w:rPr>
                <w:rFonts w:eastAsia="Times New Roman"/>
              </w:rPr>
              <w:t xml:space="preserve"> problēmas mazināšanai;</w:t>
            </w:r>
          </w:p>
          <w:p w14:paraId="5B9C5FEF" w14:textId="26FCCD4C" w:rsidR="0020036C" w:rsidRPr="00F77072" w:rsidRDefault="00D43565" w:rsidP="00123090">
            <w:pPr>
              <w:jc w:val="both"/>
              <w:rPr>
                <w:rFonts w:eastAsia="Times New Roman"/>
              </w:rPr>
            </w:pPr>
            <w:r w:rsidRPr="00F77072">
              <w:rPr>
                <w:rFonts w:eastAsia="Times New Roman"/>
              </w:rPr>
              <w:t xml:space="preserve">2. </w:t>
            </w:r>
            <w:r w:rsidR="0020036C" w:rsidRPr="00F77072">
              <w:rPr>
                <w:rFonts w:eastAsia="Times New Roman"/>
              </w:rPr>
              <w:t>metodiskā atbalsta līdzekļu izstrāde</w:t>
            </w:r>
            <w:r w:rsidRPr="00F77072">
              <w:rPr>
                <w:rFonts w:eastAsia="Times New Roman"/>
              </w:rPr>
              <w:t xml:space="preserve"> un</w:t>
            </w:r>
            <w:r w:rsidR="0020036C" w:rsidRPr="00F77072">
              <w:rPr>
                <w:rFonts w:eastAsia="Times New Roman"/>
              </w:rPr>
              <w:t xml:space="preserve"> izplatīšana</w:t>
            </w:r>
            <w:r w:rsidRPr="00F77072">
              <w:rPr>
                <w:rFonts w:eastAsia="Times New Roman"/>
              </w:rPr>
              <w:t>,</w:t>
            </w:r>
            <w:r w:rsidR="0020036C" w:rsidRPr="00F77072">
              <w:rPr>
                <w:rFonts w:eastAsia="Times New Roman"/>
              </w:rPr>
              <w:t xml:space="preserve"> un pedagogu, kā arī pašvaldībā darbā ar jaunatni iesaistīto personu izglītošana pa</w:t>
            </w:r>
            <w:r w:rsidRPr="00F77072">
              <w:rPr>
                <w:rFonts w:eastAsia="Times New Roman"/>
              </w:rPr>
              <w:t xml:space="preserve">r konfliktu un </w:t>
            </w:r>
            <w:proofErr w:type="spellStart"/>
            <w:r w:rsidRPr="00F77072">
              <w:rPr>
                <w:rFonts w:eastAsia="Times New Roman"/>
              </w:rPr>
              <w:t>problēmsituāciju</w:t>
            </w:r>
            <w:proofErr w:type="spellEnd"/>
            <w:r w:rsidRPr="00F77072">
              <w:rPr>
                <w:rFonts w:eastAsia="Times New Roman"/>
              </w:rPr>
              <w:t xml:space="preserve"> r</w:t>
            </w:r>
            <w:r w:rsidR="0020036C" w:rsidRPr="00F77072">
              <w:rPr>
                <w:rFonts w:eastAsia="Times New Roman"/>
              </w:rPr>
              <w:t>isināšanu un sadarbību ar izglītojamiem un viņu vecākiem, kā arī izglītojamo konsultēšana;</w:t>
            </w:r>
          </w:p>
          <w:p w14:paraId="40AD2838" w14:textId="629ECF59" w:rsidR="0020036C" w:rsidRPr="00F77072" w:rsidRDefault="00D43565" w:rsidP="00123090">
            <w:pPr>
              <w:jc w:val="both"/>
              <w:rPr>
                <w:rFonts w:eastAsia="Times New Roman"/>
              </w:rPr>
            </w:pPr>
            <w:r w:rsidRPr="00F77072">
              <w:rPr>
                <w:rFonts w:eastAsia="Times New Roman"/>
              </w:rPr>
              <w:t xml:space="preserve">3. profesionālās kompetences pilnveides programmas izstrāde un īstenošana </w:t>
            </w:r>
            <w:r w:rsidR="0020036C" w:rsidRPr="00F77072">
              <w:rPr>
                <w:rFonts w:eastAsia="Times New Roman"/>
              </w:rPr>
              <w:t>pedagogiem un pašvaldības jaunatnes lietu speciālistiem un jaunatnes darbiniekiem par audzināšanu, sadarbību ar izglītojamiem un viņu vecākiem, atbalstošu mācību vidi, individuālo un grupu</w:t>
            </w:r>
            <w:r w:rsidRPr="00F77072">
              <w:rPr>
                <w:rFonts w:eastAsia="Times New Roman"/>
              </w:rPr>
              <w:t xml:space="preserve"> konsultēšanu, </w:t>
            </w:r>
            <w:proofErr w:type="spellStart"/>
            <w:r w:rsidRPr="00F77072">
              <w:rPr>
                <w:rFonts w:eastAsia="Times New Roman"/>
              </w:rPr>
              <w:t>problēmsituāciju</w:t>
            </w:r>
            <w:proofErr w:type="spellEnd"/>
            <w:r w:rsidR="0020036C" w:rsidRPr="00F77072">
              <w:rPr>
                <w:rFonts w:eastAsia="Times New Roman"/>
              </w:rPr>
              <w:t xml:space="preserve"> identificēšanu un risināšanu, </w:t>
            </w:r>
            <w:proofErr w:type="spellStart"/>
            <w:r w:rsidR="0020036C" w:rsidRPr="00F77072">
              <w:rPr>
                <w:rFonts w:eastAsia="Times New Roman"/>
              </w:rPr>
              <w:t>supervīzijas</w:t>
            </w:r>
            <w:proofErr w:type="spellEnd"/>
            <w:r w:rsidR="0020036C" w:rsidRPr="00F77072">
              <w:rPr>
                <w:rFonts w:eastAsia="Times New Roman"/>
              </w:rPr>
              <w:t xml:space="preserve"> nodrošināšana pedagogiem;</w:t>
            </w:r>
          </w:p>
          <w:p w14:paraId="2D9A774B" w14:textId="052CB8AF" w:rsidR="0020036C" w:rsidRPr="00F77072" w:rsidRDefault="0080547C" w:rsidP="00123090">
            <w:pPr>
              <w:jc w:val="both"/>
              <w:rPr>
                <w:rFonts w:eastAsia="Times New Roman"/>
              </w:rPr>
            </w:pPr>
            <w:r w:rsidRPr="00F77072">
              <w:rPr>
                <w:rFonts w:eastAsia="Times New Roman"/>
              </w:rPr>
              <w:t xml:space="preserve">4. </w:t>
            </w:r>
            <w:r w:rsidR="0020036C" w:rsidRPr="00F77072">
              <w:rPr>
                <w:rFonts w:eastAsia="Times New Roman"/>
              </w:rPr>
              <w:t xml:space="preserve">interaktīva rīka izveide izglītības iestādēm </w:t>
            </w:r>
            <w:r w:rsidRPr="00F77072">
              <w:rPr>
                <w:rFonts w:eastAsia="Times New Roman"/>
              </w:rPr>
              <w:t>PMP</w:t>
            </w:r>
            <w:r w:rsidR="0020036C" w:rsidRPr="00F77072">
              <w:rPr>
                <w:rFonts w:eastAsia="Times New Roman"/>
              </w:rPr>
              <w:t xml:space="preserve"> risku novērtēšanai un vadīšanai;</w:t>
            </w:r>
          </w:p>
          <w:p w14:paraId="63E94A73" w14:textId="54F2389C" w:rsidR="0020036C" w:rsidRPr="00F77072" w:rsidRDefault="0080547C" w:rsidP="00123090">
            <w:pPr>
              <w:jc w:val="both"/>
              <w:rPr>
                <w:rFonts w:eastAsia="Times New Roman"/>
              </w:rPr>
            </w:pPr>
            <w:r w:rsidRPr="00F77072">
              <w:rPr>
                <w:rFonts w:eastAsia="Times New Roman"/>
              </w:rPr>
              <w:t xml:space="preserve">5. </w:t>
            </w:r>
            <w:r w:rsidR="0020036C" w:rsidRPr="00F77072">
              <w:rPr>
                <w:rFonts w:eastAsia="Times New Roman"/>
              </w:rPr>
              <w:t>projekta noslē</w:t>
            </w:r>
            <w:r w:rsidRPr="00F77072">
              <w:rPr>
                <w:rFonts w:eastAsia="Times New Roman"/>
              </w:rPr>
              <w:t>guma pētījums.</w:t>
            </w:r>
          </w:p>
          <w:p w14:paraId="48B680AE" w14:textId="33DFAB5C" w:rsidR="00055596" w:rsidRPr="00CE50C7" w:rsidRDefault="00E03C09" w:rsidP="00123090">
            <w:pPr>
              <w:jc w:val="both"/>
              <w:rPr>
                <w:rFonts w:eastAsia="Times New Roman"/>
              </w:rPr>
            </w:pPr>
            <w:r w:rsidRPr="00F77072">
              <w:rPr>
                <w:rFonts w:eastAsia="Times New Roman"/>
              </w:rPr>
              <w:t xml:space="preserve">Ievērojot minēto, noteikumu </w:t>
            </w:r>
            <w:r w:rsidRPr="00895115">
              <w:rPr>
                <w:rFonts w:eastAsia="Times New Roman"/>
              </w:rPr>
              <w:t xml:space="preserve">projekts </w:t>
            </w:r>
            <w:r w:rsidR="00895115" w:rsidRPr="00895115">
              <w:rPr>
                <w:rFonts w:eastAsia="Times New Roman"/>
              </w:rPr>
              <w:t>“Grozījumi Ministru kabineta 2016. gada 12. jūlija noteikumos Nr.460 “</w:t>
            </w:r>
            <w:r w:rsidR="00895115" w:rsidRPr="00895115">
              <w:rPr>
                <w:rFonts w:eastAsia="Times New Roman"/>
                <w:bCs/>
              </w:rPr>
              <w:t>Darbības programmas “Izaugsme un nodarbinātība” 8.3.4. specifiskā atbalsta mērķa “Samazināt priekšlaicīgu mācību pārtraukšanu, īstenojot preventīvus un intervences pasākumus” īstenošanas noteikumi” (turpmāk – noteikumu projekts)</w:t>
            </w:r>
            <w:r w:rsidR="00895115">
              <w:rPr>
                <w:rFonts w:eastAsia="Times New Roman"/>
                <w:b/>
                <w:bCs/>
              </w:rPr>
              <w:t xml:space="preserve"> </w:t>
            </w:r>
            <w:r w:rsidRPr="00F77072">
              <w:rPr>
                <w:rFonts w:eastAsia="Times New Roman"/>
              </w:rPr>
              <w:t xml:space="preserve">paredz samazināt </w:t>
            </w:r>
            <w:r w:rsidR="00A714E2" w:rsidRPr="00F77072">
              <w:rPr>
                <w:rFonts w:eastAsia="Times New Roman"/>
              </w:rPr>
              <w:t>8.3.4.SAM</w:t>
            </w:r>
            <w:r w:rsidRPr="00F77072">
              <w:rPr>
                <w:rFonts w:eastAsia="Times New Roman"/>
              </w:rPr>
              <w:t xml:space="preserve"> plānoto kopējo attiecināmo finansējumu, </w:t>
            </w:r>
            <w:r w:rsidR="00AD2B84" w:rsidRPr="00F77072">
              <w:rPr>
                <w:rFonts w:eastAsia="Times New Roman"/>
              </w:rPr>
              <w:t>neietekmējot 8.3.4.SAM darbības programmā “Izaugsme un nodarbinātība” noteikto</w:t>
            </w:r>
            <w:r w:rsidR="00384521" w:rsidRPr="00F77072">
              <w:rPr>
                <w:rFonts w:eastAsia="Times New Roman"/>
              </w:rPr>
              <w:t>s</w:t>
            </w:r>
            <w:r w:rsidR="00AD2B84" w:rsidRPr="00F77072">
              <w:rPr>
                <w:rFonts w:eastAsia="Times New Roman"/>
              </w:rPr>
              <w:t xml:space="preserve"> rādītāju</w:t>
            </w:r>
            <w:r w:rsidR="00384521" w:rsidRPr="00F77072">
              <w:rPr>
                <w:rFonts w:eastAsia="Times New Roman"/>
              </w:rPr>
              <w:t>s</w:t>
            </w:r>
            <w:r w:rsidRPr="00CE50C7">
              <w:rPr>
                <w:rFonts w:eastAsia="Times New Roman"/>
              </w:rPr>
              <w:t>.</w:t>
            </w:r>
            <w:r w:rsidR="00895115" w:rsidRPr="00CE50C7">
              <w:rPr>
                <w:rFonts w:eastAsia="Times New Roman"/>
              </w:rPr>
              <w:t xml:space="preserve"> Ņemot vērā, ka noteikumu projekts paredz finansējuma pārdali, kas saistīta ar vēlākas darbību uzsākšanas rezultātā izveidojušos izmaksu ietaupījumu un </w:t>
            </w:r>
            <w:r w:rsidR="00FD74AD" w:rsidRPr="00CE50C7">
              <w:rPr>
                <w:rFonts w:eastAsia="Times New Roman"/>
              </w:rPr>
              <w:t>izmaksu optimizācijas iespējām</w:t>
            </w:r>
            <w:r w:rsidR="00D648A7" w:rsidRPr="00CE50C7">
              <w:rPr>
                <w:rFonts w:eastAsia="Times New Roman"/>
              </w:rPr>
              <w:t xml:space="preserve"> PMP sistēmas izveidei</w:t>
            </w:r>
            <w:r w:rsidR="00895115" w:rsidRPr="00CE50C7">
              <w:rPr>
                <w:rFonts w:eastAsia="Times New Roman"/>
              </w:rPr>
              <w:t>, kā arī neparedz projekta īstenošanas termiņa pagarināšanu, noteikumu projektā paredzētie grozījumi neietekmē specifiskā atbalsta mērķa grupai sniedzamā atbalsta apjomu un īstenošanā esošo projektu Nr.8.3.4.0/16/I/001 “Atbalsts priekšlaicīgas mācību pārtraukšanas samazināšanai”.</w:t>
            </w:r>
          </w:p>
          <w:p w14:paraId="12EF001D" w14:textId="09ABAEC9" w:rsidR="00055596" w:rsidRPr="00123090" w:rsidRDefault="00055596" w:rsidP="0089543D">
            <w:pPr>
              <w:jc w:val="both"/>
            </w:pPr>
            <w:r w:rsidRPr="00F77072">
              <w:rPr>
                <w:rFonts w:eastAsia="Times New Roman"/>
              </w:rPr>
              <w:t xml:space="preserve">Finansējumu 2 300 000 </w:t>
            </w:r>
            <w:proofErr w:type="spellStart"/>
            <w:r w:rsidRPr="00F77072">
              <w:rPr>
                <w:rFonts w:eastAsia="Times New Roman"/>
                <w:i/>
              </w:rPr>
              <w:t>euro</w:t>
            </w:r>
            <w:proofErr w:type="spellEnd"/>
            <w:r w:rsidRPr="00F77072">
              <w:rPr>
                <w:rFonts w:eastAsia="Times New Roman"/>
              </w:rPr>
              <w:t xml:space="preserve"> apmērā </w:t>
            </w:r>
            <w:r w:rsidR="00E03C09" w:rsidRPr="00F77072">
              <w:rPr>
                <w:rFonts w:eastAsia="Times New Roman"/>
              </w:rPr>
              <w:t xml:space="preserve">Izglītības un zinātnes ministrija (turpmāk – </w:t>
            </w:r>
            <w:r w:rsidRPr="00F77072">
              <w:rPr>
                <w:rFonts w:eastAsia="Times New Roman"/>
              </w:rPr>
              <w:t>IZM</w:t>
            </w:r>
            <w:r w:rsidR="00E03C09" w:rsidRPr="00F77072">
              <w:rPr>
                <w:rFonts w:eastAsia="Times New Roman"/>
              </w:rPr>
              <w:t>)</w:t>
            </w:r>
            <w:r w:rsidR="00E01CF7" w:rsidRPr="00F77072">
              <w:rPr>
                <w:rFonts w:eastAsia="Times New Roman"/>
              </w:rPr>
              <w:t xml:space="preserve"> </w:t>
            </w:r>
            <w:r w:rsidR="0089543D" w:rsidRPr="00F77072">
              <w:rPr>
                <w:rFonts w:eastAsia="Times New Roman"/>
              </w:rPr>
              <w:t xml:space="preserve">paredz </w:t>
            </w:r>
            <w:r w:rsidR="00E01CF7" w:rsidRPr="00F77072">
              <w:rPr>
                <w:rFonts w:eastAsia="Times New Roman"/>
              </w:rPr>
              <w:t xml:space="preserve">pārdalīt </w:t>
            </w:r>
            <w:r w:rsidR="00AD2B84" w:rsidRPr="00F77072">
              <w:rPr>
                <w:rFonts w:eastAsia="Times New Roman"/>
              </w:rPr>
              <w:t>no 8.3.4.SAM uz 8.3.1.specifiskā atbalsta mērķa “Attīstīt kompetenču pieejā balstītu vispārējās izglītības saturu” 8.3.1.1.pasākuma “Kompetenču pieejā balstīta vispārējās izglītības satura aprobācija un ieviešana” ietvaros īstenoto projektu Nr.8.3.1.1/16/I/002 “Kompetenču pieeja mācību saturā””</w:t>
            </w:r>
            <w:r w:rsidR="0089543D" w:rsidRPr="00F77072">
              <w:rPr>
                <w:rFonts w:eastAsia="Times New Roman"/>
              </w:rPr>
              <w:t>, lai īstenotu tajā paredzētās papildu darbības jaunā satura izstrādei vidējās izglītības apguvei augstākajā līmenī un pedagogu profesionālās kompetences pilnveidei jaunā satura ieviešanai, tai skaitā lingvistiski neviendabīgā vidē.</w:t>
            </w:r>
          </w:p>
        </w:tc>
      </w:tr>
      <w:tr w:rsidR="00055596" w:rsidRPr="00123090" w14:paraId="4492435D" w14:textId="77777777" w:rsidTr="00AB41A3">
        <w:tc>
          <w:tcPr>
            <w:tcW w:w="814" w:type="dxa"/>
            <w:tcBorders>
              <w:top w:val="single" w:sz="4" w:space="0" w:color="auto"/>
              <w:left w:val="single" w:sz="4" w:space="0" w:color="auto"/>
              <w:bottom w:val="single" w:sz="4" w:space="0" w:color="auto"/>
              <w:right w:val="single" w:sz="4" w:space="0" w:color="auto"/>
            </w:tcBorders>
            <w:shd w:val="clear" w:color="auto" w:fill="auto"/>
          </w:tcPr>
          <w:p w14:paraId="4A14F098" w14:textId="30CACBC8" w:rsidR="00055596" w:rsidRPr="00123090" w:rsidRDefault="00055596" w:rsidP="00123090">
            <w:pPr>
              <w:jc w:val="center"/>
              <w:rPr>
                <w:lang w:eastAsia="en-US"/>
              </w:rPr>
            </w:pPr>
            <w:r w:rsidRPr="00123090">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05EE6A4" w14:textId="77777777" w:rsidR="00055596" w:rsidRPr="00123090" w:rsidRDefault="00055596" w:rsidP="00123090">
            <w:pPr>
              <w:rPr>
                <w:lang w:eastAsia="en-US"/>
              </w:rPr>
            </w:pPr>
            <w:r w:rsidRPr="00123090">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73C2D8DF" w14:textId="77777777" w:rsidR="00055596" w:rsidRPr="00123090" w:rsidRDefault="00055596" w:rsidP="00123090">
            <w:pPr>
              <w:jc w:val="both"/>
              <w:rPr>
                <w:bCs/>
              </w:rPr>
            </w:pPr>
            <w:r w:rsidRPr="00123090">
              <w:rPr>
                <w:bCs/>
              </w:rPr>
              <w:t>Noteikumu projekts šo jomu neskar.</w:t>
            </w:r>
          </w:p>
          <w:p w14:paraId="1506E52A" w14:textId="77777777" w:rsidR="00055596" w:rsidRPr="00123090" w:rsidRDefault="00055596" w:rsidP="00123090">
            <w:pPr>
              <w:ind w:left="66"/>
              <w:jc w:val="both"/>
              <w:rPr>
                <w:bCs/>
                <w:strike/>
              </w:rPr>
            </w:pPr>
          </w:p>
        </w:tc>
      </w:tr>
      <w:tr w:rsidR="00055596" w:rsidRPr="00123090" w14:paraId="7A30AF89" w14:textId="77777777" w:rsidTr="000653B0">
        <w:tc>
          <w:tcPr>
            <w:tcW w:w="814" w:type="dxa"/>
            <w:tcBorders>
              <w:top w:val="single" w:sz="4" w:space="0" w:color="auto"/>
              <w:left w:val="single" w:sz="4" w:space="0" w:color="auto"/>
              <w:bottom w:val="single" w:sz="4" w:space="0" w:color="auto"/>
              <w:right w:val="single" w:sz="4" w:space="0" w:color="auto"/>
            </w:tcBorders>
            <w:shd w:val="clear" w:color="auto" w:fill="auto"/>
          </w:tcPr>
          <w:p w14:paraId="3A2F2F16" w14:textId="77777777" w:rsidR="00055596" w:rsidRPr="00123090" w:rsidRDefault="00055596" w:rsidP="00123090">
            <w:pPr>
              <w:jc w:val="center"/>
              <w:rPr>
                <w:lang w:eastAsia="en-US"/>
              </w:rPr>
            </w:pPr>
            <w:r w:rsidRPr="00123090">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F2E32D6" w14:textId="77777777" w:rsidR="00055596" w:rsidRPr="00123090" w:rsidRDefault="00055596" w:rsidP="00123090">
            <w:pPr>
              <w:rPr>
                <w:lang w:eastAsia="en-US"/>
              </w:rPr>
            </w:pPr>
            <w:r w:rsidRPr="00123090">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2AFE55DC" w14:textId="52BEBFEE" w:rsidR="00D40EDB" w:rsidRPr="00123090" w:rsidRDefault="00055596" w:rsidP="00123090">
            <w:pPr>
              <w:pStyle w:val="Default"/>
              <w:jc w:val="both"/>
              <w:rPr>
                <w:bCs/>
              </w:rPr>
            </w:pPr>
            <w:r w:rsidRPr="00123090">
              <w:rPr>
                <w:bCs/>
              </w:rPr>
              <w:t>Grozījumu priekšlikums par finansējuma pārdali darbības programmā “Izaugsme un nodarbinātība” iesniegts Finanšu m</w:t>
            </w:r>
            <w:r w:rsidR="009044E2">
              <w:rPr>
                <w:bCs/>
              </w:rPr>
              <w:t>inistrijā 2017.gada 21.decembrī, izskatīts Ministru kabineta 2018.gada 20.februāra sēdē.</w:t>
            </w:r>
          </w:p>
        </w:tc>
      </w:tr>
    </w:tbl>
    <w:p w14:paraId="38CB1A13" w14:textId="77777777" w:rsidR="000952B3" w:rsidRPr="00123090" w:rsidRDefault="000952B3" w:rsidP="00123090">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0952B3" w:rsidRPr="00123090" w14:paraId="31B37890" w14:textId="77777777" w:rsidTr="000653B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B415C1" w14:textId="77777777" w:rsidR="000952B3" w:rsidRPr="00123090" w:rsidRDefault="000952B3" w:rsidP="00123090">
            <w:pPr>
              <w:pStyle w:val="ListParagraph"/>
              <w:tabs>
                <w:tab w:val="left" w:pos="2268"/>
                <w:tab w:val="left" w:pos="2410"/>
              </w:tabs>
              <w:ind w:left="1080"/>
              <w:jc w:val="center"/>
              <w:rPr>
                <w:b/>
                <w:sz w:val="24"/>
                <w:szCs w:val="24"/>
                <w:lang w:eastAsia="en-US"/>
              </w:rPr>
            </w:pPr>
            <w:r w:rsidRPr="00123090">
              <w:rPr>
                <w:b/>
                <w:bCs/>
                <w:sz w:val="24"/>
                <w:szCs w:val="24"/>
              </w:rPr>
              <w:t>II. Tiesību akta projekta ietekme uz sabiedrību, tautsaimniecības attīstību un administratīvo slogu</w:t>
            </w:r>
          </w:p>
        </w:tc>
      </w:tr>
      <w:tr w:rsidR="000952B3" w:rsidRPr="00123090" w14:paraId="305D3B9E" w14:textId="77777777" w:rsidTr="000952B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D24F1EC" w14:textId="77777777" w:rsidR="000952B3" w:rsidRPr="00123090" w:rsidRDefault="000952B3" w:rsidP="00123090">
            <w:pPr>
              <w:jc w:val="center"/>
              <w:rPr>
                <w:lang w:eastAsia="en-US"/>
              </w:rPr>
            </w:pPr>
            <w:r w:rsidRPr="00123090">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D61BAC3" w14:textId="77777777" w:rsidR="000952B3" w:rsidRPr="00123090" w:rsidRDefault="000952B3" w:rsidP="00123090">
            <w:pPr>
              <w:rPr>
                <w:lang w:eastAsia="en-US"/>
              </w:rPr>
            </w:pPr>
            <w:r w:rsidRPr="00123090">
              <w:t xml:space="preserve">Sabiedrības </w:t>
            </w:r>
            <w:proofErr w:type="spellStart"/>
            <w:r w:rsidRPr="00123090">
              <w:t>mērķgrupas</w:t>
            </w:r>
            <w:proofErr w:type="spellEnd"/>
            <w:r w:rsidRPr="00123090">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9467E04" w14:textId="61187829" w:rsidR="000952B3" w:rsidRPr="00123090" w:rsidRDefault="00352BE9" w:rsidP="00123090">
            <w:pPr>
              <w:pStyle w:val="ListParagraph"/>
              <w:tabs>
                <w:tab w:val="left" w:pos="317"/>
              </w:tabs>
              <w:ind w:left="34"/>
              <w:jc w:val="both"/>
              <w:rPr>
                <w:bCs/>
                <w:sz w:val="24"/>
                <w:szCs w:val="24"/>
                <w:lang w:eastAsia="en-US"/>
              </w:rPr>
            </w:pPr>
            <w:r w:rsidRPr="00123090">
              <w:rPr>
                <w:iCs/>
                <w:sz w:val="24"/>
                <w:szCs w:val="24"/>
              </w:rPr>
              <w:t xml:space="preserve">Tiesiskais regulējums ietekmē </w:t>
            </w:r>
            <w:r w:rsidR="00A714E2" w:rsidRPr="00123090">
              <w:rPr>
                <w:iCs/>
                <w:sz w:val="24"/>
                <w:szCs w:val="24"/>
              </w:rPr>
              <w:t xml:space="preserve">atbildīgo iestādi - </w:t>
            </w:r>
            <w:r w:rsidRPr="00123090">
              <w:rPr>
                <w:iCs/>
                <w:sz w:val="24"/>
                <w:szCs w:val="24"/>
              </w:rPr>
              <w:t xml:space="preserve">IZM, </w:t>
            </w:r>
            <w:r w:rsidR="00A714E2" w:rsidRPr="00123090">
              <w:rPr>
                <w:iCs/>
                <w:sz w:val="24"/>
                <w:szCs w:val="24"/>
              </w:rPr>
              <w:t xml:space="preserve">sadarbības iestādi - </w:t>
            </w:r>
            <w:r w:rsidRPr="00123090">
              <w:rPr>
                <w:iCs/>
                <w:sz w:val="24"/>
                <w:szCs w:val="24"/>
              </w:rPr>
              <w:t xml:space="preserve">Centrālo finanšu un līgumu aģentūru (turpmāk – CFLA), </w:t>
            </w:r>
            <w:r w:rsidR="00A714E2" w:rsidRPr="00123090">
              <w:rPr>
                <w:iCs/>
                <w:sz w:val="24"/>
                <w:szCs w:val="24"/>
              </w:rPr>
              <w:t xml:space="preserve">8.3.4.SAM finansējuma saņēmēju - </w:t>
            </w:r>
            <w:r w:rsidRPr="00123090">
              <w:rPr>
                <w:iCs/>
                <w:sz w:val="24"/>
                <w:szCs w:val="24"/>
              </w:rPr>
              <w:t xml:space="preserve">IKVD, </w:t>
            </w:r>
            <w:r w:rsidR="00A714E2" w:rsidRPr="00123090">
              <w:rPr>
                <w:iCs/>
                <w:sz w:val="24"/>
                <w:szCs w:val="24"/>
              </w:rPr>
              <w:t xml:space="preserve">8.3.4.SAM sadarbības partnerus - </w:t>
            </w:r>
            <w:r w:rsidR="00E7485C" w:rsidRPr="00123090">
              <w:rPr>
                <w:iCs/>
                <w:sz w:val="24"/>
                <w:szCs w:val="24"/>
              </w:rPr>
              <w:t xml:space="preserve">republikas pilsētu un novadu </w:t>
            </w:r>
            <w:r w:rsidR="00D17F41" w:rsidRPr="00123090">
              <w:rPr>
                <w:sz w:val="24"/>
                <w:szCs w:val="24"/>
              </w:rPr>
              <w:t xml:space="preserve">pašvaldības un </w:t>
            </w:r>
            <w:r w:rsidR="00E7485C" w:rsidRPr="00123090">
              <w:rPr>
                <w:sz w:val="24"/>
                <w:szCs w:val="24"/>
              </w:rPr>
              <w:t xml:space="preserve">valsts profesionālās </w:t>
            </w:r>
            <w:r w:rsidR="00D17F41" w:rsidRPr="00123090">
              <w:rPr>
                <w:sz w:val="24"/>
                <w:szCs w:val="24"/>
              </w:rPr>
              <w:t>izglītības iestādes.</w:t>
            </w:r>
            <w:r w:rsidR="005218A5" w:rsidRPr="00123090">
              <w:rPr>
                <w:sz w:val="24"/>
                <w:szCs w:val="24"/>
              </w:rPr>
              <w:t xml:space="preserve"> </w:t>
            </w:r>
          </w:p>
        </w:tc>
      </w:tr>
      <w:tr w:rsidR="000952B3" w:rsidRPr="00123090" w14:paraId="42D7565E" w14:textId="77777777" w:rsidTr="000653B0">
        <w:tc>
          <w:tcPr>
            <w:tcW w:w="396" w:type="dxa"/>
            <w:tcBorders>
              <w:top w:val="single" w:sz="4" w:space="0" w:color="auto"/>
              <w:left w:val="single" w:sz="4" w:space="0" w:color="auto"/>
              <w:bottom w:val="single" w:sz="4" w:space="0" w:color="auto"/>
              <w:right w:val="single" w:sz="4" w:space="0" w:color="auto"/>
            </w:tcBorders>
            <w:shd w:val="clear" w:color="auto" w:fill="auto"/>
          </w:tcPr>
          <w:p w14:paraId="03C4DFEA" w14:textId="77777777" w:rsidR="000952B3" w:rsidRPr="00123090" w:rsidRDefault="000952B3" w:rsidP="00123090">
            <w:pPr>
              <w:jc w:val="center"/>
            </w:pPr>
            <w:r w:rsidRPr="00123090">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2CEBA5F" w14:textId="77777777" w:rsidR="000952B3" w:rsidRPr="00123090" w:rsidRDefault="000952B3" w:rsidP="00123090">
            <w:pPr>
              <w:rPr>
                <w:color w:val="414142"/>
              </w:rPr>
            </w:pPr>
            <w:r w:rsidRPr="00123090">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FD0A85A" w14:textId="77777777" w:rsidR="000952B3" w:rsidRPr="00123090" w:rsidRDefault="00352BE9" w:rsidP="00123090">
            <w:pPr>
              <w:pStyle w:val="ListParagraph"/>
              <w:tabs>
                <w:tab w:val="left" w:pos="317"/>
              </w:tabs>
              <w:ind w:left="34"/>
              <w:jc w:val="both"/>
              <w:rPr>
                <w:bCs/>
                <w:sz w:val="24"/>
                <w:szCs w:val="24"/>
                <w:lang w:eastAsia="en-US"/>
              </w:rPr>
            </w:pPr>
            <w:r w:rsidRPr="00123090">
              <w:rPr>
                <w:sz w:val="24"/>
                <w:szCs w:val="24"/>
              </w:rPr>
              <w:t>Sabiedrības grupām un institūcijām projekta noteikumu tiesiskais regulējums nemaina tiesības un pienākumus, kā arī veicamās darbības.</w:t>
            </w:r>
          </w:p>
        </w:tc>
      </w:tr>
      <w:tr w:rsidR="000952B3" w:rsidRPr="00123090" w14:paraId="7455E852" w14:textId="77777777" w:rsidTr="000653B0">
        <w:tc>
          <w:tcPr>
            <w:tcW w:w="396" w:type="dxa"/>
            <w:tcBorders>
              <w:top w:val="single" w:sz="4" w:space="0" w:color="auto"/>
              <w:left w:val="single" w:sz="4" w:space="0" w:color="auto"/>
              <w:bottom w:val="single" w:sz="4" w:space="0" w:color="auto"/>
              <w:right w:val="single" w:sz="4" w:space="0" w:color="auto"/>
            </w:tcBorders>
            <w:shd w:val="clear" w:color="auto" w:fill="auto"/>
          </w:tcPr>
          <w:p w14:paraId="5A192D89" w14:textId="77777777" w:rsidR="000952B3" w:rsidRPr="00123090" w:rsidRDefault="000952B3" w:rsidP="00123090">
            <w:pPr>
              <w:jc w:val="center"/>
            </w:pPr>
            <w:r w:rsidRPr="00123090">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2F4D55C" w14:textId="77777777" w:rsidR="000952B3" w:rsidRPr="00123090" w:rsidRDefault="000952B3" w:rsidP="00123090">
            <w:pPr>
              <w:rPr>
                <w:color w:val="414142"/>
              </w:rPr>
            </w:pPr>
            <w:r w:rsidRPr="00123090">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A9F62C" w14:textId="77777777" w:rsidR="000952B3" w:rsidRPr="00123090" w:rsidRDefault="00352BE9" w:rsidP="00123090">
            <w:pPr>
              <w:pStyle w:val="ListParagraph"/>
              <w:tabs>
                <w:tab w:val="left" w:pos="317"/>
              </w:tabs>
              <w:ind w:left="0"/>
              <w:jc w:val="both"/>
              <w:rPr>
                <w:bCs/>
                <w:sz w:val="24"/>
                <w:szCs w:val="24"/>
                <w:lang w:eastAsia="en-US"/>
              </w:rPr>
            </w:pPr>
            <w:r w:rsidRPr="00123090">
              <w:rPr>
                <w:sz w:val="24"/>
                <w:szCs w:val="24"/>
              </w:rPr>
              <w:t>Noteikumu projekts šo jomu neskar.</w:t>
            </w:r>
          </w:p>
        </w:tc>
      </w:tr>
      <w:tr w:rsidR="000952B3" w:rsidRPr="00123090" w14:paraId="329A6283" w14:textId="77777777" w:rsidTr="000653B0">
        <w:tc>
          <w:tcPr>
            <w:tcW w:w="396" w:type="dxa"/>
            <w:tcBorders>
              <w:top w:val="single" w:sz="4" w:space="0" w:color="auto"/>
              <w:left w:val="single" w:sz="4" w:space="0" w:color="auto"/>
              <w:bottom w:val="single" w:sz="4" w:space="0" w:color="auto"/>
              <w:right w:val="single" w:sz="4" w:space="0" w:color="auto"/>
            </w:tcBorders>
            <w:shd w:val="clear" w:color="auto" w:fill="auto"/>
          </w:tcPr>
          <w:p w14:paraId="1EBE9909" w14:textId="77777777" w:rsidR="000952B3" w:rsidRPr="00123090" w:rsidRDefault="000952B3" w:rsidP="00123090">
            <w:pPr>
              <w:jc w:val="center"/>
            </w:pPr>
            <w:r w:rsidRPr="00123090">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101C2DE" w14:textId="77777777" w:rsidR="000952B3" w:rsidRPr="00123090" w:rsidRDefault="000952B3" w:rsidP="00123090">
            <w:r w:rsidRPr="00123090">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B9D74E6" w14:textId="77777777" w:rsidR="000952B3" w:rsidRPr="00123090" w:rsidRDefault="00352BE9" w:rsidP="00123090">
            <w:pPr>
              <w:pStyle w:val="ListParagraph"/>
              <w:tabs>
                <w:tab w:val="left" w:pos="317"/>
              </w:tabs>
              <w:ind w:left="0"/>
              <w:jc w:val="both"/>
              <w:rPr>
                <w:bCs/>
                <w:sz w:val="24"/>
                <w:szCs w:val="24"/>
                <w:lang w:eastAsia="en-US"/>
              </w:rPr>
            </w:pPr>
            <w:r w:rsidRPr="00123090">
              <w:rPr>
                <w:sz w:val="24"/>
                <w:szCs w:val="24"/>
              </w:rPr>
              <w:t>Noteikumu projekts šo jomu neskar.</w:t>
            </w:r>
          </w:p>
        </w:tc>
      </w:tr>
      <w:tr w:rsidR="000952B3" w:rsidRPr="00123090" w14:paraId="6675C82A" w14:textId="77777777" w:rsidTr="000653B0">
        <w:tc>
          <w:tcPr>
            <w:tcW w:w="396" w:type="dxa"/>
            <w:tcBorders>
              <w:top w:val="single" w:sz="4" w:space="0" w:color="auto"/>
              <w:left w:val="single" w:sz="4" w:space="0" w:color="auto"/>
              <w:bottom w:val="single" w:sz="4" w:space="0" w:color="auto"/>
              <w:right w:val="single" w:sz="4" w:space="0" w:color="auto"/>
            </w:tcBorders>
            <w:shd w:val="clear" w:color="auto" w:fill="auto"/>
          </w:tcPr>
          <w:p w14:paraId="67C215F4" w14:textId="77777777" w:rsidR="000952B3" w:rsidRPr="00123090" w:rsidRDefault="000952B3" w:rsidP="00123090">
            <w:pPr>
              <w:jc w:val="center"/>
            </w:pPr>
            <w:r w:rsidRPr="00123090">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BD10DBB" w14:textId="77777777" w:rsidR="000952B3" w:rsidRPr="00123090" w:rsidRDefault="000952B3" w:rsidP="00123090">
            <w:pPr>
              <w:rPr>
                <w:color w:val="414142"/>
              </w:rPr>
            </w:pPr>
            <w:r w:rsidRPr="00123090">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E087B7A" w14:textId="77777777" w:rsidR="000952B3" w:rsidRPr="00123090" w:rsidRDefault="000952B3" w:rsidP="00123090">
            <w:pPr>
              <w:pStyle w:val="ListParagraph"/>
              <w:tabs>
                <w:tab w:val="left" w:pos="317"/>
              </w:tabs>
              <w:ind w:left="34"/>
              <w:jc w:val="both"/>
              <w:rPr>
                <w:bCs/>
                <w:sz w:val="24"/>
                <w:szCs w:val="24"/>
                <w:lang w:eastAsia="en-US"/>
              </w:rPr>
            </w:pPr>
            <w:r w:rsidRPr="00123090">
              <w:rPr>
                <w:bCs/>
                <w:sz w:val="24"/>
                <w:szCs w:val="24"/>
                <w:lang w:eastAsia="en-US"/>
              </w:rPr>
              <w:t>Nav</w:t>
            </w:r>
            <w:r w:rsidR="00352BE9" w:rsidRPr="00123090">
              <w:rPr>
                <w:bCs/>
                <w:sz w:val="24"/>
                <w:szCs w:val="24"/>
                <w:lang w:eastAsia="en-US"/>
              </w:rPr>
              <w:t>.</w:t>
            </w:r>
          </w:p>
        </w:tc>
      </w:tr>
    </w:tbl>
    <w:p w14:paraId="4F8CF316" w14:textId="77777777" w:rsidR="004D2E35" w:rsidRPr="00123090" w:rsidRDefault="004D2E35" w:rsidP="00123090"/>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309"/>
        <w:gridCol w:w="1309"/>
        <w:gridCol w:w="1309"/>
        <w:gridCol w:w="1309"/>
        <w:gridCol w:w="1309"/>
      </w:tblGrid>
      <w:tr w:rsidR="004D2E35" w:rsidRPr="00123090" w14:paraId="26E7C112" w14:textId="77777777" w:rsidTr="000653B0">
        <w:tc>
          <w:tcPr>
            <w:tcW w:w="9180" w:type="dxa"/>
            <w:gridSpan w:val="6"/>
            <w:tcBorders>
              <w:top w:val="single" w:sz="4" w:space="0" w:color="auto"/>
              <w:left w:val="single" w:sz="4" w:space="0" w:color="auto"/>
              <w:bottom w:val="single" w:sz="4" w:space="0" w:color="auto"/>
              <w:right w:val="single" w:sz="4" w:space="0" w:color="auto"/>
            </w:tcBorders>
            <w:shd w:val="clear" w:color="auto" w:fill="auto"/>
          </w:tcPr>
          <w:p w14:paraId="6D56682F" w14:textId="77777777" w:rsidR="004D2E35" w:rsidRPr="00123090" w:rsidRDefault="004D2E35" w:rsidP="00123090">
            <w:pPr>
              <w:pStyle w:val="ListParagraph"/>
              <w:tabs>
                <w:tab w:val="left" w:pos="317"/>
              </w:tabs>
              <w:ind w:left="0"/>
              <w:jc w:val="center"/>
              <w:rPr>
                <w:bCs/>
                <w:sz w:val="24"/>
                <w:szCs w:val="24"/>
                <w:lang w:eastAsia="en-US"/>
              </w:rPr>
            </w:pPr>
            <w:r w:rsidRPr="00123090">
              <w:rPr>
                <w:b/>
                <w:bCs/>
                <w:sz w:val="24"/>
                <w:szCs w:val="24"/>
                <w:lang w:eastAsia="ja-JP"/>
              </w:rPr>
              <w:t>III. Tiesību akta projekta ietekme uz valsts budžetu un pašvaldību budžetiem</w:t>
            </w:r>
          </w:p>
        </w:tc>
      </w:tr>
      <w:tr w:rsidR="004D2E35" w:rsidRPr="00123090" w14:paraId="216C8ED2" w14:textId="77777777" w:rsidTr="000653B0">
        <w:tc>
          <w:tcPr>
            <w:tcW w:w="2635" w:type="dxa"/>
            <w:vMerge w:val="restart"/>
            <w:tcBorders>
              <w:top w:val="single" w:sz="4" w:space="0" w:color="auto"/>
              <w:left w:val="single" w:sz="4" w:space="0" w:color="auto"/>
              <w:right w:val="single" w:sz="4" w:space="0" w:color="auto"/>
            </w:tcBorders>
            <w:shd w:val="clear" w:color="auto" w:fill="auto"/>
          </w:tcPr>
          <w:p w14:paraId="23E69BE5" w14:textId="77777777" w:rsidR="004D2E35" w:rsidRPr="00123090" w:rsidRDefault="004D2E35" w:rsidP="00123090">
            <w:pPr>
              <w:jc w:val="center"/>
              <w:rPr>
                <w:rFonts w:eastAsia="Times New Roman"/>
                <w:b/>
                <w:bCs/>
                <w:lang w:eastAsia="ja-JP"/>
              </w:rPr>
            </w:pPr>
          </w:p>
          <w:p w14:paraId="60F75730" w14:textId="77777777" w:rsidR="004D2E35" w:rsidRPr="00123090" w:rsidRDefault="004D2E35" w:rsidP="00123090">
            <w:pPr>
              <w:jc w:val="center"/>
              <w:rPr>
                <w:rFonts w:eastAsia="Times New Roman"/>
                <w:b/>
                <w:bCs/>
                <w:lang w:eastAsia="ja-JP"/>
              </w:rPr>
            </w:pPr>
          </w:p>
          <w:p w14:paraId="0BD8B2B8" w14:textId="77777777" w:rsidR="004D2E35" w:rsidRPr="00123090" w:rsidRDefault="004D2E35" w:rsidP="00123090">
            <w:pPr>
              <w:jc w:val="center"/>
              <w:rPr>
                <w:rFonts w:eastAsia="Times New Roman"/>
                <w:b/>
                <w:bCs/>
                <w:lang w:eastAsia="ja-JP"/>
              </w:rPr>
            </w:pPr>
          </w:p>
          <w:p w14:paraId="134CEE00" w14:textId="77777777" w:rsidR="004D2E35" w:rsidRPr="00123090" w:rsidRDefault="004D2E35" w:rsidP="00123090">
            <w:pPr>
              <w:jc w:val="center"/>
              <w:rPr>
                <w:rFonts w:eastAsia="Times New Roman"/>
                <w:b/>
                <w:bCs/>
                <w:lang w:eastAsia="ja-JP"/>
              </w:rPr>
            </w:pPr>
          </w:p>
          <w:p w14:paraId="09532F79" w14:textId="77777777" w:rsidR="004D2E35" w:rsidRPr="00123090" w:rsidRDefault="004D2E35" w:rsidP="00123090">
            <w:pPr>
              <w:jc w:val="center"/>
              <w:rPr>
                <w:rFonts w:eastAsia="Times New Roman"/>
                <w:b/>
                <w:bCs/>
                <w:lang w:eastAsia="ja-JP"/>
              </w:rPr>
            </w:pPr>
          </w:p>
          <w:p w14:paraId="5750F4A5" w14:textId="77777777" w:rsidR="004D2E35" w:rsidRPr="00123090" w:rsidRDefault="004D2E35" w:rsidP="00123090">
            <w:pPr>
              <w:jc w:val="center"/>
            </w:pPr>
            <w:r w:rsidRPr="00123090">
              <w:rPr>
                <w:rFonts w:eastAsia="Times New Roman"/>
                <w:b/>
                <w:bCs/>
                <w:lang w:eastAsia="ja-JP"/>
              </w:rPr>
              <w:t>Rādītāji</w:t>
            </w:r>
          </w:p>
        </w:tc>
        <w:tc>
          <w:tcPr>
            <w:tcW w:w="2618" w:type="dxa"/>
            <w:gridSpan w:val="2"/>
            <w:vMerge w:val="restart"/>
            <w:tcBorders>
              <w:top w:val="single" w:sz="4" w:space="0" w:color="auto"/>
              <w:left w:val="single" w:sz="4" w:space="0" w:color="auto"/>
              <w:right w:val="single" w:sz="4" w:space="0" w:color="auto"/>
            </w:tcBorders>
            <w:shd w:val="clear" w:color="auto" w:fill="auto"/>
          </w:tcPr>
          <w:p w14:paraId="57C646EA" w14:textId="77777777" w:rsidR="004D2E35" w:rsidRPr="00123090" w:rsidRDefault="004D2E35" w:rsidP="00123090">
            <w:pPr>
              <w:pStyle w:val="ListParagraph"/>
              <w:tabs>
                <w:tab w:val="left" w:pos="317"/>
              </w:tabs>
              <w:ind w:left="34"/>
              <w:jc w:val="center"/>
              <w:rPr>
                <w:bCs/>
                <w:sz w:val="24"/>
                <w:szCs w:val="24"/>
                <w:lang w:eastAsia="en-US"/>
              </w:rPr>
            </w:pPr>
            <w:r w:rsidRPr="00123090">
              <w:rPr>
                <w:b/>
                <w:bCs/>
                <w:sz w:val="24"/>
                <w:szCs w:val="24"/>
                <w:lang w:eastAsia="ja-JP"/>
              </w:rPr>
              <w:t>2018.gads</w:t>
            </w:r>
          </w:p>
        </w:tc>
        <w:tc>
          <w:tcPr>
            <w:tcW w:w="3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9B6B34" w14:textId="77777777" w:rsidR="004D2E35" w:rsidRPr="00123090" w:rsidRDefault="004D2E35" w:rsidP="00123090">
            <w:pPr>
              <w:jc w:val="center"/>
              <w:rPr>
                <w:rFonts w:eastAsia="Times New Roman"/>
                <w:lang w:eastAsia="ja-JP"/>
              </w:rPr>
            </w:pPr>
            <w:r w:rsidRPr="00123090">
              <w:rPr>
                <w:rFonts w:eastAsia="Times New Roman"/>
                <w:lang w:eastAsia="ja-JP"/>
              </w:rPr>
              <w:t>Turpmākie trīs gadi (</w:t>
            </w:r>
            <w:proofErr w:type="spellStart"/>
            <w:r w:rsidRPr="00123090">
              <w:rPr>
                <w:rFonts w:eastAsia="Times New Roman"/>
                <w:i/>
                <w:iCs/>
                <w:lang w:eastAsia="ja-JP"/>
              </w:rPr>
              <w:t>euro</w:t>
            </w:r>
            <w:proofErr w:type="spellEnd"/>
            <w:r w:rsidRPr="00123090">
              <w:rPr>
                <w:rFonts w:eastAsia="Times New Roman"/>
                <w:lang w:eastAsia="ja-JP"/>
              </w:rPr>
              <w:t>)</w:t>
            </w:r>
          </w:p>
        </w:tc>
      </w:tr>
      <w:tr w:rsidR="004D2E35" w:rsidRPr="00123090" w14:paraId="7F002F45" w14:textId="77777777" w:rsidTr="000653B0">
        <w:tc>
          <w:tcPr>
            <w:tcW w:w="2635" w:type="dxa"/>
            <w:vMerge/>
            <w:tcBorders>
              <w:left w:val="single" w:sz="4" w:space="0" w:color="auto"/>
              <w:right w:val="single" w:sz="4" w:space="0" w:color="auto"/>
            </w:tcBorders>
            <w:shd w:val="clear" w:color="auto" w:fill="auto"/>
          </w:tcPr>
          <w:p w14:paraId="5CAFDB8A" w14:textId="77777777" w:rsidR="004D2E35" w:rsidRPr="00123090" w:rsidRDefault="004D2E35" w:rsidP="00123090">
            <w:pPr>
              <w:jc w:val="center"/>
            </w:pPr>
          </w:p>
        </w:tc>
        <w:tc>
          <w:tcPr>
            <w:tcW w:w="2618" w:type="dxa"/>
            <w:gridSpan w:val="2"/>
            <w:vMerge/>
            <w:tcBorders>
              <w:left w:val="single" w:sz="4" w:space="0" w:color="auto"/>
              <w:bottom w:val="single" w:sz="4" w:space="0" w:color="auto"/>
              <w:right w:val="single" w:sz="4" w:space="0" w:color="auto"/>
            </w:tcBorders>
            <w:shd w:val="clear" w:color="auto" w:fill="auto"/>
          </w:tcPr>
          <w:p w14:paraId="61862163" w14:textId="77777777" w:rsidR="004D2E35" w:rsidRPr="00123090" w:rsidRDefault="004D2E35" w:rsidP="00123090">
            <w:pPr>
              <w:pStyle w:val="ListParagraph"/>
              <w:tabs>
                <w:tab w:val="left" w:pos="317"/>
              </w:tabs>
              <w:ind w:left="34"/>
              <w:jc w:val="center"/>
              <w:rPr>
                <w:bCs/>
                <w:sz w:val="24"/>
                <w:szCs w:val="24"/>
                <w:lang w:eastAsia="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71BBAE26" w14:textId="77777777" w:rsidR="004D2E35" w:rsidRPr="00123090" w:rsidRDefault="004D2E35" w:rsidP="00123090">
            <w:pPr>
              <w:jc w:val="center"/>
              <w:rPr>
                <w:rFonts w:eastAsia="Times New Roman"/>
                <w:b/>
                <w:bCs/>
                <w:lang w:eastAsia="ja-JP"/>
              </w:rPr>
            </w:pPr>
            <w:r w:rsidRPr="00123090">
              <w:rPr>
                <w:rFonts w:eastAsia="Times New Roman"/>
                <w:b/>
                <w:bCs/>
                <w:lang w:eastAsia="ja-JP"/>
              </w:rPr>
              <w:t>2019.</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814EA2E" w14:textId="77777777" w:rsidR="004D2E35" w:rsidRPr="00123090" w:rsidRDefault="004D2E35" w:rsidP="00123090">
            <w:pPr>
              <w:jc w:val="center"/>
              <w:rPr>
                <w:rFonts w:eastAsia="Times New Roman"/>
                <w:b/>
                <w:bCs/>
                <w:lang w:eastAsia="ja-JP"/>
              </w:rPr>
            </w:pPr>
            <w:r w:rsidRPr="00123090">
              <w:rPr>
                <w:rFonts w:eastAsia="Times New Roman"/>
                <w:b/>
                <w:bCs/>
                <w:lang w:eastAsia="ja-JP"/>
              </w:rPr>
              <w:t>2020.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6568C2A5" w14:textId="77777777" w:rsidR="004D2E35" w:rsidRPr="00123090" w:rsidRDefault="004D2E35" w:rsidP="00123090">
            <w:pPr>
              <w:jc w:val="center"/>
              <w:rPr>
                <w:rFonts w:eastAsia="Times New Roman"/>
                <w:b/>
                <w:bCs/>
                <w:lang w:eastAsia="ja-JP"/>
              </w:rPr>
            </w:pPr>
            <w:r w:rsidRPr="00123090">
              <w:rPr>
                <w:rFonts w:eastAsia="Times New Roman"/>
                <w:b/>
                <w:bCs/>
                <w:lang w:eastAsia="ja-JP"/>
              </w:rPr>
              <w:t>2021.</w:t>
            </w:r>
          </w:p>
        </w:tc>
      </w:tr>
      <w:tr w:rsidR="004D2E35" w:rsidRPr="00123090" w14:paraId="0DF73A59" w14:textId="77777777" w:rsidTr="000653B0">
        <w:tc>
          <w:tcPr>
            <w:tcW w:w="2635" w:type="dxa"/>
            <w:vMerge/>
            <w:tcBorders>
              <w:left w:val="single" w:sz="4" w:space="0" w:color="auto"/>
              <w:bottom w:val="single" w:sz="4" w:space="0" w:color="auto"/>
              <w:right w:val="single" w:sz="4" w:space="0" w:color="auto"/>
            </w:tcBorders>
            <w:shd w:val="clear" w:color="auto" w:fill="auto"/>
          </w:tcPr>
          <w:p w14:paraId="45226985" w14:textId="77777777" w:rsidR="004D2E35" w:rsidRPr="00123090" w:rsidRDefault="004D2E35" w:rsidP="00123090">
            <w:pPr>
              <w:jc w:val="cente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436EC1B" w14:textId="77777777" w:rsidR="004D2E35" w:rsidRPr="00123090" w:rsidRDefault="004D2E35" w:rsidP="00123090">
            <w:pPr>
              <w:jc w:val="center"/>
              <w:rPr>
                <w:rFonts w:eastAsia="Times New Roman"/>
                <w:lang w:eastAsia="ja-JP"/>
              </w:rPr>
            </w:pPr>
            <w:r w:rsidRPr="00123090">
              <w:rPr>
                <w:rFonts w:eastAsia="Times New Roman"/>
                <w:lang w:eastAsia="ja-JP"/>
              </w:rPr>
              <w:t>saskaņā ar valsts budžetu kārtējam gadam</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A0CAB03" w14:textId="77777777" w:rsidR="004D2E35" w:rsidRPr="00123090" w:rsidRDefault="004D2E35" w:rsidP="00123090">
            <w:pPr>
              <w:jc w:val="center"/>
              <w:rPr>
                <w:rFonts w:eastAsia="Times New Roman"/>
                <w:lang w:eastAsia="ja-JP"/>
              </w:rPr>
            </w:pPr>
            <w:r w:rsidRPr="00123090">
              <w:rPr>
                <w:rFonts w:eastAsia="Times New Roman"/>
                <w:lang w:eastAsia="ja-JP"/>
              </w:rPr>
              <w:t>izmaiņas kārtējā gadā, salīdzinot ar valsts budžetu kārtējam gadam</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3097ED0" w14:textId="77777777" w:rsidR="004D2E35" w:rsidRPr="00123090" w:rsidRDefault="004D2E35" w:rsidP="00123090">
            <w:pPr>
              <w:jc w:val="center"/>
              <w:rPr>
                <w:rFonts w:eastAsia="Times New Roman"/>
                <w:lang w:eastAsia="ja-JP"/>
              </w:rPr>
            </w:pPr>
            <w:r w:rsidRPr="00123090">
              <w:rPr>
                <w:rFonts w:eastAsia="Times New Roman"/>
                <w:lang w:eastAsia="ja-JP"/>
              </w:rPr>
              <w:t>izmaiņas, salīdzinot ar kārtējo (n) gadu</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E52BA8C" w14:textId="77777777" w:rsidR="004D2E35" w:rsidRPr="00123090" w:rsidRDefault="004D2E35" w:rsidP="00123090">
            <w:pPr>
              <w:jc w:val="center"/>
              <w:rPr>
                <w:rFonts w:eastAsia="Times New Roman"/>
                <w:lang w:eastAsia="ja-JP"/>
              </w:rPr>
            </w:pPr>
            <w:r w:rsidRPr="00123090">
              <w:rPr>
                <w:rFonts w:eastAsia="Times New Roman"/>
                <w:lang w:eastAsia="ja-JP"/>
              </w:rPr>
              <w:t>izmaiņas, salīdzinot ar kārtējo (n) gadu</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6CB3D31" w14:textId="77777777" w:rsidR="004D2E35" w:rsidRPr="00123090" w:rsidRDefault="004D2E35" w:rsidP="00123090">
            <w:pPr>
              <w:jc w:val="center"/>
              <w:rPr>
                <w:rFonts w:eastAsia="Times New Roman"/>
                <w:lang w:eastAsia="ja-JP"/>
              </w:rPr>
            </w:pPr>
            <w:r w:rsidRPr="00123090">
              <w:rPr>
                <w:rFonts w:eastAsia="Times New Roman"/>
                <w:lang w:eastAsia="ja-JP"/>
              </w:rPr>
              <w:t>izmaiņas, salīdzinot ar kārtējo (n) gadu</w:t>
            </w:r>
          </w:p>
        </w:tc>
      </w:tr>
      <w:tr w:rsidR="004D2E35" w:rsidRPr="00123090" w14:paraId="0ACF1701"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60862EFD" w14:textId="77777777" w:rsidR="004D2E35" w:rsidRPr="00123090" w:rsidRDefault="004D2E35" w:rsidP="00123090">
            <w:pPr>
              <w:jc w:val="center"/>
            </w:pPr>
            <w:r w:rsidRPr="00123090">
              <w:t>1</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6C584C4" w14:textId="77777777" w:rsidR="004D2E35" w:rsidRPr="00123090" w:rsidRDefault="004D2E35" w:rsidP="00123090">
            <w:pPr>
              <w:jc w:val="center"/>
            </w:pPr>
            <w:r w:rsidRPr="00123090">
              <w:t>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2831969" w14:textId="77777777" w:rsidR="004D2E35" w:rsidRPr="00123090" w:rsidRDefault="004D2E35" w:rsidP="00123090">
            <w:pPr>
              <w:jc w:val="center"/>
              <w:rPr>
                <w:bCs/>
                <w:lang w:eastAsia="en-US"/>
              </w:rPr>
            </w:pPr>
            <w:r w:rsidRPr="00123090">
              <w:t>3</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6A72B28D" w14:textId="77777777" w:rsidR="004D2E35" w:rsidRPr="00123090" w:rsidRDefault="004D2E35" w:rsidP="00123090">
            <w:pPr>
              <w:pStyle w:val="ListParagraph"/>
              <w:tabs>
                <w:tab w:val="left" w:pos="317"/>
              </w:tabs>
              <w:ind w:left="34"/>
              <w:jc w:val="center"/>
              <w:rPr>
                <w:bCs/>
                <w:sz w:val="24"/>
                <w:szCs w:val="24"/>
                <w:lang w:eastAsia="en-US"/>
              </w:rPr>
            </w:pPr>
            <w:r w:rsidRPr="00123090">
              <w:rPr>
                <w:bCs/>
                <w:sz w:val="24"/>
                <w:szCs w:val="24"/>
                <w:lang w:eastAsia="en-US"/>
              </w:rPr>
              <w:t>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D38AA28" w14:textId="77777777" w:rsidR="004D2E35" w:rsidRPr="00123090" w:rsidRDefault="004D2E35" w:rsidP="00123090">
            <w:pPr>
              <w:pStyle w:val="ListParagraph"/>
              <w:tabs>
                <w:tab w:val="left" w:pos="317"/>
              </w:tabs>
              <w:ind w:left="34"/>
              <w:jc w:val="center"/>
              <w:rPr>
                <w:bCs/>
                <w:sz w:val="24"/>
                <w:szCs w:val="24"/>
                <w:lang w:eastAsia="en-US"/>
              </w:rPr>
            </w:pPr>
            <w:r w:rsidRPr="00123090">
              <w:rPr>
                <w:bCs/>
                <w:sz w:val="24"/>
                <w:szCs w:val="24"/>
                <w:lang w:eastAsia="en-US"/>
              </w:rPr>
              <w:t>5</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1E49FB1" w14:textId="77777777" w:rsidR="004D2E35" w:rsidRPr="00123090" w:rsidRDefault="004D2E35" w:rsidP="00123090">
            <w:pPr>
              <w:pStyle w:val="ListParagraph"/>
              <w:tabs>
                <w:tab w:val="left" w:pos="317"/>
              </w:tabs>
              <w:ind w:left="34"/>
              <w:jc w:val="center"/>
              <w:rPr>
                <w:bCs/>
                <w:sz w:val="24"/>
                <w:szCs w:val="24"/>
                <w:lang w:eastAsia="en-US"/>
              </w:rPr>
            </w:pPr>
            <w:r w:rsidRPr="00123090">
              <w:rPr>
                <w:bCs/>
                <w:sz w:val="24"/>
                <w:szCs w:val="24"/>
                <w:lang w:eastAsia="en-US"/>
              </w:rPr>
              <w:t>6</w:t>
            </w:r>
          </w:p>
        </w:tc>
      </w:tr>
      <w:tr w:rsidR="00FD70F1" w:rsidRPr="00123090" w14:paraId="6D240793"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45B242B3" w14:textId="77777777" w:rsidR="00FD70F1" w:rsidRPr="00123090" w:rsidRDefault="00FD70F1" w:rsidP="00123090">
            <w:pPr>
              <w:rPr>
                <w:rFonts w:eastAsia="Times New Roman"/>
                <w:lang w:eastAsia="ja-JP"/>
              </w:rPr>
            </w:pPr>
            <w:r w:rsidRPr="00123090">
              <w:rPr>
                <w:rFonts w:eastAsia="Times New Roman"/>
                <w:lang w:eastAsia="ja-JP"/>
              </w:rPr>
              <w:t>1. Budžeta ieņēmumi:</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2B5B5DA"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00E4A74"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F4B314F" w14:textId="17877DD7" w:rsidR="00FD70F1" w:rsidRPr="00123090" w:rsidRDefault="00FD70F1" w:rsidP="00123090">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2AF9691" w14:textId="43F356AE" w:rsidR="00FD70F1" w:rsidRPr="00123090" w:rsidRDefault="00FD70F1" w:rsidP="00123090">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52FFDB0" w14:textId="768F06D9" w:rsidR="00FD70F1" w:rsidRPr="00123090" w:rsidRDefault="00FD70F1" w:rsidP="00123090">
            <w:pPr>
              <w:jc w:val="center"/>
              <w:rPr>
                <w:rFonts w:eastAsia="Times New Roman"/>
                <w:b/>
                <w:lang w:eastAsia="ja-JP"/>
              </w:rPr>
            </w:pPr>
            <w:r w:rsidRPr="00123090">
              <w:rPr>
                <w:rFonts w:eastAsia="Arial Unicode MS"/>
              </w:rPr>
              <w:t>0</w:t>
            </w:r>
          </w:p>
        </w:tc>
      </w:tr>
      <w:tr w:rsidR="00FD70F1" w:rsidRPr="00123090" w14:paraId="104E80A1"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1A438CEA" w14:textId="77777777" w:rsidR="00FD70F1" w:rsidRPr="00123090" w:rsidRDefault="00FD70F1" w:rsidP="00123090">
            <w:pPr>
              <w:jc w:val="both"/>
              <w:rPr>
                <w:rFonts w:eastAsia="Arial Unicode MS"/>
              </w:rPr>
            </w:pPr>
            <w:r w:rsidRPr="00123090">
              <w:rPr>
                <w:rFonts w:eastAsia="Arial Unicode MS"/>
              </w:rPr>
              <w:t>1.1. valsts pamatbudžets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C819FE3"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3DF87C2"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167CB1C" w14:textId="6951262D" w:rsidR="00FD70F1" w:rsidRPr="00123090" w:rsidRDefault="00FD70F1" w:rsidP="00123090">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5E7BC66" w14:textId="69328BCC" w:rsidR="00FD70F1" w:rsidRPr="00123090" w:rsidRDefault="00FD70F1" w:rsidP="00123090">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6337CFB" w14:textId="6806B009" w:rsidR="00FD70F1" w:rsidRPr="00123090" w:rsidRDefault="00FD70F1" w:rsidP="00123090">
            <w:pPr>
              <w:jc w:val="center"/>
              <w:rPr>
                <w:rFonts w:eastAsia="Times New Roman"/>
                <w:b/>
                <w:lang w:eastAsia="ja-JP"/>
              </w:rPr>
            </w:pPr>
            <w:r w:rsidRPr="00123090">
              <w:rPr>
                <w:rFonts w:eastAsia="Arial Unicode MS"/>
              </w:rPr>
              <w:t>0</w:t>
            </w:r>
          </w:p>
        </w:tc>
      </w:tr>
      <w:tr w:rsidR="00FD70F1" w:rsidRPr="00123090" w14:paraId="01DA295D"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2EA952FE" w14:textId="77777777" w:rsidR="00FD70F1" w:rsidRPr="00123090" w:rsidRDefault="00FD70F1" w:rsidP="00123090">
            <w:pPr>
              <w:jc w:val="both"/>
              <w:rPr>
                <w:rFonts w:eastAsia="Arial Unicode MS"/>
              </w:rPr>
            </w:pPr>
            <w:r w:rsidRPr="00123090">
              <w:rPr>
                <w:rFonts w:eastAsia="Arial Unicode MS"/>
              </w:rPr>
              <w:t>1.2. valsts speciālais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0E19E16" w14:textId="77777777" w:rsidR="00FD70F1" w:rsidRPr="00123090" w:rsidRDefault="00FD70F1" w:rsidP="00123090">
            <w:pPr>
              <w:jc w:val="center"/>
              <w:rPr>
                <w:rFonts w:eastAsia="Arial Unicode MS"/>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A7A743A" w14:textId="77777777" w:rsidR="00FD70F1" w:rsidRPr="00123090" w:rsidRDefault="00FD70F1" w:rsidP="00123090">
            <w:pPr>
              <w:jc w:val="center"/>
              <w:rPr>
                <w:rFonts w:eastAsia="Arial Unicode MS"/>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6C9C4CA" w14:textId="532A1030"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58F4C8E" w14:textId="0FBBDDAD"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578AEE5" w14:textId="639C3730" w:rsidR="00FD70F1" w:rsidRPr="00123090" w:rsidRDefault="00FD70F1" w:rsidP="00123090">
            <w:pPr>
              <w:jc w:val="center"/>
              <w:rPr>
                <w:rFonts w:eastAsia="Times New Roman"/>
                <w:b/>
                <w:lang w:eastAsia="ja-JP"/>
              </w:rPr>
            </w:pPr>
            <w:r w:rsidRPr="00123090">
              <w:t>0</w:t>
            </w:r>
          </w:p>
        </w:tc>
      </w:tr>
      <w:tr w:rsidR="00FD70F1" w:rsidRPr="00123090" w14:paraId="079FFBEA"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297181AB" w14:textId="77777777" w:rsidR="00FD70F1" w:rsidRPr="00123090" w:rsidRDefault="00FD70F1" w:rsidP="00123090">
            <w:pPr>
              <w:jc w:val="both"/>
              <w:rPr>
                <w:rFonts w:eastAsia="Arial Unicode MS"/>
              </w:rPr>
            </w:pPr>
            <w:r w:rsidRPr="00123090">
              <w:rPr>
                <w:rFonts w:eastAsia="Arial Unicode MS"/>
              </w:rPr>
              <w:t>1.3. pašvaldību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2884F66" w14:textId="77777777" w:rsidR="00FD70F1" w:rsidRPr="00123090" w:rsidRDefault="00FD70F1" w:rsidP="00123090">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25AB11B" w14:textId="77777777" w:rsidR="00FD70F1" w:rsidRPr="00123090" w:rsidRDefault="00FD70F1" w:rsidP="00123090">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C49235E" w14:textId="35340054"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CDE8D5E" w14:textId="26FD5F1F"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0E1F5D0" w14:textId="7AFE182E" w:rsidR="00FD70F1" w:rsidRPr="00123090" w:rsidRDefault="00FD70F1" w:rsidP="00123090">
            <w:pPr>
              <w:jc w:val="center"/>
              <w:rPr>
                <w:rFonts w:eastAsia="Times New Roman"/>
                <w:b/>
                <w:lang w:eastAsia="ja-JP"/>
              </w:rPr>
            </w:pPr>
            <w:r w:rsidRPr="00123090">
              <w:t>0</w:t>
            </w:r>
          </w:p>
        </w:tc>
      </w:tr>
      <w:tr w:rsidR="00FD70F1" w:rsidRPr="00123090" w14:paraId="01F7EBA0"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1F900133" w14:textId="77777777" w:rsidR="00FD70F1" w:rsidRPr="00123090" w:rsidRDefault="00FD70F1" w:rsidP="00123090">
            <w:pPr>
              <w:rPr>
                <w:rFonts w:eastAsia="Times New Roman"/>
                <w:lang w:eastAsia="ja-JP"/>
              </w:rPr>
            </w:pPr>
            <w:r w:rsidRPr="00123090">
              <w:rPr>
                <w:rFonts w:eastAsia="Times New Roman"/>
                <w:lang w:eastAsia="ja-JP"/>
              </w:rPr>
              <w:t>2. Budžeta izdevumi:</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28AB60D"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E76F739"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4F73221" w14:textId="61370279" w:rsidR="00FD70F1" w:rsidRPr="00123090" w:rsidRDefault="00FD70F1" w:rsidP="00123090">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A4AEF75" w14:textId="1666D079" w:rsidR="00FD70F1" w:rsidRPr="00123090" w:rsidRDefault="00FD70F1" w:rsidP="00123090">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7D142AF" w14:textId="00F2A48F" w:rsidR="00FD70F1" w:rsidRPr="00123090" w:rsidRDefault="00FD70F1" w:rsidP="00123090">
            <w:pPr>
              <w:jc w:val="center"/>
              <w:rPr>
                <w:rFonts w:eastAsia="Times New Roman"/>
                <w:b/>
                <w:lang w:eastAsia="ja-JP"/>
              </w:rPr>
            </w:pPr>
            <w:r w:rsidRPr="00123090">
              <w:rPr>
                <w:rFonts w:eastAsia="Arial Unicode MS"/>
              </w:rPr>
              <w:t>0</w:t>
            </w:r>
          </w:p>
        </w:tc>
      </w:tr>
      <w:tr w:rsidR="00FD70F1" w:rsidRPr="00123090" w14:paraId="74B19F0F"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1F170782" w14:textId="77777777" w:rsidR="00FD70F1" w:rsidRPr="00123090" w:rsidRDefault="00FD70F1" w:rsidP="00123090">
            <w:pPr>
              <w:rPr>
                <w:rFonts w:eastAsia="Times New Roman"/>
              </w:rPr>
            </w:pPr>
            <w:r w:rsidRPr="00123090">
              <w:rPr>
                <w:rFonts w:eastAsia="Times New Roman"/>
              </w:rPr>
              <w:t>2.1. valsts pamatbudžets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187CA6A" w14:textId="77777777" w:rsidR="00FD70F1" w:rsidRPr="00123090" w:rsidRDefault="00FD70F1" w:rsidP="00123090">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16D1A39" w14:textId="77777777" w:rsidR="00FD70F1" w:rsidRPr="00123090" w:rsidRDefault="00FD70F1" w:rsidP="00123090">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193F51E" w14:textId="015876BF"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42F55C5" w14:textId="39D0271F"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6FA202F" w14:textId="779FC18F" w:rsidR="00FD70F1" w:rsidRPr="00123090" w:rsidRDefault="00FD70F1" w:rsidP="00123090">
            <w:pPr>
              <w:jc w:val="center"/>
              <w:rPr>
                <w:rFonts w:eastAsia="Times New Roman"/>
                <w:b/>
                <w:lang w:eastAsia="ja-JP"/>
              </w:rPr>
            </w:pPr>
            <w:r w:rsidRPr="00123090">
              <w:t>0</w:t>
            </w:r>
          </w:p>
        </w:tc>
      </w:tr>
      <w:tr w:rsidR="00FD70F1" w:rsidRPr="00123090" w14:paraId="40494BAC"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5D30098B" w14:textId="77777777" w:rsidR="00FD70F1" w:rsidRPr="00123090" w:rsidRDefault="00FD70F1" w:rsidP="00123090">
            <w:pPr>
              <w:rPr>
                <w:rFonts w:eastAsia="Times New Roman"/>
              </w:rPr>
            </w:pPr>
            <w:r w:rsidRPr="00123090">
              <w:rPr>
                <w:rFonts w:eastAsia="Times New Roman"/>
              </w:rPr>
              <w:t>2.2. valsts speciālais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6EB0685" w14:textId="77777777" w:rsidR="00FD70F1" w:rsidRPr="00123090" w:rsidRDefault="00FD70F1" w:rsidP="00123090">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165DACE" w14:textId="77777777" w:rsidR="00FD70F1" w:rsidRPr="00123090" w:rsidRDefault="00FD70F1" w:rsidP="00123090">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B87FD68" w14:textId="0179B0C6"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B116030" w14:textId="347F5912"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4A3F060" w14:textId="46D19352" w:rsidR="00FD70F1" w:rsidRPr="00123090" w:rsidRDefault="00FD70F1" w:rsidP="00123090">
            <w:pPr>
              <w:jc w:val="center"/>
              <w:rPr>
                <w:rFonts w:eastAsia="Times New Roman"/>
                <w:b/>
                <w:lang w:eastAsia="ja-JP"/>
              </w:rPr>
            </w:pPr>
            <w:r w:rsidRPr="00123090">
              <w:t>0</w:t>
            </w:r>
          </w:p>
        </w:tc>
      </w:tr>
      <w:tr w:rsidR="00FD70F1" w:rsidRPr="00123090" w14:paraId="018E8244"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56E8D32F" w14:textId="77777777" w:rsidR="00FD70F1" w:rsidRPr="00123090" w:rsidRDefault="00FD70F1" w:rsidP="00123090">
            <w:pPr>
              <w:rPr>
                <w:rFonts w:eastAsia="Times New Roman"/>
              </w:rPr>
            </w:pPr>
            <w:r w:rsidRPr="00123090">
              <w:rPr>
                <w:rFonts w:eastAsia="Times New Roman"/>
              </w:rPr>
              <w:t>2.3. pašvaldību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CFA99C7" w14:textId="77777777" w:rsidR="00FD70F1" w:rsidRPr="00123090" w:rsidRDefault="00FD70F1" w:rsidP="00123090">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4EA29C0" w14:textId="77777777" w:rsidR="00FD70F1" w:rsidRPr="00123090" w:rsidRDefault="00FD70F1" w:rsidP="00123090">
            <w:pPr>
              <w:jc w:val="cente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650AF5F" w14:textId="1488E9C6"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064BCD4" w14:textId="637D14ED" w:rsidR="00FD70F1" w:rsidRPr="00123090" w:rsidRDefault="00FD70F1" w:rsidP="00123090">
            <w:pPr>
              <w:jc w:val="center"/>
              <w:rPr>
                <w:rFonts w:eastAsia="Times New Roman"/>
                <w:b/>
                <w:lang w:eastAsia="ja-JP"/>
              </w:rPr>
            </w:pPr>
            <w:r w:rsidRPr="00123090">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3AD11BE" w14:textId="710D8648" w:rsidR="00FD70F1" w:rsidRPr="00123090" w:rsidRDefault="00FD70F1" w:rsidP="00123090">
            <w:pPr>
              <w:jc w:val="center"/>
              <w:rPr>
                <w:rFonts w:eastAsia="Times New Roman"/>
                <w:b/>
                <w:lang w:eastAsia="ja-JP"/>
              </w:rPr>
            </w:pPr>
            <w:r w:rsidRPr="00123090">
              <w:t>0</w:t>
            </w:r>
          </w:p>
        </w:tc>
      </w:tr>
      <w:tr w:rsidR="00FD70F1" w:rsidRPr="00123090" w14:paraId="1FAC32AF" w14:textId="77777777" w:rsidTr="00B27760">
        <w:tc>
          <w:tcPr>
            <w:tcW w:w="2635" w:type="dxa"/>
            <w:tcBorders>
              <w:top w:val="single" w:sz="4" w:space="0" w:color="auto"/>
              <w:left w:val="single" w:sz="4" w:space="0" w:color="auto"/>
              <w:bottom w:val="single" w:sz="4" w:space="0" w:color="auto"/>
              <w:right w:val="single" w:sz="4" w:space="0" w:color="auto"/>
            </w:tcBorders>
            <w:shd w:val="clear" w:color="auto" w:fill="auto"/>
          </w:tcPr>
          <w:p w14:paraId="53280ED1" w14:textId="77777777" w:rsidR="00FD70F1" w:rsidRPr="00123090" w:rsidRDefault="00FD70F1" w:rsidP="00123090">
            <w:pPr>
              <w:rPr>
                <w:rFonts w:eastAsia="Times New Roman"/>
                <w:lang w:eastAsia="ja-JP"/>
              </w:rPr>
            </w:pPr>
            <w:r w:rsidRPr="00123090">
              <w:rPr>
                <w:rFonts w:eastAsia="Times New Roman"/>
                <w:lang w:eastAsia="ja-JP"/>
              </w:rPr>
              <w:lastRenderedPageBreak/>
              <w:t>3. Finansiālā ietekme:</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2CD56E5"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A8B74DE"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30F5525" w14:textId="5098AEF0" w:rsidR="00FD70F1" w:rsidRPr="00123090" w:rsidRDefault="00FD70F1" w:rsidP="00123090">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6E4246E1" w14:textId="0C7BFF76" w:rsidR="00FD70F1" w:rsidRPr="00123090" w:rsidRDefault="00FD70F1" w:rsidP="00123090">
            <w:pPr>
              <w:jc w:val="center"/>
              <w:rPr>
                <w:rFonts w:eastAsia="Times New Roman"/>
                <w:b/>
                <w:lang w:eastAsia="ja-JP"/>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7FA608CA" w14:textId="2EE55BAA" w:rsidR="00FD70F1" w:rsidRPr="00123090" w:rsidRDefault="00FD70F1" w:rsidP="00123090">
            <w:pPr>
              <w:jc w:val="center"/>
              <w:rPr>
                <w:rFonts w:eastAsia="Times New Roman"/>
                <w:b/>
                <w:lang w:eastAsia="ja-JP"/>
              </w:rPr>
            </w:pPr>
            <w:r w:rsidRPr="00123090">
              <w:rPr>
                <w:rFonts w:eastAsia="Arial Unicode MS"/>
              </w:rPr>
              <w:t>0</w:t>
            </w:r>
          </w:p>
        </w:tc>
      </w:tr>
      <w:tr w:rsidR="00FD70F1" w:rsidRPr="00123090" w14:paraId="515FE3C9" w14:textId="77777777" w:rsidTr="00B27760">
        <w:tc>
          <w:tcPr>
            <w:tcW w:w="2635" w:type="dxa"/>
            <w:tcBorders>
              <w:top w:val="single" w:sz="4" w:space="0" w:color="auto"/>
              <w:left w:val="single" w:sz="4" w:space="0" w:color="auto"/>
              <w:bottom w:val="single" w:sz="4" w:space="0" w:color="auto"/>
              <w:right w:val="single" w:sz="4" w:space="0" w:color="auto"/>
            </w:tcBorders>
            <w:shd w:val="clear" w:color="auto" w:fill="auto"/>
          </w:tcPr>
          <w:p w14:paraId="2C211C72" w14:textId="77777777" w:rsidR="00FD70F1" w:rsidRPr="00123090" w:rsidRDefault="00FD70F1" w:rsidP="00123090">
            <w:pPr>
              <w:rPr>
                <w:rFonts w:eastAsia="Times New Roman"/>
              </w:rPr>
            </w:pPr>
            <w:r w:rsidRPr="00123090">
              <w:rPr>
                <w:rFonts w:eastAsia="Times New Roman"/>
              </w:rPr>
              <w:t>3.1. valsts pamatbudžets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D4D1616"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61550735" w14:textId="77777777" w:rsidR="00FD70F1" w:rsidRPr="00123090" w:rsidRDefault="00FD70F1" w:rsidP="00123090">
            <w:pPr>
              <w:jc w:val="center"/>
              <w:rPr>
                <w:rFonts w:eastAsia="Arial Unicode MS"/>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6026575" w14:textId="0C041648" w:rsidR="00FD70F1" w:rsidRPr="00123090" w:rsidRDefault="00FD70F1" w:rsidP="00123090">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74FAEDE0" w14:textId="13D7756A" w:rsidR="00FD70F1" w:rsidRPr="00123090" w:rsidRDefault="00FD70F1" w:rsidP="00123090">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984A94D" w14:textId="2FFA44A0" w:rsidR="00FD70F1" w:rsidRPr="00123090" w:rsidRDefault="00FD70F1" w:rsidP="00123090">
            <w:pPr>
              <w:jc w:val="center"/>
            </w:pPr>
            <w:r w:rsidRPr="00123090">
              <w:rPr>
                <w:rFonts w:eastAsia="Arial Unicode MS"/>
              </w:rPr>
              <w:t>0</w:t>
            </w:r>
          </w:p>
        </w:tc>
      </w:tr>
      <w:tr w:rsidR="00FD70F1" w:rsidRPr="00123090" w14:paraId="5BD4C287"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66B276AD" w14:textId="77777777" w:rsidR="00FD70F1" w:rsidRPr="00123090" w:rsidRDefault="00FD70F1" w:rsidP="00123090">
            <w:pPr>
              <w:rPr>
                <w:rFonts w:eastAsia="Times New Roman"/>
              </w:rPr>
            </w:pPr>
            <w:r w:rsidRPr="00123090">
              <w:rPr>
                <w:rFonts w:eastAsia="Times New Roman"/>
              </w:rPr>
              <w:t>3.2. speciālais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77FB0D3" w14:textId="77777777" w:rsidR="00FD70F1" w:rsidRPr="00123090" w:rsidRDefault="00FD70F1" w:rsidP="00123090">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8AF70A9" w14:textId="77777777" w:rsidR="00FD70F1" w:rsidRPr="00123090" w:rsidRDefault="00FD70F1" w:rsidP="00123090">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D81CD59" w14:textId="4BC03242" w:rsidR="00FD70F1" w:rsidRPr="00123090" w:rsidRDefault="00FD70F1" w:rsidP="00123090">
            <w:pPr>
              <w:jc w:val="center"/>
              <w:rPr>
                <w:rFonts w:eastAsia="Times New Roman"/>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7AFB3E3" w14:textId="2754E425" w:rsidR="00FD70F1" w:rsidRPr="00123090" w:rsidRDefault="00FD70F1" w:rsidP="00123090">
            <w:pPr>
              <w:jc w:val="center"/>
              <w:rPr>
                <w:rFonts w:eastAsia="Times New Roman"/>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A94DC51" w14:textId="2F278CFC" w:rsidR="00FD70F1" w:rsidRPr="00123090" w:rsidRDefault="00FD70F1" w:rsidP="00123090">
            <w:pPr>
              <w:jc w:val="center"/>
              <w:rPr>
                <w:rFonts w:eastAsia="Times New Roman"/>
              </w:rPr>
            </w:pPr>
            <w:r w:rsidRPr="00123090">
              <w:rPr>
                <w:rFonts w:eastAsia="Arial Unicode MS"/>
              </w:rPr>
              <w:t>0</w:t>
            </w:r>
          </w:p>
        </w:tc>
      </w:tr>
      <w:tr w:rsidR="00FD70F1" w:rsidRPr="00123090" w14:paraId="05BB12BE"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0C378A3D" w14:textId="77777777" w:rsidR="00FD70F1" w:rsidRPr="00123090" w:rsidRDefault="00FD70F1" w:rsidP="00123090">
            <w:pPr>
              <w:rPr>
                <w:rFonts w:eastAsia="Times New Roman"/>
              </w:rPr>
            </w:pPr>
            <w:r w:rsidRPr="00123090">
              <w:rPr>
                <w:rFonts w:eastAsia="Times New Roman"/>
              </w:rPr>
              <w:t>3.3. pašvaldību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9BF0DCB" w14:textId="77777777" w:rsidR="00FD70F1" w:rsidRPr="00123090" w:rsidRDefault="00FD70F1" w:rsidP="00123090">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180F119" w14:textId="77777777" w:rsidR="00FD70F1" w:rsidRPr="00123090" w:rsidRDefault="00FD70F1" w:rsidP="00123090">
            <w:pPr>
              <w:jc w:val="cente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AAE2972" w14:textId="7EC134EE" w:rsidR="00FD70F1" w:rsidRPr="00123090" w:rsidRDefault="00FD70F1" w:rsidP="00123090">
            <w:pPr>
              <w:jc w:val="center"/>
              <w:rPr>
                <w:rFonts w:eastAsia="Times New Roman"/>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678BA54" w14:textId="55189854" w:rsidR="00FD70F1" w:rsidRPr="00123090" w:rsidRDefault="00FD70F1" w:rsidP="00123090">
            <w:pPr>
              <w:jc w:val="center"/>
              <w:rPr>
                <w:rFonts w:eastAsia="Times New Roman"/>
              </w:rPr>
            </w:pPr>
            <w:r w:rsidRPr="00123090">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0910007" w14:textId="1B5877BD" w:rsidR="00FD70F1" w:rsidRPr="00123090" w:rsidRDefault="00FD70F1" w:rsidP="00123090">
            <w:pPr>
              <w:jc w:val="center"/>
              <w:rPr>
                <w:rFonts w:eastAsia="Times New Roman"/>
              </w:rPr>
            </w:pPr>
            <w:r w:rsidRPr="00123090">
              <w:rPr>
                <w:rFonts w:eastAsia="Arial Unicode MS"/>
              </w:rPr>
              <w:t>0</w:t>
            </w:r>
          </w:p>
        </w:tc>
      </w:tr>
      <w:tr w:rsidR="00FD70F1" w:rsidRPr="00123090" w14:paraId="011B0002"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74CAC2C9" w14:textId="77777777" w:rsidR="00FD70F1" w:rsidRPr="00123090" w:rsidRDefault="00FD70F1" w:rsidP="00123090">
            <w:pPr>
              <w:rPr>
                <w:rFonts w:eastAsia="Times New Roman"/>
                <w:lang w:eastAsia="ja-JP"/>
              </w:rPr>
            </w:pPr>
            <w:r w:rsidRPr="00123090">
              <w:rPr>
                <w:rFonts w:eastAsia="Times New Roman"/>
                <w:lang w:eastAsia="ja-JP"/>
              </w:rPr>
              <w:t>4. Finanšu līdzekļi papildu izdevumu finansēšanai (kompensējošu izdevumu samazinājumu norāda ar "+" zīmi)</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19F88F7" w14:textId="77777777" w:rsidR="00FD70F1" w:rsidRPr="00123090" w:rsidRDefault="00FD70F1" w:rsidP="00123090">
            <w:pPr>
              <w:jc w:val="center"/>
              <w:rPr>
                <w:rFonts w:eastAsia="Arial Unicode MS"/>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0562D99" w14:textId="77777777" w:rsidR="00FD70F1" w:rsidRPr="00123090" w:rsidRDefault="00FD70F1" w:rsidP="00123090">
            <w:pPr>
              <w:jc w:val="center"/>
              <w:rPr>
                <w:rFonts w:eastAsia="Arial Unicode MS"/>
                <w:b/>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51FED19" w14:textId="03A40D55" w:rsidR="00FD70F1" w:rsidRPr="00123090" w:rsidRDefault="00FD70F1" w:rsidP="00123090">
            <w:pPr>
              <w:ind w:left="-30"/>
              <w:jc w:val="center"/>
              <w:rPr>
                <w:rFonts w:eastAsia="Times New Roman"/>
                <w:b/>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4D7997F" w14:textId="47A0363E" w:rsidR="00FD70F1" w:rsidRPr="00123090" w:rsidRDefault="00FD70F1" w:rsidP="00123090">
            <w:pPr>
              <w:ind w:left="-30"/>
              <w:jc w:val="center"/>
              <w:rPr>
                <w:rFonts w:eastAsia="Times New Roman"/>
                <w:b/>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E2874F0" w14:textId="684DCEFB" w:rsidR="00FD70F1" w:rsidRPr="00123090" w:rsidRDefault="00FD70F1" w:rsidP="00123090">
            <w:pPr>
              <w:ind w:left="-30"/>
              <w:jc w:val="center"/>
              <w:rPr>
                <w:rFonts w:eastAsia="Times New Roman"/>
                <w:b/>
              </w:rPr>
            </w:pPr>
            <w:r w:rsidRPr="00123090">
              <w:rPr>
                <w:rFonts w:eastAsia="Arial Unicode MS"/>
              </w:rPr>
              <w:t>N/A</w:t>
            </w:r>
          </w:p>
        </w:tc>
      </w:tr>
      <w:tr w:rsidR="00FD70F1" w:rsidRPr="00123090" w14:paraId="6C98DBD8"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03DBFC3C" w14:textId="77777777" w:rsidR="00FD70F1" w:rsidRPr="00123090" w:rsidRDefault="00FD70F1" w:rsidP="00123090">
            <w:pPr>
              <w:rPr>
                <w:rFonts w:eastAsia="Times New Roman"/>
                <w:lang w:eastAsia="ja-JP"/>
              </w:rPr>
            </w:pPr>
            <w:r w:rsidRPr="00123090">
              <w:rPr>
                <w:rFonts w:eastAsia="Times New Roman"/>
                <w:lang w:eastAsia="ja-JP"/>
              </w:rPr>
              <w:t>5. Precizēta finansiālā ietekme:</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968436B" w14:textId="77777777" w:rsidR="00FD70F1" w:rsidRPr="00123090" w:rsidRDefault="00FD70F1" w:rsidP="00123090">
            <w:pPr>
              <w:jc w:val="center"/>
              <w:rPr>
                <w:rFonts w:eastAsia="Arial Unicode MS"/>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FEF38FF" w14:textId="77777777" w:rsidR="00FD70F1" w:rsidRPr="00123090" w:rsidRDefault="00FD70F1" w:rsidP="00123090">
            <w:pPr>
              <w:jc w:val="center"/>
              <w:rPr>
                <w:rFonts w:eastAsia="Arial Unicode MS"/>
              </w:rPr>
            </w:pPr>
            <w:r w:rsidRPr="00123090">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76A5003" w14:textId="77777777" w:rsidR="00FD70F1" w:rsidRPr="00123090" w:rsidRDefault="00FD70F1" w:rsidP="00123090">
            <w:pPr>
              <w:jc w:val="center"/>
              <w:rPr>
                <w:rFonts w:eastAsia="Times New Roman"/>
              </w:rPr>
            </w:pPr>
            <w:r w:rsidRPr="00123090">
              <w:rPr>
                <w:rFonts w:eastAsia="Times New Roman"/>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48C5C39" w14:textId="77777777" w:rsidR="00FD70F1" w:rsidRPr="00123090" w:rsidRDefault="00FD70F1" w:rsidP="00123090">
            <w:pPr>
              <w:jc w:val="center"/>
              <w:rPr>
                <w:rFonts w:eastAsia="Times New Roman"/>
              </w:rPr>
            </w:pPr>
            <w:r w:rsidRPr="00123090">
              <w:rPr>
                <w:rFonts w:eastAsia="Times New Roman"/>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7BA9954" w14:textId="77777777" w:rsidR="00FD70F1" w:rsidRPr="00123090" w:rsidRDefault="00FD70F1" w:rsidP="00123090">
            <w:pPr>
              <w:jc w:val="center"/>
              <w:rPr>
                <w:rFonts w:eastAsia="Times New Roman"/>
              </w:rPr>
            </w:pPr>
            <w:r w:rsidRPr="00123090">
              <w:rPr>
                <w:rFonts w:eastAsia="Times New Roman"/>
              </w:rPr>
              <w:t>N/A</w:t>
            </w:r>
          </w:p>
        </w:tc>
      </w:tr>
      <w:tr w:rsidR="00FD70F1" w:rsidRPr="00123090" w14:paraId="0C34DE0C"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3F36CD61" w14:textId="77777777" w:rsidR="00FD70F1" w:rsidRPr="00123090" w:rsidRDefault="00FD70F1" w:rsidP="00123090">
            <w:pPr>
              <w:rPr>
                <w:rFonts w:eastAsia="Times New Roman"/>
                <w:lang w:eastAsia="ja-JP"/>
              </w:rPr>
            </w:pPr>
            <w:r w:rsidRPr="00123090">
              <w:rPr>
                <w:rFonts w:eastAsia="Times New Roman"/>
                <w:lang w:eastAsia="ja-JP"/>
              </w:rPr>
              <w:t>6. Detalizēts ieņēmumu un izdevumu aprēķins (ja nepieciešams, detalizētu ieņēmumu un izdevumu aprēķinu var pievienot anotācijas pielikumā):</w:t>
            </w:r>
          </w:p>
        </w:tc>
        <w:tc>
          <w:tcPr>
            <w:tcW w:w="6545" w:type="dxa"/>
            <w:gridSpan w:val="5"/>
            <w:vMerge w:val="restart"/>
            <w:tcBorders>
              <w:top w:val="single" w:sz="4" w:space="0" w:color="auto"/>
              <w:left w:val="single" w:sz="4" w:space="0" w:color="auto"/>
              <w:right w:val="single" w:sz="4" w:space="0" w:color="auto"/>
            </w:tcBorders>
            <w:shd w:val="clear" w:color="auto" w:fill="auto"/>
          </w:tcPr>
          <w:p w14:paraId="60F72BF9" w14:textId="15207DC8" w:rsidR="00FD70F1" w:rsidRPr="00F77072" w:rsidRDefault="00902D53" w:rsidP="00AD2B84">
            <w:pPr>
              <w:pStyle w:val="ListParagraph"/>
              <w:tabs>
                <w:tab w:val="left" w:pos="317"/>
              </w:tabs>
              <w:ind w:left="34"/>
              <w:jc w:val="both"/>
              <w:rPr>
                <w:sz w:val="24"/>
                <w:szCs w:val="24"/>
                <w:lang w:eastAsia="en-US"/>
              </w:rPr>
            </w:pPr>
            <w:r w:rsidRPr="00F77072">
              <w:rPr>
                <w:sz w:val="24"/>
                <w:szCs w:val="24"/>
              </w:rPr>
              <w:t xml:space="preserve">Finansējuma 2 300 000 </w:t>
            </w:r>
            <w:proofErr w:type="spellStart"/>
            <w:r w:rsidRPr="00F77072">
              <w:rPr>
                <w:i/>
                <w:iCs/>
                <w:sz w:val="24"/>
                <w:szCs w:val="24"/>
              </w:rPr>
              <w:t>euro</w:t>
            </w:r>
            <w:proofErr w:type="spellEnd"/>
            <w:r w:rsidRPr="00F77072">
              <w:rPr>
                <w:sz w:val="24"/>
                <w:szCs w:val="24"/>
              </w:rPr>
              <w:t xml:space="preserve"> apmērā pārdale no 8.3.4. SAM plānota optimizējot šī projekta iekšējo finansējuma struktūru. </w:t>
            </w:r>
            <w:r w:rsidR="00AD2B84" w:rsidRPr="00F77072">
              <w:rPr>
                <w:sz w:val="28"/>
                <w:szCs w:val="28"/>
                <w:lang w:eastAsia="en-US"/>
              </w:rPr>
              <w:t xml:space="preserve"> </w:t>
            </w:r>
            <w:r w:rsidR="003C6CD5" w:rsidRPr="00F77072">
              <w:rPr>
                <w:rFonts w:ascii="Calibri" w:eastAsia="Calibri" w:hAnsi="Calibri"/>
                <w:sz w:val="28"/>
                <w:szCs w:val="28"/>
                <w:lang w:eastAsia="en-US"/>
              </w:rPr>
              <w:t xml:space="preserve"> </w:t>
            </w:r>
            <w:r w:rsidR="003C6CD5" w:rsidRPr="00F77072">
              <w:rPr>
                <w:sz w:val="24"/>
                <w:szCs w:val="24"/>
                <w:lang w:eastAsia="en-US"/>
              </w:rPr>
              <w:t xml:space="preserve">Saskaņā ar noteikumu projektu 8.3.4.SAM pieejamais kopējais finansējums ir 37 512 376 </w:t>
            </w:r>
            <w:proofErr w:type="spellStart"/>
            <w:r w:rsidR="003C6CD5" w:rsidRPr="00F77072">
              <w:rPr>
                <w:i/>
                <w:sz w:val="24"/>
                <w:szCs w:val="24"/>
                <w:lang w:eastAsia="en-US"/>
              </w:rPr>
              <w:t>euro</w:t>
            </w:r>
            <w:proofErr w:type="spellEnd"/>
            <w:r w:rsidR="003C6CD5" w:rsidRPr="00F77072">
              <w:rPr>
                <w:sz w:val="24"/>
                <w:szCs w:val="24"/>
                <w:lang w:eastAsia="en-US"/>
              </w:rPr>
              <w:t xml:space="preserve">, tai skaitā Eiropas Sociālā fonda finansējums 31 885 519 </w:t>
            </w:r>
            <w:proofErr w:type="spellStart"/>
            <w:r w:rsidR="003C6CD5" w:rsidRPr="00F77072">
              <w:rPr>
                <w:i/>
                <w:sz w:val="24"/>
                <w:szCs w:val="24"/>
                <w:lang w:eastAsia="en-US"/>
              </w:rPr>
              <w:t>euro</w:t>
            </w:r>
            <w:proofErr w:type="spellEnd"/>
            <w:r w:rsidR="003C6CD5" w:rsidRPr="00F77072">
              <w:rPr>
                <w:sz w:val="24"/>
                <w:szCs w:val="24"/>
                <w:lang w:eastAsia="en-US"/>
              </w:rPr>
              <w:t xml:space="preserve"> un valsts budžeta finansējums 5 626 857 </w:t>
            </w:r>
            <w:proofErr w:type="spellStart"/>
            <w:r w:rsidR="003C6CD5" w:rsidRPr="00F77072">
              <w:rPr>
                <w:i/>
                <w:sz w:val="24"/>
                <w:szCs w:val="24"/>
                <w:lang w:eastAsia="en-US"/>
              </w:rPr>
              <w:t>euro</w:t>
            </w:r>
            <w:proofErr w:type="spellEnd"/>
            <w:r w:rsidR="003C6CD5" w:rsidRPr="00F77072">
              <w:rPr>
                <w:sz w:val="24"/>
                <w:szCs w:val="24"/>
                <w:lang w:eastAsia="en-US"/>
              </w:rPr>
              <w:t xml:space="preserve">, </w:t>
            </w:r>
            <w:r w:rsidR="00AD2B84" w:rsidRPr="00F77072">
              <w:rPr>
                <w:sz w:val="24"/>
                <w:szCs w:val="24"/>
                <w:lang w:eastAsia="en-US"/>
              </w:rPr>
              <w:t>vienošanās pa</w:t>
            </w:r>
            <w:r w:rsidR="003C6CD5" w:rsidRPr="00F77072">
              <w:rPr>
                <w:sz w:val="24"/>
                <w:szCs w:val="24"/>
                <w:lang w:eastAsia="en-US"/>
              </w:rPr>
              <w:t>r projekta īstenošanu slēgšanai</w:t>
            </w:r>
            <w:r w:rsidR="00AD2B84" w:rsidRPr="00F77072">
              <w:rPr>
                <w:sz w:val="24"/>
                <w:szCs w:val="24"/>
                <w:lang w:eastAsia="en-US"/>
              </w:rPr>
              <w:t xml:space="preserve"> </w:t>
            </w:r>
            <w:r w:rsidR="003C6CD5" w:rsidRPr="00F77072">
              <w:rPr>
                <w:sz w:val="24"/>
                <w:szCs w:val="24"/>
                <w:lang w:eastAsia="en-US"/>
              </w:rPr>
              <w:t xml:space="preserve">pieejamais finansējums </w:t>
            </w:r>
            <w:r w:rsidR="00AD2B84" w:rsidRPr="00F77072">
              <w:rPr>
                <w:sz w:val="24"/>
                <w:szCs w:val="24"/>
                <w:lang w:eastAsia="en-US"/>
              </w:rPr>
              <w:t xml:space="preserve">ir 34 476 965 </w:t>
            </w:r>
            <w:proofErr w:type="spellStart"/>
            <w:r w:rsidR="00AD2B84" w:rsidRPr="00F77072">
              <w:rPr>
                <w:i/>
                <w:iCs/>
                <w:sz w:val="24"/>
                <w:szCs w:val="24"/>
                <w:lang w:eastAsia="en-US"/>
              </w:rPr>
              <w:t>euro</w:t>
            </w:r>
            <w:proofErr w:type="spellEnd"/>
            <w:r w:rsidR="00AD2B84" w:rsidRPr="00F77072">
              <w:rPr>
                <w:sz w:val="24"/>
                <w:szCs w:val="24"/>
                <w:lang w:eastAsia="en-US"/>
              </w:rPr>
              <w:t xml:space="preserve">, tai skaitā Eiropas Sociālā fonda finansējums 29 305 420 </w:t>
            </w:r>
            <w:proofErr w:type="spellStart"/>
            <w:r w:rsidR="00AD2B84" w:rsidRPr="00F77072">
              <w:rPr>
                <w:i/>
                <w:iCs/>
                <w:sz w:val="24"/>
                <w:szCs w:val="24"/>
                <w:lang w:eastAsia="en-US"/>
              </w:rPr>
              <w:t>euro</w:t>
            </w:r>
            <w:proofErr w:type="spellEnd"/>
            <w:r w:rsidR="00AD2B84" w:rsidRPr="00F77072">
              <w:rPr>
                <w:i/>
                <w:iCs/>
                <w:sz w:val="24"/>
                <w:szCs w:val="24"/>
                <w:lang w:eastAsia="en-US"/>
              </w:rPr>
              <w:t xml:space="preserve"> </w:t>
            </w:r>
            <w:r w:rsidR="00AD2B84" w:rsidRPr="00F77072">
              <w:rPr>
                <w:sz w:val="24"/>
                <w:szCs w:val="24"/>
                <w:lang w:eastAsia="en-US"/>
              </w:rPr>
              <w:t xml:space="preserve">un valsts budžeta finansējums 5 171 545 </w:t>
            </w:r>
            <w:proofErr w:type="spellStart"/>
            <w:r w:rsidR="00AD2B84" w:rsidRPr="00F77072">
              <w:rPr>
                <w:i/>
                <w:iCs/>
                <w:sz w:val="24"/>
                <w:szCs w:val="24"/>
                <w:lang w:eastAsia="en-US"/>
              </w:rPr>
              <w:t>euro</w:t>
            </w:r>
            <w:proofErr w:type="spellEnd"/>
            <w:r w:rsidR="003C6CD5" w:rsidRPr="00F77072">
              <w:rPr>
                <w:sz w:val="24"/>
                <w:szCs w:val="24"/>
                <w:lang w:eastAsia="en-US"/>
              </w:rPr>
              <w:t>.</w:t>
            </w:r>
          </w:p>
          <w:p w14:paraId="3471C8E6" w14:textId="7C1A7DC7" w:rsidR="003C6CD5" w:rsidRPr="00123090" w:rsidRDefault="003C6CD5" w:rsidP="003C6CD5">
            <w:pPr>
              <w:pStyle w:val="ListParagraph"/>
              <w:tabs>
                <w:tab w:val="left" w:pos="317"/>
              </w:tabs>
              <w:ind w:left="34"/>
              <w:jc w:val="both"/>
              <w:rPr>
                <w:bCs/>
                <w:sz w:val="24"/>
                <w:szCs w:val="24"/>
                <w:lang w:eastAsia="en-US"/>
              </w:rPr>
            </w:pPr>
            <w:r w:rsidRPr="00F77072">
              <w:rPr>
                <w:sz w:val="24"/>
                <w:szCs w:val="24"/>
                <w:lang w:eastAsia="en-US"/>
              </w:rPr>
              <w:t xml:space="preserve">Kopējā finansējuma sadalījums pa gadiem, ievērojot 8.3.4.SAM projekta īstenošanas termiņu: 2016.gadā 36 842 </w:t>
            </w:r>
            <w:proofErr w:type="spellStart"/>
            <w:r w:rsidRPr="00F77072">
              <w:rPr>
                <w:i/>
                <w:sz w:val="24"/>
                <w:szCs w:val="24"/>
                <w:lang w:eastAsia="en-US"/>
              </w:rPr>
              <w:t>euro</w:t>
            </w:r>
            <w:proofErr w:type="spellEnd"/>
            <w:r w:rsidRPr="00F77072">
              <w:rPr>
                <w:sz w:val="24"/>
                <w:szCs w:val="24"/>
                <w:lang w:eastAsia="en-US"/>
              </w:rPr>
              <w:t xml:space="preserve">, 2017.gadā 1 480 566 </w:t>
            </w:r>
            <w:proofErr w:type="spellStart"/>
            <w:r w:rsidRPr="00F77072">
              <w:rPr>
                <w:i/>
                <w:sz w:val="24"/>
                <w:szCs w:val="24"/>
                <w:lang w:eastAsia="en-US"/>
              </w:rPr>
              <w:t>euro</w:t>
            </w:r>
            <w:proofErr w:type="spellEnd"/>
            <w:r w:rsidRPr="00F77072">
              <w:rPr>
                <w:sz w:val="24"/>
                <w:szCs w:val="24"/>
                <w:lang w:eastAsia="en-US"/>
              </w:rPr>
              <w:t xml:space="preserve">, 2018.gadā 6 684 509 </w:t>
            </w:r>
            <w:proofErr w:type="spellStart"/>
            <w:r w:rsidRPr="00F77072">
              <w:rPr>
                <w:i/>
                <w:sz w:val="24"/>
                <w:szCs w:val="24"/>
                <w:lang w:eastAsia="en-US"/>
              </w:rPr>
              <w:t>euro</w:t>
            </w:r>
            <w:proofErr w:type="spellEnd"/>
            <w:r w:rsidRPr="00F77072">
              <w:rPr>
                <w:sz w:val="24"/>
                <w:szCs w:val="24"/>
                <w:lang w:eastAsia="en-US"/>
              </w:rPr>
              <w:t xml:space="preserve">, 2019.gadā 7 716 936 </w:t>
            </w:r>
            <w:proofErr w:type="spellStart"/>
            <w:r w:rsidRPr="00F77072">
              <w:rPr>
                <w:i/>
                <w:sz w:val="24"/>
                <w:szCs w:val="24"/>
                <w:lang w:eastAsia="en-US"/>
              </w:rPr>
              <w:t>euro</w:t>
            </w:r>
            <w:proofErr w:type="spellEnd"/>
            <w:r w:rsidRPr="00F77072">
              <w:rPr>
                <w:sz w:val="24"/>
                <w:szCs w:val="24"/>
                <w:lang w:eastAsia="en-US"/>
              </w:rPr>
              <w:t xml:space="preserve">, 2020.gadā 7 756 936 </w:t>
            </w:r>
            <w:proofErr w:type="spellStart"/>
            <w:r w:rsidRPr="00F77072">
              <w:rPr>
                <w:i/>
                <w:sz w:val="24"/>
                <w:szCs w:val="24"/>
                <w:lang w:eastAsia="en-US"/>
              </w:rPr>
              <w:t>euro</w:t>
            </w:r>
            <w:proofErr w:type="spellEnd"/>
            <w:r w:rsidRPr="00F77072">
              <w:rPr>
                <w:sz w:val="24"/>
                <w:szCs w:val="24"/>
                <w:lang w:eastAsia="en-US"/>
              </w:rPr>
              <w:t xml:space="preserve">, 2021.gadā 7 050 987 </w:t>
            </w:r>
            <w:proofErr w:type="spellStart"/>
            <w:r w:rsidRPr="00F77072">
              <w:rPr>
                <w:i/>
                <w:sz w:val="24"/>
                <w:szCs w:val="24"/>
                <w:lang w:eastAsia="en-US"/>
              </w:rPr>
              <w:t>euro</w:t>
            </w:r>
            <w:proofErr w:type="spellEnd"/>
            <w:r w:rsidRPr="00F77072">
              <w:rPr>
                <w:sz w:val="24"/>
                <w:szCs w:val="24"/>
                <w:lang w:eastAsia="en-US"/>
              </w:rPr>
              <w:t xml:space="preserve">, 2022.gadā 6 785 601 </w:t>
            </w:r>
            <w:proofErr w:type="spellStart"/>
            <w:r w:rsidRPr="00F77072">
              <w:rPr>
                <w:i/>
                <w:sz w:val="24"/>
                <w:szCs w:val="24"/>
                <w:lang w:eastAsia="en-US"/>
              </w:rPr>
              <w:t>euro</w:t>
            </w:r>
            <w:proofErr w:type="spellEnd"/>
            <w:r w:rsidRPr="00F77072">
              <w:rPr>
                <w:sz w:val="24"/>
                <w:szCs w:val="24"/>
                <w:lang w:eastAsia="en-US"/>
              </w:rPr>
              <w:t>.</w:t>
            </w:r>
          </w:p>
        </w:tc>
      </w:tr>
      <w:tr w:rsidR="00FD70F1" w:rsidRPr="00123090" w14:paraId="0C7DA891"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63373891" w14:textId="1A56A64D" w:rsidR="00FD70F1" w:rsidRPr="00123090" w:rsidRDefault="00FD70F1" w:rsidP="00123090">
            <w:pPr>
              <w:rPr>
                <w:rFonts w:eastAsia="Times New Roman"/>
                <w:lang w:eastAsia="ja-JP"/>
              </w:rPr>
            </w:pPr>
            <w:r w:rsidRPr="00123090">
              <w:rPr>
                <w:rFonts w:eastAsia="Times New Roman"/>
                <w:lang w:eastAsia="ja-JP"/>
              </w:rPr>
              <w:t>6.1. detalizēts ieņēmumu aprēķins</w:t>
            </w:r>
          </w:p>
        </w:tc>
        <w:tc>
          <w:tcPr>
            <w:tcW w:w="6545" w:type="dxa"/>
            <w:gridSpan w:val="5"/>
            <w:vMerge/>
            <w:tcBorders>
              <w:left w:val="single" w:sz="4" w:space="0" w:color="auto"/>
              <w:right w:val="single" w:sz="4" w:space="0" w:color="auto"/>
            </w:tcBorders>
            <w:shd w:val="clear" w:color="auto" w:fill="auto"/>
          </w:tcPr>
          <w:p w14:paraId="5881F415" w14:textId="77777777" w:rsidR="00FD70F1" w:rsidRPr="00123090" w:rsidRDefault="00FD70F1" w:rsidP="00123090">
            <w:pPr>
              <w:pStyle w:val="ListParagraph"/>
              <w:tabs>
                <w:tab w:val="left" w:pos="317"/>
              </w:tabs>
              <w:ind w:left="34"/>
              <w:jc w:val="both"/>
              <w:rPr>
                <w:bCs/>
                <w:sz w:val="24"/>
                <w:szCs w:val="24"/>
                <w:lang w:eastAsia="en-US"/>
              </w:rPr>
            </w:pPr>
          </w:p>
        </w:tc>
      </w:tr>
      <w:tr w:rsidR="00FD70F1" w:rsidRPr="00123090" w14:paraId="78847ABB"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4BB87B79" w14:textId="77777777" w:rsidR="00FD70F1" w:rsidRPr="00123090" w:rsidRDefault="00FD70F1" w:rsidP="00123090">
            <w:pPr>
              <w:rPr>
                <w:rFonts w:eastAsia="Times New Roman"/>
                <w:lang w:eastAsia="ja-JP"/>
              </w:rPr>
            </w:pPr>
            <w:r w:rsidRPr="00123090">
              <w:rPr>
                <w:rFonts w:eastAsia="Times New Roman"/>
                <w:lang w:eastAsia="ja-JP"/>
              </w:rPr>
              <w:t>6.2. detalizēts izdevumu aprēķins</w:t>
            </w:r>
          </w:p>
        </w:tc>
        <w:tc>
          <w:tcPr>
            <w:tcW w:w="6545" w:type="dxa"/>
            <w:gridSpan w:val="5"/>
            <w:vMerge/>
            <w:tcBorders>
              <w:left w:val="single" w:sz="4" w:space="0" w:color="auto"/>
              <w:bottom w:val="single" w:sz="4" w:space="0" w:color="auto"/>
              <w:right w:val="single" w:sz="4" w:space="0" w:color="auto"/>
            </w:tcBorders>
            <w:shd w:val="clear" w:color="auto" w:fill="auto"/>
          </w:tcPr>
          <w:p w14:paraId="7F659EA7" w14:textId="77777777" w:rsidR="00FD70F1" w:rsidRPr="00123090" w:rsidRDefault="00FD70F1" w:rsidP="00123090">
            <w:pPr>
              <w:pStyle w:val="ListParagraph"/>
              <w:tabs>
                <w:tab w:val="left" w:pos="317"/>
              </w:tabs>
              <w:ind w:left="34"/>
              <w:jc w:val="both"/>
              <w:rPr>
                <w:bCs/>
                <w:sz w:val="24"/>
                <w:szCs w:val="24"/>
                <w:lang w:eastAsia="en-US"/>
              </w:rPr>
            </w:pPr>
          </w:p>
        </w:tc>
      </w:tr>
      <w:tr w:rsidR="00FD70F1" w:rsidRPr="00123090" w14:paraId="37C76957"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0D6540C3" w14:textId="77777777" w:rsidR="00FD70F1" w:rsidRPr="00123090" w:rsidRDefault="00FD70F1" w:rsidP="00123090">
            <w:pPr>
              <w:rPr>
                <w:rFonts w:eastAsia="Times New Roman"/>
                <w:lang w:eastAsia="ja-JP"/>
              </w:rPr>
            </w:pPr>
            <w:r w:rsidRPr="00123090">
              <w:rPr>
                <w:rFonts w:eastAsia="Times New Roman"/>
                <w:lang w:eastAsia="ja-JP"/>
              </w:rPr>
              <w:t>7. Amata vietu skaita izmaiņas</w:t>
            </w:r>
          </w:p>
        </w:tc>
        <w:tc>
          <w:tcPr>
            <w:tcW w:w="6545" w:type="dxa"/>
            <w:gridSpan w:val="5"/>
            <w:tcBorders>
              <w:top w:val="single" w:sz="4" w:space="0" w:color="auto"/>
              <w:left w:val="single" w:sz="4" w:space="0" w:color="auto"/>
              <w:bottom w:val="single" w:sz="4" w:space="0" w:color="auto"/>
              <w:right w:val="single" w:sz="4" w:space="0" w:color="auto"/>
            </w:tcBorders>
            <w:shd w:val="clear" w:color="auto" w:fill="auto"/>
          </w:tcPr>
          <w:p w14:paraId="007230D1" w14:textId="77777777" w:rsidR="00FD70F1" w:rsidRPr="00123090" w:rsidRDefault="00FD70F1" w:rsidP="00123090">
            <w:pPr>
              <w:jc w:val="both"/>
              <w:rPr>
                <w:rFonts w:eastAsia="Times New Roman"/>
                <w:lang w:eastAsia="ja-JP"/>
              </w:rPr>
            </w:pPr>
            <w:r w:rsidRPr="00123090">
              <w:rPr>
                <w:iCs/>
                <w:color w:val="000000"/>
              </w:rPr>
              <w:t>Noteikumu projekts šo jomu neskar.</w:t>
            </w:r>
          </w:p>
        </w:tc>
      </w:tr>
      <w:tr w:rsidR="00FD70F1" w:rsidRPr="00123090" w14:paraId="2FB84F86" w14:textId="77777777" w:rsidTr="000653B0">
        <w:tc>
          <w:tcPr>
            <w:tcW w:w="2635" w:type="dxa"/>
            <w:tcBorders>
              <w:top w:val="single" w:sz="4" w:space="0" w:color="auto"/>
              <w:left w:val="single" w:sz="4" w:space="0" w:color="auto"/>
              <w:bottom w:val="single" w:sz="4" w:space="0" w:color="auto"/>
              <w:right w:val="single" w:sz="4" w:space="0" w:color="auto"/>
            </w:tcBorders>
            <w:shd w:val="clear" w:color="auto" w:fill="auto"/>
          </w:tcPr>
          <w:p w14:paraId="7820F6E9" w14:textId="77777777" w:rsidR="00FD70F1" w:rsidRPr="00123090" w:rsidRDefault="00FD70F1" w:rsidP="00123090">
            <w:pPr>
              <w:rPr>
                <w:rFonts w:eastAsia="Times New Roman"/>
                <w:lang w:eastAsia="ja-JP"/>
              </w:rPr>
            </w:pPr>
            <w:r w:rsidRPr="00123090">
              <w:rPr>
                <w:rFonts w:eastAsia="Times New Roman"/>
                <w:lang w:eastAsia="ja-JP"/>
              </w:rPr>
              <w:t>8. Cita informācija</w:t>
            </w:r>
          </w:p>
        </w:tc>
        <w:tc>
          <w:tcPr>
            <w:tcW w:w="6545" w:type="dxa"/>
            <w:gridSpan w:val="5"/>
            <w:tcBorders>
              <w:top w:val="single" w:sz="4" w:space="0" w:color="auto"/>
              <w:left w:val="single" w:sz="4" w:space="0" w:color="auto"/>
              <w:bottom w:val="single" w:sz="4" w:space="0" w:color="auto"/>
              <w:right w:val="single" w:sz="4" w:space="0" w:color="auto"/>
            </w:tcBorders>
            <w:shd w:val="clear" w:color="auto" w:fill="auto"/>
          </w:tcPr>
          <w:p w14:paraId="23AD38D0" w14:textId="50DD6972" w:rsidR="00FD70F1" w:rsidRPr="00123090" w:rsidRDefault="00A714E2" w:rsidP="00123090">
            <w:pPr>
              <w:ind w:right="57"/>
              <w:jc w:val="both"/>
              <w:rPr>
                <w:rFonts w:eastAsia="Times New Roman"/>
                <w:b/>
                <w:i/>
                <w:lang w:bidi="lo-LA"/>
              </w:rPr>
            </w:pPr>
            <w:r w:rsidRPr="00123090">
              <w:rPr>
                <w:rFonts w:eastAsia="Times New Roman"/>
                <w:lang w:bidi="lo-LA"/>
              </w:rPr>
              <w:t>Nav.</w:t>
            </w:r>
          </w:p>
          <w:p w14:paraId="47695A41" w14:textId="77777777" w:rsidR="00FD70F1" w:rsidRPr="00123090" w:rsidRDefault="00FD70F1" w:rsidP="00123090">
            <w:pPr>
              <w:jc w:val="both"/>
              <w:rPr>
                <w:rFonts w:eastAsia="Times New Roman"/>
                <w:lang w:eastAsia="ja-JP"/>
              </w:rPr>
            </w:pPr>
          </w:p>
        </w:tc>
      </w:tr>
    </w:tbl>
    <w:p w14:paraId="51945E18" w14:textId="77777777" w:rsidR="000952B3" w:rsidRPr="00123090" w:rsidRDefault="000952B3" w:rsidP="00123090"/>
    <w:tbl>
      <w:tblPr>
        <w:tblStyle w:val="TableGrid"/>
        <w:tblW w:w="9209" w:type="dxa"/>
        <w:tblLook w:val="04A0" w:firstRow="1" w:lastRow="0" w:firstColumn="1" w:lastColumn="0" w:noHBand="0" w:noVBand="1"/>
      </w:tblPr>
      <w:tblGrid>
        <w:gridCol w:w="396"/>
        <w:gridCol w:w="1865"/>
        <w:gridCol w:w="6948"/>
      </w:tblGrid>
      <w:tr w:rsidR="003C2699" w:rsidRPr="00123090" w14:paraId="1CBA174B" w14:textId="77777777" w:rsidTr="004D251B">
        <w:tc>
          <w:tcPr>
            <w:tcW w:w="9209" w:type="dxa"/>
            <w:gridSpan w:val="3"/>
          </w:tcPr>
          <w:p w14:paraId="43EAAB4A" w14:textId="77777777" w:rsidR="003C2699" w:rsidRPr="00123090" w:rsidRDefault="003C2699" w:rsidP="00123090">
            <w:pPr>
              <w:jc w:val="center"/>
              <w:rPr>
                <w:b/>
              </w:rPr>
            </w:pPr>
            <w:r w:rsidRPr="00123090">
              <w:rPr>
                <w:b/>
              </w:rPr>
              <w:t>IV.</w:t>
            </w:r>
            <w:r w:rsidRPr="00123090">
              <w:t xml:space="preserve"> </w:t>
            </w:r>
            <w:r w:rsidRPr="00123090">
              <w:rPr>
                <w:b/>
              </w:rPr>
              <w:t>Tiesību akta projekta ietekme uz spēkā esošo tiesību normu sistēmu</w:t>
            </w:r>
          </w:p>
        </w:tc>
      </w:tr>
      <w:tr w:rsidR="00DF4080" w:rsidRPr="00123090" w14:paraId="39A38C01" w14:textId="77777777" w:rsidTr="001522EB">
        <w:tc>
          <w:tcPr>
            <w:tcW w:w="396" w:type="dxa"/>
          </w:tcPr>
          <w:p w14:paraId="2A1C50D2" w14:textId="77777777" w:rsidR="00DF4080" w:rsidRPr="00123090" w:rsidRDefault="001522EB" w:rsidP="00123090">
            <w:r w:rsidRPr="00123090">
              <w:t>1.</w:t>
            </w:r>
          </w:p>
        </w:tc>
        <w:tc>
          <w:tcPr>
            <w:tcW w:w="1865" w:type="dxa"/>
          </w:tcPr>
          <w:p w14:paraId="1B554116" w14:textId="77777777" w:rsidR="00DF4080" w:rsidRPr="00123090" w:rsidRDefault="001522EB" w:rsidP="00123090">
            <w:r w:rsidRPr="00123090">
              <w:t>Nepieciešamie saistītie tiesību aktu projekti</w:t>
            </w:r>
          </w:p>
        </w:tc>
        <w:tc>
          <w:tcPr>
            <w:tcW w:w="6948" w:type="dxa"/>
          </w:tcPr>
          <w:p w14:paraId="30AEB6B2" w14:textId="304D8DB0" w:rsidR="008A2FF7" w:rsidRPr="00123090" w:rsidRDefault="004D5248" w:rsidP="00123090">
            <w:pPr>
              <w:jc w:val="both"/>
              <w:rPr>
                <w:rFonts w:eastAsia="Times New Roman"/>
                <w:bCs/>
              </w:rPr>
            </w:pPr>
            <w:r w:rsidRPr="00123090">
              <w:rPr>
                <w:rFonts w:eastAsia="Times New Roman"/>
                <w:bCs/>
              </w:rPr>
              <w:t xml:space="preserve">Lai </w:t>
            </w:r>
            <w:r w:rsidR="00A714E2" w:rsidRPr="00123090">
              <w:rPr>
                <w:rFonts w:eastAsia="Times New Roman"/>
                <w:bCs/>
              </w:rPr>
              <w:t>nodrošinātu</w:t>
            </w:r>
            <w:r w:rsidR="00D17F41" w:rsidRPr="00123090">
              <w:rPr>
                <w:rFonts w:eastAsia="Times New Roman"/>
                <w:bCs/>
              </w:rPr>
              <w:t xml:space="preserve"> </w:t>
            </w:r>
            <w:r w:rsidR="00384521">
              <w:rPr>
                <w:rFonts w:eastAsia="Times New Roman"/>
                <w:bCs/>
              </w:rPr>
              <w:t>nepieciešamā</w:t>
            </w:r>
            <w:r w:rsidR="00A714E2" w:rsidRPr="00123090">
              <w:rPr>
                <w:rFonts w:eastAsia="Times New Roman"/>
                <w:bCs/>
              </w:rPr>
              <w:t xml:space="preserve"> finansējuma pārdali</w:t>
            </w:r>
            <w:r w:rsidR="001522EB" w:rsidRPr="00123090">
              <w:rPr>
                <w:rFonts w:eastAsia="Times New Roman"/>
                <w:bCs/>
              </w:rPr>
              <w:t xml:space="preserve"> darbību veikšanai</w:t>
            </w:r>
            <w:r w:rsidR="00A714E2" w:rsidRPr="00123090">
              <w:rPr>
                <w:rFonts w:eastAsia="Times New Roman"/>
                <w:bCs/>
              </w:rPr>
              <w:t xml:space="preserve"> projektā</w:t>
            </w:r>
            <w:r w:rsidR="00D17F41" w:rsidRPr="00123090">
              <w:rPr>
                <w:rFonts w:eastAsia="Times New Roman"/>
                <w:bCs/>
              </w:rPr>
              <w:t xml:space="preserve"> </w:t>
            </w:r>
            <w:r w:rsidR="00A714E2" w:rsidRPr="00123090">
              <w:rPr>
                <w:rFonts w:eastAsia="Times New Roman"/>
              </w:rPr>
              <w:t>Nr.8.3.1.1/16/I/002 “Kompetenču pieeja mācību saturā”</w:t>
            </w:r>
            <w:r w:rsidR="001522EB" w:rsidRPr="00123090">
              <w:rPr>
                <w:rFonts w:eastAsia="Times New Roman"/>
                <w:bCs/>
              </w:rPr>
              <w:t xml:space="preserve">, jāveic </w:t>
            </w:r>
            <w:r w:rsidRPr="00123090">
              <w:rPr>
                <w:rFonts w:eastAsia="Times New Roman"/>
                <w:bCs/>
              </w:rPr>
              <w:t xml:space="preserve">grozījumi </w:t>
            </w:r>
            <w:r w:rsidR="00D17F41" w:rsidRPr="00123090">
              <w:rPr>
                <w:rFonts w:eastAsia="Times New Roman"/>
              </w:rPr>
              <w:t xml:space="preserve">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un  </w:t>
            </w:r>
            <w:r w:rsidR="001522EB" w:rsidRPr="00123090">
              <w:rPr>
                <w:rFonts w:eastAsia="Times New Roman"/>
                <w:bCs/>
              </w:rPr>
              <w:t>Ministru kabineta 2015. gada 7. jūlija</w:t>
            </w:r>
            <w:r w:rsidRPr="00123090">
              <w:rPr>
                <w:rFonts w:eastAsia="Times New Roman"/>
                <w:bCs/>
              </w:rPr>
              <w:t xml:space="preserve"> noteikumos</w:t>
            </w:r>
            <w:r w:rsidR="001522EB" w:rsidRPr="00123090">
              <w:rPr>
                <w:rFonts w:eastAsia="Times New Roman"/>
                <w:bCs/>
              </w:rPr>
              <w:t xml:space="preserve">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w:t>
            </w:r>
            <w:r w:rsidRPr="00123090">
              <w:rPr>
                <w:rFonts w:eastAsia="Times New Roman"/>
                <w:bCs/>
              </w:rPr>
              <w:t>”</w:t>
            </w:r>
            <w:r w:rsidR="008A2FF7" w:rsidRPr="00123090">
              <w:rPr>
                <w:rFonts w:eastAsia="Times New Roman"/>
                <w:bCs/>
              </w:rPr>
              <w:t>.</w:t>
            </w:r>
          </w:p>
        </w:tc>
      </w:tr>
      <w:tr w:rsidR="00DF4080" w:rsidRPr="00123090" w14:paraId="774A6959" w14:textId="77777777" w:rsidTr="001522EB">
        <w:tc>
          <w:tcPr>
            <w:tcW w:w="396" w:type="dxa"/>
          </w:tcPr>
          <w:p w14:paraId="523EC4D3" w14:textId="77777777" w:rsidR="00DF4080" w:rsidRPr="00123090" w:rsidRDefault="001522EB" w:rsidP="00123090">
            <w:r w:rsidRPr="00123090">
              <w:t>2.</w:t>
            </w:r>
          </w:p>
        </w:tc>
        <w:tc>
          <w:tcPr>
            <w:tcW w:w="1865" w:type="dxa"/>
          </w:tcPr>
          <w:p w14:paraId="4D11B0E9" w14:textId="77777777" w:rsidR="00DF4080" w:rsidRPr="00123090" w:rsidRDefault="001522EB" w:rsidP="00123090">
            <w:r w:rsidRPr="00123090">
              <w:t>Atbildīgā institūcija</w:t>
            </w:r>
          </w:p>
        </w:tc>
        <w:tc>
          <w:tcPr>
            <w:tcW w:w="6948" w:type="dxa"/>
          </w:tcPr>
          <w:p w14:paraId="3ABCC7D1" w14:textId="77777777" w:rsidR="00DF4080" w:rsidRPr="00123090" w:rsidRDefault="001522EB" w:rsidP="00123090">
            <w:r w:rsidRPr="00123090">
              <w:t>IZM</w:t>
            </w:r>
            <w:r w:rsidR="008A2FF7" w:rsidRPr="00123090">
              <w:t>.</w:t>
            </w:r>
          </w:p>
        </w:tc>
      </w:tr>
      <w:tr w:rsidR="00DF4080" w:rsidRPr="00123090" w14:paraId="603AD36C" w14:textId="77777777" w:rsidTr="001522EB">
        <w:tc>
          <w:tcPr>
            <w:tcW w:w="396" w:type="dxa"/>
          </w:tcPr>
          <w:p w14:paraId="7CB88605" w14:textId="77777777" w:rsidR="00DF4080" w:rsidRPr="00123090" w:rsidRDefault="001522EB" w:rsidP="00123090">
            <w:r w:rsidRPr="00123090">
              <w:lastRenderedPageBreak/>
              <w:t>3.</w:t>
            </w:r>
          </w:p>
        </w:tc>
        <w:tc>
          <w:tcPr>
            <w:tcW w:w="1865" w:type="dxa"/>
          </w:tcPr>
          <w:p w14:paraId="4DFA7669" w14:textId="77777777" w:rsidR="00DF4080" w:rsidRPr="00123090" w:rsidRDefault="001522EB" w:rsidP="00123090">
            <w:r w:rsidRPr="00123090">
              <w:t>Cita informācija</w:t>
            </w:r>
          </w:p>
        </w:tc>
        <w:tc>
          <w:tcPr>
            <w:tcW w:w="6948" w:type="dxa"/>
          </w:tcPr>
          <w:p w14:paraId="1C9D7915" w14:textId="77777777" w:rsidR="00DF4080" w:rsidRPr="00123090" w:rsidRDefault="004D5248" w:rsidP="00123090">
            <w:r w:rsidRPr="00123090">
              <w:t>Saistīto Ministru kabineta noteikumu grozījumu projekti ir izstrādāti.</w:t>
            </w:r>
          </w:p>
        </w:tc>
      </w:tr>
    </w:tbl>
    <w:p w14:paraId="30D6AD50" w14:textId="77777777" w:rsidR="00DF4080" w:rsidRPr="00123090" w:rsidRDefault="00DF4080" w:rsidP="0012309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0952B3" w:rsidRPr="00123090" w14:paraId="08BF2AF1" w14:textId="77777777" w:rsidTr="00123090">
        <w:trPr>
          <w:trHeight w:val="421"/>
        </w:trPr>
        <w:tc>
          <w:tcPr>
            <w:tcW w:w="9214" w:type="dxa"/>
            <w:vAlign w:val="center"/>
          </w:tcPr>
          <w:p w14:paraId="36C39886" w14:textId="77777777" w:rsidR="000952B3" w:rsidRPr="00123090" w:rsidRDefault="000952B3" w:rsidP="00123090">
            <w:pPr>
              <w:pStyle w:val="naisnod"/>
              <w:spacing w:before="0" w:beforeAutospacing="0" w:after="0" w:afterAutospacing="0"/>
              <w:ind w:left="57" w:right="57"/>
              <w:jc w:val="center"/>
            </w:pPr>
            <w:r w:rsidRPr="00123090">
              <w:rPr>
                <w:b/>
              </w:rPr>
              <w:t xml:space="preserve">V. </w:t>
            </w:r>
            <w:r w:rsidRPr="00123090">
              <w:rPr>
                <w:b/>
                <w:color w:val="000000"/>
              </w:rPr>
              <w:t>Tiesību akta projekta atbilstība Latvijas Republikas starptautiskajām saistībām</w:t>
            </w:r>
          </w:p>
        </w:tc>
      </w:tr>
      <w:tr w:rsidR="00DF4080" w:rsidRPr="00123090" w14:paraId="13CF63DA" w14:textId="77777777" w:rsidTr="00123090">
        <w:trPr>
          <w:trHeight w:val="421"/>
        </w:trPr>
        <w:tc>
          <w:tcPr>
            <w:tcW w:w="9214" w:type="dxa"/>
            <w:vAlign w:val="center"/>
          </w:tcPr>
          <w:p w14:paraId="28DF265C" w14:textId="77777777" w:rsidR="00DF4080" w:rsidRPr="00123090" w:rsidRDefault="00DF4080" w:rsidP="00123090">
            <w:pPr>
              <w:pStyle w:val="naisnod"/>
              <w:spacing w:before="0" w:beforeAutospacing="0" w:after="0" w:afterAutospacing="0"/>
              <w:ind w:left="57" w:right="57"/>
              <w:jc w:val="center"/>
            </w:pPr>
            <w:r w:rsidRPr="00123090">
              <w:t>Noteikumu projekts šo jomu neskar.</w:t>
            </w:r>
          </w:p>
        </w:tc>
      </w:tr>
    </w:tbl>
    <w:p w14:paraId="1636602A" w14:textId="77777777" w:rsidR="000952B3" w:rsidRPr="00123090" w:rsidRDefault="000952B3" w:rsidP="00123090">
      <w:pPr>
        <w:tabs>
          <w:tab w:val="left" w:pos="3382"/>
        </w:tabs>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3"/>
        <w:gridCol w:w="6096"/>
      </w:tblGrid>
      <w:tr w:rsidR="000952B3" w:rsidRPr="00123090" w14:paraId="7993B59C" w14:textId="77777777" w:rsidTr="00123090">
        <w:trPr>
          <w:trHeight w:val="421"/>
        </w:trPr>
        <w:tc>
          <w:tcPr>
            <w:tcW w:w="9214" w:type="dxa"/>
            <w:gridSpan w:val="3"/>
            <w:vAlign w:val="center"/>
          </w:tcPr>
          <w:p w14:paraId="3F13E70D" w14:textId="77777777" w:rsidR="000952B3" w:rsidRPr="00123090" w:rsidRDefault="000952B3" w:rsidP="00123090">
            <w:pPr>
              <w:pStyle w:val="naisnod"/>
              <w:spacing w:before="0" w:beforeAutospacing="0" w:after="0" w:afterAutospacing="0"/>
              <w:ind w:left="57" w:right="57"/>
              <w:jc w:val="center"/>
            </w:pPr>
            <w:r w:rsidRPr="00123090">
              <w:rPr>
                <w:b/>
              </w:rPr>
              <w:t>VI. Sabiedrības līdzdalība un komunikācijas aktivitātes</w:t>
            </w:r>
          </w:p>
        </w:tc>
      </w:tr>
      <w:tr w:rsidR="004D5248" w:rsidRPr="00123090" w14:paraId="5E723BAA" w14:textId="77777777" w:rsidTr="00123090">
        <w:trPr>
          <w:trHeight w:val="553"/>
        </w:trPr>
        <w:tc>
          <w:tcPr>
            <w:tcW w:w="183" w:type="dxa"/>
          </w:tcPr>
          <w:p w14:paraId="32AB2459" w14:textId="77777777" w:rsidR="004D5248" w:rsidRPr="00123090" w:rsidRDefault="004D5248" w:rsidP="00123090">
            <w:pPr>
              <w:ind w:left="57" w:right="57"/>
              <w:jc w:val="both"/>
              <w:rPr>
                <w:bCs/>
              </w:rPr>
            </w:pPr>
            <w:r w:rsidRPr="00123090">
              <w:rPr>
                <w:bCs/>
              </w:rPr>
              <w:t>1.</w:t>
            </w:r>
          </w:p>
        </w:tc>
        <w:tc>
          <w:tcPr>
            <w:tcW w:w="2842" w:type="dxa"/>
          </w:tcPr>
          <w:p w14:paraId="6A9E3BC7" w14:textId="77777777" w:rsidR="004D5248" w:rsidRPr="00123090" w:rsidRDefault="004D5248" w:rsidP="00123090">
            <w:pPr>
              <w:tabs>
                <w:tab w:val="left" w:pos="170"/>
              </w:tabs>
              <w:ind w:left="57" w:right="57"/>
            </w:pPr>
            <w:r w:rsidRPr="00123090">
              <w:t>Plānotās sabiedrības līdzdalības un komunikācijas aktivitātes saistībā ar projektu</w:t>
            </w:r>
          </w:p>
        </w:tc>
        <w:tc>
          <w:tcPr>
            <w:tcW w:w="6189" w:type="dxa"/>
          </w:tcPr>
          <w:p w14:paraId="53682C24" w14:textId="0FB27FF7" w:rsidR="004D5248" w:rsidRPr="00123090" w:rsidRDefault="004D5248" w:rsidP="00123090">
            <w:pPr>
              <w:ind w:left="94" w:right="142"/>
              <w:jc w:val="both"/>
            </w:pPr>
            <w:bookmarkStart w:id="0" w:name="p61"/>
            <w:bookmarkEnd w:id="0"/>
            <w:r w:rsidRPr="00123090">
              <w:rPr>
                <w:bCs/>
              </w:rPr>
              <w:t xml:space="preserve">Sabiedrības līdzdalība noteikumu </w:t>
            </w:r>
            <w:r w:rsidR="00D17F41" w:rsidRPr="00123090">
              <w:rPr>
                <w:bCs/>
              </w:rPr>
              <w:t>projekta</w:t>
            </w:r>
            <w:r w:rsidRPr="00123090">
              <w:rPr>
                <w:bCs/>
              </w:rPr>
              <w:t xml:space="preserve"> izstrādē </w:t>
            </w:r>
            <w:r w:rsidR="00123090" w:rsidRPr="00123090">
              <w:rPr>
                <w:bCs/>
              </w:rPr>
              <w:t>tiek</w:t>
            </w:r>
            <w:r w:rsidRPr="00123090">
              <w:rPr>
                <w:bCs/>
              </w:rPr>
              <w:t xml:space="preserve"> nodrošināta,</w:t>
            </w:r>
            <w:r w:rsidRPr="00123090">
              <w:t xml:space="preserve"> </w:t>
            </w:r>
            <w:r w:rsidRPr="00123090">
              <w:rPr>
                <w:bCs/>
              </w:rPr>
              <w:t>ievietojot informāciju par noteikumu projekt</w:t>
            </w:r>
            <w:r w:rsidR="00F41B11" w:rsidRPr="00123090">
              <w:rPr>
                <w:bCs/>
              </w:rPr>
              <w:t>u</w:t>
            </w:r>
            <w:r w:rsidRPr="00123090">
              <w:rPr>
                <w:bCs/>
              </w:rPr>
              <w:t xml:space="preserve"> tīmekļa vietnē </w:t>
            </w:r>
            <w:hyperlink r:id="rId8" w:history="1">
              <w:r w:rsidRPr="00123090">
                <w:rPr>
                  <w:bCs/>
                  <w:color w:val="0000FF"/>
                  <w:u w:val="single"/>
                </w:rPr>
                <w:t>www.izm.gov.lv</w:t>
              </w:r>
            </w:hyperlink>
            <w:r w:rsidRPr="00123090">
              <w:rPr>
                <w:bCs/>
              </w:rPr>
              <w:t xml:space="preserve"> un aicinot sabiedrības pārstāvjus rakstiski sniegt viedokli par noteikumu projekt</w:t>
            </w:r>
            <w:r w:rsidR="00F41B11" w:rsidRPr="00123090">
              <w:rPr>
                <w:bCs/>
              </w:rPr>
              <w:t>u</w:t>
            </w:r>
            <w:r w:rsidRPr="00123090">
              <w:rPr>
                <w:bCs/>
              </w:rPr>
              <w:t xml:space="preserve"> to izstrādes stadijā – nosūtot elektroniski uz </w:t>
            </w:r>
            <w:r w:rsidRPr="00123090">
              <w:t>elektronisko pasta adresi</w:t>
            </w:r>
            <w:r w:rsidRPr="00123090">
              <w:rPr>
                <w:bCs/>
              </w:rPr>
              <w:t xml:space="preserve">: </w:t>
            </w:r>
            <w:hyperlink r:id="rId9" w:history="1">
              <w:r w:rsidRPr="00123090">
                <w:rPr>
                  <w:bCs/>
                  <w:color w:val="0000FF"/>
                  <w:u w:val="single"/>
                </w:rPr>
                <w:t>pasts@izm.gov.lv</w:t>
              </w:r>
            </w:hyperlink>
            <w:r w:rsidRPr="00123090">
              <w:rPr>
                <w:bCs/>
              </w:rPr>
              <w:t>, vai sniedzot viedokli klātienē.</w:t>
            </w:r>
            <w:r w:rsidRPr="00123090">
              <w:t xml:space="preserve"> Sabiedrības pārstāvji varēs </w:t>
            </w:r>
            <w:r w:rsidR="00F41B11" w:rsidRPr="00123090">
              <w:t>līdzdarboties noteikumu projekta</w:t>
            </w:r>
            <w:r w:rsidRPr="00123090">
              <w:t xml:space="preserve"> izstrādē, sniedzot at</w:t>
            </w:r>
            <w:r w:rsidR="00F41B11" w:rsidRPr="00123090">
              <w:t>zinumu un viedokli par noteikuma projektu</w:t>
            </w:r>
            <w:r w:rsidRPr="00123090">
              <w:t>.</w:t>
            </w:r>
          </w:p>
        </w:tc>
      </w:tr>
      <w:tr w:rsidR="004D5248" w:rsidRPr="00123090" w14:paraId="4E735F3E" w14:textId="77777777" w:rsidTr="00123090">
        <w:trPr>
          <w:trHeight w:val="339"/>
        </w:trPr>
        <w:tc>
          <w:tcPr>
            <w:tcW w:w="183" w:type="dxa"/>
          </w:tcPr>
          <w:p w14:paraId="5F67D9C0" w14:textId="77777777" w:rsidR="004D5248" w:rsidRPr="00123090" w:rsidRDefault="004D5248" w:rsidP="00123090">
            <w:pPr>
              <w:ind w:left="57" w:right="57"/>
              <w:jc w:val="both"/>
              <w:rPr>
                <w:bCs/>
              </w:rPr>
            </w:pPr>
            <w:r w:rsidRPr="00123090">
              <w:rPr>
                <w:bCs/>
              </w:rPr>
              <w:t>2.</w:t>
            </w:r>
          </w:p>
        </w:tc>
        <w:tc>
          <w:tcPr>
            <w:tcW w:w="2842" w:type="dxa"/>
          </w:tcPr>
          <w:p w14:paraId="2E19714B" w14:textId="77777777" w:rsidR="004D5248" w:rsidRPr="00123090" w:rsidRDefault="004D5248" w:rsidP="00123090">
            <w:pPr>
              <w:ind w:left="57" w:right="57"/>
            </w:pPr>
            <w:r w:rsidRPr="00123090">
              <w:t>Sabiedrības līdzdalība projekta izstrādē</w:t>
            </w:r>
          </w:p>
        </w:tc>
        <w:tc>
          <w:tcPr>
            <w:tcW w:w="6189" w:type="dxa"/>
          </w:tcPr>
          <w:p w14:paraId="211C1C38" w14:textId="77777777" w:rsidR="004D5248" w:rsidRPr="00123090" w:rsidRDefault="004D5248" w:rsidP="00123090">
            <w:pPr>
              <w:shd w:val="clear" w:color="auto" w:fill="FFFFFF"/>
              <w:ind w:left="94" w:right="57"/>
              <w:jc w:val="both"/>
              <w:rPr>
                <w:rFonts w:eastAsia="Times New Roman"/>
                <w:b/>
                <w:iCs/>
              </w:rPr>
            </w:pPr>
            <w:bookmarkStart w:id="1" w:name="p62"/>
            <w:bookmarkEnd w:id="1"/>
            <w:r w:rsidRPr="00123090">
              <w:t>Sabiedrības grupām projektu tiesiskais regulējums pēc būtības nemaina to tiesības un pienākumus.</w:t>
            </w:r>
          </w:p>
        </w:tc>
      </w:tr>
      <w:tr w:rsidR="004D5248" w:rsidRPr="00123090" w14:paraId="19EC1433" w14:textId="77777777" w:rsidTr="00123090">
        <w:trPr>
          <w:trHeight w:val="476"/>
        </w:trPr>
        <w:tc>
          <w:tcPr>
            <w:tcW w:w="183" w:type="dxa"/>
          </w:tcPr>
          <w:p w14:paraId="3B19B1A1" w14:textId="77777777" w:rsidR="004D5248" w:rsidRPr="00123090" w:rsidRDefault="004D5248" w:rsidP="00123090">
            <w:pPr>
              <w:ind w:left="57" w:right="57"/>
              <w:jc w:val="both"/>
              <w:rPr>
                <w:bCs/>
              </w:rPr>
            </w:pPr>
            <w:r w:rsidRPr="00123090">
              <w:rPr>
                <w:bCs/>
              </w:rPr>
              <w:t>3.</w:t>
            </w:r>
          </w:p>
        </w:tc>
        <w:tc>
          <w:tcPr>
            <w:tcW w:w="2842" w:type="dxa"/>
          </w:tcPr>
          <w:p w14:paraId="63C03ABD" w14:textId="77777777" w:rsidR="004D5248" w:rsidRPr="00123090" w:rsidRDefault="004D5248" w:rsidP="00123090">
            <w:pPr>
              <w:ind w:left="57" w:right="57"/>
            </w:pPr>
            <w:r w:rsidRPr="00123090">
              <w:t>Sabiedrības līdzdalības rezultāti</w:t>
            </w:r>
          </w:p>
        </w:tc>
        <w:tc>
          <w:tcPr>
            <w:tcW w:w="6189" w:type="dxa"/>
          </w:tcPr>
          <w:p w14:paraId="609A48EA" w14:textId="77777777" w:rsidR="004D5248" w:rsidRPr="00123090" w:rsidRDefault="004D5248" w:rsidP="00123090">
            <w:pPr>
              <w:shd w:val="clear" w:color="auto" w:fill="FFFFFF"/>
              <w:tabs>
                <w:tab w:val="left" w:pos="878"/>
              </w:tabs>
              <w:ind w:right="57" w:firstLine="94"/>
              <w:jc w:val="both"/>
            </w:pPr>
            <w:r w:rsidRPr="00123090">
              <w:t>Noteikumu projekts šo jomu neskar.</w:t>
            </w:r>
          </w:p>
        </w:tc>
      </w:tr>
      <w:tr w:rsidR="004D5248" w:rsidRPr="00123090" w14:paraId="5C942580" w14:textId="77777777" w:rsidTr="00123090">
        <w:trPr>
          <w:trHeight w:val="205"/>
        </w:trPr>
        <w:tc>
          <w:tcPr>
            <w:tcW w:w="183" w:type="dxa"/>
          </w:tcPr>
          <w:p w14:paraId="10CF9E2E" w14:textId="77777777" w:rsidR="004D5248" w:rsidRPr="00123090" w:rsidRDefault="004D5248" w:rsidP="00123090">
            <w:pPr>
              <w:ind w:left="57" w:right="57"/>
              <w:jc w:val="both"/>
              <w:rPr>
                <w:bCs/>
              </w:rPr>
            </w:pPr>
            <w:r w:rsidRPr="00123090">
              <w:rPr>
                <w:bCs/>
              </w:rPr>
              <w:t>4.</w:t>
            </w:r>
          </w:p>
        </w:tc>
        <w:tc>
          <w:tcPr>
            <w:tcW w:w="2842" w:type="dxa"/>
          </w:tcPr>
          <w:p w14:paraId="07F4004A" w14:textId="77777777" w:rsidR="004D5248" w:rsidRPr="00123090" w:rsidRDefault="004D5248" w:rsidP="00123090">
            <w:pPr>
              <w:ind w:left="57" w:right="57"/>
            </w:pPr>
            <w:r w:rsidRPr="00123090">
              <w:t>Cita informācija</w:t>
            </w:r>
          </w:p>
        </w:tc>
        <w:tc>
          <w:tcPr>
            <w:tcW w:w="6189" w:type="dxa"/>
          </w:tcPr>
          <w:p w14:paraId="36BBC57D" w14:textId="77777777" w:rsidR="004D5248" w:rsidRPr="00123090" w:rsidRDefault="004D5248" w:rsidP="00123090">
            <w:pPr>
              <w:ind w:left="57" w:right="113"/>
              <w:jc w:val="both"/>
            </w:pPr>
            <w:r w:rsidRPr="00123090">
              <w:t>Nav.</w:t>
            </w:r>
          </w:p>
        </w:tc>
      </w:tr>
    </w:tbl>
    <w:p w14:paraId="3A6F7837" w14:textId="77777777" w:rsidR="000952B3" w:rsidRPr="00123090" w:rsidRDefault="000952B3" w:rsidP="0012309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6"/>
        <w:gridCol w:w="6093"/>
      </w:tblGrid>
      <w:tr w:rsidR="000952B3" w:rsidRPr="00123090" w14:paraId="48B8D8D3" w14:textId="77777777" w:rsidTr="00123090">
        <w:trPr>
          <w:trHeight w:val="421"/>
        </w:trPr>
        <w:tc>
          <w:tcPr>
            <w:tcW w:w="9214" w:type="dxa"/>
            <w:gridSpan w:val="3"/>
            <w:vAlign w:val="center"/>
          </w:tcPr>
          <w:p w14:paraId="6163B237" w14:textId="77777777" w:rsidR="000952B3" w:rsidRPr="00123090" w:rsidRDefault="000952B3" w:rsidP="00123090">
            <w:pPr>
              <w:pStyle w:val="naisnod"/>
              <w:spacing w:before="0" w:beforeAutospacing="0" w:after="0" w:afterAutospacing="0"/>
              <w:ind w:left="57" w:right="57"/>
              <w:jc w:val="center"/>
            </w:pPr>
            <w:r w:rsidRPr="00123090">
              <w:rPr>
                <w:b/>
              </w:rPr>
              <w:t>VII. Tiesību akta projekta izpildes nodrošināšana un tās ietekme uz institūcijām</w:t>
            </w:r>
          </w:p>
        </w:tc>
      </w:tr>
      <w:tr w:rsidR="000952B3" w:rsidRPr="00123090" w14:paraId="1B484F6D" w14:textId="77777777" w:rsidTr="00123090">
        <w:trPr>
          <w:trHeight w:val="553"/>
        </w:trPr>
        <w:tc>
          <w:tcPr>
            <w:tcW w:w="201" w:type="dxa"/>
          </w:tcPr>
          <w:p w14:paraId="7662DF41" w14:textId="77777777" w:rsidR="000952B3" w:rsidRPr="00123090" w:rsidRDefault="000952B3" w:rsidP="00123090">
            <w:pPr>
              <w:ind w:left="57" w:right="57"/>
              <w:jc w:val="both"/>
              <w:rPr>
                <w:bCs/>
              </w:rPr>
            </w:pPr>
            <w:r w:rsidRPr="00123090">
              <w:rPr>
                <w:bCs/>
              </w:rPr>
              <w:t>1.</w:t>
            </w:r>
          </w:p>
        </w:tc>
        <w:tc>
          <w:tcPr>
            <w:tcW w:w="2838" w:type="dxa"/>
          </w:tcPr>
          <w:p w14:paraId="4A1BC131" w14:textId="77777777" w:rsidR="000952B3" w:rsidRPr="00123090" w:rsidRDefault="000952B3" w:rsidP="00123090">
            <w:pPr>
              <w:ind w:left="57" w:right="57"/>
            </w:pPr>
            <w:r w:rsidRPr="00123090">
              <w:t>Projekta izpildē iesaistītās institūcijas</w:t>
            </w:r>
          </w:p>
        </w:tc>
        <w:tc>
          <w:tcPr>
            <w:tcW w:w="6175" w:type="dxa"/>
          </w:tcPr>
          <w:p w14:paraId="25CF42F4" w14:textId="41B1F976" w:rsidR="000952B3" w:rsidRPr="00123090" w:rsidRDefault="007A045B" w:rsidP="00123090">
            <w:pPr>
              <w:shd w:val="clear" w:color="auto" w:fill="FFFFFF"/>
              <w:ind w:left="57" w:right="113"/>
              <w:jc w:val="both"/>
            </w:pPr>
            <w:r w:rsidRPr="00123090">
              <w:t>IZM</w:t>
            </w:r>
            <w:r w:rsidR="000952B3" w:rsidRPr="00123090">
              <w:t>,</w:t>
            </w:r>
            <w:r w:rsidRPr="00123090">
              <w:t xml:space="preserve"> CFLA, </w:t>
            </w:r>
            <w:r w:rsidR="00F41B11" w:rsidRPr="00123090">
              <w:rPr>
                <w:rFonts w:eastAsia="Times New Roman"/>
              </w:rPr>
              <w:t xml:space="preserve">IKVD </w:t>
            </w:r>
            <w:r w:rsidR="00A714E2" w:rsidRPr="00123090">
              <w:rPr>
                <w:rFonts w:eastAsia="Times New Roman"/>
              </w:rPr>
              <w:t xml:space="preserve">un </w:t>
            </w:r>
            <w:r w:rsidR="00E7485C" w:rsidRPr="00123090">
              <w:rPr>
                <w:iCs/>
              </w:rPr>
              <w:t xml:space="preserve">republikas pilsētu un novadu </w:t>
            </w:r>
            <w:r w:rsidR="00E7485C" w:rsidRPr="00123090">
              <w:t>pašvaldības un valsts profesionālās izglītības iestādes</w:t>
            </w:r>
            <w:r w:rsidR="00E7485C" w:rsidRPr="00123090">
              <w:rPr>
                <w:rFonts w:eastAsia="Times New Roman"/>
              </w:rPr>
              <w:t>.</w:t>
            </w:r>
          </w:p>
        </w:tc>
      </w:tr>
      <w:tr w:rsidR="000952B3" w:rsidRPr="00123090" w14:paraId="5785DE2A" w14:textId="77777777" w:rsidTr="00123090">
        <w:trPr>
          <w:trHeight w:val="339"/>
        </w:trPr>
        <w:tc>
          <w:tcPr>
            <w:tcW w:w="201" w:type="dxa"/>
          </w:tcPr>
          <w:p w14:paraId="401BD8B2" w14:textId="77777777" w:rsidR="000952B3" w:rsidRPr="00123090" w:rsidRDefault="000952B3" w:rsidP="00123090">
            <w:pPr>
              <w:ind w:left="57" w:right="57"/>
              <w:jc w:val="both"/>
              <w:rPr>
                <w:bCs/>
              </w:rPr>
            </w:pPr>
            <w:r w:rsidRPr="00123090">
              <w:rPr>
                <w:bCs/>
              </w:rPr>
              <w:t>2.</w:t>
            </w:r>
          </w:p>
        </w:tc>
        <w:tc>
          <w:tcPr>
            <w:tcW w:w="2838" w:type="dxa"/>
          </w:tcPr>
          <w:p w14:paraId="0755052D" w14:textId="77777777" w:rsidR="000952B3" w:rsidRPr="00123090" w:rsidRDefault="000952B3" w:rsidP="00123090">
            <w:pPr>
              <w:ind w:left="57" w:right="57"/>
            </w:pPr>
            <w:r w:rsidRPr="00123090">
              <w:t xml:space="preserve">Projekta izpildes ietekme uz pārvaldes funkcijām un institucionālo struktūru. </w:t>
            </w:r>
          </w:p>
          <w:p w14:paraId="63B44106" w14:textId="77777777" w:rsidR="000952B3" w:rsidRPr="00123090" w:rsidRDefault="000952B3" w:rsidP="00123090">
            <w:pPr>
              <w:ind w:left="57" w:right="57"/>
            </w:pPr>
            <w:r w:rsidRPr="00123090">
              <w:t>Jaunu institūciju izveide, esošu institūciju likvidācija vai reorganizācija, to ietekme uz institūcijas cilvēkresursiem</w:t>
            </w:r>
          </w:p>
        </w:tc>
        <w:tc>
          <w:tcPr>
            <w:tcW w:w="6175" w:type="dxa"/>
          </w:tcPr>
          <w:p w14:paraId="152F6D6E" w14:textId="77777777" w:rsidR="000952B3" w:rsidRPr="00123090" w:rsidRDefault="000952B3" w:rsidP="00123090">
            <w:pPr>
              <w:shd w:val="clear" w:color="auto" w:fill="FFFFFF"/>
              <w:ind w:left="57" w:right="113"/>
              <w:jc w:val="both"/>
              <w:rPr>
                <w:kern w:val="24"/>
              </w:rPr>
            </w:pPr>
            <w:r w:rsidRPr="00123090">
              <w:t>Nav plānota jaunu institūciju izveide, esošu ins</w:t>
            </w:r>
            <w:r w:rsidR="007A045B" w:rsidRPr="00123090">
              <w:t>titūciju likvidācija vai reorga</w:t>
            </w:r>
            <w:r w:rsidRPr="00123090">
              <w:t>nizācija.</w:t>
            </w:r>
          </w:p>
        </w:tc>
      </w:tr>
      <w:tr w:rsidR="000952B3" w:rsidRPr="00123090" w14:paraId="3065FB4C" w14:textId="77777777" w:rsidTr="00123090">
        <w:trPr>
          <w:trHeight w:val="476"/>
        </w:trPr>
        <w:tc>
          <w:tcPr>
            <w:tcW w:w="201" w:type="dxa"/>
          </w:tcPr>
          <w:p w14:paraId="45A8DCDB" w14:textId="77777777" w:rsidR="000952B3" w:rsidRPr="00123090" w:rsidRDefault="000952B3" w:rsidP="00123090">
            <w:pPr>
              <w:ind w:left="57" w:right="57"/>
              <w:jc w:val="both"/>
              <w:rPr>
                <w:bCs/>
              </w:rPr>
            </w:pPr>
            <w:r w:rsidRPr="00123090">
              <w:rPr>
                <w:bCs/>
              </w:rPr>
              <w:t>3.</w:t>
            </w:r>
          </w:p>
        </w:tc>
        <w:tc>
          <w:tcPr>
            <w:tcW w:w="2838" w:type="dxa"/>
          </w:tcPr>
          <w:p w14:paraId="7A2D911A" w14:textId="77777777" w:rsidR="000952B3" w:rsidRPr="00123090" w:rsidRDefault="000952B3" w:rsidP="00123090">
            <w:pPr>
              <w:ind w:left="57" w:right="57"/>
            </w:pPr>
            <w:r w:rsidRPr="00123090">
              <w:t>Cita informācija</w:t>
            </w:r>
          </w:p>
        </w:tc>
        <w:tc>
          <w:tcPr>
            <w:tcW w:w="6175" w:type="dxa"/>
          </w:tcPr>
          <w:p w14:paraId="41248097" w14:textId="77777777" w:rsidR="000952B3" w:rsidRPr="00123090" w:rsidRDefault="007A045B" w:rsidP="00123090">
            <w:pPr>
              <w:shd w:val="clear" w:color="auto" w:fill="FFFFFF"/>
              <w:ind w:left="57" w:right="113"/>
              <w:jc w:val="both"/>
            </w:pPr>
            <w:r w:rsidRPr="00123090">
              <w:t xml:space="preserve">Nepieciešami grozījumi </w:t>
            </w:r>
            <w:r w:rsidR="00F41B11" w:rsidRPr="00123090">
              <w:t>finansējuma saņēmēja noslēgtajā</w:t>
            </w:r>
            <w:r w:rsidRPr="00123090">
              <w:t xml:space="preserve"> vienošanās par projekta īstenošanu ar CFLA.</w:t>
            </w:r>
          </w:p>
        </w:tc>
      </w:tr>
    </w:tbl>
    <w:p w14:paraId="16FD1BC3" w14:textId="77777777" w:rsidR="000952B3" w:rsidRPr="00123090" w:rsidRDefault="000952B3" w:rsidP="00123090"/>
    <w:p w14:paraId="071EB2B4" w14:textId="77777777" w:rsidR="007A045B" w:rsidRPr="00123090" w:rsidRDefault="007A045B" w:rsidP="00123090"/>
    <w:tbl>
      <w:tblPr>
        <w:tblW w:w="0" w:type="auto"/>
        <w:tblLook w:val="04A0" w:firstRow="1" w:lastRow="0" w:firstColumn="1" w:lastColumn="0" w:noHBand="0" w:noVBand="1"/>
      </w:tblPr>
      <w:tblGrid>
        <w:gridCol w:w="5798"/>
        <w:gridCol w:w="3317"/>
      </w:tblGrid>
      <w:tr w:rsidR="007A045B" w:rsidRPr="00123090" w14:paraId="7E281364" w14:textId="77777777" w:rsidTr="000653B0">
        <w:tc>
          <w:tcPr>
            <w:tcW w:w="5920" w:type="dxa"/>
          </w:tcPr>
          <w:p w14:paraId="3FBA52F8" w14:textId="77777777" w:rsidR="007A045B" w:rsidRPr="00123090" w:rsidRDefault="007A045B" w:rsidP="00123090">
            <w:pPr>
              <w:tabs>
                <w:tab w:val="left" w:pos="4320"/>
              </w:tabs>
            </w:pPr>
            <w:r w:rsidRPr="00123090">
              <w:t>Izglītības un zinātnes ministrs</w:t>
            </w:r>
          </w:p>
        </w:tc>
        <w:tc>
          <w:tcPr>
            <w:tcW w:w="3367" w:type="dxa"/>
          </w:tcPr>
          <w:p w14:paraId="6A0DDB0B" w14:textId="77777777" w:rsidR="007A045B" w:rsidRPr="00123090" w:rsidRDefault="007A045B" w:rsidP="00123090">
            <w:pPr>
              <w:tabs>
                <w:tab w:val="left" w:pos="4320"/>
              </w:tabs>
              <w:jc w:val="center"/>
            </w:pPr>
            <w:r w:rsidRPr="00123090">
              <w:t xml:space="preserve">                       </w:t>
            </w:r>
            <w:proofErr w:type="spellStart"/>
            <w:r w:rsidRPr="00123090">
              <w:t>K.Šadurskis</w:t>
            </w:r>
            <w:proofErr w:type="spellEnd"/>
          </w:p>
          <w:p w14:paraId="309924DE" w14:textId="77777777" w:rsidR="007A045B" w:rsidRPr="00123090" w:rsidRDefault="007A045B" w:rsidP="00123090">
            <w:pPr>
              <w:tabs>
                <w:tab w:val="left" w:pos="4320"/>
              </w:tabs>
              <w:jc w:val="right"/>
            </w:pPr>
          </w:p>
        </w:tc>
      </w:tr>
      <w:tr w:rsidR="007A045B" w:rsidRPr="00123090" w14:paraId="612258C1" w14:textId="77777777" w:rsidTr="000653B0">
        <w:tc>
          <w:tcPr>
            <w:tcW w:w="5920" w:type="dxa"/>
          </w:tcPr>
          <w:p w14:paraId="627CCCC0" w14:textId="77777777" w:rsidR="007A045B" w:rsidRPr="00123090" w:rsidRDefault="007A045B" w:rsidP="00123090">
            <w:pPr>
              <w:pStyle w:val="NormalWeb"/>
              <w:spacing w:before="0" w:beforeAutospacing="0" w:after="0" w:afterAutospacing="0"/>
            </w:pPr>
          </w:p>
          <w:p w14:paraId="68C7D177" w14:textId="77777777" w:rsidR="007A045B" w:rsidRPr="00123090" w:rsidRDefault="007A045B" w:rsidP="00123090">
            <w:pPr>
              <w:pStyle w:val="NormalWeb"/>
              <w:spacing w:before="0" w:beforeAutospacing="0" w:after="0" w:afterAutospacing="0"/>
            </w:pPr>
            <w:r w:rsidRPr="00123090">
              <w:t>Vizē: valsts sekretāre</w:t>
            </w:r>
            <w:r w:rsidRPr="00123090">
              <w:tab/>
            </w:r>
          </w:p>
        </w:tc>
        <w:tc>
          <w:tcPr>
            <w:tcW w:w="3367" w:type="dxa"/>
          </w:tcPr>
          <w:p w14:paraId="54BBBBC3" w14:textId="77777777" w:rsidR="007A045B" w:rsidRPr="00123090" w:rsidRDefault="007A045B" w:rsidP="00123090">
            <w:pPr>
              <w:tabs>
                <w:tab w:val="left" w:pos="4320"/>
              </w:tabs>
              <w:jc w:val="right"/>
            </w:pPr>
          </w:p>
          <w:p w14:paraId="411F1982" w14:textId="77777777" w:rsidR="007A045B" w:rsidRPr="00123090" w:rsidRDefault="007A045B" w:rsidP="00123090">
            <w:pPr>
              <w:tabs>
                <w:tab w:val="left" w:pos="4320"/>
              </w:tabs>
              <w:jc w:val="center"/>
            </w:pPr>
            <w:r w:rsidRPr="00123090">
              <w:t xml:space="preserve">                  </w:t>
            </w:r>
            <w:proofErr w:type="spellStart"/>
            <w:r w:rsidRPr="00123090">
              <w:t>L.Lejiņa</w:t>
            </w:r>
            <w:proofErr w:type="spellEnd"/>
          </w:p>
        </w:tc>
      </w:tr>
    </w:tbl>
    <w:p w14:paraId="7DB3DDB8" w14:textId="77777777" w:rsidR="007A045B" w:rsidRPr="00123090" w:rsidRDefault="007A045B" w:rsidP="00123090">
      <w:bookmarkStart w:id="2" w:name="_GoBack"/>
      <w:bookmarkEnd w:id="2"/>
    </w:p>
    <w:sectPr w:rsidR="007A045B" w:rsidRPr="00123090" w:rsidSect="00123090">
      <w:headerReference w:type="default" r:id="rId10"/>
      <w:footerReference w:type="default" r:id="rId11"/>
      <w:footerReference w:type="first" r:id="rId12"/>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97D36" w14:textId="77777777" w:rsidR="0011163A" w:rsidRDefault="0011163A" w:rsidP="007A045B">
      <w:r>
        <w:separator/>
      </w:r>
    </w:p>
  </w:endnote>
  <w:endnote w:type="continuationSeparator" w:id="0">
    <w:p w14:paraId="1A2DA6AD" w14:textId="77777777" w:rsidR="0011163A" w:rsidRDefault="0011163A" w:rsidP="007A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E281" w14:textId="307AB0B7" w:rsidR="007A045B" w:rsidRPr="006D4F7C" w:rsidRDefault="00FF73C2" w:rsidP="003C2699">
    <w:pPr>
      <w:pStyle w:val="Footer"/>
      <w:tabs>
        <w:tab w:val="clear" w:pos="8306"/>
      </w:tabs>
      <w:ind w:right="-908"/>
      <w:jc w:val="both"/>
      <w:rPr>
        <w:noProof/>
        <w:sz w:val="20"/>
        <w:szCs w:val="20"/>
      </w:rPr>
    </w:pPr>
    <w:r>
      <w:rPr>
        <w:noProof/>
        <w:sz w:val="20"/>
        <w:szCs w:val="20"/>
      </w:rPr>
      <w:t>IZMAnot_0703</w:t>
    </w:r>
    <w:r w:rsidR="003C2699">
      <w:rPr>
        <w:noProof/>
        <w:sz w:val="20"/>
        <w:szCs w:val="20"/>
      </w:rPr>
      <w:t>18</w:t>
    </w:r>
    <w:r w:rsidR="00E01CF7">
      <w:rPr>
        <w:noProof/>
        <w:sz w:val="20"/>
        <w:szCs w:val="20"/>
      </w:rPr>
      <w:t>_834</w:t>
    </w:r>
    <w:r w:rsidR="007A045B" w:rsidRPr="00B4020C">
      <w:rPr>
        <w:sz w:val="20"/>
        <w:szCs w:val="20"/>
      </w:rPr>
      <w:t xml:space="preserve">; </w:t>
    </w:r>
    <w:r w:rsidR="007A045B" w:rsidRPr="006C4B7C">
      <w:rPr>
        <w:noProof/>
        <w:sz w:val="20"/>
        <w:szCs w:val="20"/>
      </w:rPr>
      <w:t xml:space="preserve">Ministru kabineta noteikumu </w:t>
    </w:r>
    <w:r w:rsidR="008A2FF7">
      <w:rPr>
        <w:noProof/>
        <w:sz w:val="20"/>
        <w:szCs w:val="20"/>
      </w:rPr>
      <w:t xml:space="preserve">projekta </w:t>
    </w:r>
    <w:r w:rsidR="007A045B" w:rsidRPr="006C4B7C">
      <w:rPr>
        <w:noProof/>
        <w:sz w:val="20"/>
        <w:szCs w:val="20"/>
      </w:rPr>
      <w:t>„</w:t>
    </w:r>
    <w:r w:rsidR="008A2FF7" w:rsidRPr="008A2FF7">
      <w:rPr>
        <w:rFonts w:eastAsia="Times New Roman"/>
        <w:sz w:val="20"/>
        <w:szCs w:val="20"/>
      </w:rPr>
      <w:t>Grozījumi Ministru kabineta 2016. gada 12. jūlija noteikumos Nr.460 “</w:t>
    </w:r>
    <w:r w:rsidR="008A2FF7" w:rsidRPr="008A2FF7">
      <w:rPr>
        <w:rFonts w:eastAsia="Times New Roman"/>
        <w:bCs/>
        <w:sz w:val="20"/>
        <w:szCs w:val="20"/>
      </w:rPr>
      <w:t xml:space="preserve">Darbības programmas “Izaugsme un nodarbinātība” 8.3.4. specifiskā atbalsta mērķa “Samazināt priekšlaicīgu mācību pārtraukšanu, īstenojot preventīvus un intervences pasākumus” </w:t>
    </w:r>
    <w:r w:rsidR="007A045B" w:rsidRPr="008A2FF7">
      <w:rPr>
        <w:noProof/>
        <w:sz w:val="20"/>
        <w:szCs w:val="20"/>
      </w:rPr>
      <w:t xml:space="preserve"> </w:t>
    </w:r>
    <w:r w:rsidR="007A045B" w:rsidRPr="006C4B7C">
      <w:rPr>
        <w:noProof/>
        <w:sz w:val="20"/>
        <w:szCs w:val="20"/>
      </w:rPr>
      <w:t>sākotnējās ietekmes novērtējuma ziņojums (anotācija)</w:t>
    </w:r>
  </w:p>
  <w:p w14:paraId="680F6ADE" w14:textId="77777777" w:rsidR="007A045B" w:rsidRDefault="007A045B">
    <w:pPr>
      <w:pStyle w:val="Footer"/>
    </w:pPr>
  </w:p>
  <w:p w14:paraId="3283B817" w14:textId="77777777" w:rsidR="007A045B" w:rsidRDefault="007A0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C1A6" w14:textId="02927D52" w:rsidR="00123090" w:rsidRPr="00123090" w:rsidRDefault="00FF73C2" w:rsidP="00123090">
    <w:pPr>
      <w:pStyle w:val="Footer"/>
      <w:tabs>
        <w:tab w:val="clear" w:pos="8306"/>
      </w:tabs>
      <w:ind w:right="-908"/>
      <w:jc w:val="both"/>
      <w:rPr>
        <w:noProof/>
        <w:sz w:val="20"/>
        <w:szCs w:val="20"/>
      </w:rPr>
    </w:pPr>
    <w:r>
      <w:rPr>
        <w:noProof/>
        <w:sz w:val="20"/>
        <w:szCs w:val="20"/>
      </w:rPr>
      <w:t>IZMAnot_0703</w:t>
    </w:r>
    <w:r w:rsidR="00123090">
      <w:rPr>
        <w:noProof/>
        <w:sz w:val="20"/>
        <w:szCs w:val="20"/>
      </w:rPr>
      <w:t>18_834</w:t>
    </w:r>
    <w:r w:rsidR="00123090" w:rsidRPr="00B4020C">
      <w:rPr>
        <w:sz w:val="20"/>
        <w:szCs w:val="20"/>
      </w:rPr>
      <w:t xml:space="preserve">; </w:t>
    </w:r>
    <w:r w:rsidR="00123090" w:rsidRPr="006C4B7C">
      <w:rPr>
        <w:noProof/>
        <w:sz w:val="20"/>
        <w:szCs w:val="20"/>
      </w:rPr>
      <w:t xml:space="preserve">Ministru kabineta noteikumu </w:t>
    </w:r>
    <w:r w:rsidR="00123090">
      <w:rPr>
        <w:noProof/>
        <w:sz w:val="20"/>
        <w:szCs w:val="20"/>
      </w:rPr>
      <w:t xml:space="preserve">projekta </w:t>
    </w:r>
    <w:r w:rsidR="00123090" w:rsidRPr="006C4B7C">
      <w:rPr>
        <w:noProof/>
        <w:sz w:val="20"/>
        <w:szCs w:val="20"/>
      </w:rPr>
      <w:t>„</w:t>
    </w:r>
    <w:r w:rsidR="00123090" w:rsidRPr="008A2FF7">
      <w:rPr>
        <w:rFonts w:eastAsia="Times New Roman"/>
        <w:sz w:val="20"/>
        <w:szCs w:val="20"/>
      </w:rPr>
      <w:t>Grozījumi Ministru kabineta 2016. gada 12. jūlija noteikumos Nr.460 “</w:t>
    </w:r>
    <w:r w:rsidR="00123090" w:rsidRPr="008A2FF7">
      <w:rPr>
        <w:rFonts w:eastAsia="Times New Roman"/>
        <w:bCs/>
        <w:sz w:val="20"/>
        <w:szCs w:val="20"/>
      </w:rPr>
      <w:t xml:space="preserve">Darbības programmas “Izaugsme un nodarbinātība” 8.3.4. specifiskā atbalsta mērķa “Samazināt priekšlaicīgu mācību pārtraukšanu, īstenojot preventīvus un intervences pasākumus” </w:t>
    </w:r>
    <w:r w:rsidR="00123090" w:rsidRPr="008A2FF7">
      <w:rPr>
        <w:noProof/>
        <w:sz w:val="20"/>
        <w:szCs w:val="20"/>
      </w:rPr>
      <w:t xml:space="preserve"> </w:t>
    </w:r>
    <w:r w:rsidR="00123090" w:rsidRPr="006C4B7C">
      <w:rPr>
        <w:noProof/>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A8A5E" w14:textId="77777777" w:rsidR="0011163A" w:rsidRDefault="0011163A" w:rsidP="007A045B">
      <w:r>
        <w:separator/>
      </w:r>
    </w:p>
  </w:footnote>
  <w:footnote w:type="continuationSeparator" w:id="0">
    <w:p w14:paraId="4EAA39B7" w14:textId="77777777" w:rsidR="0011163A" w:rsidRDefault="0011163A" w:rsidP="007A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29660"/>
      <w:docPartObj>
        <w:docPartGallery w:val="Page Numbers (Top of Page)"/>
        <w:docPartUnique/>
      </w:docPartObj>
    </w:sdtPr>
    <w:sdtEndPr>
      <w:rPr>
        <w:noProof/>
      </w:rPr>
    </w:sdtEndPr>
    <w:sdtContent>
      <w:p w14:paraId="4BE6496A" w14:textId="496EF8CA" w:rsidR="00EB121A" w:rsidRDefault="00EB121A">
        <w:pPr>
          <w:pStyle w:val="Header"/>
          <w:jc w:val="center"/>
        </w:pPr>
        <w:r>
          <w:fldChar w:fldCharType="begin"/>
        </w:r>
        <w:r>
          <w:instrText xml:space="preserve"> PAGE   \* MERGEFORMAT </w:instrText>
        </w:r>
        <w:r>
          <w:fldChar w:fldCharType="separate"/>
        </w:r>
        <w:r w:rsidR="00FF73C2">
          <w:rPr>
            <w:noProof/>
          </w:rPr>
          <w:t>5</w:t>
        </w:r>
        <w:r>
          <w:rPr>
            <w:noProof/>
          </w:rPr>
          <w:fldChar w:fldCharType="end"/>
        </w:r>
      </w:p>
    </w:sdtContent>
  </w:sdt>
  <w:p w14:paraId="7108821F" w14:textId="77777777" w:rsidR="00EB121A" w:rsidRDefault="00EB1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21C"/>
    <w:multiLevelType w:val="hybridMultilevel"/>
    <w:tmpl w:val="98D49D5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 w15:restartNumberingAfterBreak="0">
    <w:nsid w:val="0D133711"/>
    <w:multiLevelType w:val="hybridMultilevel"/>
    <w:tmpl w:val="6EE004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C5E04"/>
    <w:multiLevelType w:val="hybridMultilevel"/>
    <w:tmpl w:val="2BA6F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903C8"/>
    <w:multiLevelType w:val="hybridMultilevel"/>
    <w:tmpl w:val="95543244"/>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 w15:restartNumberingAfterBreak="0">
    <w:nsid w:val="47821293"/>
    <w:multiLevelType w:val="hybridMultilevel"/>
    <w:tmpl w:val="91F85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1915C6"/>
    <w:multiLevelType w:val="hybridMultilevel"/>
    <w:tmpl w:val="C360BDB6"/>
    <w:lvl w:ilvl="0" w:tplc="9B9E9A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86FD9"/>
    <w:multiLevelType w:val="hybridMultilevel"/>
    <w:tmpl w:val="2CB0A9C2"/>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14CE7"/>
    <w:rsid w:val="00034673"/>
    <w:rsid w:val="00055596"/>
    <w:rsid w:val="000952B3"/>
    <w:rsid w:val="000B7447"/>
    <w:rsid w:val="000B7990"/>
    <w:rsid w:val="000D6C33"/>
    <w:rsid w:val="0011163A"/>
    <w:rsid w:val="001208E2"/>
    <w:rsid w:val="00123090"/>
    <w:rsid w:val="001522EB"/>
    <w:rsid w:val="001C0D50"/>
    <w:rsid w:val="001D61FF"/>
    <w:rsid w:val="0020036C"/>
    <w:rsid w:val="0024577A"/>
    <w:rsid w:val="002F1B43"/>
    <w:rsid w:val="00307840"/>
    <w:rsid w:val="00317465"/>
    <w:rsid w:val="00352BE9"/>
    <w:rsid w:val="00384521"/>
    <w:rsid w:val="0039275F"/>
    <w:rsid w:val="003A6A1F"/>
    <w:rsid w:val="003B113E"/>
    <w:rsid w:val="003B2C87"/>
    <w:rsid w:val="003C08A5"/>
    <w:rsid w:val="003C2699"/>
    <w:rsid w:val="003C6CD5"/>
    <w:rsid w:val="00442A7F"/>
    <w:rsid w:val="00477F62"/>
    <w:rsid w:val="004846A6"/>
    <w:rsid w:val="004A4EBE"/>
    <w:rsid w:val="004D2E35"/>
    <w:rsid w:val="004D5248"/>
    <w:rsid w:val="005218A5"/>
    <w:rsid w:val="00594C77"/>
    <w:rsid w:val="005E7517"/>
    <w:rsid w:val="006B6F1C"/>
    <w:rsid w:val="006F2F52"/>
    <w:rsid w:val="00707FCE"/>
    <w:rsid w:val="0072528C"/>
    <w:rsid w:val="00745F7A"/>
    <w:rsid w:val="007A045B"/>
    <w:rsid w:val="007D7538"/>
    <w:rsid w:val="0080547C"/>
    <w:rsid w:val="0083701C"/>
    <w:rsid w:val="0085612F"/>
    <w:rsid w:val="00885431"/>
    <w:rsid w:val="00895115"/>
    <w:rsid w:val="0089543D"/>
    <w:rsid w:val="008A0436"/>
    <w:rsid w:val="008A2FF7"/>
    <w:rsid w:val="00902D53"/>
    <w:rsid w:val="009044E2"/>
    <w:rsid w:val="0096165A"/>
    <w:rsid w:val="00A714E2"/>
    <w:rsid w:val="00AD2B84"/>
    <w:rsid w:val="00B67664"/>
    <w:rsid w:val="00BA7DE0"/>
    <w:rsid w:val="00BC0E04"/>
    <w:rsid w:val="00C34D87"/>
    <w:rsid w:val="00C536DA"/>
    <w:rsid w:val="00CE50C7"/>
    <w:rsid w:val="00D17F41"/>
    <w:rsid w:val="00D40EDB"/>
    <w:rsid w:val="00D43565"/>
    <w:rsid w:val="00D4792C"/>
    <w:rsid w:val="00D648A7"/>
    <w:rsid w:val="00D8475B"/>
    <w:rsid w:val="00DE119B"/>
    <w:rsid w:val="00DF4080"/>
    <w:rsid w:val="00E01CF7"/>
    <w:rsid w:val="00E03C09"/>
    <w:rsid w:val="00E7485C"/>
    <w:rsid w:val="00EB121A"/>
    <w:rsid w:val="00F41B11"/>
    <w:rsid w:val="00F77072"/>
    <w:rsid w:val="00FD70F1"/>
    <w:rsid w:val="00FD74AD"/>
    <w:rsid w:val="00FE3A75"/>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65B7FB"/>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8A2FF7"/>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8A2FF7"/>
    <w:rPr>
      <w:rFonts w:ascii="Times New Roman" w:eastAsia="Calibri" w:hAnsi="Times New Roman" w:cs="Times New Roman"/>
      <w:b/>
      <w:bCs/>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8971-28BB-42BC-B616-B8A83E38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Ķīse</dc:creator>
  <cp:keywords/>
  <dc:description/>
  <cp:lastModifiedBy>Kristīne Grundmane</cp:lastModifiedBy>
  <cp:revision>14</cp:revision>
  <dcterms:created xsi:type="dcterms:W3CDTF">2018-02-20T09:51:00Z</dcterms:created>
  <dcterms:modified xsi:type="dcterms:W3CDTF">2018-03-07T10:41:00Z</dcterms:modified>
</cp:coreProperties>
</file>